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B0" w:rsidRPr="006279CF" w:rsidRDefault="00AB118C" w:rsidP="00187079">
      <w:pPr>
        <w:shd w:val="clear" w:color="auto" w:fill="FFFFFF"/>
        <w:spacing w:before="240" w:after="120" w:line="240" w:lineRule="auto"/>
        <w:jc w:val="center"/>
        <w:textAlignment w:val="baseline"/>
        <w:rPr>
          <w:rFonts w:ascii="Times New Roman" w:eastAsia="Times New Roman" w:hAnsi="Times New Roman" w:cs="Times New Roman"/>
          <w:b/>
          <w:bCs/>
          <w:sz w:val="27"/>
          <w:szCs w:val="27"/>
          <w:lang w:val="uk-UA"/>
        </w:rPr>
      </w:pPr>
      <w:r w:rsidRPr="006279CF">
        <w:rPr>
          <w:rFonts w:ascii="Times New Roman" w:eastAsia="Times New Roman" w:hAnsi="Times New Roman" w:cs="Times New Roman"/>
          <w:b/>
          <w:bCs/>
          <w:sz w:val="27"/>
          <w:szCs w:val="27"/>
          <w:lang w:val="uk-UA"/>
        </w:rPr>
        <w:t>РЕГЛАМЕНТ</w:t>
      </w:r>
      <w:r w:rsidR="00DE77B0" w:rsidRPr="006279CF">
        <w:rPr>
          <w:rFonts w:ascii="Times New Roman" w:eastAsia="Times New Roman" w:hAnsi="Times New Roman" w:cs="Times New Roman"/>
          <w:b/>
          <w:bCs/>
          <w:sz w:val="27"/>
          <w:szCs w:val="27"/>
          <w:lang w:val="ru-RU"/>
        </w:rPr>
        <w:t xml:space="preserve"> (</w:t>
      </w:r>
      <w:r w:rsidR="00DE77B0" w:rsidRPr="006279CF">
        <w:rPr>
          <w:rFonts w:ascii="Times New Roman" w:eastAsia="Times New Roman" w:hAnsi="Times New Roman" w:cs="Times New Roman"/>
          <w:b/>
          <w:bCs/>
          <w:sz w:val="27"/>
          <w:szCs w:val="27"/>
        </w:rPr>
        <w:t>EU</w:t>
      </w:r>
      <w:r w:rsidR="00DE77B0" w:rsidRPr="006279CF">
        <w:rPr>
          <w:rFonts w:ascii="Times New Roman" w:eastAsia="Times New Roman" w:hAnsi="Times New Roman" w:cs="Times New Roman"/>
          <w:b/>
          <w:bCs/>
          <w:sz w:val="27"/>
          <w:szCs w:val="27"/>
          <w:lang w:val="ru-RU"/>
        </w:rPr>
        <w:t xml:space="preserve">) </w:t>
      </w:r>
      <w:r w:rsidRPr="006279CF">
        <w:rPr>
          <w:rFonts w:ascii="Times New Roman" w:eastAsia="Times New Roman" w:hAnsi="Times New Roman" w:cs="Times New Roman"/>
          <w:b/>
          <w:bCs/>
          <w:sz w:val="27"/>
          <w:szCs w:val="27"/>
          <w:lang w:val="uk-UA"/>
        </w:rPr>
        <w:t>№</w:t>
      </w:r>
      <w:r w:rsidR="00DE77B0" w:rsidRPr="006279CF">
        <w:rPr>
          <w:rFonts w:ascii="Times New Roman" w:eastAsia="Times New Roman" w:hAnsi="Times New Roman" w:cs="Times New Roman"/>
          <w:b/>
          <w:bCs/>
          <w:sz w:val="27"/>
          <w:szCs w:val="27"/>
          <w:lang w:val="ru-RU"/>
        </w:rPr>
        <w:t xml:space="preserve"> </w:t>
      </w:r>
      <w:r w:rsidR="003E72D0" w:rsidRPr="006279CF">
        <w:rPr>
          <w:rFonts w:ascii="Times New Roman" w:eastAsia="Times New Roman" w:hAnsi="Times New Roman" w:cs="Times New Roman"/>
          <w:b/>
          <w:bCs/>
          <w:sz w:val="27"/>
          <w:szCs w:val="27"/>
          <w:lang w:val="ru-RU"/>
        </w:rPr>
        <w:t>648/2012</w:t>
      </w:r>
      <w:r w:rsidR="00DE77B0" w:rsidRPr="006279CF">
        <w:rPr>
          <w:rFonts w:ascii="Times New Roman" w:eastAsia="Times New Roman" w:hAnsi="Times New Roman" w:cs="Times New Roman"/>
          <w:b/>
          <w:bCs/>
          <w:sz w:val="27"/>
          <w:szCs w:val="27"/>
          <w:lang w:val="ru-RU"/>
        </w:rPr>
        <w:t xml:space="preserve"> </w:t>
      </w:r>
      <w:r w:rsidRPr="006279CF">
        <w:rPr>
          <w:rFonts w:ascii="Times New Roman" w:eastAsia="Times New Roman" w:hAnsi="Times New Roman" w:cs="Times New Roman"/>
          <w:b/>
          <w:bCs/>
          <w:sz w:val="27"/>
          <w:szCs w:val="27"/>
          <w:lang w:val="uk-UA"/>
        </w:rPr>
        <w:t>ЄВРОПЕЙСЬКОГО ПАРЛАМЕНТУ ТА РАДИ</w:t>
      </w:r>
    </w:p>
    <w:p w:rsidR="00DE77B0" w:rsidRPr="006279CF" w:rsidRDefault="00AB118C" w:rsidP="00187079">
      <w:pPr>
        <w:shd w:val="clear" w:color="auto" w:fill="FFFFFF"/>
        <w:spacing w:before="240" w:after="120" w:line="240" w:lineRule="auto"/>
        <w:jc w:val="center"/>
        <w:textAlignment w:val="baseline"/>
        <w:rPr>
          <w:rFonts w:ascii="Times New Roman" w:eastAsia="Times New Roman" w:hAnsi="Times New Roman" w:cs="Times New Roman"/>
          <w:b/>
          <w:bCs/>
          <w:sz w:val="27"/>
          <w:szCs w:val="27"/>
          <w:lang w:val="ru-RU"/>
        </w:rPr>
      </w:pPr>
      <w:r w:rsidRPr="006279CF">
        <w:rPr>
          <w:rFonts w:ascii="Times New Roman" w:eastAsia="Times New Roman" w:hAnsi="Times New Roman" w:cs="Times New Roman"/>
          <w:b/>
          <w:bCs/>
          <w:sz w:val="27"/>
          <w:szCs w:val="27"/>
          <w:lang w:val="uk-UA"/>
        </w:rPr>
        <w:t>від 4 липня 2012 р.</w:t>
      </w:r>
    </w:p>
    <w:p w:rsidR="00DE77B0" w:rsidRPr="006279CF" w:rsidRDefault="00AB118C" w:rsidP="00187079">
      <w:pPr>
        <w:shd w:val="clear" w:color="auto" w:fill="FFFFFF"/>
        <w:spacing w:before="240" w:after="120" w:line="240" w:lineRule="auto"/>
        <w:jc w:val="center"/>
        <w:textAlignment w:val="baseline"/>
        <w:rPr>
          <w:rFonts w:ascii="Times New Roman" w:eastAsia="Times New Roman" w:hAnsi="Times New Roman" w:cs="Times New Roman"/>
          <w:b/>
          <w:bCs/>
          <w:sz w:val="27"/>
          <w:szCs w:val="27"/>
          <w:lang w:val="ru-RU"/>
        </w:rPr>
      </w:pPr>
      <w:r w:rsidRPr="006279CF">
        <w:rPr>
          <w:rFonts w:ascii="Times New Roman" w:eastAsia="Times New Roman" w:hAnsi="Times New Roman" w:cs="Times New Roman"/>
          <w:b/>
          <w:bCs/>
          <w:sz w:val="27"/>
          <w:szCs w:val="27"/>
          <w:lang w:val="uk-UA"/>
        </w:rPr>
        <w:t xml:space="preserve">про </w:t>
      </w:r>
      <w:r w:rsidR="003E72D0" w:rsidRPr="006279CF">
        <w:rPr>
          <w:rFonts w:ascii="Times New Roman" w:eastAsia="Times New Roman" w:hAnsi="Times New Roman" w:cs="Times New Roman"/>
          <w:b/>
          <w:bCs/>
          <w:sz w:val="27"/>
          <w:szCs w:val="27"/>
          <w:lang w:val="uk-UA"/>
        </w:rPr>
        <w:t>поза</w:t>
      </w:r>
      <w:r w:rsidR="00FE6C68" w:rsidRPr="006279CF">
        <w:rPr>
          <w:rFonts w:ascii="Times New Roman" w:eastAsia="Times New Roman" w:hAnsi="Times New Roman" w:cs="Times New Roman"/>
          <w:b/>
          <w:bCs/>
          <w:sz w:val="27"/>
          <w:szCs w:val="27"/>
          <w:lang w:val="uk-UA"/>
        </w:rPr>
        <w:t xml:space="preserve">біржові деривативи, центральних контрагентів </w:t>
      </w:r>
      <w:r w:rsidR="00F40035">
        <w:rPr>
          <w:rFonts w:ascii="Times New Roman" w:eastAsia="Times New Roman" w:hAnsi="Times New Roman" w:cs="Times New Roman"/>
          <w:b/>
          <w:bCs/>
          <w:sz w:val="27"/>
          <w:szCs w:val="27"/>
          <w:lang w:val="uk-UA"/>
        </w:rPr>
        <w:t>і</w:t>
      </w:r>
      <w:r w:rsidR="00FE6C68" w:rsidRPr="006279CF">
        <w:rPr>
          <w:rFonts w:ascii="Times New Roman" w:eastAsia="Times New Roman" w:hAnsi="Times New Roman" w:cs="Times New Roman"/>
          <w:b/>
          <w:bCs/>
          <w:sz w:val="27"/>
          <w:szCs w:val="27"/>
          <w:lang w:val="uk-UA"/>
        </w:rPr>
        <w:t xml:space="preserve"> торгов</w:t>
      </w:r>
      <w:r w:rsidR="00F40035">
        <w:rPr>
          <w:rFonts w:ascii="Times New Roman" w:eastAsia="Times New Roman" w:hAnsi="Times New Roman" w:cs="Times New Roman"/>
          <w:b/>
          <w:bCs/>
          <w:sz w:val="27"/>
          <w:szCs w:val="27"/>
          <w:lang w:val="uk-UA"/>
        </w:rPr>
        <w:t>их</w:t>
      </w:r>
      <w:r w:rsidR="00FE6C68" w:rsidRPr="006279CF">
        <w:rPr>
          <w:rFonts w:ascii="Times New Roman" w:eastAsia="Times New Roman" w:hAnsi="Times New Roman" w:cs="Times New Roman"/>
          <w:b/>
          <w:bCs/>
          <w:sz w:val="27"/>
          <w:szCs w:val="27"/>
          <w:lang w:val="uk-UA"/>
        </w:rPr>
        <w:t xml:space="preserve"> репозит</w:t>
      </w:r>
      <w:r w:rsidR="00A50FD2" w:rsidRPr="006279CF">
        <w:rPr>
          <w:rFonts w:ascii="Times New Roman" w:eastAsia="Times New Roman" w:hAnsi="Times New Roman" w:cs="Times New Roman"/>
          <w:b/>
          <w:bCs/>
          <w:sz w:val="27"/>
          <w:szCs w:val="27"/>
          <w:lang w:val="uk-UA"/>
        </w:rPr>
        <w:t>а</w:t>
      </w:r>
      <w:r w:rsidR="00FE6C68" w:rsidRPr="006279CF">
        <w:rPr>
          <w:rFonts w:ascii="Times New Roman" w:eastAsia="Times New Roman" w:hAnsi="Times New Roman" w:cs="Times New Roman"/>
          <w:b/>
          <w:bCs/>
          <w:sz w:val="27"/>
          <w:szCs w:val="27"/>
          <w:lang w:val="uk-UA"/>
        </w:rPr>
        <w:t>рії</w:t>
      </w:r>
      <w:r w:rsidR="00F40035">
        <w:rPr>
          <w:rFonts w:ascii="Times New Roman" w:eastAsia="Times New Roman" w:hAnsi="Times New Roman" w:cs="Times New Roman"/>
          <w:b/>
          <w:bCs/>
          <w:sz w:val="27"/>
          <w:szCs w:val="27"/>
          <w:lang w:val="uk-UA"/>
        </w:rPr>
        <w:t>в</w:t>
      </w:r>
    </w:p>
    <w:p w:rsidR="00DE77B0" w:rsidRPr="006279CF" w:rsidRDefault="00DE77B0" w:rsidP="00187079">
      <w:pPr>
        <w:shd w:val="clear" w:color="auto" w:fill="FFFFFF"/>
        <w:spacing w:before="240" w:after="120" w:line="240" w:lineRule="auto"/>
        <w:jc w:val="center"/>
        <w:textAlignment w:val="baseline"/>
        <w:rPr>
          <w:rFonts w:ascii="Times New Roman" w:eastAsia="Times New Roman" w:hAnsi="Times New Roman" w:cs="Times New Roman"/>
          <w:b/>
          <w:bCs/>
          <w:sz w:val="27"/>
          <w:szCs w:val="27"/>
          <w:lang w:val="ru-RU"/>
        </w:rPr>
      </w:pPr>
      <w:r w:rsidRPr="006279CF">
        <w:rPr>
          <w:rFonts w:ascii="Times New Roman" w:eastAsia="Times New Roman" w:hAnsi="Times New Roman" w:cs="Times New Roman"/>
          <w:b/>
          <w:bCs/>
          <w:sz w:val="27"/>
          <w:szCs w:val="27"/>
          <w:lang w:val="ru-RU"/>
        </w:rPr>
        <w:t>(</w:t>
      </w:r>
      <w:r w:rsidR="00AB118C" w:rsidRPr="006279CF">
        <w:rPr>
          <w:rFonts w:ascii="Times New Roman" w:eastAsia="Times New Roman" w:hAnsi="Times New Roman" w:cs="Times New Roman"/>
          <w:b/>
          <w:bCs/>
          <w:sz w:val="27"/>
          <w:szCs w:val="27"/>
          <w:lang w:val="uk-UA"/>
        </w:rPr>
        <w:t>Текст доречний для ЕЄП</w:t>
      </w:r>
      <w:r w:rsidRPr="006279CF">
        <w:rPr>
          <w:rFonts w:ascii="Times New Roman" w:eastAsia="Times New Roman" w:hAnsi="Times New Roman" w:cs="Times New Roman"/>
          <w:b/>
          <w:bCs/>
          <w:sz w:val="27"/>
          <w:szCs w:val="27"/>
          <w:lang w:val="ru-RU"/>
        </w:rPr>
        <w:t>)</w:t>
      </w:r>
    </w:p>
    <w:p w:rsidR="00C13423" w:rsidRPr="006279CF" w:rsidRDefault="00C13423"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p>
    <w:p w:rsidR="00DE77B0" w:rsidRPr="006279CF" w:rsidRDefault="00FE6C68"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lang w:val="uk-UA"/>
        </w:rPr>
        <w:t>ЄВРОПЕЙСЬКИЙ ПАРЛАМЕНТ ТА РАДА ЄВРОПЕЙСЬКОГО СОЮЗУ,</w:t>
      </w:r>
    </w:p>
    <w:p w:rsidR="00FE6C68" w:rsidRPr="006279CF" w:rsidRDefault="00FE6C68" w:rsidP="00187079">
      <w:pPr>
        <w:shd w:val="clear" w:color="auto" w:fill="FFFFFF"/>
        <w:spacing w:before="120" w:after="0" w:line="240" w:lineRule="auto"/>
        <w:jc w:val="both"/>
        <w:textAlignment w:val="baseline"/>
        <w:rPr>
          <w:rFonts w:ascii="Times New Roman" w:hAnsi="Times New Roman" w:cs="Times New Roman"/>
          <w:color w:val="000000"/>
          <w:sz w:val="27"/>
          <w:szCs w:val="27"/>
          <w:lang w:val="uk-UA"/>
        </w:rPr>
      </w:pPr>
      <w:r w:rsidRPr="006279CF">
        <w:rPr>
          <w:rFonts w:ascii="Times New Roman" w:hAnsi="Times New Roman" w:cs="Times New Roman"/>
          <w:color w:val="000000"/>
          <w:sz w:val="27"/>
          <w:szCs w:val="27"/>
          <w:lang w:val="uk-UA"/>
        </w:rPr>
        <w:t>Беручи до уваги Договір про функціонування Європейського Союзу, зокрема його статтю 1</w:t>
      </w:r>
      <w:r w:rsidR="004C201A" w:rsidRPr="006279CF">
        <w:rPr>
          <w:rFonts w:ascii="Times New Roman" w:hAnsi="Times New Roman" w:cs="Times New Roman"/>
          <w:color w:val="000000"/>
          <w:sz w:val="27"/>
          <w:szCs w:val="27"/>
          <w:lang w:val="uk-UA"/>
        </w:rPr>
        <w:t>14</w:t>
      </w:r>
      <w:r w:rsidRPr="006279CF">
        <w:rPr>
          <w:rFonts w:ascii="Times New Roman" w:hAnsi="Times New Roman" w:cs="Times New Roman"/>
          <w:color w:val="000000"/>
          <w:sz w:val="27"/>
          <w:szCs w:val="27"/>
          <w:lang w:val="uk-UA"/>
        </w:rPr>
        <w:t>,</w:t>
      </w:r>
      <w:r w:rsidRPr="006279CF">
        <w:rPr>
          <w:rFonts w:ascii="Times New Roman" w:hAnsi="Times New Roman" w:cs="Times New Roman"/>
          <w:color w:val="000000"/>
          <w:sz w:val="27"/>
          <w:szCs w:val="27"/>
          <w:lang w:val="ru-RU"/>
        </w:rPr>
        <w:t xml:space="preserve"> </w:t>
      </w:r>
    </w:p>
    <w:p w:rsidR="004C201A" w:rsidRPr="006279CF" w:rsidRDefault="004C201A"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lang w:val="uk-UA"/>
        </w:rPr>
        <w:t>Беручи до уваги пропозицію Європейської Комісії,</w:t>
      </w:r>
    </w:p>
    <w:p w:rsidR="00DE77B0" w:rsidRPr="006279CF" w:rsidRDefault="004C201A"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lang w:val="uk-UA"/>
        </w:rPr>
        <w:t>Після передачі проекту законодавчого акту до національних парламентів</w:t>
      </w:r>
      <w:r w:rsidR="00DE77B0" w:rsidRPr="006279CF">
        <w:rPr>
          <w:rFonts w:ascii="Times New Roman" w:eastAsia="Times New Roman" w:hAnsi="Times New Roman" w:cs="Times New Roman"/>
          <w:sz w:val="27"/>
          <w:szCs w:val="27"/>
          <w:lang w:val="ru-RU"/>
        </w:rPr>
        <w:t>,</w:t>
      </w:r>
    </w:p>
    <w:p w:rsidR="00DE77B0" w:rsidRPr="006279CF" w:rsidRDefault="004C201A"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lang w:val="uk-UA"/>
        </w:rPr>
        <w:t>Беручи до уваги в</w:t>
      </w:r>
      <w:r w:rsidR="00D126C4" w:rsidRPr="006279CF">
        <w:rPr>
          <w:rFonts w:ascii="Times New Roman" w:eastAsia="Times New Roman" w:hAnsi="Times New Roman" w:cs="Times New Roman"/>
          <w:sz w:val="27"/>
          <w:szCs w:val="27"/>
          <w:lang w:val="uk-UA"/>
        </w:rPr>
        <w:t>исновок Європейського центрального банку</w:t>
      </w:r>
      <w:hyperlink r:id="rId5" w:anchor="ntr1-L_2012201EN.01000101-E0001" w:history="1">
        <w:r w:rsidR="00DE77B0" w:rsidRPr="006279CF">
          <w:rPr>
            <w:rFonts w:ascii="Times New Roman" w:eastAsia="Times New Roman" w:hAnsi="Times New Roman" w:cs="Times New Roman"/>
            <w:sz w:val="27"/>
            <w:szCs w:val="27"/>
            <w:bdr w:val="none" w:sz="0" w:space="0" w:color="auto" w:frame="1"/>
          </w:rPr>
          <w:t> </w:t>
        </w:r>
        <w:r w:rsidR="00DE77B0" w:rsidRPr="006279CF">
          <w:rPr>
            <w:rFonts w:ascii="Times New Roman" w:eastAsia="Times New Roman" w:hAnsi="Times New Roman" w:cs="Times New Roman"/>
            <w:sz w:val="27"/>
            <w:szCs w:val="27"/>
            <w:bdr w:val="none" w:sz="0" w:space="0" w:color="auto" w:frame="1"/>
            <w:lang w:val="ru-RU"/>
          </w:rPr>
          <w:t>(</w:t>
        </w:r>
        <w:r w:rsidR="00DE77B0" w:rsidRPr="006279CF">
          <w:rPr>
            <w:rFonts w:ascii="Times New Roman" w:eastAsia="Times New Roman" w:hAnsi="Times New Roman" w:cs="Times New Roman"/>
            <w:sz w:val="19"/>
            <w:szCs w:val="19"/>
            <w:bdr w:val="none" w:sz="0" w:space="0" w:color="auto" w:frame="1"/>
            <w:vertAlign w:val="superscript"/>
            <w:lang w:val="ru-RU"/>
          </w:rPr>
          <w:t>1</w:t>
        </w:r>
        <w:r w:rsidR="00DE77B0" w:rsidRPr="006279CF">
          <w:rPr>
            <w:rFonts w:ascii="Times New Roman" w:eastAsia="Times New Roman" w:hAnsi="Times New Roman" w:cs="Times New Roman"/>
            <w:sz w:val="27"/>
            <w:szCs w:val="27"/>
            <w:bdr w:val="none" w:sz="0" w:space="0" w:color="auto" w:frame="1"/>
            <w:lang w:val="ru-RU"/>
          </w:rPr>
          <w:t>)</w:t>
        </w:r>
      </w:hyperlink>
      <w:r w:rsidR="00DE77B0" w:rsidRPr="006279CF">
        <w:rPr>
          <w:rFonts w:ascii="Times New Roman" w:eastAsia="Times New Roman" w:hAnsi="Times New Roman" w:cs="Times New Roman"/>
          <w:sz w:val="27"/>
          <w:szCs w:val="27"/>
          <w:lang w:val="ru-RU"/>
        </w:rPr>
        <w:t>,</w:t>
      </w:r>
    </w:p>
    <w:p w:rsidR="00DE77B0" w:rsidRPr="006279CF" w:rsidRDefault="00D126C4"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lang w:val="uk-UA"/>
        </w:rPr>
        <w:t>Беручи до уваги висновок</w:t>
      </w:r>
      <w:r w:rsidR="00C13423" w:rsidRPr="006279CF">
        <w:rPr>
          <w:rFonts w:ascii="Times New Roman" w:eastAsia="Times New Roman" w:hAnsi="Times New Roman" w:cs="Times New Roman"/>
          <w:sz w:val="27"/>
          <w:szCs w:val="27"/>
          <w:lang w:val="uk-UA"/>
        </w:rPr>
        <w:t xml:space="preserve"> Європейського економічно-соціального комітету</w:t>
      </w:r>
      <w:hyperlink r:id="rId6" w:anchor="ntr2-L_2012201EN.01000101-E0002" w:history="1">
        <w:r w:rsidR="00DE77B0" w:rsidRPr="006279CF">
          <w:rPr>
            <w:rFonts w:ascii="Times New Roman" w:eastAsia="Times New Roman" w:hAnsi="Times New Roman" w:cs="Times New Roman"/>
            <w:sz w:val="27"/>
            <w:szCs w:val="27"/>
            <w:bdr w:val="none" w:sz="0" w:space="0" w:color="auto" w:frame="1"/>
          </w:rPr>
          <w:t> </w:t>
        </w:r>
        <w:r w:rsidR="00DE77B0" w:rsidRPr="006279CF">
          <w:rPr>
            <w:rFonts w:ascii="Times New Roman" w:eastAsia="Times New Roman" w:hAnsi="Times New Roman" w:cs="Times New Roman"/>
            <w:sz w:val="27"/>
            <w:szCs w:val="27"/>
            <w:bdr w:val="none" w:sz="0" w:space="0" w:color="auto" w:frame="1"/>
            <w:lang w:val="ru-RU"/>
          </w:rPr>
          <w:t>(</w:t>
        </w:r>
        <w:r w:rsidR="00DE77B0" w:rsidRPr="006279CF">
          <w:rPr>
            <w:rFonts w:ascii="Times New Roman" w:eastAsia="Times New Roman" w:hAnsi="Times New Roman" w:cs="Times New Roman"/>
            <w:sz w:val="19"/>
            <w:szCs w:val="19"/>
            <w:bdr w:val="none" w:sz="0" w:space="0" w:color="auto" w:frame="1"/>
            <w:vertAlign w:val="superscript"/>
            <w:lang w:val="ru-RU"/>
          </w:rPr>
          <w:t>2</w:t>
        </w:r>
        <w:r w:rsidR="00DE77B0" w:rsidRPr="006279CF">
          <w:rPr>
            <w:rFonts w:ascii="Times New Roman" w:eastAsia="Times New Roman" w:hAnsi="Times New Roman" w:cs="Times New Roman"/>
            <w:sz w:val="27"/>
            <w:szCs w:val="27"/>
            <w:bdr w:val="none" w:sz="0" w:space="0" w:color="auto" w:frame="1"/>
            <w:lang w:val="ru-RU"/>
          </w:rPr>
          <w:t>)</w:t>
        </w:r>
      </w:hyperlink>
      <w:r w:rsidR="00DE77B0" w:rsidRPr="006279CF">
        <w:rPr>
          <w:rFonts w:ascii="Times New Roman" w:eastAsia="Times New Roman" w:hAnsi="Times New Roman" w:cs="Times New Roman"/>
          <w:sz w:val="27"/>
          <w:szCs w:val="27"/>
          <w:lang w:val="ru-RU"/>
        </w:rPr>
        <w:t>,</w:t>
      </w:r>
    </w:p>
    <w:p w:rsidR="00DE77B0" w:rsidRPr="006279CF" w:rsidRDefault="00C13423"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lang w:val="uk-UA"/>
        </w:rPr>
        <w:t>Діючи відповід</w:t>
      </w:r>
      <w:bookmarkStart w:id="0" w:name="_GoBack"/>
      <w:bookmarkEnd w:id="0"/>
      <w:r w:rsidRPr="006279CF">
        <w:rPr>
          <w:rFonts w:ascii="Times New Roman" w:eastAsia="Times New Roman" w:hAnsi="Times New Roman" w:cs="Times New Roman"/>
          <w:sz w:val="27"/>
          <w:szCs w:val="27"/>
          <w:lang w:val="uk-UA"/>
        </w:rPr>
        <w:t>но до звичайної законодавчої процедури</w:t>
      </w:r>
      <w:hyperlink r:id="rId7" w:anchor="ntr3-L_2012201EN.01000101-E0003" w:history="1">
        <w:r w:rsidR="00DE77B0" w:rsidRPr="006279CF">
          <w:rPr>
            <w:rFonts w:ascii="Times New Roman" w:eastAsia="Times New Roman" w:hAnsi="Times New Roman" w:cs="Times New Roman"/>
            <w:sz w:val="27"/>
            <w:szCs w:val="27"/>
            <w:bdr w:val="none" w:sz="0" w:space="0" w:color="auto" w:frame="1"/>
          </w:rPr>
          <w:t> </w:t>
        </w:r>
        <w:r w:rsidR="00DE77B0" w:rsidRPr="006279CF">
          <w:rPr>
            <w:rFonts w:ascii="Times New Roman" w:eastAsia="Times New Roman" w:hAnsi="Times New Roman" w:cs="Times New Roman"/>
            <w:sz w:val="27"/>
            <w:szCs w:val="27"/>
            <w:bdr w:val="none" w:sz="0" w:space="0" w:color="auto" w:frame="1"/>
            <w:lang w:val="ru-RU"/>
          </w:rPr>
          <w:t>(</w:t>
        </w:r>
        <w:r w:rsidR="00DE77B0" w:rsidRPr="006279CF">
          <w:rPr>
            <w:rFonts w:ascii="Times New Roman" w:eastAsia="Times New Roman" w:hAnsi="Times New Roman" w:cs="Times New Roman"/>
            <w:sz w:val="19"/>
            <w:szCs w:val="19"/>
            <w:bdr w:val="none" w:sz="0" w:space="0" w:color="auto" w:frame="1"/>
            <w:vertAlign w:val="superscript"/>
            <w:lang w:val="ru-RU"/>
          </w:rPr>
          <w:t>3</w:t>
        </w:r>
        <w:r w:rsidR="00DE77B0" w:rsidRPr="006279CF">
          <w:rPr>
            <w:rFonts w:ascii="Times New Roman" w:eastAsia="Times New Roman" w:hAnsi="Times New Roman" w:cs="Times New Roman"/>
            <w:sz w:val="27"/>
            <w:szCs w:val="27"/>
            <w:bdr w:val="none" w:sz="0" w:space="0" w:color="auto" w:frame="1"/>
            <w:lang w:val="ru-RU"/>
          </w:rPr>
          <w:t>)</w:t>
        </w:r>
      </w:hyperlink>
      <w:r w:rsidR="00DE77B0" w:rsidRPr="006279CF">
        <w:rPr>
          <w:rFonts w:ascii="Times New Roman" w:eastAsia="Times New Roman" w:hAnsi="Times New Roman" w:cs="Times New Roman"/>
          <w:sz w:val="27"/>
          <w:szCs w:val="27"/>
          <w:lang w:val="ru-RU"/>
        </w:rPr>
        <w:t>,</w:t>
      </w:r>
    </w:p>
    <w:p w:rsidR="00DE77B0" w:rsidRPr="006279CF" w:rsidRDefault="00C13423" w:rsidP="00187079">
      <w:pPr>
        <w:shd w:val="clear" w:color="auto" w:fill="FFFFFF"/>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lang w:val="uk-UA"/>
        </w:rPr>
        <w:t>Ураховуючи, що</w:t>
      </w:r>
      <w:r w:rsidR="00DE77B0" w:rsidRPr="006279CF">
        <w:rPr>
          <w:rFonts w:ascii="Times New Roman" w:eastAsia="Times New Roman" w:hAnsi="Times New Roman" w:cs="Times New Roman"/>
          <w:sz w:val="27"/>
          <w:szCs w:val="27"/>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BA03BD" w:rsidP="00187079">
            <w:pPr>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lang w:val="uk-UA"/>
              </w:rPr>
              <w:t xml:space="preserve">На прохання Комісії 25 лютого 2009 р. Групою високого рівня на чолі з Жаком де </w:t>
            </w:r>
            <w:proofErr w:type="spellStart"/>
            <w:r w:rsidRPr="006279CF">
              <w:rPr>
                <w:rFonts w:ascii="Times New Roman" w:eastAsia="Times New Roman" w:hAnsi="Times New Roman" w:cs="Times New Roman"/>
                <w:sz w:val="27"/>
                <w:szCs w:val="27"/>
                <w:lang w:val="uk-UA"/>
              </w:rPr>
              <w:t>Ларозьєром</w:t>
            </w:r>
            <w:proofErr w:type="spellEnd"/>
            <w:r w:rsidRPr="006279CF">
              <w:rPr>
                <w:rFonts w:ascii="Times New Roman" w:eastAsia="Times New Roman" w:hAnsi="Times New Roman" w:cs="Times New Roman"/>
                <w:sz w:val="27"/>
                <w:szCs w:val="27"/>
                <w:lang w:val="uk-UA"/>
              </w:rPr>
              <w:t xml:space="preserve"> було опубліковано звіт, у якому було зроблено висновок про те, що наглядову систему фінансового сектора Союзу необхідно зміцнити, щоб зменшити ризик і серйозність майбутніх фінансових криз</w:t>
            </w:r>
            <w:r w:rsidR="00BD1690" w:rsidRPr="006279CF">
              <w:rPr>
                <w:rFonts w:ascii="Times New Roman" w:eastAsia="Times New Roman" w:hAnsi="Times New Roman" w:cs="Times New Roman"/>
                <w:sz w:val="27"/>
                <w:szCs w:val="27"/>
                <w:lang w:val="uk-UA"/>
              </w:rPr>
              <w:t>. Крім того, у звіті були рекомендовані далекосяжні реформи структури нагляду в цьому секторі, зокрема створення Європейської системи органів фінансового нагляду у складі трьох європейських наглядових органів – для банк</w:t>
            </w:r>
            <w:r w:rsidR="008B17FD" w:rsidRPr="006279CF">
              <w:rPr>
                <w:rFonts w:ascii="Times New Roman" w:eastAsia="Times New Roman" w:hAnsi="Times New Roman" w:cs="Times New Roman"/>
                <w:sz w:val="27"/>
                <w:szCs w:val="27"/>
                <w:lang w:val="uk-UA"/>
              </w:rPr>
              <w:t xml:space="preserve">івської сфери, сфери страхування та недержавного пенсійного забезпечення та сфери цінних паперів і </w:t>
            </w:r>
            <w:r w:rsidR="00EE26EC" w:rsidRPr="006279CF">
              <w:rPr>
                <w:rFonts w:ascii="Times New Roman" w:eastAsia="Times New Roman" w:hAnsi="Times New Roman" w:cs="Times New Roman"/>
                <w:sz w:val="27"/>
                <w:szCs w:val="27"/>
                <w:lang w:val="uk-UA"/>
              </w:rPr>
              <w:t xml:space="preserve">фінансових </w:t>
            </w:r>
            <w:r w:rsidR="008B17FD" w:rsidRPr="006279CF">
              <w:rPr>
                <w:rFonts w:ascii="Times New Roman" w:eastAsia="Times New Roman" w:hAnsi="Times New Roman" w:cs="Times New Roman"/>
                <w:sz w:val="27"/>
                <w:szCs w:val="27"/>
                <w:lang w:val="uk-UA"/>
              </w:rPr>
              <w:t>ринків, а також створення Європейської ради з системних ризиків.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A26B5C"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lang w:val="uk-UA"/>
              </w:rPr>
              <w:t>У Повідомленні Комісії від 4 березня 2009 р. «</w:t>
            </w:r>
            <w:r w:rsidR="00146DAE" w:rsidRPr="006279CF">
              <w:rPr>
                <w:rFonts w:ascii="Times New Roman" w:eastAsia="Times New Roman" w:hAnsi="Times New Roman" w:cs="Times New Roman"/>
                <w:sz w:val="27"/>
                <w:szCs w:val="27"/>
                <w:lang w:val="uk-UA"/>
              </w:rPr>
              <w:t>Заохочення відновлення у Європі» було запропоновано зміцнити систему нагляду щодо фінансових послуг у Союзі. У своєму Повідомленні від 3 липня 2009 р. «Забезпечення ефективних, безпечних і здорових ринків деривативів» Комісія оцінила роль</w:t>
            </w:r>
            <w:r w:rsidR="00EE3FBA" w:rsidRPr="006279CF">
              <w:rPr>
                <w:rFonts w:ascii="Times New Roman" w:eastAsia="Times New Roman" w:hAnsi="Times New Roman" w:cs="Times New Roman"/>
                <w:sz w:val="27"/>
                <w:szCs w:val="27"/>
                <w:lang w:val="uk-UA"/>
              </w:rPr>
              <w:t xml:space="preserve"> деривативів у фінансовій кризі, а у Повідомленні від 20 жовтня 2009 р. «Забезпечення ефективних, безпечних і здорових ринків деривативів: </w:t>
            </w:r>
            <w:r w:rsidR="00EE3FBA" w:rsidRPr="006279CF">
              <w:rPr>
                <w:rFonts w:ascii="Times New Roman" w:eastAsia="Times New Roman" w:hAnsi="Times New Roman" w:cs="Times New Roman"/>
                <w:sz w:val="27"/>
                <w:szCs w:val="27"/>
                <w:lang w:val="uk-UA"/>
              </w:rPr>
              <w:lastRenderedPageBreak/>
              <w:t xml:space="preserve">подальші політичні дії» </w:t>
            </w:r>
            <w:r w:rsidR="00056EC2" w:rsidRPr="006279CF">
              <w:rPr>
                <w:rFonts w:ascii="Times New Roman" w:eastAsia="Times New Roman" w:hAnsi="Times New Roman" w:cs="Times New Roman"/>
                <w:sz w:val="27"/>
                <w:szCs w:val="27"/>
                <w:lang w:val="uk-UA"/>
              </w:rPr>
              <w:t>окреслила заходи, що їх вона збиралася вжити для зменшення ризиків, пов’язаних із деривативами.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13205D" w:rsidP="006100CF">
            <w:pPr>
              <w:spacing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rPr>
              <w:t xml:space="preserve">23 </w:t>
            </w:r>
            <w:r w:rsidRPr="006279CF">
              <w:rPr>
                <w:rFonts w:ascii="Times New Roman" w:eastAsia="Times New Roman" w:hAnsi="Times New Roman" w:cs="Times New Roman"/>
                <w:sz w:val="27"/>
                <w:szCs w:val="27"/>
                <w:lang w:val="uk-UA"/>
              </w:rPr>
              <w:t xml:space="preserve">вересня 2009 р. </w:t>
            </w:r>
            <w:r w:rsidR="00EA12DD" w:rsidRPr="006279CF">
              <w:rPr>
                <w:rFonts w:ascii="Times New Roman" w:eastAsia="Times New Roman" w:hAnsi="Times New Roman" w:cs="Times New Roman"/>
                <w:sz w:val="27"/>
                <w:szCs w:val="27"/>
                <w:lang w:val="uk-UA"/>
              </w:rPr>
              <w:t>Комісія прийняла пропозиції щодо трьох регламентів про створення Європейської системи фінансового нагляду</w:t>
            </w:r>
            <w:r w:rsidR="00187079" w:rsidRPr="006279CF">
              <w:rPr>
                <w:rFonts w:ascii="Times New Roman" w:eastAsia="Times New Roman" w:hAnsi="Times New Roman" w:cs="Times New Roman"/>
                <w:sz w:val="27"/>
                <w:szCs w:val="27"/>
                <w:lang w:val="uk-UA"/>
              </w:rPr>
              <w:t>, зокрема щодо заснування трьох європейських наглядових органів (ЄНО), що мали сприяти послідовному застосуванню законодавства Союзу та створенню високоякісних спільних стандартів і практик регулювання та нагляду. До ЄНО відносяться Європейська служба банківського нагляду (ЕВА), створена Регламентом</w:t>
            </w:r>
            <w:r w:rsidR="00DE77B0" w:rsidRPr="006279CF">
              <w:rPr>
                <w:rFonts w:ascii="Times New Roman" w:eastAsia="Times New Roman" w:hAnsi="Times New Roman" w:cs="Times New Roman"/>
                <w:sz w:val="27"/>
                <w:szCs w:val="27"/>
                <w:lang w:val="uk-UA"/>
              </w:rPr>
              <w:t xml:space="preserve"> (</w:t>
            </w:r>
            <w:r w:rsidR="00DE77B0" w:rsidRPr="006279CF">
              <w:rPr>
                <w:rFonts w:ascii="Times New Roman" w:eastAsia="Times New Roman" w:hAnsi="Times New Roman" w:cs="Times New Roman"/>
                <w:sz w:val="27"/>
                <w:szCs w:val="27"/>
              </w:rPr>
              <w:t>EU</w:t>
            </w:r>
            <w:r w:rsidR="00DE77B0" w:rsidRPr="006279CF">
              <w:rPr>
                <w:rFonts w:ascii="Times New Roman" w:eastAsia="Times New Roman" w:hAnsi="Times New Roman" w:cs="Times New Roman"/>
                <w:sz w:val="27"/>
                <w:szCs w:val="27"/>
                <w:lang w:val="uk-UA"/>
              </w:rPr>
              <w:t xml:space="preserve">) </w:t>
            </w:r>
            <w:r w:rsidR="00187079" w:rsidRPr="006279CF">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 </w:t>
            </w:r>
            <w:r w:rsidR="00DE77B0" w:rsidRPr="006279CF">
              <w:rPr>
                <w:rFonts w:ascii="Times New Roman" w:eastAsia="Times New Roman" w:hAnsi="Times New Roman" w:cs="Times New Roman"/>
                <w:sz w:val="27"/>
                <w:szCs w:val="27"/>
                <w:lang w:val="uk-UA"/>
              </w:rPr>
              <w:t xml:space="preserve">1093/2010 </w:t>
            </w:r>
            <w:r w:rsidR="00187079" w:rsidRPr="006279CF">
              <w:rPr>
                <w:rFonts w:ascii="Times New Roman" w:eastAsia="Times New Roman" w:hAnsi="Times New Roman" w:cs="Times New Roman"/>
                <w:sz w:val="27"/>
                <w:szCs w:val="27"/>
                <w:lang w:val="uk-UA"/>
              </w:rPr>
              <w:t>Європейського Парламенту та Ради</w:t>
            </w:r>
            <w:hyperlink r:id="rId8" w:anchor="ntr4-L_2012201EN.01000101-E0004" w:history="1">
              <w:r w:rsidR="00DE77B0" w:rsidRPr="006279CF">
                <w:rPr>
                  <w:rFonts w:ascii="Times New Roman" w:eastAsia="Times New Roman" w:hAnsi="Times New Roman" w:cs="Times New Roman"/>
                  <w:sz w:val="27"/>
                  <w:szCs w:val="27"/>
                  <w:bdr w:val="none" w:sz="0" w:space="0" w:color="auto" w:frame="1"/>
                </w:rPr>
                <w:t> </w:t>
              </w:r>
              <w:r w:rsidR="00DE77B0" w:rsidRPr="006279CF">
                <w:rPr>
                  <w:rFonts w:ascii="Times New Roman" w:eastAsia="Times New Roman" w:hAnsi="Times New Roman" w:cs="Times New Roman"/>
                  <w:sz w:val="27"/>
                  <w:szCs w:val="27"/>
                  <w:bdr w:val="none" w:sz="0" w:space="0" w:color="auto" w:frame="1"/>
                  <w:lang w:val="uk-UA"/>
                </w:rPr>
                <w:t>(</w:t>
              </w:r>
              <w:r w:rsidR="00DE77B0" w:rsidRPr="006279CF">
                <w:rPr>
                  <w:rFonts w:ascii="Times New Roman" w:eastAsia="Times New Roman" w:hAnsi="Times New Roman" w:cs="Times New Roman"/>
                  <w:sz w:val="19"/>
                  <w:szCs w:val="19"/>
                  <w:bdr w:val="none" w:sz="0" w:space="0" w:color="auto" w:frame="1"/>
                  <w:vertAlign w:val="superscript"/>
                  <w:lang w:val="uk-UA"/>
                </w:rPr>
                <w:t>4</w:t>
              </w:r>
              <w:r w:rsidR="00DE77B0" w:rsidRPr="006279CF">
                <w:rPr>
                  <w:rFonts w:ascii="Times New Roman" w:eastAsia="Times New Roman" w:hAnsi="Times New Roman" w:cs="Times New Roman"/>
                  <w:sz w:val="27"/>
                  <w:szCs w:val="27"/>
                  <w:bdr w:val="none" w:sz="0" w:space="0" w:color="auto" w:frame="1"/>
                  <w:lang w:val="uk-UA"/>
                </w:rPr>
                <w:t>)</w:t>
              </w:r>
            </w:hyperlink>
            <w:r w:rsidR="00DE77B0" w:rsidRPr="006279CF">
              <w:rPr>
                <w:rFonts w:ascii="Times New Roman" w:eastAsia="Times New Roman" w:hAnsi="Times New Roman" w:cs="Times New Roman"/>
                <w:sz w:val="27"/>
                <w:szCs w:val="27"/>
                <w:lang w:val="uk-UA"/>
              </w:rPr>
              <w:t>,</w:t>
            </w:r>
            <w:r w:rsidR="00187079" w:rsidRPr="006279CF">
              <w:rPr>
                <w:rFonts w:ascii="Times New Roman" w:eastAsia="Times New Roman" w:hAnsi="Times New Roman" w:cs="Times New Roman"/>
                <w:sz w:val="27"/>
                <w:szCs w:val="27"/>
                <w:lang w:val="uk-UA"/>
              </w:rPr>
              <w:t xml:space="preserve"> Європейська служба нагляду у сфері страхування і недержавного пенсійного забезпечення (ЕІОРА), створена Регламентом</w:t>
            </w:r>
            <w:r w:rsidR="00DE77B0" w:rsidRPr="006279CF">
              <w:rPr>
                <w:rFonts w:ascii="Times New Roman" w:eastAsia="Times New Roman" w:hAnsi="Times New Roman" w:cs="Times New Roman"/>
                <w:sz w:val="27"/>
                <w:szCs w:val="27"/>
                <w:lang w:val="uk-UA"/>
              </w:rPr>
              <w:t xml:space="preserve"> (</w:t>
            </w:r>
            <w:r w:rsidR="00DE77B0" w:rsidRPr="006279CF">
              <w:rPr>
                <w:rFonts w:ascii="Times New Roman" w:eastAsia="Times New Roman" w:hAnsi="Times New Roman" w:cs="Times New Roman"/>
                <w:sz w:val="27"/>
                <w:szCs w:val="27"/>
              </w:rPr>
              <w:t>EU</w:t>
            </w:r>
            <w:r w:rsidR="00DE77B0" w:rsidRPr="006279CF">
              <w:rPr>
                <w:rFonts w:ascii="Times New Roman" w:eastAsia="Times New Roman" w:hAnsi="Times New Roman" w:cs="Times New Roman"/>
                <w:sz w:val="27"/>
                <w:szCs w:val="27"/>
                <w:lang w:val="uk-UA"/>
              </w:rPr>
              <w:t xml:space="preserve">) </w:t>
            </w:r>
            <w:r w:rsidR="00187079" w:rsidRPr="006279CF">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 </w:t>
            </w:r>
            <w:r w:rsidR="00DE77B0" w:rsidRPr="006279CF">
              <w:rPr>
                <w:rFonts w:ascii="Times New Roman" w:eastAsia="Times New Roman" w:hAnsi="Times New Roman" w:cs="Times New Roman"/>
                <w:sz w:val="27"/>
                <w:szCs w:val="27"/>
                <w:lang w:val="uk-UA"/>
              </w:rPr>
              <w:t>1094/2010</w:t>
            </w:r>
            <w:r w:rsidR="00187079" w:rsidRPr="006279CF">
              <w:rPr>
                <w:rFonts w:ascii="Times New Roman" w:eastAsia="Times New Roman" w:hAnsi="Times New Roman" w:cs="Times New Roman"/>
                <w:sz w:val="27"/>
                <w:szCs w:val="27"/>
                <w:lang w:val="uk-UA"/>
              </w:rPr>
              <w:t xml:space="preserve"> Європейського Парламенту та Ради</w:t>
            </w:r>
            <w:hyperlink r:id="rId9" w:anchor="ntr5-L_2012201EN.01000101-E0005" w:history="1">
              <w:r w:rsidR="00DE77B0" w:rsidRPr="006279CF">
                <w:rPr>
                  <w:rFonts w:ascii="Times New Roman" w:eastAsia="Times New Roman" w:hAnsi="Times New Roman" w:cs="Times New Roman"/>
                  <w:sz w:val="27"/>
                  <w:szCs w:val="27"/>
                  <w:bdr w:val="none" w:sz="0" w:space="0" w:color="auto" w:frame="1"/>
                </w:rPr>
                <w:t> </w:t>
              </w:r>
              <w:r w:rsidR="00DE77B0" w:rsidRPr="006279CF">
                <w:rPr>
                  <w:rFonts w:ascii="Times New Roman" w:eastAsia="Times New Roman" w:hAnsi="Times New Roman" w:cs="Times New Roman"/>
                  <w:sz w:val="27"/>
                  <w:szCs w:val="27"/>
                  <w:bdr w:val="none" w:sz="0" w:space="0" w:color="auto" w:frame="1"/>
                  <w:lang w:val="uk-UA"/>
                </w:rPr>
                <w:t>(</w:t>
              </w:r>
              <w:r w:rsidR="00DE77B0" w:rsidRPr="006279CF">
                <w:rPr>
                  <w:rFonts w:ascii="Times New Roman" w:eastAsia="Times New Roman" w:hAnsi="Times New Roman" w:cs="Times New Roman"/>
                  <w:sz w:val="19"/>
                  <w:szCs w:val="19"/>
                  <w:bdr w:val="none" w:sz="0" w:space="0" w:color="auto" w:frame="1"/>
                  <w:vertAlign w:val="superscript"/>
                  <w:lang w:val="uk-UA"/>
                </w:rPr>
                <w:t>5</w:t>
              </w:r>
              <w:r w:rsidR="00DE77B0" w:rsidRPr="006279CF">
                <w:rPr>
                  <w:rFonts w:ascii="Times New Roman" w:eastAsia="Times New Roman" w:hAnsi="Times New Roman" w:cs="Times New Roman"/>
                  <w:sz w:val="27"/>
                  <w:szCs w:val="27"/>
                  <w:bdr w:val="none" w:sz="0" w:space="0" w:color="auto" w:frame="1"/>
                  <w:lang w:val="uk-UA"/>
                </w:rPr>
                <w:t>)</w:t>
              </w:r>
            </w:hyperlink>
            <w:r w:rsidR="00187079" w:rsidRPr="006279CF">
              <w:rPr>
                <w:rFonts w:ascii="Times New Roman" w:eastAsia="Times New Roman" w:hAnsi="Times New Roman" w:cs="Times New Roman"/>
                <w:sz w:val="27"/>
                <w:szCs w:val="27"/>
                <w:bdr w:val="none" w:sz="0" w:space="0" w:color="auto" w:frame="1"/>
                <w:lang w:val="uk-UA"/>
              </w:rPr>
              <w:t xml:space="preserve"> та Європейська служба нагляду за ринк</w:t>
            </w:r>
            <w:r w:rsidR="00EE26EC" w:rsidRPr="006279CF">
              <w:rPr>
                <w:rFonts w:ascii="Times New Roman" w:eastAsia="Times New Roman" w:hAnsi="Times New Roman" w:cs="Times New Roman"/>
                <w:sz w:val="27"/>
                <w:szCs w:val="27"/>
                <w:bdr w:val="none" w:sz="0" w:space="0" w:color="auto" w:frame="1"/>
                <w:lang w:val="uk-UA"/>
              </w:rPr>
              <w:t>ом</w:t>
            </w:r>
            <w:r w:rsidR="00187079" w:rsidRPr="006279CF">
              <w:rPr>
                <w:rFonts w:ascii="Times New Roman" w:eastAsia="Times New Roman" w:hAnsi="Times New Roman" w:cs="Times New Roman"/>
                <w:sz w:val="27"/>
                <w:szCs w:val="27"/>
                <w:bdr w:val="none" w:sz="0" w:space="0" w:color="auto" w:frame="1"/>
                <w:lang w:val="uk-UA"/>
              </w:rPr>
              <w:t xml:space="preserve"> цінних паперів (</w:t>
            </w:r>
            <w:r w:rsidR="00645402" w:rsidRPr="006279CF">
              <w:rPr>
                <w:rFonts w:ascii="Times New Roman" w:eastAsia="Times New Roman" w:hAnsi="Times New Roman" w:cs="Times New Roman"/>
                <w:sz w:val="27"/>
                <w:szCs w:val="27"/>
              </w:rPr>
              <w:t>ESMA</w:t>
            </w:r>
            <w:r w:rsidR="00DE77B0" w:rsidRPr="006279CF">
              <w:rPr>
                <w:rFonts w:ascii="Times New Roman" w:eastAsia="Times New Roman" w:hAnsi="Times New Roman" w:cs="Times New Roman"/>
                <w:sz w:val="27"/>
                <w:szCs w:val="27"/>
                <w:lang w:val="uk-UA"/>
              </w:rPr>
              <w:t>)</w:t>
            </w:r>
            <w:r w:rsidR="00EE26EC" w:rsidRPr="006279CF">
              <w:rPr>
                <w:rFonts w:ascii="Times New Roman" w:eastAsia="Times New Roman" w:hAnsi="Times New Roman" w:cs="Times New Roman"/>
                <w:sz w:val="27"/>
                <w:szCs w:val="27"/>
                <w:lang w:val="uk-UA"/>
              </w:rPr>
              <w:t>, створена Регламентом</w:t>
            </w:r>
            <w:r w:rsidR="00DE77B0" w:rsidRPr="006279CF">
              <w:rPr>
                <w:rFonts w:ascii="Times New Roman" w:eastAsia="Times New Roman" w:hAnsi="Times New Roman" w:cs="Times New Roman"/>
                <w:sz w:val="27"/>
                <w:szCs w:val="27"/>
                <w:lang w:val="uk-UA"/>
              </w:rPr>
              <w:t xml:space="preserve"> (</w:t>
            </w:r>
            <w:r w:rsidR="00DE77B0" w:rsidRPr="006279CF">
              <w:rPr>
                <w:rFonts w:ascii="Times New Roman" w:eastAsia="Times New Roman" w:hAnsi="Times New Roman" w:cs="Times New Roman"/>
                <w:sz w:val="27"/>
                <w:szCs w:val="27"/>
              </w:rPr>
              <w:t>EU</w:t>
            </w:r>
            <w:r w:rsidR="00DE77B0" w:rsidRPr="006279CF">
              <w:rPr>
                <w:rFonts w:ascii="Times New Roman" w:eastAsia="Times New Roman" w:hAnsi="Times New Roman" w:cs="Times New Roman"/>
                <w:sz w:val="27"/>
                <w:szCs w:val="27"/>
                <w:lang w:val="uk-UA"/>
              </w:rPr>
              <w:t xml:space="preserve">) </w:t>
            </w:r>
            <w:r w:rsidR="00EE26EC" w:rsidRPr="006279CF">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 </w:t>
            </w:r>
            <w:r w:rsidR="00DE77B0" w:rsidRPr="006279CF">
              <w:rPr>
                <w:rFonts w:ascii="Times New Roman" w:eastAsia="Times New Roman" w:hAnsi="Times New Roman" w:cs="Times New Roman"/>
                <w:sz w:val="27"/>
                <w:szCs w:val="27"/>
                <w:lang w:val="uk-UA"/>
              </w:rPr>
              <w:t xml:space="preserve">1095/2010 </w:t>
            </w:r>
            <w:r w:rsidR="00EE26EC" w:rsidRPr="006279CF">
              <w:rPr>
                <w:rFonts w:ascii="Times New Roman" w:eastAsia="Times New Roman" w:hAnsi="Times New Roman" w:cs="Times New Roman"/>
                <w:sz w:val="27"/>
                <w:szCs w:val="27"/>
                <w:lang w:val="uk-UA"/>
              </w:rPr>
              <w:t>Європейського Парламенту та Ради</w:t>
            </w:r>
            <w:hyperlink r:id="rId10" w:anchor="ntr6-L_2012201EN.01000101-E0006" w:history="1">
              <w:r w:rsidR="00DE77B0" w:rsidRPr="006279CF">
                <w:rPr>
                  <w:rFonts w:ascii="Times New Roman" w:eastAsia="Times New Roman" w:hAnsi="Times New Roman" w:cs="Times New Roman"/>
                  <w:sz w:val="27"/>
                  <w:szCs w:val="27"/>
                  <w:bdr w:val="none" w:sz="0" w:space="0" w:color="auto" w:frame="1"/>
                </w:rPr>
                <w:t> </w:t>
              </w:r>
              <w:r w:rsidR="00DE77B0" w:rsidRPr="006279CF">
                <w:rPr>
                  <w:rFonts w:ascii="Times New Roman" w:eastAsia="Times New Roman" w:hAnsi="Times New Roman" w:cs="Times New Roman"/>
                  <w:sz w:val="27"/>
                  <w:szCs w:val="27"/>
                  <w:bdr w:val="none" w:sz="0" w:space="0" w:color="auto" w:frame="1"/>
                  <w:lang w:val="uk-UA"/>
                </w:rPr>
                <w:t>(</w:t>
              </w:r>
              <w:r w:rsidR="00DE77B0" w:rsidRPr="006279CF">
                <w:rPr>
                  <w:rFonts w:ascii="Times New Roman" w:eastAsia="Times New Roman" w:hAnsi="Times New Roman" w:cs="Times New Roman"/>
                  <w:sz w:val="19"/>
                  <w:szCs w:val="19"/>
                  <w:bdr w:val="none" w:sz="0" w:space="0" w:color="auto" w:frame="1"/>
                  <w:vertAlign w:val="superscript"/>
                  <w:lang w:val="uk-UA"/>
                </w:rPr>
                <w:t>6</w:t>
              </w:r>
              <w:r w:rsidR="00DE77B0" w:rsidRPr="006279CF">
                <w:rPr>
                  <w:rFonts w:ascii="Times New Roman" w:eastAsia="Times New Roman" w:hAnsi="Times New Roman" w:cs="Times New Roman"/>
                  <w:sz w:val="27"/>
                  <w:szCs w:val="27"/>
                  <w:bdr w:val="none" w:sz="0" w:space="0" w:color="auto" w:frame="1"/>
                  <w:lang w:val="uk-UA"/>
                </w:rPr>
                <w:t>)</w:t>
              </w:r>
            </w:hyperlink>
            <w:r w:rsidR="00DE77B0" w:rsidRPr="006279CF">
              <w:rPr>
                <w:rFonts w:ascii="Times New Roman" w:eastAsia="Times New Roman" w:hAnsi="Times New Roman" w:cs="Times New Roman"/>
                <w:sz w:val="27"/>
                <w:szCs w:val="27"/>
                <w:lang w:val="uk-UA"/>
              </w:rPr>
              <w:t xml:space="preserve">. </w:t>
            </w:r>
            <w:r w:rsidR="00EE26EC" w:rsidRPr="006279CF">
              <w:rPr>
                <w:rFonts w:ascii="Times New Roman" w:eastAsia="Times New Roman" w:hAnsi="Times New Roman" w:cs="Times New Roman"/>
                <w:sz w:val="27"/>
                <w:szCs w:val="27"/>
                <w:lang w:val="uk-UA"/>
              </w:rPr>
              <w:t>ЄНО</w:t>
            </w:r>
            <w:r w:rsidR="00EE26EC" w:rsidRPr="006279CF">
              <w:rPr>
                <w:rFonts w:ascii="Times New Roman" w:eastAsia="Times New Roman" w:hAnsi="Times New Roman" w:cs="Times New Roman"/>
                <w:sz w:val="27"/>
                <w:szCs w:val="27"/>
                <w:lang w:val="ru-RU"/>
              </w:rPr>
              <w:t xml:space="preserve"> </w:t>
            </w:r>
            <w:r w:rsidR="00EE26EC" w:rsidRPr="006279CF">
              <w:rPr>
                <w:rFonts w:ascii="Times New Roman" w:eastAsia="Times New Roman" w:hAnsi="Times New Roman" w:cs="Times New Roman"/>
                <w:sz w:val="27"/>
                <w:szCs w:val="27"/>
                <w:lang w:val="uk-UA"/>
              </w:rPr>
              <w:t xml:space="preserve">мають відігравати вирішальну роль у гарантуванні стабільності фінансового сектора. Тому необхідно неухильно забезпечувати, щоб розвиток їхньої роботи був питанням </w:t>
            </w:r>
            <w:r w:rsidR="00130C34" w:rsidRPr="006279CF">
              <w:rPr>
                <w:rFonts w:ascii="Times New Roman" w:eastAsia="Times New Roman" w:hAnsi="Times New Roman" w:cs="Times New Roman"/>
                <w:sz w:val="27"/>
                <w:szCs w:val="27"/>
                <w:lang w:val="uk-UA"/>
              </w:rPr>
              <w:t>високого політичного пріоритету, а обсяг виділюваних їм ресурсів був достатнім.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265E66" w:rsidP="003F219A">
            <w:pPr>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lang w:val="uk-UA"/>
              </w:rPr>
              <w:t>Позабіржовим деривативам («контрактам на позабіржові деривативи») бракує прозорості,</w:t>
            </w:r>
            <w:r w:rsidR="007F1572" w:rsidRPr="006279CF">
              <w:rPr>
                <w:rFonts w:ascii="Times New Roman" w:eastAsia="Times New Roman" w:hAnsi="Times New Roman" w:cs="Times New Roman"/>
                <w:sz w:val="27"/>
                <w:szCs w:val="27"/>
                <w:lang w:val="uk-UA"/>
              </w:rPr>
              <w:t xml:space="preserve"> тому що вони є контрактами, які укладаються у приватному порядку, і будь-яка інформація щодо них зазвичай доступна тільки сторонам контракту. Вони створюють складне павутиння взаємозалежності, що може ускладнювати визначення характеру та рівня виникаючих ризиків. Фінансова криза продемонструвала, що такі характеристики посилюють невизначеність у часи напруженості на ринках і, відповідно, створюють ризики для фінансової стабільності. У цьому регламенті викладено умови зменшення цих ризиків та посилення прозорості </w:t>
            </w:r>
            <w:r w:rsidR="003F219A" w:rsidRPr="006279CF">
              <w:rPr>
                <w:rFonts w:ascii="Times New Roman" w:eastAsia="Times New Roman" w:hAnsi="Times New Roman" w:cs="Times New Roman"/>
                <w:sz w:val="27"/>
                <w:szCs w:val="27"/>
                <w:lang w:val="uk-UA"/>
              </w:rPr>
              <w:t>контрактам на деривативи.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A56878" w:rsidP="001504B7">
            <w:pPr>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lang w:val="uk-UA"/>
              </w:rPr>
              <w:t>На саміті у Пітсбурзі 26 вересня 2009 р. лідери «Великої двадцятки» домовились, що всі стандартизовані контракти на позабіржові деривативи</w:t>
            </w:r>
            <w:r w:rsidR="0057267B" w:rsidRPr="006279CF">
              <w:rPr>
                <w:rFonts w:ascii="Times New Roman" w:eastAsia="Times New Roman" w:hAnsi="Times New Roman" w:cs="Times New Roman"/>
                <w:sz w:val="27"/>
                <w:szCs w:val="27"/>
                <w:lang w:val="ru-RU"/>
              </w:rPr>
              <w:t xml:space="preserve"> </w:t>
            </w:r>
            <w:r w:rsidR="0057267B" w:rsidRPr="006279CF">
              <w:rPr>
                <w:rFonts w:ascii="Times New Roman" w:eastAsia="Times New Roman" w:hAnsi="Times New Roman" w:cs="Times New Roman"/>
                <w:sz w:val="27"/>
                <w:szCs w:val="27"/>
                <w:lang w:val="uk-UA"/>
              </w:rPr>
              <w:t xml:space="preserve">повинні пройти кліринг через центрального контрагента (ЦКА) до кінця 2012 р., а про контракти на позабіржові деривативи слід повідомити торговим </w:t>
            </w:r>
            <w:proofErr w:type="spellStart"/>
            <w:r w:rsidR="0057267B" w:rsidRPr="006279CF">
              <w:rPr>
                <w:rFonts w:ascii="Times New Roman" w:eastAsia="Times New Roman" w:hAnsi="Times New Roman" w:cs="Times New Roman"/>
                <w:sz w:val="27"/>
                <w:szCs w:val="27"/>
                <w:lang w:val="uk-UA"/>
              </w:rPr>
              <w:t>репозитаріям</w:t>
            </w:r>
            <w:proofErr w:type="spellEnd"/>
            <w:r w:rsidR="0057267B" w:rsidRPr="006279CF">
              <w:rPr>
                <w:rFonts w:ascii="Times New Roman" w:eastAsia="Times New Roman" w:hAnsi="Times New Roman" w:cs="Times New Roman"/>
                <w:sz w:val="27"/>
                <w:szCs w:val="27"/>
                <w:lang w:val="uk-UA"/>
              </w:rPr>
              <w:t>.</w:t>
            </w:r>
            <w:r w:rsidR="00775C7B" w:rsidRPr="006279CF">
              <w:rPr>
                <w:rFonts w:ascii="Times New Roman" w:eastAsia="Times New Roman" w:hAnsi="Times New Roman" w:cs="Times New Roman"/>
                <w:sz w:val="27"/>
                <w:szCs w:val="27"/>
                <w:lang w:val="uk-UA"/>
              </w:rPr>
              <w:t xml:space="preserve"> У червні 2010 р. у Торонто лідери «Великої двадцятки» підтвердили своє зобов’язання, а також зобов’язалися прискорити впровадження потужних заходів для посилення прозорості та регуляторного нагляду за контрактами на позабіржові деривативи</w:t>
            </w:r>
            <w:r w:rsidR="001504B7" w:rsidRPr="006279CF">
              <w:rPr>
                <w:rFonts w:ascii="Times New Roman" w:eastAsia="Times New Roman" w:hAnsi="Times New Roman" w:cs="Times New Roman"/>
                <w:sz w:val="27"/>
                <w:szCs w:val="27"/>
                <w:lang w:val="uk-UA"/>
              </w:rPr>
              <w:t xml:space="preserve"> на погодженій на міжнародному рівні основі без будь-якої дискримінації.</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1D0A60" w:rsidP="00D23E2C">
            <w:pPr>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lang w:val="uk-UA"/>
              </w:rPr>
              <w:t xml:space="preserve">Комісія здійснюватиме відповідний контроль і намагатиметься забезпечити, щоб ці зобов’язання виконувалися в аналогічний спосіб міжнародними </w:t>
            </w:r>
            <w:r w:rsidRPr="006279CF">
              <w:rPr>
                <w:rFonts w:ascii="Times New Roman" w:eastAsia="Times New Roman" w:hAnsi="Times New Roman" w:cs="Times New Roman"/>
                <w:sz w:val="27"/>
                <w:szCs w:val="27"/>
                <w:lang w:val="uk-UA"/>
              </w:rPr>
              <w:lastRenderedPageBreak/>
              <w:t xml:space="preserve">партнерами Союзу. Комісії слід співпрацювати з органами третіх країн на предмет вивчення взаємоприйнятних рішень для забезпечення узгодженості між цим регламентом і вимогами, встановленими третіми країнами, щоб у такий спосіб уникнути можливого дублювання в цьому відношенні. За допомогою </w:t>
            </w:r>
            <w:r w:rsidR="00DE77B0" w:rsidRPr="006279CF">
              <w:rPr>
                <w:rFonts w:ascii="Times New Roman" w:eastAsia="Times New Roman" w:hAnsi="Times New Roman" w:cs="Times New Roman"/>
                <w:sz w:val="27"/>
                <w:szCs w:val="27"/>
              </w:rPr>
              <w:t>ESMA</w:t>
            </w:r>
            <w:r w:rsidR="006100CF" w:rsidRPr="006279CF">
              <w:rPr>
                <w:rFonts w:ascii="Times New Roman" w:eastAsia="Times New Roman" w:hAnsi="Times New Roman" w:cs="Times New Roman"/>
                <w:sz w:val="27"/>
                <w:szCs w:val="27"/>
                <w:lang w:val="uk-UA"/>
              </w:rPr>
              <w:t xml:space="preserve"> Комісії слід здійснювати контроль і готувати звіти Європейському Парламенту і Раді щодо застосування на міжнародному рівні принципів, закладених у цьому регламенті. Щоб уникнути можливості дублювання або суперечності вимог, Комісія може ухвалити рішення щодо еквівалентності правової, наглядової та правозастосовної бази третіх країн, якщо будуть виконані певні умови. </w:t>
            </w:r>
            <w:r w:rsidR="00931CAC" w:rsidRPr="006279CF">
              <w:rPr>
                <w:rFonts w:ascii="Times New Roman" w:eastAsia="Times New Roman" w:hAnsi="Times New Roman" w:cs="Times New Roman"/>
                <w:sz w:val="27"/>
                <w:szCs w:val="27"/>
                <w:lang w:val="uk-UA"/>
              </w:rPr>
              <w:t>Оцінка, що складає основу таких рішень, не повинна шкодити праву ЦКА, створеного у третій країні та визнаного</w:t>
            </w:r>
            <w:r w:rsidR="00DE77B0" w:rsidRPr="006279CF">
              <w:rPr>
                <w:rFonts w:ascii="Times New Roman" w:eastAsia="Times New Roman" w:hAnsi="Times New Roman" w:cs="Times New Roman"/>
                <w:sz w:val="27"/>
                <w:szCs w:val="27"/>
                <w:lang w:val="uk-UA"/>
              </w:rPr>
              <w:t xml:space="preserve"> </w:t>
            </w:r>
            <w:r w:rsidR="00DE77B0" w:rsidRPr="006279CF">
              <w:rPr>
                <w:rFonts w:ascii="Times New Roman" w:eastAsia="Times New Roman" w:hAnsi="Times New Roman" w:cs="Times New Roman"/>
                <w:sz w:val="27"/>
                <w:szCs w:val="27"/>
              </w:rPr>
              <w:t>ESMA</w:t>
            </w:r>
            <w:r w:rsidR="00931CAC" w:rsidRPr="006279CF">
              <w:rPr>
                <w:rFonts w:ascii="Times New Roman" w:eastAsia="Times New Roman" w:hAnsi="Times New Roman" w:cs="Times New Roman"/>
                <w:sz w:val="27"/>
                <w:szCs w:val="27"/>
                <w:lang w:val="uk-UA"/>
              </w:rPr>
              <w:t xml:space="preserve">, надавати клірингові послуги </w:t>
            </w:r>
            <w:r w:rsidR="00420CFF" w:rsidRPr="006279CF">
              <w:rPr>
                <w:rFonts w:ascii="Times New Roman" w:eastAsia="Times New Roman" w:hAnsi="Times New Roman" w:cs="Times New Roman"/>
                <w:sz w:val="27"/>
                <w:szCs w:val="27"/>
                <w:lang w:val="uk-UA"/>
              </w:rPr>
              <w:t xml:space="preserve">членам клірингової </w:t>
            </w:r>
            <w:r w:rsidR="00D23E2C" w:rsidRPr="006279CF">
              <w:rPr>
                <w:rFonts w:ascii="Times New Roman" w:eastAsia="Times New Roman" w:hAnsi="Times New Roman" w:cs="Times New Roman"/>
                <w:sz w:val="27"/>
                <w:szCs w:val="27"/>
                <w:lang w:val="uk-UA"/>
              </w:rPr>
              <w:t>палати або торгов</w:t>
            </w:r>
            <w:r w:rsidR="00C27EF6">
              <w:rPr>
                <w:rFonts w:ascii="Times New Roman" w:eastAsia="Times New Roman" w:hAnsi="Times New Roman" w:cs="Times New Roman"/>
                <w:sz w:val="27"/>
                <w:szCs w:val="27"/>
                <w:lang w:val="uk-UA"/>
              </w:rPr>
              <w:t>ельн</w:t>
            </w:r>
            <w:r w:rsidR="00D23E2C" w:rsidRPr="006279CF">
              <w:rPr>
                <w:rFonts w:ascii="Times New Roman" w:eastAsia="Times New Roman" w:hAnsi="Times New Roman" w:cs="Times New Roman"/>
                <w:sz w:val="27"/>
                <w:szCs w:val="27"/>
                <w:lang w:val="uk-UA"/>
              </w:rPr>
              <w:t xml:space="preserve">им майданчикам, створеним у Союзі, тому що рішення щодо визнання повинно бути незалежним від цієї оцінки. Аналогічним чином, ані рішення про еквівалентність, ані оцінка не повинні шкодити праву торгового </w:t>
            </w:r>
            <w:proofErr w:type="spellStart"/>
            <w:r w:rsidR="00D23E2C" w:rsidRPr="006279CF">
              <w:rPr>
                <w:rFonts w:ascii="Times New Roman" w:eastAsia="Times New Roman" w:hAnsi="Times New Roman" w:cs="Times New Roman"/>
                <w:sz w:val="27"/>
                <w:szCs w:val="27"/>
                <w:lang w:val="uk-UA"/>
              </w:rPr>
              <w:t>репозитарія</w:t>
            </w:r>
            <w:proofErr w:type="spellEnd"/>
            <w:r w:rsidR="00D23E2C" w:rsidRPr="006279CF">
              <w:rPr>
                <w:rFonts w:ascii="Times New Roman" w:eastAsia="Times New Roman" w:hAnsi="Times New Roman" w:cs="Times New Roman"/>
                <w:sz w:val="27"/>
                <w:szCs w:val="27"/>
                <w:lang w:val="uk-UA"/>
              </w:rPr>
              <w:t>, створеного у третій країні та визнаного</w:t>
            </w:r>
            <w:r w:rsidR="00DE77B0" w:rsidRPr="006279CF">
              <w:rPr>
                <w:rFonts w:ascii="Times New Roman" w:eastAsia="Times New Roman" w:hAnsi="Times New Roman" w:cs="Times New Roman"/>
                <w:sz w:val="27"/>
                <w:szCs w:val="27"/>
                <w:lang w:val="ru-RU"/>
              </w:rPr>
              <w:t xml:space="preserve"> </w:t>
            </w:r>
            <w:r w:rsidR="00DE77B0" w:rsidRPr="006279CF">
              <w:rPr>
                <w:rFonts w:ascii="Times New Roman" w:eastAsia="Times New Roman" w:hAnsi="Times New Roman" w:cs="Times New Roman"/>
                <w:sz w:val="27"/>
                <w:szCs w:val="27"/>
              </w:rPr>
              <w:t>ESMA</w:t>
            </w:r>
            <w:r w:rsidR="00D23E2C" w:rsidRPr="006279CF">
              <w:rPr>
                <w:rFonts w:ascii="Times New Roman" w:eastAsia="Times New Roman" w:hAnsi="Times New Roman" w:cs="Times New Roman"/>
                <w:sz w:val="27"/>
                <w:szCs w:val="27"/>
                <w:lang w:val="uk-UA"/>
              </w:rPr>
              <w:t>, надавати послуги суб’єктам, створеним у Союзі.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4D3927" w:rsidP="005F63BC">
            <w:pPr>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lang w:val="uk-UA"/>
              </w:rPr>
              <w:t>Щодо визнання ЦКА третіх країн та відповідно до міжнародних зобов’язань Союзу за угодою про створення Світової організації торгівлі, зокрема за Генеральною угодою про торгівлю послугами, рішення про визнання правових режимів третіх країн еквівалентними правовому режиму Союзу повинні ухвалюватися тільки у випадку, якщо правовий режим третьої країни передбачає ефективну еквівалентну систему визнання ЦКА, уповноважених за іноземними правовими режимами згідно з загальним цілями та стандартами нагляду, встановленими «Великою двадцяткою» у вересні 2009 р.</w:t>
            </w:r>
            <w:r w:rsidR="005F63BC" w:rsidRPr="006279CF">
              <w:rPr>
                <w:rFonts w:ascii="Times New Roman" w:eastAsia="Times New Roman" w:hAnsi="Times New Roman" w:cs="Times New Roman"/>
                <w:sz w:val="27"/>
                <w:szCs w:val="27"/>
                <w:lang w:val="uk-UA"/>
              </w:rPr>
              <w:t>, щодо посилення прозорості на ринках деривативів, зменшення системного ризику та захисту від зловживань на ринку. Таку систему слід вважати еквівалентною, якщо вона забезпечує відповідність істотного результату застосовного правового режиму вимогам Союзу, і ефективною, якщо ці правила застосовуються послідовно.</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624A9" w:rsidRPr="006279CF" w:rsidRDefault="005624A9" w:rsidP="005624A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lang w:val="uk-UA"/>
              </w:rPr>
              <w:t>У цьому контексті доречно і необхідно, враховуючи характеристики ринків деривативів і функціонування ЦКА, перевіряти реальну еквівалентність іноземних наглядових систем у досягненні цілей та стандартів «Великої двадцятки» з метою посилення прозорості на ринках деривативів, зменшення системного ризику та захисту від зловживань на ринку. Дуже особливе положення ЦКА вимагає, щоб положення стосовно третіх країн були сформульовані та функціонували згідно з механізмами, специфічними для цих ринкових структурних суб’єктів. Тому цей підхід не становить прецеденту для іншого законодавства.</w:t>
            </w:r>
          </w:p>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4B1158" w:rsidP="009303C7">
            <w:pPr>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lang w:val="uk-UA"/>
              </w:rPr>
              <w:t>Європейський Союз у своїх Висновках від 2 грудня 2009 р. погодився, що необхідно істотно вдосконалити заходи зі зменшення кредитного ризику</w:t>
            </w:r>
            <w:r w:rsidR="009303C7" w:rsidRPr="006279CF">
              <w:rPr>
                <w:rFonts w:ascii="Times New Roman" w:eastAsia="Times New Roman" w:hAnsi="Times New Roman" w:cs="Times New Roman"/>
                <w:sz w:val="27"/>
                <w:szCs w:val="27"/>
                <w:lang w:val="uk-UA"/>
              </w:rPr>
              <w:t xml:space="preserve"> контрагентів і що важливо посилити прозорість, дієвість і об’єктивність операцій з деривативами. У своїй резолюції від 15 червня 2010 р. «Ринки деривативів: подальші політичні дії» Європейський Парламент закликав до обов’язкового клірингу контрактів на позабіржові деривативи та звітування про ці контракти.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DE77B0" w:rsidP="001B5419">
            <w:pPr>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t xml:space="preserve">ESMA </w:t>
            </w:r>
            <w:r w:rsidR="00EB58F4" w:rsidRPr="006279CF">
              <w:rPr>
                <w:rFonts w:ascii="Times New Roman" w:eastAsia="Times New Roman" w:hAnsi="Times New Roman" w:cs="Times New Roman"/>
                <w:sz w:val="27"/>
                <w:szCs w:val="27"/>
                <w:lang w:val="uk-UA"/>
              </w:rPr>
              <w:t xml:space="preserve">повинна діяти у рамках цього регламенту, гарантуючи стабільність фінансових ринків у надзвичайних ситуаціях, забезпечуючи послідовне застосування правил Союзу національними наглядовими органами та врегульовуючи суперечності між ними. </w:t>
            </w:r>
            <w:r w:rsidR="001B5419" w:rsidRPr="006279CF">
              <w:rPr>
                <w:rFonts w:ascii="Times New Roman" w:eastAsia="Times New Roman" w:hAnsi="Times New Roman" w:cs="Times New Roman"/>
                <w:sz w:val="27"/>
                <w:szCs w:val="27"/>
                <w:lang w:val="uk-UA"/>
              </w:rPr>
              <w:t>На цей орган також покладається задача розроблення проектів регуляторних стандартів та імплементації технічних стандартів. Він має відігравати центральну роль у санкціонуванні та моніторингу ЦКА і торгових репозитаріїв.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8F22E0" w:rsidP="00A5724A">
            <w:pPr>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lang w:val="uk-UA"/>
              </w:rPr>
              <w:t xml:space="preserve">Одна з основних задач, що має виконуватися через Європейську систему центральних банків (ЄСЦБ), полягає у сприянні безперебійній роботі платіжних систем. У цьому відношенні члени ЄСЦБ здійснюють нагляд шляхом забезпечення ефективності та </w:t>
            </w:r>
            <w:r w:rsidR="009932BD" w:rsidRPr="006279CF">
              <w:rPr>
                <w:rFonts w:ascii="Times New Roman" w:eastAsia="Times New Roman" w:hAnsi="Times New Roman" w:cs="Times New Roman"/>
                <w:sz w:val="27"/>
                <w:szCs w:val="27"/>
                <w:lang w:val="uk-UA"/>
              </w:rPr>
              <w:t xml:space="preserve">дієвості клірингових і платіжних систем, зокрема ЦКА. Отже, члени ЄСЦБ усебічно задіяні у санкціонуванні та моніторингу ЦКА, визнанні ЦКА третіх країн і затвердженні </w:t>
            </w:r>
            <w:r w:rsidR="00A24C08" w:rsidRPr="006279CF">
              <w:rPr>
                <w:rFonts w:ascii="Times New Roman" w:eastAsia="Times New Roman" w:hAnsi="Times New Roman" w:cs="Times New Roman"/>
                <w:sz w:val="27"/>
                <w:szCs w:val="27"/>
                <w:lang w:val="uk-UA"/>
              </w:rPr>
              <w:t xml:space="preserve">механізмів сумісності. Крім того, вони активно залучені до запровадження регуляторних технічних стандартів, настанов і рекомендацій. Цей регламент не шкодить обов’язкам Європейського центрального банку (ЄЦБ) і національних центральних банків (НЦБ) щодо забезпечення ефективності та дієвості клірингових і платіжних систем Союзу та інших країн. Отже, з метою запобігання можливому створенню паралельних </w:t>
            </w:r>
            <w:r w:rsidR="00A5724A" w:rsidRPr="006279CF">
              <w:rPr>
                <w:rFonts w:ascii="Times New Roman" w:eastAsia="Times New Roman" w:hAnsi="Times New Roman" w:cs="Times New Roman"/>
                <w:sz w:val="27"/>
                <w:szCs w:val="27"/>
                <w:lang w:val="uk-UA"/>
              </w:rPr>
              <w:t>наборів правил</w:t>
            </w:r>
            <w:r w:rsidR="00DE77B0" w:rsidRPr="006279CF">
              <w:rPr>
                <w:rFonts w:ascii="Times New Roman" w:eastAsia="Times New Roman" w:hAnsi="Times New Roman" w:cs="Times New Roman"/>
                <w:sz w:val="27"/>
                <w:szCs w:val="27"/>
                <w:lang w:val="uk-UA"/>
              </w:rPr>
              <w:t xml:space="preserve"> </w:t>
            </w:r>
            <w:r w:rsidR="00DE77B0" w:rsidRPr="006279CF">
              <w:rPr>
                <w:rFonts w:ascii="Times New Roman" w:eastAsia="Times New Roman" w:hAnsi="Times New Roman" w:cs="Times New Roman"/>
                <w:sz w:val="27"/>
                <w:szCs w:val="27"/>
              </w:rPr>
              <w:t>ESMA</w:t>
            </w:r>
            <w:r w:rsidR="00DE77B0" w:rsidRPr="006279CF">
              <w:rPr>
                <w:rFonts w:ascii="Times New Roman" w:eastAsia="Times New Roman" w:hAnsi="Times New Roman" w:cs="Times New Roman"/>
                <w:sz w:val="27"/>
                <w:szCs w:val="27"/>
                <w:lang w:val="uk-UA"/>
              </w:rPr>
              <w:t xml:space="preserve"> </w:t>
            </w:r>
            <w:r w:rsidR="00A5724A" w:rsidRPr="006279CF">
              <w:rPr>
                <w:rFonts w:ascii="Times New Roman" w:eastAsia="Times New Roman" w:hAnsi="Times New Roman" w:cs="Times New Roman"/>
                <w:sz w:val="27"/>
                <w:szCs w:val="27"/>
                <w:lang w:val="uk-UA"/>
              </w:rPr>
              <w:t>і ЄСЦБ повинні тісно співпрацювати у процесі підготовки проектів відповідних технічних стандартів. Крім того, доступ ЄЦБ і НЦБ до інформації є вкрай важливим для виконання ними своїх задач стосовно нагляду за кліринговими та платіжними системами, а також щодо функцій центрального банку-емітента.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E460AA" w:rsidP="00344B95">
            <w:pPr>
              <w:spacing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lang w:val="uk-UA"/>
              </w:rPr>
              <w:t>Потрібні єдині правила</w:t>
            </w:r>
            <w:r w:rsidR="00344B95" w:rsidRPr="006279CF">
              <w:rPr>
                <w:rFonts w:ascii="Times New Roman" w:eastAsia="Times New Roman" w:hAnsi="Times New Roman" w:cs="Times New Roman"/>
                <w:sz w:val="27"/>
                <w:szCs w:val="27"/>
                <w:lang w:val="uk-UA"/>
              </w:rPr>
              <w:t xml:space="preserve"> для контрактів на деривативи, наведені у Додатку І, розділ С, </w:t>
            </w:r>
            <w:proofErr w:type="spellStart"/>
            <w:r w:rsidR="00344B95" w:rsidRPr="006279CF">
              <w:rPr>
                <w:rFonts w:ascii="Times New Roman" w:eastAsia="Times New Roman" w:hAnsi="Times New Roman" w:cs="Times New Roman"/>
                <w:sz w:val="27"/>
                <w:szCs w:val="27"/>
                <w:lang w:val="uk-UA"/>
              </w:rPr>
              <w:t>пп</w:t>
            </w:r>
            <w:proofErr w:type="spellEnd"/>
            <w:r w:rsidR="00344B95" w:rsidRPr="006279CF">
              <w:rPr>
                <w:rFonts w:ascii="Times New Roman" w:eastAsia="Times New Roman" w:hAnsi="Times New Roman" w:cs="Times New Roman"/>
                <w:sz w:val="27"/>
                <w:szCs w:val="27"/>
                <w:lang w:val="uk-UA"/>
              </w:rPr>
              <w:t>. (4)-(10) Директиви 2004/39/ЕС Європейського Парламенту та Ради від 21 квітня 2004 р. про ринки фінансових інструментів</w:t>
            </w:r>
            <w:hyperlink r:id="rId11" w:anchor="ntr7-L_2012201EN.01000101-E0007" w:history="1">
              <w:r w:rsidR="00DE77B0" w:rsidRPr="006279CF">
                <w:rPr>
                  <w:rFonts w:ascii="Times New Roman" w:eastAsia="Times New Roman" w:hAnsi="Times New Roman" w:cs="Times New Roman"/>
                  <w:sz w:val="27"/>
                  <w:szCs w:val="27"/>
                  <w:bdr w:val="none" w:sz="0" w:space="0" w:color="auto" w:frame="1"/>
                </w:rPr>
                <w:t> </w:t>
              </w:r>
              <w:r w:rsidR="00DE77B0" w:rsidRPr="006279CF">
                <w:rPr>
                  <w:rFonts w:ascii="Times New Roman" w:eastAsia="Times New Roman" w:hAnsi="Times New Roman" w:cs="Times New Roman"/>
                  <w:sz w:val="27"/>
                  <w:szCs w:val="27"/>
                  <w:bdr w:val="none" w:sz="0" w:space="0" w:color="auto" w:frame="1"/>
                  <w:lang w:val="ru-RU"/>
                </w:rPr>
                <w:t>(</w:t>
              </w:r>
              <w:r w:rsidR="00DE77B0" w:rsidRPr="006279CF">
                <w:rPr>
                  <w:rFonts w:ascii="Times New Roman" w:eastAsia="Times New Roman" w:hAnsi="Times New Roman" w:cs="Times New Roman"/>
                  <w:sz w:val="19"/>
                  <w:szCs w:val="19"/>
                  <w:bdr w:val="none" w:sz="0" w:space="0" w:color="auto" w:frame="1"/>
                  <w:vertAlign w:val="superscript"/>
                  <w:lang w:val="ru-RU"/>
                </w:rPr>
                <w:t>7</w:t>
              </w:r>
              <w:r w:rsidR="00DE77B0" w:rsidRPr="006279CF">
                <w:rPr>
                  <w:rFonts w:ascii="Times New Roman" w:eastAsia="Times New Roman" w:hAnsi="Times New Roman" w:cs="Times New Roman"/>
                  <w:sz w:val="27"/>
                  <w:szCs w:val="27"/>
                  <w:bdr w:val="none" w:sz="0" w:space="0" w:color="auto" w:frame="1"/>
                  <w:lang w:val="ru-RU"/>
                </w:rPr>
                <w:t>)</w:t>
              </w:r>
            </w:hyperlink>
            <w:r w:rsidR="00DE77B0" w:rsidRPr="006279CF">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344B95" w:rsidP="00FC604C">
            <w:pPr>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lang w:val="uk-UA"/>
              </w:rPr>
              <w:t>Стимули для заохочення використання ЦКА не виявилися достатніми для забезпечення реального централізованого клірингу стандартизованих контрактів на позабіржові дериватив</w:t>
            </w:r>
            <w:r w:rsidR="002F0E21" w:rsidRPr="006279CF">
              <w:rPr>
                <w:rFonts w:ascii="Times New Roman" w:eastAsia="Times New Roman" w:hAnsi="Times New Roman" w:cs="Times New Roman"/>
                <w:sz w:val="27"/>
                <w:szCs w:val="27"/>
                <w:lang w:val="uk-UA"/>
              </w:rPr>
              <w:t xml:space="preserve">и. Тому необхідні </w:t>
            </w:r>
            <w:proofErr w:type="spellStart"/>
            <w:r w:rsidR="002F0E21" w:rsidRPr="006279CF">
              <w:rPr>
                <w:rFonts w:ascii="Times New Roman" w:eastAsia="Times New Roman" w:hAnsi="Times New Roman" w:cs="Times New Roman"/>
                <w:sz w:val="27"/>
                <w:szCs w:val="27"/>
                <w:lang w:val="uk-UA"/>
              </w:rPr>
              <w:t>обовязкові</w:t>
            </w:r>
            <w:proofErr w:type="spellEnd"/>
            <w:r w:rsidR="002F0E21" w:rsidRPr="006279CF">
              <w:rPr>
                <w:rFonts w:ascii="Times New Roman" w:eastAsia="Times New Roman" w:hAnsi="Times New Roman" w:cs="Times New Roman"/>
                <w:sz w:val="27"/>
                <w:szCs w:val="27"/>
                <w:lang w:val="uk-UA"/>
              </w:rPr>
              <w:t xml:space="preserve"> вимоги </w:t>
            </w:r>
            <w:r w:rsidR="002F0E21" w:rsidRPr="006279CF">
              <w:rPr>
                <w:rFonts w:ascii="Times New Roman" w:eastAsia="Times New Roman" w:hAnsi="Times New Roman" w:cs="Times New Roman"/>
                <w:sz w:val="27"/>
                <w:szCs w:val="27"/>
                <w:lang w:val="uk-UA"/>
              </w:rPr>
              <w:lastRenderedPageBreak/>
              <w:t xml:space="preserve">щодо клірингу через ЦКА тих контрактів на позабіржові деривативи, </w:t>
            </w:r>
            <w:r w:rsidR="00FC604C" w:rsidRPr="006279CF">
              <w:rPr>
                <w:rFonts w:ascii="Times New Roman" w:eastAsia="Times New Roman" w:hAnsi="Times New Roman" w:cs="Times New Roman"/>
                <w:sz w:val="27"/>
                <w:szCs w:val="27"/>
                <w:lang w:val="uk-UA"/>
              </w:rPr>
              <w:t>які можуть проходити кліринг централізовано.</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EE643C" w:rsidP="008C5F1B">
            <w:pPr>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lang w:val="uk-UA"/>
              </w:rPr>
              <w:t xml:space="preserve">Ймовірно, що держави-члени </w:t>
            </w:r>
            <w:r w:rsidR="008C5F1B">
              <w:rPr>
                <w:rFonts w:ascii="Times New Roman" w:eastAsia="Times New Roman" w:hAnsi="Times New Roman" w:cs="Times New Roman"/>
                <w:sz w:val="27"/>
                <w:szCs w:val="27"/>
                <w:lang w:val="uk-UA"/>
              </w:rPr>
              <w:t>Союзу</w:t>
            </w:r>
            <w:r w:rsidRPr="006279CF">
              <w:rPr>
                <w:rFonts w:ascii="Times New Roman" w:eastAsia="Times New Roman" w:hAnsi="Times New Roman" w:cs="Times New Roman"/>
                <w:sz w:val="27"/>
                <w:szCs w:val="27"/>
                <w:lang w:val="uk-UA"/>
              </w:rPr>
              <w:t xml:space="preserve"> вживатимуть різних національних заходів, що можуть створити перешкоди для безперебійного функціонування внутрішнього ринку та шкодити</w:t>
            </w:r>
            <w:r w:rsidR="009707EB" w:rsidRPr="006279CF">
              <w:rPr>
                <w:rFonts w:ascii="Times New Roman" w:eastAsia="Times New Roman" w:hAnsi="Times New Roman" w:cs="Times New Roman"/>
                <w:sz w:val="27"/>
                <w:szCs w:val="27"/>
              </w:rPr>
              <w:t xml:space="preserve"> </w:t>
            </w:r>
            <w:r w:rsidR="009707EB" w:rsidRPr="006279CF">
              <w:rPr>
                <w:rFonts w:ascii="Times New Roman" w:eastAsia="Times New Roman" w:hAnsi="Times New Roman" w:cs="Times New Roman"/>
                <w:sz w:val="27"/>
                <w:szCs w:val="27"/>
                <w:lang w:val="uk-UA"/>
              </w:rPr>
              <w:t>учасникам ринку і фінансовій стабільності. Одноманітне застосування зобов’язання щодо клірингу в Союзі необхідно також для забезпечення високого рівня захисту інвесторів і створення однакових умов для учасників ринку.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6279CF" w:rsidP="00035A00">
            <w:pPr>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lang w:val="uk-UA"/>
              </w:rPr>
              <w:t xml:space="preserve">Забезпечення зменшення системного ризику завдяки зобов’язанню щодо клірингу вимагає наявності процесу визначення класів деривативів, на які має поширюватися це зобов’язання. Цей процес повинен ураховувати те, що не всі контракти на позабіржові деривативи, які проходять кліринг через ЦКА, можуть вважатися придатними для </w:t>
            </w:r>
            <w:r w:rsidR="00035A00" w:rsidRPr="006279CF">
              <w:rPr>
                <w:rFonts w:ascii="Times New Roman" w:eastAsia="Times New Roman" w:hAnsi="Times New Roman" w:cs="Times New Roman"/>
                <w:sz w:val="27"/>
                <w:szCs w:val="27"/>
                <w:lang w:val="uk-UA"/>
              </w:rPr>
              <w:t>обов’язкового</w:t>
            </w:r>
            <w:r w:rsidRPr="006279CF">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lang w:val="uk-UA"/>
              </w:rPr>
              <w:t>клірингу через ЦКА.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27246A" w:rsidRDefault="00035A00" w:rsidP="00C02C54">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У</w:t>
            </w:r>
            <w:r w:rsidR="00364D0E">
              <w:rPr>
                <w:rFonts w:ascii="Times New Roman" w:eastAsia="Times New Roman" w:hAnsi="Times New Roman" w:cs="Times New Roman"/>
                <w:sz w:val="27"/>
                <w:szCs w:val="27"/>
                <w:lang w:val="uk-UA"/>
              </w:rPr>
              <w:t xml:space="preserve"> цьому регламенті встановлено критерії визначення того, чи поширювати на різні класи контрактів на позабіржові деривативи</w:t>
            </w:r>
            <w:r w:rsidR="0073227E">
              <w:rPr>
                <w:rFonts w:ascii="Times New Roman" w:eastAsia="Times New Roman" w:hAnsi="Times New Roman" w:cs="Times New Roman"/>
                <w:sz w:val="27"/>
                <w:szCs w:val="27"/>
                <w:lang w:val="uk-UA"/>
              </w:rPr>
              <w:t xml:space="preserve"> зобов’язання щодо клірингу. На основі проектів регуляторних технічних стандартів, розроблених</w:t>
            </w:r>
            <w:r w:rsidR="00DE77B0" w:rsidRPr="0073227E">
              <w:rPr>
                <w:rFonts w:ascii="Times New Roman" w:eastAsia="Times New Roman" w:hAnsi="Times New Roman" w:cs="Times New Roman"/>
                <w:sz w:val="27"/>
                <w:szCs w:val="27"/>
                <w:lang w:val="uk-UA"/>
              </w:rPr>
              <w:t xml:space="preserve"> </w:t>
            </w:r>
            <w:r w:rsidR="00DE77B0" w:rsidRPr="006279CF">
              <w:rPr>
                <w:rFonts w:ascii="Times New Roman" w:eastAsia="Times New Roman" w:hAnsi="Times New Roman" w:cs="Times New Roman"/>
                <w:sz w:val="27"/>
                <w:szCs w:val="27"/>
              </w:rPr>
              <w:t>ESMA</w:t>
            </w:r>
            <w:r w:rsidR="00DE77B0" w:rsidRPr="0073227E">
              <w:rPr>
                <w:rFonts w:ascii="Times New Roman" w:eastAsia="Times New Roman" w:hAnsi="Times New Roman" w:cs="Times New Roman"/>
                <w:sz w:val="27"/>
                <w:szCs w:val="27"/>
                <w:lang w:val="uk-UA"/>
              </w:rPr>
              <w:t xml:space="preserve">, </w:t>
            </w:r>
            <w:r w:rsidR="0073227E">
              <w:rPr>
                <w:rFonts w:ascii="Times New Roman" w:eastAsia="Times New Roman" w:hAnsi="Times New Roman" w:cs="Times New Roman"/>
                <w:sz w:val="27"/>
                <w:szCs w:val="27"/>
                <w:lang w:val="uk-UA"/>
              </w:rPr>
              <w:t>Комісія повинна вирішити, чи підпадає той чи інший клас контрактів на позабіржові деривативи під зобов’язання щодо клірингу</w:t>
            </w:r>
            <w:r w:rsidR="00A86373">
              <w:rPr>
                <w:rFonts w:ascii="Times New Roman" w:eastAsia="Times New Roman" w:hAnsi="Times New Roman" w:cs="Times New Roman"/>
                <w:sz w:val="27"/>
                <w:szCs w:val="27"/>
                <w:lang w:val="uk-UA"/>
              </w:rPr>
              <w:t>, а також визначити дату, з якої діє це зобов’язання,</w:t>
            </w:r>
            <w:r w:rsidR="00C02C54">
              <w:rPr>
                <w:rFonts w:ascii="Times New Roman" w:eastAsia="Times New Roman" w:hAnsi="Times New Roman" w:cs="Times New Roman"/>
                <w:sz w:val="27"/>
                <w:szCs w:val="27"/>
                <w:lang w:val="uk-UA"/>
              </w:rPr>
              <w:t xml:space="preserve"> включаючи, де доречно, поетапне</w:t>
            </w:r>
            <w:r w:rsidR="00C02C54" w:rsidRPr="00A86373">
              <w:rPr>
                <w:rFonts w:ascii="Times New Roman" w:eastAsia="Times New Roman" w:hAnsi="Times New Roman" w:cs="Times New Roman"/>
                <w:sz w:val="27"/>
                <w:szCs w:val="27"/>
                <w:lang w:val="uk-UA"/>
              </w:rPr>
              <w:t xml:space="preserve"> </w:t>
            </w:r>
            <w:r w:rsidR="00C02C54">
              <w:rPr>
                <w:rFonts w:ascii="Times New Roman" w:eastAsia="Times New Roman" w:hAnsi="Times New Roman" w:cs="Times New Roman"/>
                <w:sz w:val="27"/>
                <w:szCs w:val="27"/>
                <w:lang w:val="uk-UA"/>
              </w:rPr>
              <w:t>запровадження та мінімальний залишковий термін погашення контрактів, укладених або переоформлених до дати набрання чинності вищезгаданим зобов’язанням, згідно з цим регламентом.</w:t>
            </w:r>
            <w:r w:rsidR="0076146C">
              <w:rPr>
                <w:rFonts w:ascii="Times New Roman" w:eastAsia="Times New Roman" w:hAnsi="Times New Roman" w:cs="Times New Roman"/>
                <w:sz w:val="27"/>
                <w:szCs w:val="27"/>
                <w:lang w:val="uk-UA"/>
              </w:rPr>
              <w:t xml:space="preserve"> Поетапне запровадження зобов’язання щодо клірингу може враховувати типи учасників ринку, які повинні дотримуватися цього зобов’язання. </w:t>
            </w:r>
            <w:r w:rsidR="0027246A">
              <w:rPr>
                <w:rFonts w:ascii="Times New Roman" w:eastAsia="Times New Roman" w:hAnsi="Times New Roman" w:cs="Times New Roman"/>
                <w:sz w:val="27"/>
                <w:szCs w:val="27"/>
                <w:lang w:val="uk-UA"/>
              </w:rPr>
              <w:t>При визначенні класів контрактів на позабіржові деривативи, на які має поширюватися зобов’язання щодо клірингу,</w:t>
            </w:r>
            <w:r w:rsidR="0027246A" w:rsidRPr="00853673">
              <w:rPr>
                <w:rFonts w:ascii="Times New Roman" w:eastAsia="Times New Roman" w:hAnsi="Times New Roman" w:cs="Times New Roman"/>
                <w:sz w:val="27"/>
                <w:szCs w:val="27"/>
                <w:lang w:val="uk-UA"/>
              </w:rPr>
              <w:t xml:space="preserve"> </w:t>
            </w:r>
            <w:r w:rsidR="0027246A" w:rsidRPr="006279CF">
              <w:rPr>
                <w:rFonts w:ascii="Times New Roman" w:eastAsia="Times New Roman" w:hAnsi="Times New Roman" w:cs="Times New Roman"/>
                <w:sz w:val="27"/>
                <w:szCs w:val="27"/>
              </w:rPr>
              <w:t>ESMA</w:t>
            </w:r>
            <w:r w:rsidR="0027246A" w:rsidRPr="00853673">
              <w:rPr>
                <w:rFonts w:ascii="Times New Roman" w:eastAsia="Times New Roman" w:hAnsi="Times New Roman" w:cs="Times New Roman"/>
                <w:sz w:val="27"/>
                <w:szCs w:val="27"/>
                <w:lang w:val="uk-UA"/>
              </w:rPr>
              <w:t xml:space="preserve"> повинна</w:t>
            </w:r>
            <w:r w:rsidR="0027246A">
              <w:rPr>
                <w:rFonts w:ascii="Times New Roman" w:eastAsia="Times New Roman" w:hAnsi="Times New Roman" w:cs="Times New Roman"/>
                <w:sz w:val="27"/>
                <w:szCs w:val="27"/>
                <w:lang w:val="uk-UA"/>
              </w:rPr>
              <w:t xml:space="preserve"> </w:t>
            </w:r>
            <w:r w:rsidR="00853673">
              <w:rPr>
                <w:rFonts w:ascii="Times New Roman" w:eastAsia="Times New Roman" w:hAnsi="Times New Roman" w:cs="Times New Roman"/>
                <w:sz w:val="27"/>
                <w:szCs w:val="27"/>
                <w:lang w:val="uk-UA"/>
              </w:rPr>
              <w:t xml:space="preserve">враховувати специфічний характер контрактів на позабіржові деривативи, що укладаються з емітентами </w:t>
            </w:r>
            <w:r w:rsidR="002E3456">
              <w:rPr>
                <w:rFonts w:ascii="Times New Roman" w:eastAsia="Times New Roman" w:hAnsi="Times New Roman" w:cs="Times New Roman"/>
                <w:sz w:val="27"/>
                <w:szCs w:val="27"/>
                <w:lang w:val="uk-UA"/>
              </w:rPr>
              <w:t>забезпечених</w:t>
            </w:r>
            <w:r w:rsidR="00853673">
              <w:rPr>
                <w:rFonts w:ascii="Times New Roman" w:eastAsia="Times New Roman" w:hAnsi="Times New Roman" w:cs="Times New Roman"/>
                <w:sz w:val="27"/>
                <w:szCs w:val="27"/>
                <w:lang w:val="uk-UA"/>
              </w:rPr>
              <w:t xml:space="preserve"> облігацій або з </w:t>
            </w:r>
            <w:r w:rsidR="00D126CC">
              <w:rPr>
                <w:rFonts w:ascii="Times New Roman" w:eastAsia="Times New Roman" w:hAnsi="Times New Roman" w:cs="Times New Roman"/>
                <w:sz w:val="27"/>
                <w:szCs w:val="27"/>
                <w:lang w:val="uk-UA"/>
              </w:rPr>
              <w:t xml:space="preserve">пулами покриття </w:t>
            </w:r>
            <w:r w:rsidR="002E3456">
              <w:rPr>
                <w:rFonts w:ascii="Times New Roman" w:eastAsia="Times New Roman" w:hAnsi="Times New Roman" w:cs="Times New Roman"/>
                <w:sz w:val="27"/>
                <w:szCs w:val="27"/>
                <w:lang w:val="uk-UA"/>
              </w:rPr>
              <w:t>забезпечених</w:t>
            </w:r>
            <w:r w:rsidR="00D126CC">
              <w:rPr>
                <w:rFonts w:ascii="Times New Roman" w:eastAsia="Times New Roman" w:hAnsi="Times New Roman" w:cs="Times New Roman"/>
                <w:sz w:val="27"/>
                <w:szCs w:val="27"/>
                <w:lang w:val="uk-UA"/>
              </w:rPr>
              <w:t xml:space="preserve"> облігацій.</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9176B8" w:rsidP="00F10BC2">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При визначенні класів контрактів на позабіржові деривативи, на які має поширюватися зобов’язання щодо клірингу,</w:t>
            </w:r>
            <w:r w:rsidRPr="00853673">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ESMA</w:t>
            </w:r>
            <w:r w:rsidRPr="00853673">
              <w:rPr>
                <w:rFonts w:ascii="Times New Roman" w:eastAsia="Times New Roman" w:hAnsi="Times New Roman" w:cs="Times New Roman"/>
                <w:sz w:val="27"/>
                <w:szCs w:val="27"/>
                <w:lang w:val="uk-UA"/>
              </w:rPr>
              <w:t xml:space="preserve"> повинна</w:t>
            </w:r>
            <w:r w:rsidRPr="006279C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lang w:val="uk-UA"/>
              </w:rPr>
              <w:t xml:space="preserve">також </w:t>
            </w:r>
            <w:r w:rsidR="0027246A">
              <w:rPr>
                <w:rFonts w:ascii="Times New Roman" w:eastAsia="Times New Roman" w:hAnsi="Times New Roman" w:cs="Times New Roman"/>
                <w:sz w:val="27"/>
                <w:szCs w:val="27"/>
                <w:lang w:val="uk-UA"/>
              </w:rPr>
              <w:t>належним чином ураховувати інші доречні міркування, перш за все – взаємопов’язаність</w:t>
            </w:r>
            <w:r w:rsidR="00F10BC2">
              <w:rPr>
                <w:rFonts w:ascii="Times New Roman" w:eastAsia="Times New Roman" w:hAnsi="Times New Roman" w:cs="Times New Roman"/>
                <w:sz w:val="27"/>
                <w:szCs w:val="27"/>
                <w:lang w:val="uk-UA"/>
              </w:rPr>
              <w:t xml:space="preserve"> між використанням контрагентами відповідних класів контрактів на позабіржові деривативи та впливом на рівні кредитного ризику контрагента, а також заохочувати рівні умови конкуренції на внутрішньому ринку, як згадано у ст.</w:t>
            </w:r>
            <w:r w:rsidR="00DE77B0" w:rsidRPr="006279CF">
              <w:rPr>
                <w:rFonts w:ascii="Times New Roman" w:eastAsia="Times New Roman" w:hAnsi="Times New Roman" w:cs="Times New Roman"/>
                <w:sz w:val="27"/>
                <w:szCs w:val="27"/>
              </w:rPr>
              <w:t xml:space="preserve"> 1(5)(d) </w:t>
            </w:r>
            <w:r w:rsidR="00F10BC2">
              <w:rPr>
                <w:rFonts w:ascii="Times New Roman" w:eastAsia="Times New Roman" w:hAnsi="Times New Roman" w:cs="Times New Roman"/>
                <w:sz w:val="27"/>
                <w:szCs w:val="27"/>
                <w:lang w:val="uk-UA"/>
              </w:rPr>
              <w:t>Регламенту</w:t>
            </w:r>
            <w:r w:rsidR="00DE77B0" w:rsidRPr="006279CF">
              <w:rPr>
                <w:rFonts w:ascii="Times New Roman" w:eastAsia="Times New Roman" w:hAnsi="Times New Roman" w:cs="Times New Roman"/>
                <w:sz w:val="27"/>
                <w:szCs w:val="27"/>
              </w:rPr>
              <w:t xml:space="preserve"> (EU) </w:t>
            </w:r>
            <w:r w:rsidR="00F10BC2">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 1095/2010.</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780FC5" w:rsidP="00780FC5">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Якщо </w:t>
            </w:r>
            <w:r w:rsidR="00DE77B0" w:rsidRPr="006279CF">
              <w:rPr>
                <w:rFonts w:ascii="Times New Roman" w:eastAsia="Times New Roman" w:hAnsi="Times New Roman" w:cs="Times New Roman"/>
                <w:sz w:val="27"/>
                <w:szCs w:val="27"/>
              </w:rPr>
              <w:t>ESMA</w:t>
            </w:r>
            <w:r w:rsidR="00DE77B0" w:rsidRPr="00780FC5">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 xml:space="preserve">встановила, що позабіржовий </w:t>
            </w:r>
            <w:proofErr w:type="spellStart"/>
            <w:r>
              <w:rPr>
                <w:rFonts w:ascii="Times New Roman" w:eastAsia="Times New Roman" w:hAnsi="Times New Roman" w:cs="Times New Roman"/>
                <w:sz w:val="27"/>
                <w:szCs w:val="27"/>
                <w:lang w:val="uk-UA"/>
              </w:rPr>
              <w:t>деривативний</w:t>
            </w:r>
            <w:proofErr w:type="spellEnd"/>
            <w:r>
              <w:rPr>
                <w:rFonts w:ascii="Times New Roman" w:eastAsia="Times New Roman" w:hAnsi="Times New Roman" w:cs="Times New Roman"/>
                <w:sz w:val="27"/>
                <w:szCs w:val="27"/>
                <w:lang w:val="uk-UA"/>
              </w:rPr>
              <w:t xml:space="preserve"> продукт є </w:t>
            </w:r>
            <w:r>
              <w:rPr>
                <w:rFonts w:ascii="Times New Roman" w:eastAsia="Times New Roman" w:hAnsi="Times New Roman" w:cs="Times New Roman"/>
                <w:sz w:val="27"/>
                <w:szCs w:val="27"/>
                <w:lang w:val="uk-UA"/>
              </w:rPr>
              <w:lastRenderedPageBreak/>
              <w:t>стандартизованим і придатним для клірингу, але ЦКА не бажає проводити кліринг цього продукту, то</w:t>
            </w:r>
            <w:r w:rsidR="00DE77B0" w:rsidRPr="00780FC5">
              <w:rPr>
                <w:rFonts w:ascii="Times New Roman" w:eastAsia="Times New Roman" w:hAnsi="Times New Roman" w:cs="Times New Roman"/>
                <w:sz w:val="27"/>
                <w:szCs w:val="27"/>
                <w:lang w:val="ru-RU"/>
              </w:rPr>
              <w:t xml:space="preserve"> </w:t>
            </w:r>
            <w:r w:rsidR="00DE77B0" w:rsidRPr="006279CF">
              <w:rPr>
                <w:rFonts w:ascii="Times New Roman" w:eastAsia="Times New Roman" w:hAnsi="Times New Roman" w:cs="Times New Roman"/>
                <w:sz w:val="27"/>
                <w:szCs w:val="27"/>
              </w:rPr>
              <w:t>ESMA</w:t>
            </w:r>
            <w:r w:rsidR="00DE77B0" w:rsidRPr="00780FC5">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 xml:space="preserve">повинна </w:t>
            </w:r>
            <w:r>
              <w:rPr>
                <w:rFonts w:ascii="Times New Roman" w:eastAsia="Times New Roman" w:hAnsi="Times New Roman" w:cs="Times New Roman"/>
                <w:sz w:val="27"/>
                <w:szCs w:val="27"/>
                <w:lang w:val="uk-UA"/>
              </w:rPr>
              <w:t>вивчити причину цього.</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9176B8" w:rsidP="00085274">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При визначенні класів контрактів на позабіржові деривативи, на які має поширюватися зобов’язання щодо клірингу,</w:t>
            </w:r>
            <w:r w:rsidRPr="00853673">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 xml:space="preserve">слід належним чином </w:t>
            </w:r>
            <w:r w:rsidR="008F7B65">
              <w:rPr>
                <w:rFonts w:ascii="Times New Roman" w:eastAsia="Times New Roman" w:hAnsi="Times New Roman" w:cs="Times New Roman"/>
                <w:sz w:val="27"/>
                <w:szCs w:val="27"/>
                <w:lang w:val="uk-UA"/>
              </w:rPr>
              <w:t>ураховувати специфічний характер відповідних класів контрактів на позабіржові деривативи. Переважний ризик для операцій з деякими класами контрактів на позабіржові деривативи може стосуватися розрахункового ризику, який усувається за допомогою окремих інфраструктурних механізмів, причому певні класи контрактів на позабіржові деривативи (наприклад, в іноземній валюті) можуть відрізнятися від інших класів.</w:t>
            </w:r>
            <w:r w:rsidR="00085274">
              <w:rPr>
                <w:rFonts w:ascii="Times New Roman" w:eastAsia="Times New Roman" w:hAnsi="Times New Roman" w:cs="Times New Roman"/>
                <w:sz w:val="27"/>
                <w:szCs w:val="27"/>
                <w:lang w:val="uk-UA"/>
              </w:rPr>
              <w:t xml:space="preserve"> Кліринг через ЦКА конкретно спрямований на усунення кредитного ризику контрагентів і може не бути оптимальним рішенням проблеми розрахункового ризику. Режим для таких контрактів повинен базуватися, зокрема, на попередній міжнародній конвергенції та взаємному визнанні відповідної інфраструктури.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511780" w:rsidP="009176B8">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Для того, щоб забезпечити одноманітне та узгоджене застосування цього регламенту й однакові умови для учасників ринку у випадку, коли той чи інший клас контрактів на позабіржові деривативи оголошено таким, що підпадає під зобов’язання</w:t>
            </w:r>
            <w:r w:rsidR="003E0FAA">
              <w:rPr>
                <w:rFonts w:ascii="Times New Roman" w:eastAsia="Times New Roman" w:hAnsi="Times New Roman" w:cs="Times New Roman"/>
                <w:sz w:val="27"/>
                <w:szCs w:val="27"/>
                <w:lang w:val="uk-UA"/>
              </w:rPr>
              <w:t xml:space="preserve"> щодо клірингу, це зобов’язання також має поширюватися на всі контракти, які стосуються цього класу контрактів на позабіржові деривативи, укладених у дату чи після дати повідомлення про уповноваження ЦКА в цілях зобов’язання щодо клірингу, отриманого </w:t>
            </w:r>
            <w:r w:rsidR="003E0FAA">
              <w:rPr>
                <w:rFonts w:ascii="Times New Roman" w:eastAsia="Times New Roman" w:hAnsi="Times New Roman" w:cs="Times New Roman"/>
                <w:sz w:val="27"/>
                <w:szCs w:val="27"/>
              </w:rPr>
              <w:t>ESMA</w:t>
            </w:r>
            <w:r w:rsidR="003E0FAA">
              <w:rPr>
                <w:rFonts w:ascii="Times New Roman" w:eastAsia="Times New Roman" w:hAnsi="Times New Roman" w:cs="Times New Roman"/>
                <w:sz w:val="27"/>
                <w:szCs w:val="27"/>
                <w:lang w:val="uk-UA"/>
              </w:rPr>
              <w:t>, але до дати набрання чинності цим зобов’язання</w:t>
            </w:r>
            <w:r w:rsidR="009176B8">
              <w:rPr>
                <w:rFonts w:ascii="Times New Roman" w:eastAsia="Times New Roman" w:hAnsi="Times New Roman" w:cs="Times New Roman"/>
                <w:sz w:val="27"/>
                <w:szCs w:val="27"/>
                <w:lang w:val="uk-UA"/>
              </w:rPr>
              <w:t>м, за умови, що залишковий термін погашення цих контрактів перевищує мінімум, установлений Комісією.</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9176B8" w:rsidP="001528F9">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При визначенні </w:t>
            </w:r>
            <w:r w:rsidR="00F37906">
              <w:rPr>
                <w:rFonts w:ascii="Times New Roman" w:eastAsia="Times New Roman" w:hAnsi="Times New Roman" w:cs="Times New Roman"/>
                <w:sz w:val="27"/>
                <w:szCs w:val="27"/>
                <w:lang w:val="uk-UA"/>
              </w:rPr>
              <w:t xml:space="preserve">того, чи підпадає </w:t>
            </w:r>
            <w:r>
              <w:rPr>
                <w:rFonts w:ascii="Times New Roman" w:eastAsia="Times New Roman" w:hAnsi="Times New Roman" w:cs="Times New Roman"/>
                <w:sz w:val="27"/>
                <w:szCs w:val="27"/>
                <w:lang w:val="uk-UA"/>
              </w:rPr>
              <w:t>клас контрактів на позабіржові деривативи</w:t>
            </w:r>
            <w:r w:rsidR="00F37906">
              <w:rPr>
                <w:rFonts w:ascii="Times New Roman" w:eastAsia="Times New Roman" w:hAnsi="Times New Roman" w:cs="Times New Roman"/>
                <w:sz w:val="27"/>
                <w:szCs w:val="27"/>
                <w:lang w:val="uk-UA"/>
              </w:rPr>
              <w:t xml:space="preserve"> під дію</w:t>
            </w:r>
            <w:r>
              <w:rPr>
                <w:rFonts w:ascii="Times New Roman" w:eastAsia="Times New Roman" w:hAnsi="Times New Roman" w:cs="Times New Roman"/>
                <w:sz w:val="27"/>
                <w:szCs w:val="27"/>
                <w:lang w:val="uk-UA"/>
              </w:rPr>
              <w:t xml:space="preserve"> зобов’язання щодо клірингу,</w:t>
            </w:r>
            <w:r w:rsidRPr="00853673">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ESMA</w:t>
            </w:r>
            <w:r w:rsidRPr="00853673">
              <w:rPr>
                <w:rFonts w:ascii="Times New Roman" w:eastAsia="Times New Roman" w:hAnsi="Times New Roman" w:cs="Times New Roman"/>
                <w:sz w:val="27"/>
                <w:szCs w:val="27"/>
                <w:lang w:val="uk-UA"/>
              </w:rPr>
              <w:t xml:space="preserve"> повинна</w:t>
            </w:r>
            <w:r w:rsidRPr="006279CF">
              <w:rPr>
                <w:rFonts w:ascii="Times New Roman" w:eastAsia="Times New Roman" w:hAnsi="Times New Roman" w:cs="Times New Roman"/>
                <w:sz w:val="27"/>
                <w:szCs w:val="27"/>
              </w:rPr>
              <w:t xml:space="preserve"> </w:t>
            </w:r>
            <w:r w:rsidR="00F37906">
              <w:rPr>
                <w:rFonts w:ascii="Times New Roman" w:eastAsia="Times New Roman" w:hAnsi="Times New Roman" w:cs="Times New Roman"/>
                <w:sz w:val="27"/>
                <w:szCs w:val="27"/>
                <w:lang w:val="uk-UA"/>
              </w:rPr>
              <w:t xml:space="preserve">прагнути до зменшення системного ризику. Це включає урахування таких факторів оцінки, як рівень договірної та операційної стандартизації контрактів, обсяг і ліквідність відповідного класу контрактів на позабіржові деривативи, а </w:t>
            </w:r>
            <w:r w:rsidR="001528F9">
              <w:rPr>
                <w:rFonts w:ascii="Times New Roman" w:eastAsia="Times New Roman" w:hAnsi="Times New Roman" w:cs="Times New Roman"/>
                <w:sz w:val="27"/>
                <w:szCs w:val="27"/>
                <w:lang w:val="uk-UA"/>
              </w:rPr>
              <w:t>також наявність об’єктивної, достовірної та загальноприйнятої інформації про ціни на відповідний клас контрактів на позабіржові деривативи.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C74B07" w:rsidP="00794080">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Для клірингу контракту на позабіржові деривативи обидві сторони контракту повинні підпадати під зобов’язання щодо клірингу або погодитися з ним. </w:t>
            </w:r>
            <w:r w:rsidR="00794080">
              <w:rPr>
                <w:rFonts w:ascii="Times New Roman" w:eastAsia="Times New Roman" w:hAnsi="Times New Roman" w:cs="Times New Roman"/>
                <w:sz w:val="27"/>
                <w:szCs w:val="27"/>
                <w:lang w:val="uk-UA"/>
              </w:rPr>
              <w:t>Звільнення від зобов’язання щодо клірингу повинні мати вузькоспеціалізований характер, оскільки вони зменшують ефективність зобов’язання і переваги клірингу через ЦКА й можуть призвести до регуляторного арбітражу між групами учасників ринку.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lastRenderedPageBreak/>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AB7506" w:rsidP="00D52D77">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Щоб сприяти фінансовій стабільності</w:t>
            </w:r>
            <w:r w:rsidR="00D52D77">
              <w:rPr>
                <w:rFonts w:ascii="Times New Roman" w:eastAsia="Times New Roman" w:hAnsi="Times New Roman" w:cs="Times New Roman"/>
                <w:sz w:val="27"/>
                <w:szCs w:val="27"/>
                <w:lang w:val="uk-UA"/>
              </w:rPr>
              <w:t xml:space="preserve"> в Союзі може також виникнути потреба у поширенні дії зобов’язань щодо клірингу та методів зменшення ризиків на угоди, укладені суб’єктами, створеними у третіх країнах, за умови, що відповідні угоди мають прямий, істотний та прогнозований ефект у межах Союзу або якщо такі зобов’язання необхідні чи доречні для запобігання ухиленню від виконання тих чи інших положень цього регламенту.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886C8F" w:rsidP="00FC428D">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Контракти на позабіржові деривативи, які не вважаються придатними для клірингу через ЦКА, спричиняють кредитний та операційний ризик контрагентів, тому слід установити правила управління цим ризиком. Щоб зменшити кредитний ризик контрагентів, </w:t>
            </w:r>
            <w:r w:rsidR="000C0EB9">
              <w:rPr>
                <w:rFonts w:ascii="Times New Roman" w:eastAsia="Times New Roman" w:hAnsi="Times New Roman" w:cs="Times New Roman"/>
                <w:sz w:val="27"/>
                <w:szCs w:val="27"/>
                <w:lang w:val="uk-UA"/>
              </w:rPr>
              <w:t xml:space="preserve">учасники ринку, на яких поширюється зобов’язання щодо клірингу, повинні мати процедури управління ризиками, які вимагають своєчасного, точного і належним чином відокремленого обміну забезпеченням. </w:t>
            </w:r>
            <w:r w:rsidR="007A240C">
              <w:rPr>
                <w:rFonts w:ascii="Times New Roman" w:eastAsia="Times New Roman" w:hAnsi="Times New Roman" w:cs="Times New Roman"/>
                <w:sz w:val="27"/>
                <w:szCs w:val="27"/>
                <w:lang w:val="uk-UA"/>
              </w:rPr>
              <w:t xml:space="preserve">При розробленні проектів регуляторних технічних стандартів із зазначенням цих процедур управління ризиками </w:t>
            </w:r>
            <w:r w:rsidR="007A240C">
              <w:rPr>
                <w:rFonts w:ascii="Times New Roman" w:eastAsia="Times New Roman" w:hAnsi="Times New Roman" w:cs="Times New Roman"/>
                <w:sz w:val="27"/>
                <w:szCs w:val="27"/>
              </w:rPr>
              <w:t>ESMA</w:t>
            </w:r>
            <w:r w:rsidR="007A240C">
              <w:rPr>
                <w:rFonts w:ascii="Times New Roman" w:eastAsia="Times New Roman" w:hAnsi="Times New Roman" w:cs="Times New Roman"/>
                <w:sz w:val="27"/>
                <w:szCs w:val="27"/>
                <w:lang w:val="uk-UA"/>
              </w:rPr>
              <w:t xml:space="preserve"> має враховувати пропозиції міжнародних нормотворчих органів щодо вимог маржування </w:t>
            </w:r>
            <w:r w:rsidR="00821ABC">
              <w:rPr>
                <w:rFonts w:ascii="Times New Roman" w:eastAsia="Times New Roman" w:hAnsi="Times New Roman" w:cs="Times New Roman"/>
                <w:sz w:val="27"/>
                <w:szCs w:val="27"/>
                <w:lang w:val="uk-UA"/>
              </w:rPr>
              <w:t xml:space="preserve">до деривативів, які не проходять централізований кліринг. Розробляючи проекти регуляторних технічних стандартів, які встановлюють механізми, потрібні для точного і належного обміну забезпеченням для управління ризиками, пов'язаними з операціями з невиконаними розрахунками, </w:t>
            </w:r>
            <w:r w:rsidR="00821ABC">
              <w:rPr>
                <w:rFonts w:ascii="Times New Roman" w:eastAsia="Times New Roman" w:hAnsi="Times New Roman" w:cs="Times New Roman"/>
                <w:sz w:val="27"/>
                <w:szCs w:val="27"/>
              </w:rPr>
              <w:t>ESMA</w:t>
            </w:r>
            <w:r w:rsidR="00821ABC">
              <w:rPr>
                <w:rFonts w:ascii="Times New Roman" w:eastAsia="Times New Roman" w:hAnsi="Times New Roman" w:cs="Times New Roman"/>
                <w:sz w:val="27"/>
                <w:szCs w:val="27"/>
                <w:lang w:val="uk-UA"/>
              </w:rPr>
              <w:t xml:space="preserve"> повинна належним чином ураховувати перешкоди, з якими стикаються емітенти забезпечених облігацій або пули покриття при наданні забезпечення у ряді юрисдикцій Союзу. </w:t>
            </w:r>
            <w:r w:rsidR="00821ABC">
              <w:rPr>
                <w:rFonts w:ascii="Times New Roman" w:eastAsia="Times New Roman" w:hAnsi="Times New Roman" w:cs="Times New Roman"/>
                <w:sz w:val="27"/>
                <w:szCs w:val="27"/>
              </w:rPr>
              <w:t>ESMA</w:t>
            </w:r>
            <w:r w:rsidR="00821ABC">
              <w:rPr>
                <w:rFonts w:ascii="Times New Roman" w:eastAsia="Times New Roman" w:hAnsi="Times New Roman" w:cs="Times New Roman"/>
                <w:sz w:val="27"/>
                <w:szCs w:val="27"/>
                <w:lang w:val="uk-UA"/>
              </w:rPr>
              <w:t xml:space="preserve"> також повинна враховувати те, що </w:t>
            </w:r>
            <w:r w:rsidR="0080622D">
              <w:rPr>
                <w:rFonts w:ascii="Times New Roman" w:eastAsia="Times New Roman" w:hAnsi="Times New Roman" w:cs="Times New Roman"/>
                <w:sz w:val="27"/>
                <w:szCs w:val="27"/>
                <w:lang w:val="uk-UA"/>
              </w:rPr>
              <w:t>переважні права вимоги, надані контрагентам-емітентам забезпечених облігацій</w:t>
            </w:r>
            <w:r w:rsidR="009F0714">
              <w:rPr>
                <w:rFonts w:ascii="Times New Roman" w:eastAsia="Times New Roman" w:hAnsi="Times New Roman" w:cs="Times New Roman"/>
                <w:sz w:val="27"/>
                <w:szCs w:val="27"/>
                <w:lang w:val="uk-UA"/>
              </w:rPr>
              <w:t xml:space="preserve"> щодо активів емітента забезпечених облігацій</w:t>
            </w:r>
            <w:r w:rsidR="00FC428D">
              <w:rPr>
                <w:rFonts w:ascii="Times New Roman" w:eastAsia="Times New Roman" w:hAnsi="Times New Roman" w:cs="Times New Roman"/>
                <w:sz w:val="27"/>
                <w:szCs w:val="27"/>
                <w:lang w:val="uk-UA"/>
              </w:rPr>
              <w:t>, забезпечують еквівалентний захист від кредитного ризику контрагентів.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853B2" w:rsidRDefault="00837BD7" w:rsidP="00F853B2">
            <w:pPr>
              <w:spacing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Правила щодо клірингу контрактів на позабіржові деривативи, звітування про операції з позабіржовими деривативами та методів зменшення ризиків за контрактами на позабіржові деривативи, які не проходять кліринг через ЦКА, повинні поширюватися на фінансових контрагентів, а саме на інвестиційні фірми, </w:t>
            </w:r>
            <w:r w:rsidR="001D795B">
              <w:rPr>
                <w:rFonts w:ascii="Times New Roman" w:eastAsia="Times New Roman" w:hAnsi="Times New Roman" w:cs="Times New Roman"/>
                <w:sz w:val="27"/>
                <w:szCs w:val="27"/>
                <w:lang w:val="uk-UA"/>
              </w:rPr>
              <w:t>уповноважені</w:t>
            </w:r>
            <w:r>
              <w:rPr>
                <w:rFonts w:ascii="Times New Roman" w:eastAsia="Times New Roman" w:hAnsi="Times New Roman" w:cs="Times New Roman"/>
                <w:sz w:val="27"/>
                <w:szCs w:val="27"/>
                <w:lang w:val="uk-UA"/>
              </w:rPr>
              <w:t xml:space="preserve"> Директивою</w:t>
            </w:r>
            <w:r w:rsidR="00DE77B0" w:rsidRPr="00837BD7">
              <w:rPr>
                <w:rFonts w:ascii="Times New Roman" w:eastAsia="Times New Roman" w:hAnsi="Times New Roman" w:cs="Times New Roman"/>
                <w:sz w:val="27"/>
                <w:szCs w:val="27"/>
                <w:lang w:val="ru-RU"/>
              </w:rPr>
              <w:t xml:space="preserve"> 2004/39/</w:t>
            </w:r>
            <w:r w:rsidR="00DE77B0" w:rsidRPr="006279CF">
              <w:rPr>
                <w:rFonts w:ascii="Times New Roman" w:eastAsia="Times New Roman" w:hAnsi="Times New Roman" w:cs="Times New Roman"/>
                <w:sz w:val="27"/>
                <w:szCs w:val="27"/>
              </w:rPr>
              <w:t>EC</w:t>
            </w:r>
            <w:r w:rsidR="00DE77B0" w:rsidRPr="00837BD7">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 xml:space="preserve">кредитні установи, </w:t>
            </w:r>
            <w:r w:rsidR="001D795B">
              <w:rPr>
                <w:rFonts w:ascii="Times New Roman" w:eastAsia="Times New Roman" w:hAnsi="Times New Roman" w:cs="Times New Roman"/>
                <w:sz w:val="27"/>
                <w:szCs w:val="27"/>
                <w:lang w:val="uk-UA"/>
              </w:rPr>
              <w:t>уповноважені</w:t>
            </w:r>
            <w:r>
              <w:rPr>
                <w:rFonts w:ascii="Times New Roman" w:eastAsia="Times New Roman" w:hAnsi="Times New Roman" w:cs="Times New Roman"/>
                <w:sz w:val="27"/>
                <w:szCs w:val="27"/>
                <w:lang w:val="uk-UA"/>
              </w:rPr>
              <w:t xml:space="preserve"> Директивою</w:t>
            </w:r>
            <w:r w:rsidR="00DE77B0" w:rsidRPr="00837BD7">
              <w:rPr>
                <w:rFonts w:ascii="Times New Roman" w:eastAsia="Times New Roman" w:hAnsi="Times New Roman" w:cs="Times New Roman"/>
                <w:sz w:val="27"/>
                <w:szCs w:val="27"/>
                <w:lang w:val="ru-RU"/>
              </w:rPr>
              <w:t xml:space="preserve"> 2006/48/</w:t>
            </w:r>
            <w:r w:rsidR="00DE77B0" w:rsidRPr="006279CF">
              <w:rPr>
                <w:rFonts w:ascii="Times New Roman" w:eastAsia="Times New Roman" w:hAnsi="Times New Roman" w:cs="Times New Roman"/>
                <w:sz w:val="27"/>
                <w:szCs w:val="27"/>
              </w:rPr>
              <w:t>EC</w:t>
            </w:r>
            <w:r w:rsidR="00DE77B0" w:rsidRPr="00837BD7">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 xml:space="preserve">Європейського Парламенту та Ради від 14 червня </w:t>
            </w:r>
            <w:r w:rsidR="00DF20EF">
              <w:rPr>
                <w:rFonts w:ascii="Times New Roman" w:eastAsia="Times New Roman" w:hAnsi="Times New Roman" w:cs="Times New Roman"/>
                <w:sz w:val="27"/>
                <w:szCs w:val="27"/>
                <w:lang w:val="uk-UA"/>
              </w:rPr>
              <w:t>2006 р. щодо започаткування і ведення діяльності кредитними установами</w:t>
            </w:r>
            <w:hyperlink r:id="rId12" w:anchor="ntr8-L_2012201EN.01000101-E0008" w:history="1">
              <w:r w:rsidR="00DE77B0" w:rsidRPr="006279CF">
                <w:rPr>
                  <w:rFonts w:ascii="Times New Roman" w:eastAsia="Times New Roman" w:hAnsi="Times New Roman" w:cs="Times New Roman"/>
                  <w:sz w:val="27"/>
                  <w:szCs w:val="27"/>
                  <w:bdr w:val="none" w:sz="0" w:space="0" w:color="auto" w:frame="1"/>
                </w:rPr>
                <w:t> </w:t>
              </w:r>
              <w:r w:rsidR="00DE77B0" w:rsidRPr="00DF20EF">
                <w:rPr>
                  <w:rFonts w:ascii="Times New Roman" w:eastAsia="Times New Roman" w:hAnsi="Times New Roman" w:cs="Times New Roman"/>
                  <w:sz w:val="27"/>
                  <w:szCs w:val="27"/>
                  <w:bdr w:val="none" w:sz="0" w:space="0" w:color="auto" w:frame="1"/>
                  <w:lang w:val="ru-RU"/>
                </w:rPr>
                <w:t>(</w:t>
              </w:r>
              <w:r w:rsidR="00DE77B0" w:rsidRPr="00DF20EF">
                <w:rPr>
                  <w:rFonts w:ascii="Times New Roman" w:eastAsia="Times New Roman" w:hAnsi="Times New Roman" w:cs="Times New Roman"/>
                  <w:sz w:val="19"/>
                  <w:szCs w:val="19"/>
                  <w:bdr w:val="none" w:sz="0" w:space="0" w:color="auto" w:frame="1"/>
                  <w:vertAlign w:val="superscript"/>
                  <w:lang w:val="ru-RU"/>
                </w:rPr>
                <w:t>8</w:t>
              </w:r>
              <w:r w:rsidR="00DE77B0" w:rsidRPr="00DF20EF">
                <w:rPr>
                  <w:rFonts w:ascii="Times New Roman" w:eastAsia="Times New Roman" w:hAnsi="Times New Roman" w:cs="Times New Roman"/>
                  <w:sz w:val="27"/>
                  <w:szCs w:val="27"/>
                  <w:bdr w:val="none" w:sz="0" w:space="0" w:color="auto" w:frame="1"/>
                  <w:lang w:val="ru-RU"/>
                </w:rPr>
                <w:t>)</w:t>
              </w:r>
            </w:hyperlink>
            <w:r w:rsidR="00DE77B0" w:rsidRPr="00DF20EF">
              <w:rPr>
                <w:rFonts w:ascii="Times New Roman" w:eastAsia="Times New Roman" w:hAnsi="Times New Roman" w:cs="Times New Roman"/>
                <w:sz w:val="27"/>
                <w:szCs w:val="27"/>
                <w:lang w:val="ru-RU"/>
              </w:rPr>
              <w:t xml:space="preserve">, </w:t>
            </w:r>
            <w:proofErr w:type="spellStart"/>
            <w:r w:rsidR="00DF20EF">
              <w:rPr>
                <w:rFonts w:ascii="Times New Roman" w:eastAsia="Times New Roman" w:hAnsi="Times New Roman" w:cs="Times New Roman"/>
                <w:sz w:val="27"/>
                <w:szCs w:val="27"/>
                <w:lang w:val="ru-RU"/>
              </w:rPr>
              <w:t>страхові</w:t>
            </w:r>
            <w:proofErr w:type="spellEnd"/>
            <w:r w:rsidR="00DF20EF">
              <w:rPr>
                <w:rFonts w:ascii="Times New Roman" w:eastAsia="Times New Roman" w:hAnsi="Times New Roman" w:cs="Times New Roman"/>
                <w:sz w:val="27"/>
                <w:szCs w:val="27"/>
                <w:lang w:val="ru-RU"/>
              </w:rPr>
              <w:t xml:space="preserve"> </w:t>
            </w:r>
            <w:proofErr w:type="spellStart"/>
            <w:r w:rsidR="00DF20EF">
              <w:rPr>
                <w:rFonts w:ascii="Times New Roman" w:eastAsia="Times New Roman" w:hAnsi="Times New Roman" w:cs="Times New Roman"/>
                <w:sz w:val="27"/>
                <w:szCs w:val="27"/>
                <w:lang w:val="ru-RU"/>
              </w:rPr>
              <w:t>компанії</w:t>
            </w:r>
            <w:proofErr w:type="spellEnd"/>
            <w:r w:rsidR="00DF20EF">
              <w:rPr>
                <w:rFonts w:ascii="Times New Roman" w:eastAsia="Times New Roman" w:hAnsi="Times New Roman" w:cs="Times New Roman"/>
                <w:sz w:val="27"/>
                <w:szCs w:val="27"/>
                <w:lang w:val="ru-RU"/>
              </w:rPr>
              <w:t xml:space="preserve">, </w:t>
            </w:r>
            <w:proofErr w:type="spellStart"/>
            <w:r w:rsidR="001D795B">
              <w:rPr>
                <w:rFonts w:ascii="Times New Roman" w:eastAsia="Times New Roman" w:hAnsi="Times New Roman" w:cs="Times New Roman"/>
                <w:sz w:val="27"/>
                <w:szCs w:val="27"/>
                <w:lang w:val="ru-RU"/>
              </w:rPr>
              <w:t>уповноважені</w:t>
            </w:r>
            <w:proofErr w:type="spellEnd"/>
            <w:r w:rsidR="00DF20EF">
              <w:rPr>
                <w:rFonts w:ascii="Times New Roman" w:eastAsia="Times New Roman" w:hAnsi="Times New Roman" w:cs="Times New Roman"/>
                <w:sz w:val="27"/>
                <w:szCs w:val="27"/>
                <w:lang w:val="uk-UA"/>
              </w:rPr>
              <w:t xml:space="preserve"> Першою директивою Ради 73/239/ЕЕС від 24 липня 1973 р. про координацію законів, регламентів і адміністративних положень</w:t>
            </w:r>
            <w:r w:rsidR="006B7B80">
              <w:rPr>
                <w:rFonts w:ascii="Times New Roman" w:eastAsia="Times New Roman" w:hAnsi="Times New Roman" w:cs="Times New Roman"/>
                <w:sz w:val="27"/>
                <w:szCs w:val="27"/>
                <w:lang w:val="uk-UA"/>
              </w:rPr>
              <w:t xml:space="preserve"> стосовно започаткування та ведення діяльності щодо прямого страхування, крім страхування життя</w:t>
            </w:r>
            <w:hyperlink r:id="rId13" w:anchor="ntr9-L_2012201EN.01000101-E0009" w:history="1">
              <w:r w:rsidR="00DE77B0" w:rsidRPr="006279CF">
                <w:rPr>
                  <w:rFonts w:ascii="Times New Roman" w:eastAsia="Times New Roman" w:hAnsi="Times New Roman" w:cs="Times New Roman"/>
                  <w:sz w:val="27"/>
                  <w:szCs w:val="27"/>
                  <w:bdr w:val="none" w:sz="0" w:space="0" w:color="auto" w:frame="1"/>
                </w:rPr>
                <w:t> </w:t>
              </w:r>
              <w:r w:rsidR="00DE77B0" w:rsidRPr="006B7B80">
                <w:rPr>
                  <w:rFonts w:ascii="Times New Roman" w:eastAsia="Times New Roman" w:hAnsi="Times New Roman" w:cs="Times New Roman"/>
                  <w:sz w:val="27"/>
                  <w:szCs w:val="27"/>
                  <w:bdr w:val="none" w:sz="0" w:space="0" w:color="auto" w:frame="1"/>
                  <w:lang w:val="uk-UA"/>
                </w:rPr>
                <w:t>(</w:t>
              </w:r>
              <w:r w:rsidR="00DE77B0" w:rsidRPr="006B7B80">
                <w:rPr>
                  <w:rFonts w:ascii="Times New Roman" w:eastAsia="Times New Roman" w:hAnsi="Times New Roman" w:cs="Times New Roman"/>
                  <w:sz w:val="19"/>
                  <w:szCs w:val="19"/>
                  <w:bdr w:val="none" w:sz="0" w:space="0" w:color="auto" w:frame="1"/>
                  <w:vertAlign w:val="superscript"/>
                  <w:lang w:val="uk-UA"/>
                </w:rPr>
                <w:t>9</w:t>
              </w:r>
              <w:r w:rsidR="00DE77B0" w:rsidRPr="006B7B80">
                <w:rPr>
                  <w:rFonts w:ascii="Times New Roman" w:eastAsia="Times New Roman" w:hAnsi="Times New Roman" w:cs="Times New Roman"/>
                  <w:sz w:val="27"/>
                  <w:szCs w:val="27"/>
                  <w:bdr w:val="none" w:sz="0" w:space="0" w:color="auto" w:frame="1"/>
                  <w:lang w:val="uk-UA"/>
                </w:rPr>
                <w:t>)</w:t>
              </w:r>
            </w:hyperlink>
            <w:r w:rsidR="00DE77B0" w:rsidRPr="006B7B80">
              <w:rPr>
                <w:rFonts w:ascii="Times New Roman" w:eastAsia="Times New Roman" w:hAnsi="Times New Roman" w:cs="Times New Roman"/>
                <w:sz w:val="27"/>
                <w:szCs w:val="27"/>
                <w:lang w:val="uk-UA"/>
              </w:rPr>
              <w:t xml:space="preserve">, </w:t>
            </w:r>
            <w:r w:rsidR="006B7B80">
              <w:rPr>
                <w:rFonts w:ascii="Times New Roman" w:eastAsia="Times New Roman" w:hAnsi="Times New Roman" w:cs="Times New Roman"/>
                <w:sz w:val="27"/>
                <w:szCs w:val="27"/>
                <w:lang w:val="uk-UA"/>
              </w:rPr>
              <w:t xml:space="preserve">організації страхування життя, </w:t>
            </w:r>
            <w:r w:rsidR="001D795B">
              <w:rPr>
                <w:rFonts w:ascii="Times New Roman" w:eastAsia="Times New Roman" w:hAnsi="Times New Roman" w:cs="Times New Roman"/>
                <w:sz w:val="27"/>
                <w:szCs w:val="27"/>
                <w:lang w:val="uk-UA"/>
              </w:rPr>
              <w:t>уповноважені</w:t>
            </w:r>
            <w:r w:rsidR="006B7B80">
              <w:rPr>
                <w:rFonts w:ascii="Times New Roman" w:eastAsia="Times New Roman" w:hAnsi="Times New Roman" w:cs="Times New Roman"/>
                <w:sz w:val="27"/>
                <w:szCs w:val="27"/>
                <w:lang w:val="uk-UA"/>
              </w:rPr>
              <w:t xml:space="preserve"> Директивою</w:t>
            </w:r>
            <w:r w:rsidR="00DE77B0" w:rsidRPr="006B7B80">
              <w:rPr>
                <w:rFonts w:ascii="Times New Roman" w:eastAsia="Times New Roman" w:hAnsi="Times New Roman" w:cs="Times New Roman"/>
                <w:sz w:val="27"/>
                <w:szCs w:val="27"/>
                <w:lang w:val="uk-UA"/>
              </w:rPr>
              <w:t xml:space="preserve"> 2002/83/</w:t>
            </w:r>
            <w:r w:rsidR="00DE77B0" w:rsidRPr="006279CF">
              <w:rPr>
                <w:rFonts w:ascii="Times New Roman" w:eastAsia="Times New Roman" w:hAnsi="Times New Roman" w:cs="Times New Roman"/>
                <w:sz w:val="27"/>
                <w:szCs w:val="27"/>
              </w:rPr>
              <w:t>EC</w:t>
            </w:r>
            <w:r w:rsidR="00DE77B0" w:rsidRPr="006B7B80">
              <w:rPr>
                <w:rFonts w:ascii="Times New Roman" w:eastAsia="Times New Roman" w:hAnsi="Times New Roman" w:cs="Times New Roman"/>
                <w:sz w:val="27"/>
                <w:szCs w:val="27"/>
                <w:lang w:val="uk-UA"/>
              </w:rPr>
              <w:t xml:space="preserve"> </w:t>
            </w:r>
            <w:r w:rsidR="006B7B80">
              <w:rPr>
                <w:rFonts w:ascii="Times New Roman" w:eastAsia="Times New Roman" w:hAnsi="Times New Roman" w:cs="Times New Roman"/>
                <w:sz w:val="27"/>
                <w:szCs w:val="27"/>
                <w:lang w:val="uk-UA"/>
              </w:rPr>
              <w:t xml:space="preserve">Європейського Парламенту та Ради від 5 </w:t>
            </w:r>
            <w:r w:rsidR="006B7B80">
              <w:rPr>
                <w:rFonts w:ascii="Times New Roman" w:eastAsia="Times New Roman" w:hAnsi="Times New Roman" w:cs="Times New Roman"/>
                <w:sz w:val="27"/>
                <w:szCs w:val="27"/>
                <w:lang w:val="uk-UA"/>
              </w:rPr>
              <w:lastRenderedPageBreak/>
              <w:t>листопада 2002 р. щодо страхування життя</w:t>
            </w:r>
            <w:hyperlink r:id="rId14" w:anchor="ntr10-L_2012201EN.01000101-E0010" w:history="1">
              <w:r w:rsidR="00DE77B0" w:rsidRPr="006279CF">
                <w:rPr>
                  <w:rFonts w:ascii="Times New Roman" w:eastAsia="Times New Roman" w:hAnsi="Times New Roman" w:cs="Times New Roman"/>
                  <w:sz w:val="27"/>
                  <w:szCs w:val="27"/>
                  <w:bdr w:val="none" w:sz="0" w:space="0" w:color="auto" w:frame="1"/>
                </w:rPr>
                <w:t> </w:t>
              </w:r>
              <w:r w:rsidR="00DE77B0" w:rsidRPr="006B7B80">
                <w:rPr>
                  <w:rFonts w:ascii="Times New Roman" w:eastAsia="Times New Roman" w:hAnsi="Times New Roman" w:cs="Times New Roman"/>
                  <w:sz w:val="27"/>
                  <w:szCs w:val="27"/>
                  <w:bdr w:val="none" w:sz="0" w:space="0" w:color="auto" w:frame="1"/>
                  <w:lang w:val="uk-UA"/>
                </w:rPr>
                <w:t>(</w:t>
              </w:r>
              <w:r w:rsidR="00DE77B0" w:rsidRPr="006B7B80">
                <w:rPr>
                  <w:rFonts w:ascii="Times New Roman" w:eastAsia="Times New Roman" w:hAnsi="Times New Roman" w:cs="Times New Roman"/>
                  <w:sz w:val="19"/>
                  <w:szCs w:val="19"/>
                  <w:bdr w:val="none" w:sz="0" w:space="0" w:color="auto" w:frame="1"/>
                  <w:vertAlign w:val="superscript"/>
                  <w:lang w:val="uk-UA"/>
                </w:rPr>
                <w:t>10</w:t>
              </w:r>
              <w:r w:rsidR="00DE77B0" w:rsidRPr="006B7B80">
                <w:rPr>
                  <w:rFonts w:ascii="Times New Roman" w:eastAsia="Times New Roman" w:hAnsi="Times New Roman" w:cs="Times New Roman"/>
                  <w:sz w:val="27"/>
                  <w:szCs w:val="27"/>
                  <w:bdr w:val="none" w:sz="0" w:space="0" w:color="auto" w:frame="1"/>
                  <w:lang w:val="uk-UA"/>
                </w:rPr>
                <w:t>)</w:t>
              </w:r>
            </w:hyperlink>
            <w:r w:rsidR="00DE77B0" w:rsidRPr="006B7B80">
              <w:rPr>
                <w:rFonts w:ascii="Times New Roman" w:eastAsia="Times New Roman" w:hAnsi="Times New Roman" w:cs="Times New Roman"/>
                <w:sz w:val="27"/>
                <w:szCs w:val="27"/>
                <w:lang w:val="uk-UA"/>
              </w:rPr>
              <w:t xml:space="preserve">, </w:t>
            </w:r>
            <w:r w:rsidR="006B7B80">
              <w:rPr>
                <w:rFonts w:ascii="Times New Roman" w:eastAsia="Times New Roman" w:hAnsi="Times New Roman" w:cs="Times New Roman"/>
                <w:sz w:val="27"/>
                <w:szCs w:val="27"/>
                <w:lang w:val="uk-UA"/>
              </w:rPr>
              <w:t xml:space="preserve">організації перестрахування, </w:t>
            </w:r>
            <w:r w:rsidR="001D795B">
              <w:rPr>
                <w:rFonts w:ascii="Times New Roman" w:eastAsia="Times New Roman" w:hAnsi="Times New Roman" w:cs="Times New Roman"/>
                <w:sz w:val="27"/>
                <w:szCs w:val="27"/>
                <w:lang w:val="uk-UA"/>
              </w:rPr>
              <w:t xml:space="preserve">уповноважені </w:t>
            </w:r>
            <w:r w:rsidR="006B7B80">
              <w:rPr>
                <w:rFonts w:ascii="Times New Roman" w:eastAsia="Times New Roman" w:hAnsi="Times New Roman" w:cs="Times New Roman"/>
                <w:sz w:val="27"/>
                <w:szCs w:val="27"/>
                <w:lang w:val="uk-UA"/>
              </w:rPr>
              <w:t>Директив</w:t>
            </w:r>
            <w:r w:rsidR="001D795B">
              <w:rPr>
                <w:rFonts w:ascii="Times New Roman" w:eastAsia="Times New Roman" w:hAnsi="Times New Roman" w:cs="Times New Roman"/>
                <w:sz w:val="27"/>
                <w:szCs w:val="27"/>
                <w:lang w:val="uk-UA"/>
              </w:rPr>
              <w:t>ою</w:t>
            </w:r>
            <w:r w:rsidR="00DE77B0" w:rsidRPr="006B7B80">
              <w:rPr>
                <w:rFonts w:ascii="Times New Roman" w:eastAsia="Times New Roman" w:hAnsi="Times New Roman" w:cs="Times New Roman"/>
                <w:sz w:val="27"/>
                <w:szCs w:val="27"/>
                <w:lang w:val="uk-UA"/>
              </w:rPr>
              <w:t xml:space="preserve"> 2005/68/</w:t>
            </w:r>
            <w:r w:rsidR="00DE77B0" w:rsidRPr="006279CF">
              <w:rPr>
                <w:rFonts w:ascii="Times New Roman" w:eastAsia="Times New Roman" w:hAnsi="Times New Roman" w:cs="Times New Roman"/>
                <w:sz w:val="27"/>
                <w:szCs w:val="27"/>
              </w:rPr>
              <w:t>EC</w:t>
            </w:r>
            <w:r w:rsidR="00DE77B0" w:rsidRPr="006B7B80">
              <w:rPr>
                <w:rFonts w:ascii="Times New Roman" w:eastAsia="Times New Roman" w:hAnsi="Times New Roman" w:cs="Times New Roman"/>
                <w:sz w:val="27"/>
                <w:szCs w:val="27"/>
                <w:lang w:val="uk-UA"/>
              </w:rPr>
              <w:t xml:space="preserve"> </w:t>
            </w:r>
            <w:r w:rsidR="006B7B80">
              <w:rPr>
                <w:rFonts w:ascii="Times New Roman" w:eastAsia="Times New Roman" w:hAnsi="Times New Roman" w:cs="Times New Roman"/>
                <w:sz w:val="27"/>
                <w:szCs w:val="27"/>
                <w:lang w:val="uk-UA"/>
              </w:rPr>
              <w:t>Європейського Парламенту та Ради від 16 листопада 2005 р. щодо перестрахування</w:t>
            </w:r>
            <w:hyperlink r:id="rId15" w:anchor="ntr11-L_2012201EN.01000101-E0011" w:history="1">
              <w:r w:rsidR="00DE77B0" w:rsidRPr="006279CF">
                <w:rPr>
                  <w:rFonts w:ascii="Times New Roman" w:eastAsia="Times New Roman" w:hAnsi="Times New Roman" w:cs="Times New Roman"/>
                  <w:sz w:val="27"/>
                  <w:szCs w:val="27"/>
                  <w:bdr w:val="none" w:sz="0" w:space="0" w:color="auto" w:frame="1"/>
                </w:rPr>
                <w:t> </w:t>
              </w:r>
              <w:r w:rsidR="00DE77B0" w:rsidRPr="006B7B80">
                <w:rPr>
                  <w:rFonts w:ascii="Times New Roman" w:eastAsia="Times New Roman" w:hAnsi="Times New Roman" w:cs="Times New Roman"/>
                  <w:sz w:val="27"/>
                  <w:szCs w:val="27"/>
                  <w:bdr w:val="none" w:sz="0" w:space="0" w:color="auto" w:frame="1"/>
                  <w:lang w:val="uk-UA"/>
                </w:rPr>
                <w:t>(</w:t>
              </w:r>
              <w:r w:rsidR="00DE77B0" w:rsidRPr="006B7B80">
                <w:rPr>
                  <w:rFonts w:ascii="Times New Roman" w:eastAsia="Times New Roman" w:hAnsi="Times New Roman" w:cs="Times New Roman"/>
                  <w:sz w:val="19"/>
                  <w:szCs w:val="19"/>
                  <w:bdr w:val="none" w:sz="0" w:space="0" w:color="auto" w:frame="1"/>
                  <w:vertAlign w:val="superscript"/>
                  <w:lang w:val="uk-UA"/>
                </w:rPr>
                <w:t>11</w:t>
              </w:r>
              <w:r w:rsidR="00DE77B0" w:rsidRPr="006B7B80">
                <w:rPr>
                  <w:rFonts w:ascii="Times New Roman" w:eastAsia="Times New Roman" w:hAnsi="Times New Roman" w:cs="Times New Roman"/>
                  <w:sz w:val="27"/>
                  <w:szCs w:val="27"/>
                  <w:bdr w:val="none" w:sz="0" w:space="0" w:color="auto" w:frame="1"/>
                  <w:lang w:val="uk-UA"/>
                </w:rPr>
                <w:t>)</w:t>
              </w:r>
            </w:hyperlink>
            <w:r w:rsidR="00DE77B0" w:rsidRPr="006B7B80">
              <w:rPr>
                <w:rFonts w:ascii="Times New Roman" w:eastAsia="Times New Roman" w:hAnsi="Times New Roman" w:cs="Times New Roman"/>
                <w:sz w:val="27"/>
                <w:szCs w:val="27"/>
                <w:lang w:val="uk-UA"/>
              </w:rPr>
              <w:t xml:space="preserve">, </w:t>
            </w:r>
            <w:r w:rsidR="00B2021F">
              <w:rPr>
                <w:rFonts w:ascii="Times New Roman" w:eastAsia="Times New Roman" w:hAnsi="Times New Roman" w:cs="Times New Roman"/>
                <w:sz w:val="27"/>
                <w:szCs w:val="27"/>
                <w:lang w:val="uk-UA"/>
              </w:rPr>
              <w:t>угоди про колективне інвестування у цінні папери, що обертаються</w:t>
            </w:r>
            <w:r w:rsidR="00B2021F" w:rsidRPr="001125B4">
              <w:rPr>
                <w:rFonts w:ascii="Times New Roman" w:eastAsia="Times New Roman" w:hAnsi="Times New Roman" w:cs="Times New Roman"/>
                <w:sz w:val="27"/>
                <w:szCs w:val="27"/>
                <w:lang w:val="uk-UA"/>
              </w:rPr>
              <w:t xml:space="preserve"> (</w:t>
            </w:r>
            <w:r w:rsidR="00B2021F" w:rsidRPr="006279CF">
              <w:rPr>
                <w:rFonts w:ascii="Times New Roman" w:eastAsia="Times New Roman" w:hAnsi="Times New Roman" w:cs="Times New Roman"/>
                <w:sz w:val="27"/>
                <w:szCs w:val="27"/>
              </w:rPr>
              <w:t>UCITS</w:t>
            </w:r>
            <w:r w:rsidR="00B2021F" w:rsidRPr="001125B4">
              <w:rPr>
                <w:rFonts w:ascii="Times New Roman" w:eastAsia="Times New Roman" w:hAnsi="Times New Roman" w:cs="Times New Roman"/>
                <w:sz w:val="27"/>
                <w:szCs w:val="27"/>
                <w:lang w:val="uk-UA"/>
              </w:rPr>
              <w:t>)</w:t>
            </w:r>
            <w:r w:rsidR="001125B4">
              <w:rPr>
                <w:rFonts w:ascii="Times New Roman" w:eastAsia="Times New Roman" w:hAnsi="Times New Roman" w:cs="Times New Roman"/>
                <w:sz w:val="27"/>
                <w:szCs w:val="27"/>
                <w:lang w:val="uk-UA"/>
              </w:rPr>
              <w:t xml:space="preserve">, та, у доречних випадках, їхні управляючі компанії, </w:t>
            </w:r>
            <w:r w:rsidR="001D795B">
              <w:rPr>
                <w:rFonts w:ascii="Times New Roman" w:eastAsia="Times New Roman" w:hAnsi="Times New Roman" w:cs="Times New Roman"/>
                <w:sz w:val="27"/>
                <w:szCs w:val="27"/>
                <w:lang w:val="uk-UA"/>
              </w:rPr>
              <w:t>уповноважені</w:t>
            </w:r>
            <w:r w:rsidR="00B2021F">
              <w:rPr>
                <w:rFonts w:ascii="Times New Roman" w:eastAsia="Times New Roman" w:hAnsi="Times New Roman" w:cs="Times New Roman"/>
                <w:sz w:val="27"/>
                <w:szCs w:val="27"/>
                <w:lang w:val="uk-UA"/>
              </w:rPr>
              <w:t xml:space="preserve"> Директив</w:t>
            </w:r>
            <w:r w:rsidR="001D795B">
              <w:rPr>
                <w:rFonts w:ascii="Times New Roman" w:eastAsia="Times New Roman" w:hAnsi="Times New Roman" w:cs="Times New Roman"/>
                <w:sz w:val="27"/>
                <w:szCs w:val="27"/>
                <w:lang w:val="uk-UA"/>
              </w:rPr>
              <w:t>ою</w:t>
            </w:r>
            <w:r w:rsidR="00DE77B0" w:rsidRPr="00B2021F">
              <w:rPr>
                <w:rFonts w:ascii="Times New Roman" w:eastAsia="Times New Roman" w:hAnsi="Times New Roman" w:cs="Times New Roman"/>
                <w:sz w:val="27"/>
                <w:szCs w:val="27"/>
                <w:lang w:val="uk-UA"/>
              </w:rPr>
              <w:t xml:space="preserve"> 2009/65/</w:t>
            </w:r>
            <w:r w:rsidR="00DE77B0" w:rsidRPr="006279CF">
              <w:rPr>
                <w:rFonts w:ascii="Times New Roman" w:eastAsia="Times New Roman" w:hAnsi="Times New Roman" w:cs="Times New Roman"/>
                <w:sz w:val="27"/>
                <w:szCs w:val="27"/>
              </w:rPr>
              <w:t>EC</w:t>
            </w:r>
            <w:r w:rsidR="00B2021F">
              <w:rPr>
                <w:rFonts w:ascii="Times New Roman" w:eastAsia="Times New Roman" w:hAnsi="Times New Roman" w:cs="Times New Roman"/>
                <w:sz w:val="27"/>
                <w:szCs w:val="27"/>
                <w:lang w:val="uk-UA"/>
              </w:rPr>
              <w:t xml:space="preserve"> Європейського Парламенту та Ради від 13 липня 2009 р. про координацію законів, регламентів і адміністративних положень стосовно угод про колективне інвестування у цінні папери, що обертаються</w:t>
            </w:r>
            <w:r w:rsidR="00B2021F" w:rsidRPr="001125B4">
              <w:rPr>
                <w:rFonts w:ascii="Times New Roman" w:eastAsia="Times New Roman" w:hAnsi="Times New Roman" w:cs="Times New Roman"/>
                <w:sz w:val="27"/>
                <w:szCs w:val="27"/>
                <w:lang w:val="uk-UA"/>
              </w:rPr>
              <w:t xml:space="preserve"> (</w:t>
            </w:r>
            <w:r w:rsidR="00B2021F" w:rsidRPr="006279CF">
              <w:rPr>
                <w:rFonts w:ascii="Times New Roman" w:eastAsia="Times New Roman" w:hAnsi="Times New Roman" w:cs="Times New Roman"/>
                <w:sz w:val="27"/>
                <w:szCs w:val="27"/>
              </w:rPr>
              <w:t>UCITS</w:t>
            </w:r>
            <w:r w:rsidR="00B2021F" w:rsidRPr="001125B4">
              <w:rPr>
                <w:rFonts w:ascii="Times New Roman" w:eastAsia="Times New Roman" w:hAnsi="Times New Roman" w:cs="Times New Roman"/>
                <w:sz w:val="27"/>
                <w:szCs w:val="27"/>
                <w:lang w:val="uk-UA"/>
              </w:rPr>
              <w:t>)</w:t>
            </w:r>
            <w:hyperlink r:id="rId16" w:anchor="ntr12-L_2012201EN.01000101-E0012" w:history="1">
              <w:r w:rsidR="00DE77B0" w:rsidRPr="006279CF">
                <w:rPr>
                  <w:rFonts w:ascii="Times New Roman" w:eastAsia="Times New Roman" w:hAnsi="Times New Roman" w:cs="Times New Roman"/>
                  <w:sz w:val="27"/>
                  <w:szCs w:val="27"/>
                  <w:bdr w:val="none" w:sz="0" w:space="0" w:color="auto" w:frame="1"/>
                </w:rPr>
                <w:t> </w:t>
              </w:r>
              <w:r w:rsidR="00DE77B0" w:rsidRPr="00B2021F">
                <w:rPr>
                  <w:rFonts w:ascii="Times New Roman" w:eastAsia="Times New Roman" w:hAnsi="Times New Roman" w:cs="Times New Roman"/>
                  <w:sz w:val="27"/>
                  <w:szCs w:val="27"/>
                  <w:bdr w:val="none" w:sz="0" w:space="0" w:color="auto" w:frame="1"/>
                  <w:lang w:val="uk-UA"/>
                </w:rPr>
                <w:t>(</w:t>
              </w:r>
              <w:r w:rsidR="00DE77B0" w:rsidRPr="00B2021F">
                <w:rPr>
                  <w:rFonts w:ascii="Times New Roman" w:eastAsia="Times New Roman" w:hAnsi="Times New Roman" w:cs="Times New Roman"/>
                  <w:sz w:val="19"/>
                  <w:szCs w:val="19"/>
                  <w:bdr w:val="none" w:sz="0" w:space="0" w:color="auto" w:frame="1"/>
                  <w:vertAlign w:val="superscript"/>
                  <w:lang w:val="uk-UA"/>
                </w:rPr>
                <w:t>12</w:t>
              </w:r>
              <w:r w:rsidR="00DE77B0" w:rsidRPr="00B2021F">
                <w:rPr>
                  <w:rFonts w:ascii="Times New Roman" w:eastAsia="Times New Roman" w:hAnsi="Times New Roman" w:cs="Times New Roman"/>
                  <w:sz w:val="27"/>
                  <w:szCs w:val="27"/>
                  <w:bdr w:val="none" w:sz="0" w:space="0" w:color="auto" w:frame="1"/>
                  <w:lang w:val="uk-UA"/>
                </w:rPr>
                <w:t>)</w:t>
              </w:r>
            </w:hyperlink>
            <w:r w:rsidR="00DE77B0" w:rsidRPr="00B2021F">
              <w:rPr>
                <w:rFonts w:ascii="Times New Roman" w:eastAsia="Times New Roman" w:hAnsi="Times New Roman" w:cs="Times New Roman"/>
                <w:sz w:val="27"/>
                <w:szCs w:val="27"/>
                <w:lang w:val="uk-UA"/>
              </w:rPr>
              <w:t xml:space="preserve">, </w:t>
            </w:r>
            <w:r w:rsidR="00B2021F">
              <w:rPr>
                <w:rFonts w:ascii="Times New Roman" w:eastAsia="Times New Roman" w:hAnsi="Times New Roman" w:cs="Times New Roman"/>
                <w:sz w:val="27"/>
                <w:szCs w:val="27"/>
                <w:lang w:val="uk-UA"/>
              </w:rPr>
              <w:t xml:space="preserve">установи недержавного пенсійного забезпечення, </w:t>
            </w:r>
            <w:r w:rsidR="001D795B">
              <w:rPr>
                <w:rFonts w:ascii="Times New Roman" w:eastAsia="Times New Roman" w:hAnsi="Times New Roman" w:cs="Times New Roman"/>
                <w:sz w:val="27"/>
                <w:szCs w:val="27"/>
                <w:lang w:val="uk-UA"/>
              </w:rPr>
              <w:t>визначені у Директиві</w:t>
            </w:r>
            <w:r w:rsidR="00DE77B0" w:rsidRPr="001D795B">
              <w:rPr>
                <w:rFonts w:ascii="Times New Roman" w:eastAsia="Times New Roman" w:hAnsi="Times New Roman" w:cs="Times New Roman"/>
                <w:sz w:val="27"/>
                <w:szCs w:val="27"/>
                <w:lang w:val="uk-UA"/>
              </w:rPr>
              <w:t xml:space="preserve"> 2003/41/</w:t>
            </w:r>
            <w:r w:rsidR="00DE77B0" w:rsidRPr="006279CF">
              <w:rPr>
                <w:rFonts w:ascii="Times New Roman" w:eastAsia="Times New Roman" w:hAnsi="Times New Roman" w:cs="Times New Roman"/>
                <w:sz w:val="27"/>
                <w:szCs w:val="27"/>
              </w:rPr>
              <w:t>EC</w:t>
            </w:r>
            <w:r w:rsidR="00DE77B0" w:rsidRPr="001D795B">
              <w:rPr>
                <w:rFonts w:ascii="Times New Roman" w:eastAsia="Times New Roman" w:hAnsi="Times New Roman" w:cs="Times New Roman"/>
                <w:sz w:val="27"/>
                <w:szCs w:val="27"/>
                <w:lang w:val="uk-UA"/>
              </w:rPr>
              <w:t xml:space="preserve"> </w:t>
            </w:r>
            <w:r w:rsidR="001D795B">
              <w:rPr>
                <w:rFonts w:ascii="Times New Roman" w:eastAsia="Times New Roman" w:hAnsi="Times New Roman" w:cs="Times New Roman"/>
                <w:sz w:val="27"/>
                <w:szCs w:val="27"/>
                <w:lang w:val="uk-UA"/>
              </w:rPr>
              <w:t>Європейського Парламенту та Ради від 3 червня 2003 р. про діяльність установ недержавного пенсійного забезпечення і нагляд за нею</w:t>
            </w:r>
            <w:hyperlink r:id="rId17" w:anchor="ntr13-L_2012201EN.01000101-E0013" w:history="1">
              <w:r w:rsidR="00DE77B0" w:rsidRPr="006279CF">
                <w:rPr>
                  <w:rFonts w:ascii="Times New Roman" w:eastAsia="Times New Roman" w:hAnsi="Times New Roman" w:cs="Times New Roman"/>
                  <w:sz w:val="27"/>
                  <w:szCs w:val="27"/>
                  <w:bdr w:val="none" w:sz="0" w:space="0" w:color="auto" w:frame="1"/>
                </w:rPr>
                <w:t> </w:t>
              </w:r>
              <w:r w:rsidR="00DE77B0" w:rsidRPr="00F853B2">
                <w:rPr>
                  <w:rFonts w:ascii="Times New Roman" w:eastAsia="Times New Roman" w:hAnsi="Times New Roman" w:cs="Times New Roman"/>
                  <w:sz w:val="27"/>
                  <w:szCs w:val="27"/>
                  <w:bdr w:val="none" w:sz="0" w:space="0" w:color="auto" w:frame="1"/>
                </w:rPr>
                <w:t>(</w:t>
              </w:r>
              <w:r w:rsidR="00DE77B0" w:rsidRPr="00F853B2">
                <w:rPr>
                  <w:rFonts w:ascii="Times New Roman" w:eastAsia="Times New Roman" w:hAnsi="Times New Roman" w:cs="Times New Roman"/>
                  <w:sz w:val="19"/>
                  <w:szCs w:val="19"/>
                  <w:bdr w:val="none" w:sz="0" w:space="0" w:color="auto" w:frame="1"/>
                  <w:vertAlign w:val="superscript"/>
                </w:rPr>
                <w:t>13</w:t>
              </w:r>
              <w:r w:rsidR="00DE77B0" w:rsidRPr="00F853B2">
                <w:rPr>
                  <w:rFonts w:ascii="Times New Roman" w:eastAsia="Times New Roman" w:hAnsi="Times New Roman" w:cs="Times New Roman"/>
                  <w:sz w:val="27"/>
                  <w:szCs w:val="27"/>
                  <w:bdr w:val="none" w:sz="0" w:space="0" w:color="auto" w:frame="1"/>
                </w:rPr>
                <w:t>)</w:t>
              </w:r>
            </w:hyperlink>
            <w:r w:rsidR="001D795B">
              <w:rPr>
                <w:rFonts w:ascii="Times New Roman" w:eastAsia="Times New Roman" w:hAnsi="Times New Roman" w:cs="Times New Roman"/>
                <w:sz w:val="27"/>
                <w:szCs w:val="27"/>
                <w:bdr w:val="none" w:sz="0" w:space="0" w:color="auto" w:frame="1"/>
                <w:lang w:val="uk-UA"/>
              </w:rPr>
              <w:t xml:space="preserve">, і альтернативні інвестиційні фонди, керовані </w:t>
            </w:r>
            <w:r w:rsidR="00F853B2">
              <w:rPr>
                <w:rFonts w:ascii="Times New Roman" w:eastAsia="Times New Roman" w:hAnsi="Times New Roman" w:cs="Times New Roman"/>
                <w:sz w:val="27"/>
                <w:szCs w:val="27"/>
                <w:bdr w:val="none" w:sz="0" w:space="0" w:color="auto" w:frame="1"/>
                <w:lang w:val="uk-UA"/>
              </w:rPr>
              <w:t xml:space="preserve">компаніями </w:t>
            </w:r>
            <w:r w:rsidR="001D795B">
              <w:rPr>
                <w:rFonts w:ascii="Times New Roman" w:eastAsia="Times New Roman" w:hAnsi="Times New Roman" w:cs="Times New Roman"/>
                <w:sz w:val="27"/>
                <w:szCs w:val="27"/>
                <w:bdr w:val="none" w:sz="0" w:space="0" w:color="auto" w:frame="1"/>
                <w:lang w:val="uk-UA"/>
              </w:rPr>
              <w:t>управляючими альтернативними інвестиційними фондами</w:t>
            </w:r>
            <w:r w:rsidR="00DE77B0" w:rsidRPr="00F853B2">
              <w:rPr>
                <w:rFonts w:ascii="Times New Roman" w:eastAsia="Times New Roman" w:hAnsi="Times New Roman" w:cs="Times New Roman"/>
                <w:sz w:val="27"/>
                <w:szCs w:val="27"/>
              </w:rPr>
              <w:t xml:space="preserve"> (</w:t>
            </w:r>
            <w:r w:rsidR="00DE77B0" w:rsidRPr="006279CF">
              <w:rPr>
                <w:rFonts w:ascii="Times New Roman" w:eastAsia="Times New Roman" w:hAnsi="Times New Roman" w:cs="Times New Roman"/>
                <w:sz w:val="27"/>
                <w:szCs w:val="27"/>
              </w:rPr>
              <w:t>AIFM</w:t>
            </w:r>
            <w:r w:rsidR="00DE77B0" w:rsidRPr="00F853B2">
              <w:rPr>
                <w:rFonts w:ascii="Times New Roman" w:eastAsia="Times New Roman" w:hAnsi="Times New Roman" w:cs="Times New Roman"/>
                <w:sz w:val="27"/>
                <w:szCs w:val="27"/>
              </w:rPr>
              <w:t>)</w:t>
            </w:r>
            <w:r w:rsidR="00F853B2" w:rsidRPr="00F853B2">
              <w:rPr>
                <w:rFonts w:ascii="Times New Roman" w:eastAsia="Times New Roman" w:hAnsi="Times New Roman" w:cs="Times New Roman"/>
                <w:sz w:val="27"/>
                <w:szCs w:val="27"/>
              </w:rPr>
              <w:t xml:space="preserve">, </w:t>
            </w:r>
            <w:r w:rsidR="00F853B2">
              <w:rPr>
                <w:rFonts w:ascii="Times New Roman" w:eastAsia="Times New Roman" w:hAnsi="Times New Roman" w:cs="Times New Roman"/>
                <w:sz w:val="27"/>
                <w:szCs w:val="27"/>
                <w:lang w:val="uk-UA"/>
              </w:rPr>
              <w:t>уповноважені або зареєстровані згідно з Директивою</w:t>
            </w:r>
            <w:r w:rsidR="00F853B2">
              <w:rPr>
                <w:rFonts w:ascii="Times New Roman" w:eastAsia="Times New Roman" w:hAnsi="Times New Roman" w:cs="Times New Roman"/>
                <w:sz w:val="27"/>
                <w:szCs w:val="27"/>
              </w:rPr>
              <w:t xml:space="preserve"> </w:t>
            </w:r>
            <w:r w:rsidR="00F853B2" w:rsidRPr="00F853B2">
              <w:rPr>
                <w:rFonts w:ascii="Times New Roman" w:eastAsia="Times New Roman" w:hAnsi="Times New Roman" w:cs="Times New Roman"/>
                <w:sz w:val="27"/>
                <w:szCs w:val="27"/>
                <w:lang w:val="ru-RU"/>
              </w:rPr>
              <w:t>2011/61/</w:t>
            </w:r>
            <w:r w:rsidR="00F853B2">
              <w:rPr>
                <w:rFonts w:ascii="Times New Roman" w:eastAsia="Times New Roman" w:hAnsi="Times New Roman" w:cs="Times New Roman"/>
                <w:sz w:val="27"/>
                <w:szCs w:val="27"/>
              </w:rPr>
              <w:t>EU</w:t>
            </w:r>
            <w:r w:rsidR="00F853B2" w:rsidRPr="00F853B2">
              <w:rPr>
                <w:rFonts w:ascii="Times New Roman" w:eastAsia="Times New Roman" w:hAnsi="Times New Roman" w:cs="Times New Roman"/>
                <w:sz w:val="27"/>
                <w:szCs w:val="27"/>
                <w:lang w:val="ru-RU"/>
              </w:rPr>
              <w:t xml:space="preserve"> </w:t>
            </w:r>
            <w:r w:rsidR="00F853B2">
              <w:rPr>
                <w:rFonts w:ascii="Times New Roman" w:eastAsia="Times New Roman" w:hAnsi="Times New Roman" w:cs="Times New Roman"/>
                <w:sz w:val="27"/>
                <w:szCs w:val="27"/>
                <w:lang w:val="uk-UA"/>
              </w:rPr>
              <w:t>Європейського Парламенту та Ради від 8 червня 2011 р. про компанії, управляючі альтернативними інвестиційними фондами</w:t>
            </w:r>
            <w:hyperlink r:id="rId18" w:anchor="ntr14-L_2012201EN.01000101-E0014" w:history="1">
              <w:r w:rsidR="00DE77B0" w:rsidRPr="006279CF">
                <w:rPr>
                  <w:rFonts w:ascii="Times New Roman" w:eastAsia="Times New Roman" w:hAnsi="Times New Roman" w:cs="Times New Roman"/>
                  <w:sz w:val="27"/>
                  <w:szCs w:val="27"/>
                  <w:bdr w:val="none" w:sz="0" w:space="0" w:color="auto" w:frame="1"/>
                </w:rPr>
                <w:t> </w:t>
              </w:r>
              <w:r w:rsidR="00DE77B0" w:rsidRPr="00F853B2">
                <w:rPr>
                  <w:rFonts w:ascii="Times New Roman" w:eastAsia="Times New Roman" w:hAnsi="Times New Roman" w:cs="Times New Roman"/>
                  <w:sz w:val="27"/>
                  <w:szCs w:val="27"/>
                  <w:bdr w:val="none" w:sz="0" w:space="0" w:color="auto" w:frame="1"/>
                  <w:lang w:val="ru-RU"/>
                </w:rPr>
                <w:t>(</w:t>
              </w:r>
              <w:r w:rsidR="00DE77B0" w:rsidRPr="00F853B2">
                <w:rPr>
                  <w:rFonts w:ascii="Times New Roman" w:eastAsia="Times New Roman" w:hAnsi="Times New Roman" w:cs="Times New Roman"/>
                  <w:sz w:val="19"/>
                  <w:szCs w:val="19"/>
                  <w:bdr w:val="none" w:sz="0" w:space="0" w:color="auto" w:frame="1"/>
                  <w:vertAlign w:val="superscript"/>
                  <w:lang w:val="ru-RU"/>
                </w:rPr>
                <w:t>14</w:t>
              </w:r>
              <w:r w:rsidR="00DE77B0" w:rsidRPr="00F853B2">
                <w:rPr>
                  <w:rFonts w:ascii="Times New Roman" w:eastAsia="Times New Roman" w:hAnsi="Times New Roman" w:cs="Times New Roman"/>
                  <w:sz w:val="27"/>
                  <w:szCs w:val="27"/>
                  <w:bdr w:val="none" w:sz="0" w:space="0" w:color="auto" w:frame="1"/>
                  <w:lang w:val="ru-RU"/>
                </w:rPr>
                <w:t>)</w:t>
              </w:r>
            </w:hyperlink>
            <w:r w:rsidR="00DE77B0" w:rsidRPr="00F853B2">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4C47AC" w:rsidP="00233856">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Суб’єкти, що управляють пенсійними схемами, головне призначення котрих – надавати допомогу після виходу на пенсію, зазвичай у формі</w:t>
            </w:r>
            <w:r w:rsidRPr="00804CD3">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lang w:val="uk-UA"/>
              </w:rPr>
              <w:t>довічних платежів</w:t>
            </w:r>
            <w:r w:rsidR="00804CD3">
              <w:rPr>
                <w:rFonts w:ascii="Times New Roman" w:eastAsia="Times New Roman" w:hAnsi="Times New Roman" w:cs="Times New Roman"/>
                <w:sz w:val="27"/>
                <w:szCs w:val="27"/>
                <w:lang w:val="uk-UA"/>
              </w:rPr>
              <w:t xml:space="preserve">, а також у формі платежів на певний період часу чи одноразових виплат, зазвичай мінімізують відрахування в готівковий фонд, щоб максимально підвищити ефективність і дохід для власників полісів. </w:t>
            </w:r>
            <w:r w:rsidR="005005E5">
              <w:rPr>
                <w:rFonts w:ascii="Times New Roman" w:eastAsia="Times New Roman" w:hAnsi="Times New Roman" w:cs="Times New Roman"/>
                <w:sz w:val="27"/>
                <w:szCs w:val="27"/>
                <w:lang w:val="uk-UA"/>
              </w:rPr>
              <w:t xml:space="preserve">Тому поширення на цих суб’єктів вимоги про централізований кліринг контрактів на позабіржові деривативи призвело б до </w:t>
            </w:r>
            <w:r w:rsidR="004245B4">
              <w:rPr>
                <w:rFonts w:ascii="Times New Roman" w:eastAsia="Times New Roman" w:hAnsi="Times New Roman" w:cs="Times New Roman"/>
                <w:sz w:val="27"/>
                <w:szCs w:val="27"/>
                <w:lang w:val="uk-UA"/>
              </w:rPr>
              <w:t>вибуття</w:t>
            </w:r>
            <w:r w:rsidR="005005E5">
              <w:rPr>
                <w:rFonts w:ascii="Times New Roman" w:eastAsia="Times New Roman" w:hAnsi="Times New Roman" w:cs="Times New Roman"/>
                <w:sz w:val="27"/>
                <w:szCs w:val="27"/>
                <w:lang w:val="uk-UA"/>
              </w:rPr>
              <w:t xml:space="preserve"> значної частки їхніх активів </w:t>
            </w:r>
            <w:r w:rsidR="004245B4">
              <w:rPr>
                <w:rFonts w:ascii="Times New Roman" w:eastAsia="Times New Roman" w:hAnsi="Times New Roman" w:cs="Times New Roman"/>
                <w:sz w:val="27"/>
                <w:szCs w:val="27"/>
                <w:lang w:val="uk-UA"/>
              </w:rPr>
              <w:t xml:space="preserve">в обмін на готівку, щоб вони могли виконати поточні вимоги ЦКА щодо маржування. Щоб уникнути ймовірного негативного впливу такої вимоги на пенсійний дохід майбутніх пенсіонерів, зобов’язання щодо клірингу не слід поширювати на пенсійні схеми, поки ЦКА не вироблять </w:t>
            </w:r>
            <w:r w:rsidR="0042270D">
              <w:rPr>
                <w:rFonts w:ascii="Times New Roman" w:eastAsia="Times New Roman" w:hAnsi="Times New Roman" w:cs="Times New Roman"/>
                <w:sz w:val="27"/>
                <w:szCs w:val="27"/>
                <w:lang w:val="uk-UA"/>
              </w:rPr>
              <w:t xml:space="preserve">для цієї проблеми </w:t>
            </w:r>
            <w:r w:rsidR="004245B4">
              <w:rPr>
                <w:rFonts w:ascii="Times New Roman" w:eastAsia="Times New Roman" w:hAnsi="Times New Roman" w:cs="Times New Roman"/>
                <w:sz w:val="27"/>
                <w:szCs w:val="27"/>
                <w:lang w:val="uk-UA"/>
              </w:rPr>
              <w:t xml:space="preserve">придатне технічне рішення щодо </w:t>
            </w:r>
            <w:r w:rsidR="0042270D">
              <w:rPr>
                <w:rFonts w:ascii="Times New Roman" w:eastAsia="Times New Roman" w:hAnsi="Times New Roman" w:cs="Times New Roman"/>
                <w:sz w:val="27"/>
                <w:szCs w:val="27"/>
                <w:lang w:val="uk-UA"/>
              </w:rPr>
              <w:t xml:space="preserve">передачі негрошового забезпечення як варіаційної маржі. Таке технічне рішення має враховувати особливу роль пенсійних схем і забезпечувати уникнення істотно несприятливих наслідків для пенсіонерів. Упродовж перехідного періоду контракти на позабіржові деривативи, укладені з метою зменшення інвестиційних ризиків, що прямо стосуються фінансової платоспроможності пенсійних схем, </w:t>
            </w:r>
            <w:r w:rsidR="00233856">
              <w:rPr>
                <w:rFonts w:ascii="Times New Roman" w:eastAsia="Times New Roman" w:hAnsi="Times New Roman" w:cs="Times New Roman"/>
                <w:sz w:val="27"/>
                <w:szCs w:val="27"/>
                <w:lang w:val="uk-UA"/>
              </w:rPr>
              <w:t>повинні підпадати не лише під вимогу про звітування, а й також під вимоги про двостороннє надання забезпечення. Кінцева мета, однак, полягає у централізованому клірингу, що має бути запроваджений</w:t>
            </w:r>
            <w:r w:rsidR="00233856">
              <w:rPr>
                <w:rFonts w:ascii="Times New Roman" w:eastAsia="Times New Roman" w:hAnsi="Times New Roman" w:cs="Times New Roman"/>
                <w:sz w:val="27"/>
                <w:szCs w:val="27"/>
                <w:lang w:val="ru-RU"/>
              </w:rPr>
              <w:t xml:space="preserve">, як </w:t>
            </w:r>
            <w:proofErr w:type="spellStart"/>
            <w:r w:rsidR="00233856">
              <w:rPr>
                <w:rFonts w:ascii="Times New Roman" w:eastAsia="Times New Roman" w:hAnsi="Times New Roman" w:cs="Times New Roman"/>
                <w:sz w:val="27"/>
                <w:szCs w:val="27"/>
                <w:lang w:val="ru-RU"/>
              </w:rPr>
              <w:t>тільки</w:t>
            </w:r>
            <w:proofErr w:type="spellEnd"/>
            <w:r w:rsidR="00233856">
              <w:rPr>
                <w:rFonts w:ascii="Times New Roman" w:eastAsia="Times New Roman" w:hAnsi="Times New Roman" w:cs="Times New Roman"/>
                <w:sz w:val="27"/>
                <w:szCs w:val="27"/>
                <w:lang w:val="ru-RU"/>
              </w:rPr>
              <w:t xml:space="preserve"> </w:t>
            </w:r>
            <w:proofErr w:type="spellStart"/>
            <w:r w:rsidR="00233856">
              <w:rPr>
                <w:rFonts w:ascii="Times New Roman" w:eastAsia="Times New Roman" w:hAnsi="Times New Roman" w:cs="Times New Roman"/>
                <w:sz w:val="27"/>
                <w:szCs w:val="27"/>
                <w:lang w:val="ru-RU"/>
              </w:rPr>
              <w:t>це</w:t>
            </w:r>
            <w:proofErr w:type="spellEnd"/>
            <w:r w:rsidR="00233856">
              <w:rPr>
                <w:rFonts w:ascii="Times New Roman" w:eastAsia="Times New Roman" w:hAnsi="Times New Roman" w:cs="Times New Roman"/>
                <w:sz w:val="27"/>
                <w:szCs w:val="27"/>
                <w:lang w:val="ru-RU"/>
              </w:rPr>
              <w:t xml:space="preserve"> буде </w:t>
            </w:r>
            <w:proofErr w:type="spellStart"/>
            <w:r w:rsidR="00233856">
              <w:rPr>
                <w:rFonts w:ascii="Times New Roman" w:eastAsia="Times New Roman" w:hAnsi="Times New Roman" w:cs="Times New Roman"/>
                <w:sz w:val="27"/>
                <w:szCs w:val="27"/>
                <w:lang w:val="ru-RU"/>
              </w:rPr>
              <w:t>доречно</w:t>
            </w:r>
            <w:proofErr w:type="spellEnd"/>
            <w:r w:rsidR="00233856">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473936" w:rsidRDefault="00283719" w:rsidP="00473936">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Важливо забезпечити, щоб особливий режим поширювався тільки на відповідних суб’єктів і відповідні схеми, а також ураховувати різноманіття пенсійних систем у Союзі</w:t>
            </w:r>
            <w:r w:rsidR="00D2311F">
              <w:rPr>
                <w:rFonts w:ascii="Times New Roman" w:eastAsia="Times New Roman" w:hAnsi="Times New Roman" w:cs="Times New Roman"/>
                <w:sz w:val="27"/>
                <w:szCs w:val="27"/>
                <w:lang w:val="uk-UA"/>
              </w:rPr>
              <w:t xml:space="preserve">, при цьому </w:t>
            </w:r>
            <w:proofErr w:type="spellStart"/>
            <w:r w:rsidR="00D2311F">
              <w:rPr>
                <w:rFonts w:ascii="Times New Roman" w:eastAsia="Times New Roman" w:hAnsi="Times New Roman" w:cs="Times New Roman"/>
                <w:sz w:val="27"/>
                <w:szCs w:val="27"/>
                <w:lang w:val="uk-UA"/>
              </w:rPr>
              <w:t>створююючи</w:t>
            </w:r>
            <w:proofErr w:type="spellEnd"/>
            <w:r w:rsidR="00D2311F">
              <w:rPr>
                <w:rFonts w:ascii="Times New Roman" w:eastAsia="Times New Roman" w:hAnsi="Times New Roman" w:cs="Times New Roman"/>
                <w:sz w:val="27"/>
                <w:szCs w:val="27"/>
                <w:lang w:val="uk-UA"/>
              </w:rPr>
              <w:t xml:space="preserve"> однакові умови для всіх </w:t>
            </w:r>
            <w:r w:rsidR="00D2311F">
              <w:rPr>
                <w:rFonts w:ascii="Times New Roman" w:eastAsia="Times New Roman" w:hAnsi="Times New Roman" w:cs="Times New Roman"/>
                <w:sz w:val="27"/>
                <w:szCs w:val="27"/>
                <w:lang w:val="uk-UA"/>
              </w:rPr>
              <w:lastRenderedPageBreak/>
              <w:t xml:space="preserve">пенсійних схем. Тому необхідно </w:t>
            </w:r>
            <w:r w:rsidR="008D03D7">
              <w:rPr>
                <w:rFonts w:ascii="Times New Roman" w:eastAsia="Times New Roman" w:hAnsi="Times New Roman" w:cs="Times New Roman"/>
                <w:sz w:val="27"/>
                <w:szCs w:val="27"/>
                <w:lang w:val="uk-UA"/>
              </w:rPr>
              <w:t>надати</w:t>
            </w:r>
            <w:r w:rsidR="00D2311F">
              <w:rPr>
                <w:rFonts w:ascii="Times New Roman" w:eastAsia="Times New Roman" w:hAnsi="Times New Roman" w:cs="Times New Roman"/>
                <w:sz w:val="27"/>
                <w:szCs w:val="27"/>
                <w:lang w:val="uk-UA"/>
              </w:rPr>
              <w:t xml:space="preserve"> часткове звільнення установ</w:t>
            </w:r>
            <w:r w:rsidR="008D03D7">
              <w:rPr>
                <w:rFonts w:ascii="Times New Roman" w:eastAsia="Times New Roman" w:hAnsi="Times New Roman" w:cs="Times New Roman"/>
                <w:sz w:val="27"/>
                <w:szCs w:val="27"/>
                <w:lang w:val="uk-UA"/>
              </w:rPr>
              <w:t>ам</w:t>
            </w:r>
            <w:r w:rsidR="00D2311F">
              <w:rPr>
                <w:rFonts w:ascii="Times New Roman" w:eastAsia="Times New Roman" w:hAnsi="Times New Roman" w:cs="Times New Roman"/>
                <w:sz w:val="27"/>
                <w:szCs w:val="27"/>
                <w:lang w:val="uk-UA"/>
              </w:rPr>
              <w:t xml:space="preserve"> недер</w:t>
            </w:r>
            <w:r w:rsidR="008D03D7">
              <w:rPr>
                <w:rFonts w:ascii="Times New Roman" w:eastAsia="Times New Roman" w:hAnsi="Times New Roman" w:cs="Times New Roman"/>
                <w:sz w:val="27"/>
                <w:szCs w:val="27"/>
                <w:lang w:val="uk-UA"/>
              </w:rPr>
              <w:t>жавного пенсійного забезпечення, зареєстрованим згідно з Директивою 2003/41/ЕС, включаючи всіх уповноважених суб’єктів, відповідальних за управління такими установами та діючих від їхнього імені, як зазначено у ст. 2(1) вищезгаданої директиви, а також усі юридичні особи, створені з метою інвестування такими установами, діючі виключно в їхніх інтересах</w:t>
            </w:r>
            <w:r w:rsidR="00473936">
              <w:rPr>
                <w:rFonts w:ascii="Times New Roman" w:eastAsia="Times New Roman" w:hAnsi="Times New Roman" w:cs="Times New Roman"/>
                <w:sz w:val="27"/>
                <w:szCs w:val="27"/>
                <w:lang w:val="uk-UA"/>
              </w:rPr>
              <w:t>, і, крім того, видам діяльності таких установ щодо недержавного пенсійного забезпечення, згаданим у ст. 3 Директиви</w:t>
            </w:r>
            <w:r w:rsidR="00DE77B0" w:rsidRPr="00473936">
              <w:rPr>
                <w:rFonts w:ascii="Times New Roman" w:eastAsia="Times New Roman" w:hAnsi="Times New Roman" w:cs="Times New Roman"/>
                <w:sz w:val="27"/>
                <w:szCs w:val="27"/>
                <w:lang w:val="uk-UA"/>
              </w:rPr>
              <w:t xml:space="preserve"> 2003/41/</w:t>
            </w:r>
            <w:r w:rsidR="00DE77B0" w:rsidRPr="006279CF">
              <w:rPr>
                <w:rFonts w:ascii="Times New Roman" w:eastAsia="Times New Roman" w:hAnsi="Times New Roman" w:cs="Times New Roman"/>
                <w:sz w:val="27"/>
                <w:szCs w:val="27"/>
              </w:rPr>
              <w:t>EC</w:t>
            </w:r>
            <w:r w:rsidR="00DE77B0" w:rsidRPr="00473936">
              <w:rPr>
                <w:rFonts w:ascii="Times New Roman" w:eastAsia="Times New Roman" w:hAnsi="Times New Roman" w:cs="Times New Roman"/>
                <w:sz w:val="27"/>
                <w:szCs w:val="27"/>
                <w:lang w:val="uk-UA"/>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37D09" w:rsidRDefault="00FA74BF" w:rsidP="00D979C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Тимчасове звільнення також слід поширити на діяльність із недержавного пенсійного забезпечення організацій страхування життя, за умови, що всі відповідні активи та пасиви захищаються, управляються і організовані окремо, без будь-якої можливості передачі</w:t>
            </w:r>
            <w:r w:rsidR="00CA1473">
              <w:rPr>
                <w:rFonts w:ascii="Times New Roman" w:eastAsia="Times New Roman" w:hAnsi="Times New Roman" w:cs="Times New Roman"/>
                <w:sz w:val="27"/>
                <w:szCs w:val="27"/>
                <w:lang w:val="uk-UA"/>
              </w:rPr>
              <w:t xml:space="preserve">. </w:t>
            </w:r>
            <w:r w:rsidR="00EA536B">
              <w:rPr>
                <w:rFonts w:ascii="Times New Roman" w:eastAsia="Times New Roman" w:hAnsi="Times New Roman" w:cs="Times New Roman"/>
                <w:sz w:val="27"/>
                <w:szCs w:val="27"/>
                <w:lang w:val="uk-UA"/>
              </w:rPr>
              <w:t>Звільнення також слід поширити на інших уповноважених та контрольованих суб’єктів, діючих лише у національному масштабі, і на механізми, пе</w:t>
            </w:r>
            <w:r w:rsidR="00165603">
              <w:rPr>
                <w:rFonts w:ascii="Times New Roman" w:eastAsia="Times New Roman" w:hAnsi="Times New Roman" w:cs="Times New Roman"/>
                <w:sz w:val="27"/>
                <w:szCs w:val="27"/>
                <w:lang w:val="uk-UA"/>
              </w:rPr>
              <w:t>редбачені переважно на території однієї держави-члена</w:t>
            </w:r>
            <w:r w:rsidR="008C5F1B">
              <w:rPr>
                <w:rFonts w:ascii="Times New Roman" w:eastAsia="Times New Roman" w:hAnsi="Times New Roman" w:cs="Times New Roman"/>
                <w:sz w:val="27"/>
                <w:szCs w:val="27"/>
                <w:lang w:val="uk-UA"/>
              </w:rPr>
              <w:t xml:space="preserve"> Союзу</w:t>
            </w:r>
            <w:r w:rsidR="00165603">
              <w:rPr>
                <w:rFonts w:ascii="Times New Roman" w:eastAsia="Times New Roman" w:hAnsi="Times New Roman" w:cs="Times New Roman"/>
                <w:sz w:val="27"/>
                <w:szCs w:val="27"/>
                <w:lang w:val="uk-UA"/>
              </w:rPr>
              <w:t>, лише якщо обидва вони визнані національним законодавством, а їхня головна мета – виплачувати допомогу після виходу на пенсію. Суб’єкти та механізми, згадані у цьому пункті, повинні підпадати під дію рішення відповідного компетентного органу</w:t>
            </w:r>
            <w:r w:rsidR="0099065E">
              <w:rPr>
                <w:rFonts w:ascii="Times New Roman" w:eastAsia="Times New Roman" w:hAnsi="Times New Roman" w:cs="Times New Roman"/>
                <w:sz w:val="27"/>
                <w:szCs w:val="27"/>
                <w:lang w:val="uk-UA"/>
              </w:rPr>
              <w:t xml:space="preserve"> та, з метою забезпечення узгодженості, усунення можливих розходжень і уникнення зловживань, висновку </w:t>
            </w:r>
            <w:r w:rsidR="0099065E">
              <w:rPr>
                <w:rFonts w:ascii="Times New Roman" w:eastAsia="Times New Roman" w:hAnsi="Times New Roman" w:cs="Times New Roman"/>
                <w:sz w:val="27"/>
                <w:szCs w:val="27"/>
              </w:rPr>
              <w:t>ESMA</w:t>
            </w:r>
            <w:r w:rsidR="0099065E">
              <w:rPr>
                <w:rFonts w:ascii="Times New Roman" w:eastAsia="Times New Roman" w:hAnsi="Times New Roman" w:cs="Times New Roman"/>
                <w:sz w:val="27"/>
                <w:szCs w:val="27"/>
                <w:lang w:val="uk-UA"/>
              </w:rPr>
              <w:t>, прийнятого після консультацій з ЕІОРА.</w:t>
            </w:r>
            <w:r w:rsidR="00CC1593">
              <w:rPr>
                <w:rFonts w:ascii="Times New Roman" w:eastAsia="Times New Roman" w:hAnsi="Times New Roman" w:cs="Times New Roman"/>
                <w:sz w:val="27"/>
                <w:szCs w:val="27"/>
                <w:lang w:val="uk-UA"/>
              </w:rPr>
              <w:t xml:space="preserve"> Це можуть бути суб’єкти та механізми, не обов’язково пов'язані з пенсійною програмою роботодавця, але все одне маючі як першочергову мету забезпечення доходу при виході на пенсію – або на обов’язкових, або на добровільних умовах. </w:t>
            </w:r>
            <w:r w:rsidR="006A685B">
              <w:rPr>
                <w:rFonts w:ascii="Times New Roman" w:eastAsia="Times New Roman" w:hAnsi="Times New Roman" w:cs="Times New Roman"/>
                <w:sz w:val="27"/>
                <w:szCs w:val="27"/>
                <w:lang w:val="uk-UA"/>
              </w:rPr>
              <w:t xml:space="preserve">Серед прикладів можна назвати юридичні особи, які управляють накопичувальними пенсійними схемами згідно з національним законодавством, за умови інвестування ними коштів згідно з принципом </w:t>
            </w:r>
            <w:r w:rsidR="006A685B" w:rsidRPr="006A685B">
              <w:rPr>
                <w:rFonts w:ascii="Times New Roman" w:eastAsia="Times New Roman" w:hAnsi="Times New Roman" w:cs="Times New Roman"/>
                <w:sz w:val="27"/>
                <w:szCs w:val="27"/>
                <w:lang w:val="uk-UA"/>
              </w:rPr>
              <w:t>«</w:t>
            </w:r>
            <w:r w:rsidR="006A685B">
              <w:rPr>
                <w:rFonts w:ascii="Times New Roman" w:eastAsia="Times New Roman" w:hAnsi="Times New Roman" w:cs="Times New Roman"/>
                <w:sz w:val="27"/>
                <w:szCs w:val="27"/>
                <w:lang w:val="uk-UA"/>
              </w:rPr>
              <w:t>розсудливої людини»</w:t>
            </w:r>
            <w:r w:rsidR="00D21F87">
              <w:rPr>
                <w:rFonts w:ascii="Times New Roman" w:eastAsia="Times New Roman" w:hAnsi="Times New Roman" w:cs="Times New Roman"/>
                <w:sz w:val="27"/>
                <w:szCs w:val="27"/>
                <w:lang w:val="uk-UA"/>
              </w:rPr>
              <w:t xml:space="preserve">, та угоди про пенсійне забезпечення, укладені безпосередньо особами, які також можуть </w:t>
            </w:r>
            <w:r w:rsidR="00D979C9">
              <w:rPr>
                <w:rFonts w:ascii="Times New Roman" w:eastAsia="Times New Roman" w:hAnsi="Times New Roman" w:cs="Times New Roman"/>
                <w:sz w:val="27"/>
                <w:szCs w:val="27"/>
                <w:lang w:val="uk-UA"/>
              </w:rPr>
              <w:t>укладатися з страхувальниками життя. Звільнення у випадку укладення угод про пенсійне забезпечення безпосередньо особами не повинно охоплювати контракти на позабіржові деривативи, які стосуються інших продуктів  страхувальника життя, головна мета котрих не полягає у забезпеченні доходу при виході на пенсію.</w:t>
            </w:r>
          </w:p>
          <w:p w:rsidR="00DE77B0" w:rsidRPr="00AB17E1" w:rsidRDefault="00E37D09" w:rsidP="003B52B8">
            <w:pPr>
              <w:spacing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Для прикладу також можна навести </w:t>
            </w:r>
            <w:r w:rsidR="00777911">
              <w:rPr>
                <w:rFonts w:ascii="Times New Roman" w:eastAsia="Times New Roman" w:hAnsi="Times New Roman" w:cs="Times New Roman"/>
                <w:sz w:val="27"/>
                <w:szCs w:val="27"/>
                <w:lang w:val="uk-UA"/>
              </w:rPr>
              <w:t>діяльність із</w:t>
            </w:r>
            <w:r>
              <w:rPr>
                <w:rFonts w:ascii="Times New Roman" w:eastAsia="Times New Roman" w:hAnsi="Times New Roman" w:cs="Times New Roman"/>
                <w:sz w:val="27"/>
                <w:szCs w:val="27"/>
                <w:lang w:val="uk-UA"/>
              </w:rPr>
              <w:t xml:space="preserve"> пенсійного забезпечення </w:t>
            </w:r>
            <w:r w:rsidR="004D6A15">
              <w:rPr>
                <w:rFonts w:ascii="Times New Roman" w:eastAsia="Times New Roman" w:hAnsi="Times New Roman" w:cs="Times New Roman"/>
                <w:sz w:val="27"/>
                <w:szCs w:val="27"/>
                <w:lang w:val="uk-UA"/>
              </w:rPr>
              <w:t>страхових компаній</w:t>
            </w:r>
            <w:r>
              <w:rPr>
                <w:rFonts w:ascii="Times New Roman" w:eastAsia="Times New Roman" w:hAnsi="Times New Roman" w:cs="Times New Roman"/>
                <w:sz w:val="27"/>
                <w:szCs w:val="27"/>
                <w:lang w:val="uk-UA"/>
              </w:rPr>
              <w:t>, охоплену Директивою 2002/83/ЕС, за умови, щ</w:t>
            </w:r>
            <w:r w:rsidR="00777911">
              <w:rPr>
                <w:rFonts w:ascii="Times New Roman" w:eastAsia="Times New Roman" w:hAnsi="Times New Roman" w:cs="Times New Roman"/>
                <w:sz w:val="27"/>
                <w:szCs w:val="27"/>
                <w:lang w:val="uk-UA"/>
              </w:rPr>
              <w:t>о всі активи, які відповідають цій діяльності, включені у спеціальний реєстр згідно з Додатком до Директиви 2001/17/ЕС Європейського Парламенту та Ради від 19 березня 2001 р. про рео</w:t>
            </w:r>
            <w:r w:rsidR="004D6A15">
              <w:rPr>
                <w:rFonts w:ascii="Times New Roman" w:eastAsia="Times New Roman" w:hAnsi="Times New Roman" w:cs="Times New Roman"/>
                <w:sz w:val="27"/>
                <w:szCs w:val="27"/>
                <w:lang w:val="uk-UA"/>
              </w:rPr>
              <w:t>рганізацію та ліквідацію страхових компаній</w:t>
            </w:r>
            <w:hyperlink r:id="rId19" w:anchor="ntr15-L_2012201EN.01000101-E0015" w:history="1">
              <w:r w:rsidR="00DE77B0" w:rsidRPr="006279CF">
                <w:rPr>
                  <w:rFonts w:ascii="Times New Roman" w:eastAsia="Times New Roman" w:hAnsi="Times New Roman" w:cs="Times New Roman"/>
                  <w:sz w:val="27"/>
                  <w:szCs w:val="27"/>
                  <w:bdr w:val="none" w:sz="0" w:space="0" w:color="auto" w:frame="1"/>
                </w:rPr>
                <w:t> </w:t>
              </w:r>
              <w:r w:rsidR="00DE77B0" w:rsidRPr="004D6A15">
                <w:rPr>
                  <w:rFonts w:ascii="Times New Roman" w:eastAsia="Times New Roman" w:hAnsi="Times New Roman" w:cs="Times New Roman"/>
                  <w:sz w:val="27"/>
                  <w:szCs w:val="27"/>
                  <w:bdr w:val="none" w:sz="0" w:space="0" w:color="auto" w:frame="1"/>
                  <w:lang w:val="uk-UA"/>
                </w:rPr>
                <w:t>(</w:t>
              </w:r>
              <w:r w:rsidR="00DE77B0" w:rsidRPr="004D6A15">
                <w:rPr>
                  <w:rFonts w:ascii="Times New Roman" w:eastAsia="Times New Roman" w:hAnsi="Times New Roman" w:cs="Times New Roman"/>
                  <w:sz w:val="19"/>
                  <w:szCs w:val="19"/>
                  <w:bdr w:val="none" w:sz="0" w:space="0" w:color="auto" w:frame="1"/>
                  <w:vertAlign w:val="superscript"/>
                  <w:lang w:val="uk-UA"/>
                </w:rPr>
                <w:t>15</w:t>
              </w:r>
              <w:r w:rsidR="00DE77B0" w:rsidRPr="004D6A15">
                <w:rPr>
                  <w:rFonts w:ascii="Times New Roman" w:eastAsia="Times New Roman" w:hAnsi="Times New Roman" w:cs="Times New Roman"/>
                  <w:sz w:val="27"/>
                  <w:szCs w:val="27"/>
                  <w:bdr w:val="none" w:sz="0" w:space="0" w:color="auto" w:frame="1"/>
                  <w:lang w:val="uk-UA"/>
                </w:rPr>
                <w:t>)</w:t>
              </w:r>
            </w:hyperlink>
            <w:r w:rsidR="004D6A15">
              <w:rPr>
                <w:rFonts w:ascii="Times New Roman" w:eastAsia="Times New Roman" w:hAnsi="Times New Roman" w:cs="Times New Roman"/>
                <w:sz w:val="27"/>
                <w:szCs w:val="27"/>
                <w:bdr w:val="none" w:sz="0" w:space="0" w:color="auto" w:frame="1"/>
                <w:lang w:val="uk-UA"/>
              </w:rPr>
              <w:t xml:space="preserve">, а також схеми недержавного пенсійного забезпечення </w:t>
            </w:r>
            <w:r w:rsidR="004D6A15">
              <w:rPr>
                <w:rFonts w:ascii="Times New Roman" w:eastAsia="Times New Roman" w:hAnsi="Times New Roman" w:cs="Times New Roman"/>
                <w:sz w:val="27"/>
                <w:szCs w:val="27"/>
                <w:bdr w:val="none" w:sz="0" w:space="0" w:color="auto" w:frame="1"/>
                <w:lang w:val="uk-UA"/>
              </w:rPr>
              <w:lastRenderedPageBreak/>
              <w:t xml:space="preserve">страхових компаній на основі колективних договорів. </w:t>
            </w:r>
            <w:r w:rsidR="003B52B8">
              <w:rPr>
                <w:rFonts w:ascii="Times New Roman" w:eastAsia="Times New Roman" w:hAnsi="Times New Roman" w:cs="Times New Roman"/>
                <w:sz w:val="27"/>
                <w:szCs w:val="27"/>
                <w:bdr w:val="none" w:sz="0" w:space="0" w:color="auto" w:frame="1"/>
                <w:lang w:val="uk-UA"/>
              </w:rPr>
              <w:t>Установи, створені з метою надання компенсації учасникам пенсійних схем у випадку дефолту, також повинні вважатися пенсійною схемою в цілях цього регламенту.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FF1CCF" w:rsidP="00E530E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Де доречно, правила, застосовні до фінансових контраг</w:t>
            </w:r>
            <w:r w:rsidR="00400BCE">
              <w:rPr>
                <w:rFonts w:ascii="Times New Roman" w:eastAsia="Times New Roman" w:hAnsi="Times New Roman" w:cs="Times New Roman"/>
                <w:sz w:val="27"/>
                <w:szCs w:val="27"/>
                <w:lang w:val="uk-UA"/>
              </w:rPr>
              <w:t xml:space="preserve">ентів, також повинні застосовуватися до нефінансових контрагентів. </w:t>
            </w:r>
            <w:r w:rsidR="00751C1A">
              <w:rPr>
                <w:rFonts w:ascii="Times New Roman" w:eastAsia="Times New Roman" w:hAnsi="Times New Roman" w:cs="Times New Roman"/>
                <w:sz w:val="27"/>
                <w:szCs w:val="27"/>
                <w:lang w:val="uk-UA"/>
              </w:rPr>
              <w:t xml:space="preserve">Визнано, що нефінансові контрагенти використовують контракти на позабіржові деривативи, щоб застрахуватися від комерційних ризиків, безпосередньо пов’язаних з їхньою комерційною або </w:t>
            </w:r>
            <w:proofErr w:type="spellStart"/>
            <w:r w:rsidR="00751C1A">
              <w:rPr>
                <w:rFonts w:ascii="Times New Roman" w:eastAsia="Times New Roman" w:hAnsi="Times New Roman" w:cs="Times New Roman"/>
                <w:sz w:val="27"/>
                <w:szCs w:val="27"/>
                <w:lang w:val="uk-UA"/>
              </w:rPr>
              <w:t>казначейсько</w:t>
            </w:r>
            <w:proofErr w:type="spellEnd"/>
            <w:r w:rsidR="00751C1A">
              <w:rPr>
                <w:rFonts w:ascii="Times New Roman" w:eastAsia="Times New Roman" w:hAnsi="Times New Roman" w:cs="Times New Roman"/>
                <w:sz w:val="27"/>
                <w:szCs w:val="27"/>
                <w:lang w:val="uk-UA"/>
              </w:rPr>
              <w:t xml:space="preserve">-фінансовою діяльністю. </w:t>
            </w:r>
            <w:r w:rsidR="00BC4D69">
              <w:rPr>
                <w:rFonts w:ascii="Times New Roman" w:eastAsia="Times New Roman" w:hAnsi="Times New Roman" w:cs="Times New Roman"/>
                <w:sz w:val="27"/>
                <w:szCs w:val="27"/>
                <w:lang w:val="uk-UA"/>
              </w:rPr>
              <w:t xml:space="preserve">Отже, визначаючи, чи підпадає нефінансовий контрагент під зобов’язання щодо клірингу, слід ураховувати мету, з якою цей контрагент використовує контракти на позабіржові деривативи, та обсяг його участі в цих інструментах. Щоб забезпечити нефінансовим установам можливість висловлення своїх думок щодо </w:t>
            </w:r>
            <w:r w:rsidR="00502B74">
              <w:rPr>
                <w:rFonts w:ascii="Times New Roman" w:eastAsia="Times New Roman" w:hAnsi="Times New Roman" w:cs="Times New Roman"/>
                <w:sz w:val="27"/>
                <w:szCs w:val="27"/>
                <w:lang w:val="uk-UA"/>
              </w:rPr>
              <w:t xml:space="preserve">клірингових порогів, </w:t>
            </w:r>
            <w:r w:rsidR="00DE77B0" w:rsidRPr="006279CF">
              <w:rPr>
                <w:rFonts w:ascii="Times New Roman" w:eastAsia="Times New Roman" w:hAnsi="Times New Roman" w:cs="Times New Roman"/>
                <w:sz w:val="27"/>
                <w:szCs w:val="27"/>
              </w:rPr>
              <w:t>ESMA</w:t>
            </w:r>
            <w:r w:rsidR="00502B74">
              <w:rPr>
                <w:rFonts w:ascii="Times New Roman" w:eastAsia="Times New Roman" w:hAnsi="Times New Roman" w:cs="Times New Roman"/>
                <w:sz w:val="27"/>
                <w:szCs w:val="27"/>
                <w:lang w:val="uk-UA"/>
              </w:rPr>
              <w:t xml:space="preserve"> повинна при підготовці відповідних регуляторних технічних стандартів проводити відкриті громадські консультації з забезпеченням участі нефінансових установ. </w:t>
            </w:r>
            <w:r w:rsidR="00502B74">
              <w:rPr>
                <w:rFonts w:ascii="Times New Roman" w:eastAsia="Times New Roman" w:hAnsi="Times New Roman" w:cs="Times New Roman"/>
                <w:sz w:val="27"/>
                <w:szCs w:val="27"/>
              </w:rPr>
              <w:t>ESMA</w:t>
            </w:r>
            <w:r w:rsidR="00502B74">
              <w:rPr>
                <w:rFonts w:ascii="Times New Roman" w:eastAsia="Times New Roman" w:hAnsi="Times New Roman" w:cs="Times New Roman"/>
                <w:sz w:val="27"/>
                <w:szCs w:val="27"/>
                <w:lang w:val="uk-UA"/>
              </w:rPr>
              <w:t xml:space="preserve"> повинна також консультуватися </w:t>
            </w:r>
            <w:r w:rsidR="00F64067">
              <w:rPr>
                <w:rFonts w:ascii="Times New Roman" w:eastAsia="Times New Roman" w:hAnsi="Times New Roman" w:cs="Times New Roman"/>
                <w:sz w:val="27"/>
                <w:szCs w:val="27"/>
                <w:lang w:val="uk-UA"/>
              </w:rPr>
              <w:t xml:space="preserve">з усіма відповідними органами, наприклад, </w:t>
            </w:r>
            <w:r w:rsidR="00E530E1">
              <w:rPr>
                <w:rFonts w:ascii="Times New Roman" w:eastAsia="Times New Roman" w:hAnsi="Times New Roman" w:cs="Times New Roman"/>
                <w:sz w:val="27"/>
                <w:szCs w:val="27"/>
                <w:lang w:val="uk-UA"/>
              </w:rPr>
              <w:t>з Агентством із співробітництва регуляторів у галузі енергетики</w:t>
            </w:r>
            <w:r w:rsidR="00F64067">
              <w:rPr>
                <w:rFonts w:ascii="Times New Roman" w:eastAsia="Times New Roman" w:hAnsi="Times New Roman" w:cs="Times New Roman"/>
                <w:sz w:val="27"/>
                <w:szCs w:val="27"/>
                <w:lang w:val="uk-UA"/>
              </w:rPr>
              <w:t>, щоб забезпечити повне врахування особливостей цих секторів. Крім того, до 17 серпня 2015 р. Комісія повинна оцінити системну важливість операцій нефінансових фірм із контрактами на позабіржові деривативи у різних секторах, зокрема в енергетиці.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751C1A" w:rsidP="00B301BE">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Визначаючи, чи зменшує контракт на позабіржовий дериватив ризики, безпосередньо пов’язані з комерційною або </w:t>
            </w:r>
            <w:proofErr w:type="spellStart"/>
            <w:r>
              <w:rPr>
                <w:rFonts w:ascii="Times New Roman" w:eastAsia="Times New Roman" w:hAnsi="Times New Roman" w:cs="Times New Roman"/>
                <w:sz w:val="27"/>
                <w:szCs w:val="27"/>
                <w:lang w:val="uk-UA"/>
              </w:rPr>
              <w:t>казначейсько</w:t>
            </w:r>
            <w:proofErr w:type="spellEnd"/>
            <w:r>
              <w:rPr>
                <w:rFonts w:ascii="Times New Roman" w:eastAsia="Times New Roman" w:hAnsi="Times New Roman" w:cs="Times New Roman"/>
                <w:sz w:val="27"/>
                <w:szCs w:val="27"/>
                <w:lang w:val="uk-UA"/>
              </w:rPr>
              <w:t>-фінансовою діяль</w:t>
            </w:r>
            <w:r w:rsidR="002743E3">
              <w:rPr>
                <w:rFonts w:ascii="Times New Roman" w:eastAsia="Times New Roman" w:hAnsi="Times New Roman" w:cs="Times New Roman"/>
                <w:sz w:val="27"/>
                <w:szCs w:val="27"/>
                <w:lang w:val="uk-UA"/>
              </w:rPr>
              <w:t>ністю нефінансового контрагента, необхідно належним чином ураховувати загальні стратегії хеджування та зменшення ризиків цього контрагента. Зокрема, слід брати до уваги те, чи є контракт на позабіржов</w:t>
            </w:r>
            <w:r w:rsidR="00B301BE">
              <w:rPr>
                <w:rFonts w:ascii="Times New Roman" w:eastAsia="Times New Roman" w:hAnsi="Times New Roman" w:cs="Times New Roman"/>
                <w:sz w:val="27"/>
                <w:szCs w:val="27"/>
                <w:lang w:val="uk-UA"/>
              </w:rPr>
              <w:t>ий дериватив економічно доречним для зменшення ризиків у поведінці нефінансового контрагента і управління ним, де ризики стосуються коливань процентних ставок, курсів іноземних валют, рівнів інфляції або товарних цін.</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FA22D2" w:rsidP="005452ED">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Кліринговий поріг – дуже важлива цифра для всіх нефінансових контрагентів. </w:t>
            </w:r>
            <w:r w:rsidR="005452ED">
              <w:rPr>
                <w:rFonts w:ascii="Times New Roman" w:eastAsia="Times New Roman" w:hAnsi="Times New Roman" w:cs="Times New Roman"/>
                <w:sz w:val="27"/>
                <w:szCs w:val="27"/>
                <w:lang w:val="uk-UA"/>
              </w:rPr>
              <w:t xml:space="preserve">Якщо цей поріг установлено, то слід ураховувати системну значущість суми чистих позицій та </w:t>
            </w:r>
            <w:proofErr w:type="spellStart"/>
            <w:r w:rsidR="005452ED">
              <w:rPr>
                <w:rFonts w:ascii="Times New Roman" w:eastAsia="Times New Roman" w:hAnsi="Times New Roman" w:cs="Times New Roman"/>
                <w:sz w:val="27"/>
                <w:szCs w:val="27"/>
                <w:lang w:val="ru-RU"/>
              </w:rPr>
              <w:t>чистої</w:t>
            </w:r>
            <w:proofErr w:type="spellEnd"/>
            <w:r w:rsidR="005452ED">
              <w:rPr>
                <w:rFonts w:ascii="Times New Roman" w:eastAsia="Times New Roman" w:hAnsi="Times New Roman" w:cs="Times New Roman"/>
                <w:sz w:val="27"/>
                <w:szCs w:val="27"/>
                <w:lang w:val="ru-RU"/>
              </w:rPr>
              <w:t xml:space="preserve"> </w:t>
            </w:r>
            <w:proofErr w:type="spellStart"/>
            <w:r w:rsidR="005452ED">
              <w:rPr>
                <w:rFonts w:ascii="Times New Roman" w:eastAsia="Times New Roman" w:hAnsi="Times New Roman" w:cs="Times New Roman"/>
                <w:sz w:val="27"/>
                <w:szCs w:val="27"/>
                <w:lang w:val="ru-RU"/>
              </w:rPr>
              <w:t>схильності</w:t>
            </w:r>
            <w:proofErr w:type="spellEnd"/>
            <w:r w:rsidR="005452ED">
              <w:rPr>
                <w:rFonts w:ascii="Times New Roman" w:eastAsia="Times New Roman" w:hAnsi="Times New Roman" w:cs="Times New Roman"/>
                <w:sz w:val="27"/>
                <w:szCs w:val="27"/>
                <w:lang w:val="ru-RU"/>
              </w:rPr>
              <w:t xml:space="preserve"> до </w:t>
            </w:r>
            <w:proofErr w:type="spellStart"/>
            <w:r w:rsidR="005452ED">
              <w:rPr>
                <w:rFonts w:ascii="Times New Roman" w:eastAsia="Times New Roman" w:hAnsi="Times New Roman" w:cs="Times New Roman"/>
                <w:sz w:val="27"/>
                <w:szCs w:val="27"/>
                <w:lang w:val="ru-RU"/>
              </w:rPr>
              <w:t>ризику</w:t>
            </w:r>
            <w:proofErr w:type="spellEnd"/>
            <w:r w:rsidR="005452ED">
              <w:rPr>
                <w:rFonts w:ascii="Times New Roman" w:eastAsia="Times New Roman" w:hAnsi="Times New Roman" w:cs="Times New Roman"/>
                <w:sz w:val="27"/>
                <w:szCs w:val="27"/>
                <w:lang w:val="ru-RU"/>
              </w:rPr>
              <w:t xml:space="preserve"> на одного контрагента і на один </w:t>
            </w:r>
            <w:r w:rsidR="005452ED">
              <w:rPr>
                <w:rFonts w:ascii="Times New Roman" w:eastAsia="Times New Roman" w:hAnsi="Times New Roman" w:cs="Times New Roman"/>
                <w:sz w:val="27"/>
                <w:szCs w:val="27"/>
                <w:lang w:val="uk-UA"/>
              </w:rPr>
              <w:t>клас контрактів на позабіржові деривативи. У цьому зв'язку слід докладати відповідних зусиль для визнання методів зменшення ризиків, застосовуваних нефінансовими контрагентами в контексті їхньої звичайної господарської діяльності.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AA04B4" w:rsidP="00A07E9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Члени ЄСЦБ та інші органи держав-членів </w:t>
            </w:r>
            <w:r w:rsidR="008C5F1B">
              <w:rPr>
                <w:rFonts w:ascii="Times New Roman" w:eastAsia="Times New Roman" w:hAnsi="Times New Roman" w:cs="Times New Roman"/>
                <w:sz w:val="27"/>
                <w:szCs w:val="27"/>
                <w:lang w:val="uk-UA"/>
              </w:rPr>
              <w:t>Союзу</w:t>
            </w:r>
            <w:r>
              <w:rPr>
                <w:rFonts w:ascii="Times New Roman" w:eastAsia="Times New Roman" w:hAnsi="Times New Roman" w:cs="Times New Roman"/>
                <w:sz w:val="27"/>
                <w:szCs w:val="27"/>
                <w:lang w:val="uk-UA"/>
              </w:rPr>
              <w:t xml:space="preserve">, виконуючі схожі </w:t>
            </w:r>
            <w:r>
              <w:rPr>
                <w:rFonts w:ascii="Times New Roman" w:eastAsia="Times New Roman" w:hAnsi="Times New Roman" w:cs="Times New Roman"/>
                <w:sz w:val="27"/>
                <w:szCs w:val="27"/>
                <w:lang w:val="uk-UA"/>
              </w:rPr>
              <w:lastRenderedPageBreak/>
              <w:t>функції, інші державні органи Союзу, які здійснюють управління державним боргом або втручаються в управління ним, і Банк міжнародних розрахунків повинні бути виключені зі сфери дії цього регламенту, щоб уникнути обмеження їхніх повноважень щодо виконання їхніх задач, які становлять спільний інтерес.</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A07E99" w:rsidP="00A07E9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Оскільки не всі учасники ринку, які підпадають під зобов’язання щодо клірингу, можуть стати учасниками клірингу через ЦКА, то вони повинні мати можливість звертатися до ЦКА як клієнти або непрямі клієнти за певних умов.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B77B64" w:rsidP="00F21B90">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Запровадження зобов’язання щодо клірингу поряд із процесом визначення того, які саме ЦКА можуть використовуватися в цілях виконання цього зобов’язання, може призвести до ненавмисних конкурентних викривлень ринку позабіржових деривативів. Наприклад, ЦКА може відмовитися </w:t>
            </w:r>
            <w:r w:rsidR="00DA7F21">
              <w:rPr>
                <w:rFonts w:ascii="Times New Roman" w:eastAsia="Times New Roman" w:hAnsi="Times New Roman" w:cs="Times New Roman"/>
                <w:sz w:val="27"/>
                <w:szCs w:val="27"/>
                <w:lang w:val="uk-UA"/>
              </w:rPr>
              <w:t xml:space="preserve">проводити кліринг </w:t>
            </w:r>
            <w:r w:rsidR="00F21B90">
              <w:rPr>
                <w:rFonts w:ascii="Times New Roman" w:eastAsia="Times New Roman" w:hAnsi="Times New Roman" w:cs="Times New Roman"/>
                <w:sz w:val="27"/>
                <w:szCs w:val="27"/>
                <w:lang w:val="uk-UA"/>
              </w:rPr>
              <w:t>угод, укладених</w:t>
            </w:r>
            <w:r w:rsidR="00DA7F21">
              <w:rPr>
                <w:rFonts w:ascii="Times New Roman" w:eastAsia="Times New Roman" w:hAnsi="Times New Roman" w:cs="Times New Roman"/>
                <w:sz w:val="27"/>
                <w:szCs w:val="27"/>
                <w:lang w:val="uk-UA"/>
              </w:rPr>
              <w:t xml:space="preserve"> на певних торгов</w:t>
            </w:r>
            <w:r w:rsidR="00C27EF6">
              <w:rPr>
                <w:rFonts w:ascii="Times New Roman" w:eastAsia="Times New Roman" w:hAnsi="Times New Roman" w:cs="Times New Roman"/>
                <w:sz w:val="27"/>
                <w:szCs w:val="27"/>
                <w:lang w:val="uk-UA"/>
              </w:rPr>
              <w:t>ельн</w:t>
            </w:r>
            <w:r w:rsidR="00DA7F21">
              <w:rPr>
                <w:rFonts w:ascii="Times New Roman" w:eastAsia="Times New Roman" w:hAnsi="Times New Roman" w:cs="Times New Roman"/>
                <w:sz w:val="27"/>
                <w:szCs w:val="27"/>
                <w:lang w:val="uk-UA"/>
              </w:rPr>
              <w:t xml:space="preserve">их майданчиках, тому що </w:t>
            </w:r>
            <w:r w:rsidR="00AD3430">
              <w:rPr>
                <w:rFonts w:ascii="Times New Roman" w:eastAsia="Times New Roman" w:hAnsi="Times New Roman" w:cs="Times New Roman"/>
                <w:sz w:val="27"/>
                <w:szCs w:val="27"/>
                <w:lang w:val="uk-UA"/>
              </w:rPr>
              <w:t>він належить конкуруюч</w:t>
            </w:r>
            <w:r w:rsidR="00706EBD">
              <w:rPr>
                <w:rFonts w:ascii="Times New Roman" w:eastAsia="Times New Roman" w:hAnsi="Times New Roman" w:cs="Times New Roman"/>
                <w:sz w:val="27"/>
                <w:szCs w:val="27"/>
                <w:lang w:val="uk-UA"/>
              </w:rPr>
              <w:t xml:space="preserve">ому майданчику. Щоб уникнути такої дискримінаційної практики, ЦКА повинні погодитися проводити кліринг </w:t>
            </w:r>
            <w:r w:rsidR="00F21B90">
              <w:rPr>
                <w:rFonts w:ascii="Times New Roman" w:eastAsia="Times New Roman" w:hAnsi="Times New Roman" w:cs="Times New Roman"/>
                <w:sz w:val="27"/>
                <w:szCs w:val="27"/>
                <w:lang w:val="uk-UA"/>
              </w:rPr>
              <w:t xml:space="preserve">угод, укладених </w:t>
            </w:r>
            <w:r w:rsidR="00706EBD">
              <w:rPr>
                <w:rFonts w:ascii="Times New Roman" w:eastAsia="Times New Roman" w:hAnsi="Times New Roman" w:cs="Times New Roman"/>
                <w:sz w:val="27"/>
                <w:szCs w:val="27"/>
                <w:lang w:val="uk-UA"/>
              </w:rPr>
              <w:t xml:space="preserve">на </w:t>
            </w:r>
            <w:r w:rsidR="008E198E">
              <w:rPr>
                <w:rFonts w:ascii="Times New Roman" w:eastAsia="Times New Roman" w:hAnsi="Times New Roman" w:cs="Times New Roman"/>
                <w:sz w:val="27"/>
                <w:szCs w:val="27"/>
                <w:lang w:val="uk-UA"/>
              </w:rPr>
              <w:t>інших</w:t>
            </w:r>
            <w:r w:rsidR="00706EBD">
              <w:rPr>
                <w:rFonts w:ascii="Times New Roman" w:eastAsia="Times New Roman" w:hAnsi="Times New Roman" w:cs="Times New Roman"/>
                <w:sz w:val="27"/>
                <w:szCs w:val="27"/>
                <w:lang w:val="uk-UA"/>
              </w:rPr>
              <w:t xml:space="preserve"> торгов</w:t>
            </w:r>
            <w:r w:rsidR="008E198E">
              <w:rPr>
                <w:rFonts w:ascii="Times New Roman" w:eastAsia="Times New Roman" w:hAnsi="Times New Roman" w:cs="Times New Roman"/>
                <w:sz w:val="27"/>
                <w:szCs w:val="27"/>
                <w:lang w:val="uk-UA"/>
              </w:rPr>
              <w:t>ельн</w:t>
            </w:r>
            <w:r w:rsidR="00706EBD">
              <w:rPr>
                <w:rFonts w:ascii="Times New Roman" w:eastAsia="Times New Roman" w:hAnsi="Times New Roman" w:cs="Times New Roman"/>
                <w:sz w:val="27"/>
                <w:szCs w:val="27"/>
                <w:lang w:val="uk-UA"/>
              </w:rPr>
              <w:t>их майданчиках, за умови, що ці майданчики відповідають операційним і технічним вимогам, поставленим ЦКА, без посилання на договірні документи, на підставі яких сторони уклали відповідну угоду про позабіржовий дериватив</w:t>
            </w:r>
            <w:r w:rsidR="00C27EF6">
              <w:rPr>
                <w:rFonts w:ascii="Times New Roman" w:eastAsia="Times New Roman" w:hAnsi="Times New Roman" w:cs="Times New Roman"/>
                <w:sz w:val="27"/>
                <w:szCs w:val="27"/>
                <w:lang w:val="uk-UA"/>
              </w:rPr>
              <w:t xml:space="preserve">, якщо ці документи відповідають ринковим стандартам. </w:t>
            </w:r>
            <w:r w:rsidR="00F21B90">
              <w:rPr>
                <w:rFonts w:ascii="Times New Roman" w:eastAsia="Times New Roman" w:hAnsi="Times New Roman" w:cs="Times New Roman"/>
                <w:sz w:val="27"/>
                <w:szCs w:val="27"/>
                <w:lang w:val="uk-UA"/>
              </w:rPr>
              <w:t>Торговельні майданчики повинні надавати ЦКА</w:t>
            </w:r>
            <w:r w:rsidR="00F21B90" w:rsidRPr="00A31C37">
              <w:rPr>
                <w:rFonts w:ascii="Times New Roman" w:eastAsia="Times New Roman" w:hAnsi="Times New Roman" w:cs="Times New Roman"/>
                <w:sz w:val="27"/>
                <w:szCs w:val="27"/>
                <w:lang w:val="ru-RU"/>
              </w:rPr>
              <w:t xml:space="preserve"> </w:t>
            </w:r>
            <w:r w:rsidR="00F21B90">
              <w:rPr>
                <w:rFonts w:ascii="Times New Roman" w:eastAsia="Times New Roman" w:hAnsi="Times New Roman" w:cs="Times New Roman"/>
                <w:sz w:val="27"/>
                <w:szCs w:val="27"/>
                <w:lang w:val="uk-UA"/>
              </w:rPr>
              <w:t>торговельні потоки на прозорих і недискримінаційних умовах. Право доступу ЦКА до торговельного майданчика повинно передбачати механізми, за допомогою яких численні ЦКА користуються торговельними потоками одного й того самого торговельного майданчика. Проте, це не повинно призводити до сумісності клірингу деривативів або фрагментації ліквідності.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AB7BC2" w:rsidP="0013398B">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Цей регламент не повинен блокувати справедливий та відкритий доступ між торговельними майданчиками та ЦКА на внутрішньому ринку </w:t>
            </w:r>
            <w:r w:rsidR="00032B7A">
              <w:rPr>
                <w:rFonts w:ascii="Times New Roman" w:eastAsia="Times New Roman" w:hAnsi="Times New Roman" w:cs="Times New Roman"/>
                <w:sz w:val="27"/>
                <w:szCs w:val="27"/>
                <w:lang w:val="uk-UA"/>
              </w:rPr>
              <w:t xml:space="preserve">на умовах, викладених у цьому регламенті, а також у регуляторних технічних стандартах, розроблених </w:t>
            </w:r>
            <w:r w:rsidR="00032B7A">
              <w:rPr>
                <w:rFonts w:ascii="Times New Roman" w:eastAsia="Times New Roman" w:hAnsi="Times New Roman" w:cs="Times New Roman"/>
                <w:sz w:val="27"/>
                <w:szCs w:val="27"/>
              </w:rPr>
              <w:t>ESMA</w:t>
            </w:r>
            <w:r w:rsidR="00032B7A">
              <w:rPr>
                <w:rFonts w:ascii="Times New Roman" w:eastAsia="Times New Roman" w:hAnsi="Times New Roman" w:cs="Times New Roman"/>
                <w:sz w:val="27"/>
                <w:szCs w:val="27"/>
                <w:lang w:val="uk-UA"/>
              </w:rPr>
              <w:t xml:space="preserve"> і прийнятих Комісією. </w:t>
            </w:r>
            <w:r w:rsidR="001C570A">
              <w:rPr>
                <w:rFonts w:ascii="Times New Roman" w:eastAsia="Times New Roman" w:hAnsi="Times New Roman" w:cs="Times New Roman"/>
                <w:sz w:val="27"/>
                <w:szCs w:val="27"/>
                <w:lang w:val="uk-UA"/>
              </w:rPr>
              <w:t>Комісія повинна продовжувати ретельний моніторинг еволюції ринку позабіржових деривативів і, де необхідно, втручатися з метою запобігання конкурентним викри</w:t>
            </w:r>
            <w:r w:rsidR="0013398B">
              <w:rPr>
                <w:rFonts w:ascii="Times New Roman" w:eastAsia="Times New Roman" w:hAnsi="Times New Roman" w:cs="Times New Roman"/>
                <w:sz w:val="27"/>
                <w:szCs w:val="27"/>
                <w:lang w:val="uk-UA"/>
              </w:rPr>
              <w:t>вленням на внутрішньому ринку з метою забезпечення однакових умов на фінансовому ринку.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13398B" w:rsidP="004772E7">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У певних напрямках сфери фінансових послуг і торгівлі контрактами на деривативи можуть також існувати права комерційної та інтелектуальної власності. У випадках, де такі права власності стосуються товарів або </w:t>
            </w:r>
            <w:r w:rsidR="004772E7">
              <w:rPr>
                <w:rFonts w:ascii="Times New Roman" w:eastAsia="Times New Roman" w:hAnsi="Times New Roman" w:cs="Times New Roman"/>
                <w:sz w:val="27"/>
                <w:szCs w:val="27"/>
                <w:lang w:val="uk-UA"/>
              </w:rPr>
              <w:lastRenderedPageBreak/>
              <w:t>послуг, що стали галузевими стандартами або впливають на галузеві стандарти, ліцензії повинні видаватися на умовах сумірності, справедливості, доречності та відсутності дискримінації.</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125397" w:rsidP="00253B23">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Для того, щоб визначити відповідні класи контрактів на позабіржові деривативи, на котрі повинно поширюватися зобов’язання щодо клірингу, </w:t>
            </w:r>
            <w:r w:rsidR="00A16FC9">
              <w:rPr>
                <w:rFonts w:ascii="Times New Roman" w:eastAsia="Times New Roman" w:hAnsi="Times New Roman" w:cs="Times New Roman"/>
                <w:sz w:val="27"/>
                <w:szCs w:val="27"/>
                <w:lang w:val="uk-UA"/>
              </w:rPr>
              <w:t>пороги та системно значущих фінансових контрагентів, потрібні достовірні дані. Тому в цілях нагляду важливо встановити на рівні Союзу єдину вимогу щодо подання даних про деривативи. Крім того, потрібно встановити  зобов’язання щодо ретроспективного звітування</w:t>
            </w:r>
            <w:r w:rsidR="00253B23">
              <w:rPr>
                <w:rFonts w:ascii="Times New Roman" w:eastAsia="Times New Roman" w:hAnsi="Times New Roman" w:cs="Times New Roman"/>
                <w:sz w:val="27"/>
                <w:szCs w:val="27"/>
                <w:lang w:val="uk-UA"/>
              </w:rPr>
              <w:t xml:space="preserve">, у якомога більшому обсязі, як для фінансових, так і для нефінансових контрагентів, щоб надати порівнянні дані, зокрема </w:t>
            </w:r>
            <w:r w:rsidR="00253B23">
              <w:rPr>
                <w:rFonts w:ascii="Times New Roman" w:eastAsia="Times New Roman" w:hAnsi="Times New Roman" w:cs="Times New Roman"/>
                <w:sz w:val="27"/>
                <w:szCs w:val="27"/>
              </w:rPr>
              <w:t>ESMA</w:t>
            </w:r>
            <w:r w:rsidR="00253B23">
              <w:rPr>
                <w:rFonts w:ascii="Times New Roman" w:eastAsia="Times New Roman" w:hAnsi="Times New Roman" w:cs="Times New Roman"/>
                <w:sz w:val="27"/>
                <w:szCs w:val="27"/>
                <w:lang w:val="uk-UA"/>
              </w:rPr>
              <w:t xml:space="preserve"> та відповідним компетентним органам.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5D607F" w:rsidP="00683CDA">
            <w:pPr>
              <w:spacing w:before="120" w:after="0" w:line="240" w:lineRule="auto"/>
              <w:jc w:val="both"/>
              <w:textAlignment w:val="baseline"/>
              <w:rPr>
                <w:rFonts w:ascii="Times New Roman" w:eastAsia="Times New Roman" w:hAnsi="Times New Roman" w:cs="Times New Roman"/>
                <w:sz w:val="27"/>
                <w:szCs w:val="27"/>
                <w:lang w:val="ru-RU"/>
              </w:rPr>
            </w:pPr>
            <w:proofErr w:type="spellStart"/>
            <w:r>
              <w:rPr>
                <w:rFonts w:ascii="Times New Roman" w:eastAsia="Times New Roman" w:hAnsi="Times New Roman" w:cs="Times New Roman"/>
                <w:sz w:val="27"/>
                <w:szCs w:val="27"/>
                <w:lang w:val="uk-UA"/>
              </w:rPr>
              <w:t>Внутрішньогрупова</w:t>
            </w:r>
            <w:proofErr w:type="spellEnd"/>
            <w:r>
              <w:rPr>
                <w:rFonts w:ascii="Times New Roman" w:eastAsia="Times New Roman" w:hAnsi="Times New Roman" w:cs="Times New Roman"/>
                <w:sz w:val="27"/>
                <w:szCs w:val="27"/>
                <w:lang w:val="uk-UA"/>
              </w:rPr>
              <w:t xml:space="preserve"> угода – це угода між двома суб’єктами, які включені до одного й того самого зведення у повному обсязі та повинні дотримуватися відповідних процедур централізованої оцінки, вимірювання і контролю ризиків. Вони входять до однієї схеми інституційного захисту, зазначеної у ст. 80(8) Директиви 2006/48/ЕС, або, у випадку кредитних установ, афілійованих з одним центральним органом, як зазначено у ст. 3(1) цієї директиви, є кредитними установами або одна є кредитною установою, а інша – центральним органом. Контракти на позабіржові деривативи можуть визнаватися у нефінансових або фінансових групах, а також у групах, що складаються як з фінансових, так і з нефінансових суб’єктів, і якщо такий контракт вважається </w:t>
            </w:r>
            <w:proofErr w:type="spellStart"/>
            <w:r>
              <w:rPr>
                <w:rFonts w:ascii="Times New Roman" w:eastAsia="Times New Roman" w:hAnsi="Times New Roman" w:cs="Times New Roman"/>
                <w:sz w:val="27"/>
                <w:szCs w:val="27"/>
                <w:lang w:val="uk-UA"/>
              </w:rPr>
              <w:t>внутрішньогруповою</w:t>
            </w:r>
            <w:proofErr w:type="spellEnd"/>
            <w:r>
              <w:rPr>
                <w:rFonts w:ascii="Times New Roman" w:eastAsia="Times New Roman" w:hAnsi="Times New Roman" w:cs="Times New Roman"/>
                <w:sz w:val="27"/>
                <w:szCs w:val="27"/>
                <w:lang w:val="uk-UA"/>
              </w:rPr>
              <w:t xml:space="preserve"> угодою по відношенню до одного контрагента, то він має вважатися такою угодою і по відношенню до іншого контрагента цього контракту. Визнано, що </w:t>
            </w:r>
            <w:proofErr w:type="spellStart"/>
            <w:r>
              <w:rPr>
                <w:rFonts w:ascii="Times New Roman" w:eastAsia="Times New Roman" w:hAnsi="Times New Roman" w:cs="Times New Roman"/>
                <w:sz w:val="27"/>
                <w:szCs w:val="27"/>
                <w:lang w:val="uk-UA"/>
              </w:rPr>
              <w:t>внутрішньогрупові</w:t>
            </w:r>
            <w:proofErr w:type="spellEnd"/>
            <w:r>
              <w:rPr>
                <w:rFonts w:ascii="Times New Roman" w:eastAsia="Times New Roman" w:hAnsi="Times New Roman" w:cs="Times New Roman"/>
                <w:sz w:val="27"/>
                <w:szCs w:val="27"/>
                <w:lang w:val="uk-UA"/>
              </w:rPr>
              <w:t xml:space="preserve"> угоди можуть бути необхідними для агрегування ризиків у структурі групи й тому </w:t>
            </w:r>
            <w:proofErr w:type="spellStart"/>
            <w:r>
              <w:rPr>
                <w:rFonts w:ascii="Times New Roman" w:eastAsia="Times New Roman" w:hAnsi="Times New Roman" w:cs="Times New Roman"/>
                <w:sz w:val="27"/>
                <w:szCs w:val="27"/>
                <w:lang w:val="uk-UA"/>
              </w:rPr>
              <w:t>внутрішньогрупові</w:t>
            </w:r>
            <w:proofErr w:type="spellEnd"/>
            <w:r>
              <w:rPr>
                <w:rFonts w:ascii="Times New Roman" w:eastAsia="Times New Roman" w:hAnsi="Times New Roman" w:cs="Times New Roman"/>
                <w:sz w:val="27"/>
                <w:szCs w:val="27"/>
                <w:lang w:val="uk-UA"/>
              </w:rPr>
              <w:t xml:space="preserve"> ризики є специфічними. Оскільки поширення на такі угоди зобов’язання щодо клірингу може обмежити ефективність таких процесів управління </w:t>
            </w:r>
            <w:proofErr w:type="spellStart"/>
            <w:r>
              <w:rPr>
                <w:rFonts w:ascii="Times New Roman" w:eastAsia="Times New Roman" w:hAnsi="Times New Roman" w:cs="Times New Roman"/>
                <w:sz w:val="27"/>
                <w:szCs w:val="27"/>
                <w:lang w:val="uk-UA"/>
              </w:rPr>
              <w:t>внутрішньогруповими</w:t>
            </w:r>
            <w:proofErr w:type="spellEnd"/>
            <w:r>
              <w:rPr>
                <w:rFonts w:ascii="Times New Roman" w:eastAsia="Times New Roman" w:hAnsi="Times New Roman" w:cs="Times New Roman"/>
                <w:sz w:val="27"/>
                <w:szCs w:val="27"/>
                <w:lang w:val="uk-UA"/>
              </w:rPr>
              <w:t xml:space="preserve"> ризиками, то звільнення </w:t>
            </w:r>
            <w:proofErr w:type="spellStart"/>
            <w:r>
              <w:rPr>
                <w:rFonts w:ascii="Times New Roman" w:eastAsia="Times New Roman" w:hAnsi="Times New Roman" w:cs="Times New Roman"/>
                <w:sz w:val="27"/>
                <w:szCs w:val="27"/>
                <w:lang w:val="uk-UA"/>
              </w:rPr>
              <w:t>внутрішньогрупових</w:t>
            </w:r>
            <w:proofErr w:type="spellEnd"/>
            <w:r>
              <w:rPr>
                <w:rFonts w:ascii="Times New Roman" w:eastAsia="Times New Roman" w:hAnsi="Times New Roman" w:cs="Times New Roman"/>
                <w:sz w:val="27"/>
                <w:szCs w:val="27"/>
                <w:lang w:val="uk-UA"/>
              </w:rPr>
              <w:t xml:space="preserve"> угод від цього зобов’язання може бути доречним, за умови, що це звільнення не підвищує системний ризик. Як результат, належний обмін забезпеченням слід застосувати для ЦКА, що проводить кліринг цих угод, якщо це доречно для зменшення </w:t>
            </w:r>
            <w:proofErr w:type="spellStart"/>
            <w:r>
              <w:rPr>
                <w:rFonts w:ascii="Times New Roman" w:eastAsia="Times New Roman" w:hAnsi="Times New Roman" w:cs="Times New Roman"/>
                <w:sz w:val="27"/>
                <w:szCs w:val="27"/>
                <w:lang w:val="uk-UA"/>
              </w:rPr>
              <w:t>внутрішньогрупових</w:t>
            </w:r>
            <w:proofErr w:type="spellEnd"/>
            <w:r>
              <w:rPr>
                <w:rFonts w:ascii="Times New Roman" w:eastAsia="Times New Roman" w:hAnsi="Times New Roman" w:cs="Times New Roman"/>
                <w:sz w:val="27"/>
                <w:szCs w:val="27"/>
                <w:lang w:val="uk-UA"/>
              </w:rPr>
              <w:t xml:space="preserve"> ризиків контрагентів.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9D536C" w:rsidRDefault="00902F9F" w:rsidP="009D536C">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Проте, деякі </w:t>
            </w:r>
            <w:proofErr w:type="spellStart"/>
            <w:r>
              <w:rPr>
                <w:rFonts w:ascii="Times New Roman" w:eastAsia="Times New Roman" w:hAnsi="Times New Roman" w:cs="Times New Roman"/>
                <w:sz w:val="27"/>
                <w:szCs w:val="27"/>
                <w:lang w:val="uk-UA"/>
              </w:rPr>
              <w:t>внутрішньогрупові</w:t>
            </w:r>
            <w:proofErr w:type="spellEnd"/>
            <w:r>
              <w:rPr>
                <w:rFonts w:ascii="Times New Roman" w:eastAsia="Times New Roman" w:hAnsi="Times New Roman" w:cs="Times New Roman"/>
                <w:sz w:val="27"/>
                <w:szCs w:val="27"/>
                <w:lang w:val="uk-UA"/>
              </w:rPr>
              <w:t xml:space="preserve"> угоди можна звільняти, у деяких випадках і на підставі рішення компетентних органів, від вимоги щодо надання забезпечення, за умови, що передбачені в них процедури управління ризиками є достатньо раціональними, стійкими та </w:t>
            </w:r>
            <w:r w:rsidR="0092514D">
              <w:rPr>
                <w:rFonts w:ascii="Times New Roman" w:eastAsia="Times New Roman" w:hAnsi="Times New Roman" w:cs="Times New Roman"/>
                <w:sz w:val="27"/>
                <w:szCs w:val="27"/>
                <w:lang w:val="uk-UA"/>
              </w:rPr>
              <w:t>відповідають рівню складності угоди, і при цьому н</w:t>
            </w:r>
            <w:r w:rsidR="00EF610C">
              <w:rPr>
                <w:rFonts w:ascii="Times New Roman" w:eastAsia="Times New Roman" w:hAnsi="Times New Roman" w:cs="Times New Roman"/>
                <w:sz w:val="27"/>
                <w:szCs w:val="27"/>
                <w:lang w:val="uk-UA"/>
              </w:rPr>
              <w:t xml:space="preserve">емає перешкод для негайного трансферту </w:t>
            </w:r>
            <w:r w:rsidR="004443C4">
              <w:rPr>
                <w:rFonts w:ascii="Times New Roman" w:eastAsia="Times New Roman" w:hAnsi="Times New Roman" w:cs="Times New Roman"/>
                <w:sz w:val="27"/>
                <w:szCs w:val="27"/>
                <w:lang w:val="uk-UA"/>
              </w:rPr>
              <w:lastRenderedPageBreak/>
              <w:t xml:space="preserve">власних коштів </w:t>
            </w:r>
            <w:r w:rsidR="00D3784A">
              <w:rPr>
                <w:rFonts w:ascii="Times New Roman" w:eastAsia="Times New Roman" w:hAnsi="Times New Roman" w:cs="Times New Roman"/>
                <w:sz w:val="27"/>
                <w:szCs w:val="27"/>
                <w:lang w:val="uk-UA"/>
              </w:rPr>
              <w:t>або погашення зобов’язань між контрагентами. Ці критерії, а також процедури, що їх контрагенти та відповідні компетентні органи повинні дотримуватися при застосуванні звільнень, мають бути зазначені у регуляторних технічних стандартах, прийнятих згідно з відповідними нормативними актами про створення ЄНО.</w:t>
            </w:r>
            <w:r w:rsidR="00565EEA" w:rsidRPr="0008329C">
              <w:rPr>
                <w:rFonts w:ascii="Times New Roman" w:eastAsia="Times New Roman" w:hAnsi="Times New Roman" w:cs="Times New Roman"/>
                <w:sz w:val="27"/>
                <w:szCs w:val="27"/>
                <w:lang w:val="uk-UA"/>
              </w:rPr>
              <w:t xml:space="preserve"> </w:t>
            </w:r>
            <w:r w:rsidR="0008329C">
              <w:rPr>
                <w:rFonts w:ascii="Times New Roman" w:eastAsia="Times New Roman" w:hAnsi="Times New Roman" w:cs="Times New Roman"/>
                <w:sz w:val="27"/>
                <w:szCs w:val="27"/>
                <w:lang w:val="uk-UA"/>
              </w:rPr>
              <w:t xml:space="preserve">Перш ніж розробляти проекти таких регуляторних технічних стандартів, ЄНО повинні провести оцінку їхнього потенційного впливу на учасників внутрішнього та фінансового ринків, зокрема на діяльність і структуру зацікавлених груп. Усі технічні стандарти, застосовні </w:t>
            </w:r>
            <w:r w:rsidR="00393F95">
              <w:rPr>
                <w:rFonts w:ascii="Times New Roman" w:eastAsia="Times New Roman" w:hAnsi="Times New Roman" w:cs="Times New Roman"/>
                <w:sz w:val="27"/>
                <w:szCs w:val="27"/>
                <w:lang w:val="uk-UA"/>
              </w:rPr>
              <w:t xml:space="preserve">до обміну забезпеченням у </w:t>
            </w:r>
            <w:proofErr w:type="spellStart"/>
            <w:r w:rsidR="00393F95">
              <w:rPr>
                <w:rFonts w:ascii="Times New Roman" w:eastAsia="Times New Roman" w:hAnsi="Times New Roman" w:cs="Times New Roman"/>
                <w:sz w:val="27"/>
                <w:szCs w:val="27"/>
                <w:lang w:val="uk-UA"/>
              </w:rPr>
              <w:t>внутрішньогрупових</w:t>
            </w:r>
            <w:proofErr w:type="spellEnd"/>
            <w:r w:rsidR="00393F95">
              <w:rPr>
                <w:rFonts w:ascii="Times New Roman" w:eastAsia="Times New Roman" w:hAnsi="Times New Roman" w:cs="Times New Roman"/>
                <w:sz w:val="27"/>
                <w:szCs w:val="27"/>
                <w:lang w:val="uk-UA"/>
              </w:rPr>
              <w:t xml:space="preserve"> </w:t>
            </w:r>
            <w:r w:rsidR="009D536C">
              <w:rPr>
                <w:rFonts w:ascii="Times New Roman" w:eastAsia="Times New Roman" w:hAnsi="Times New Roman" w:cs="Times New Roman"/>
                <w:sz w:val="27"/>
                <w:szCs w:val="27"/>
                <w:lang w:val="uk-UA"/>
              </w:rPr>
              <w:t>угодах, зокрема критерії звільнення, повинні враховувати переважні особливості цих угод та існуючі відмінності між нефінансовими та фінансовими контрагентами, а також їхню мету і методи використання деривативів.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6D27F8" w:rsidP="002B288C">
            <w:pPr>
              <w:spacing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Контрагентів слід вважати включеними мінімум до одного зведення, якщо обидва вони включені у це зведення згідно з Директивою Ради</w:t>
            </w:r>
            <w:r w:rsidRPr="006A7A37">
              <w:rPr>
                <w:rFonts w:ascii="Times New Roman" w:eastAsia="Times New Roman" w:hAnsi="Times New Roman" w:cs="Times New Roman"/>
                <w:sz w:val="27"/>
                <w:szCs w:val="27"/>
                <w:lang w:val="uk-UA"/>
              </w:rPr>
              <w:t xml:space="preserve"> 83/349/</w:t>
            </w:r>
            <w:r w:rsidRPr="006279CF">
              <w:rPr>
                <w:rFonts w:ascii="Times New Roman" w:eastAsia="Times New Roman" w:hAnsi="Times New Roman" w:cs="Times New Roman"/>
                <w:sz w:val="27"/>
                <w:szCs w:val="27"/>
              </w:rPr>
              <w:t>EEC</w:t>
            </w:r>
            <w:hyperlink r:id="rId20" w:anchor="ntr16-L_2012201EN.01000101-E0016" w:history="1">
              <w:r w:rsidRPr="006279CF">
                <w:rPr>
                  <w:rFonts w:ascii="Times New Roman" w:eastAsia="Times New Roman" w:hAnsi="Times New Roman" w:cs="Times New Roman"/>
                  <w:sz w:val="27"/>
                  <w:szCs w:val="27"/>
                  <w:bdr w:val="none" w:sz="0" w:space="0" w:color="auto" w:frame="1"/>
                </w:rPr>
                <w:t> </w:t>
              </w:r>
              <w:r w:rsidRPr="006A7A37">
                <w:rPr>
                  <w:rFonts w:ascii="Times New Roman" w:eastAsia="Times New Roman" w:hAnsi="Times New Roman" w:cs="Times New Roman"/>
                  <w:sz w:val="27"/>
                  <w:szCs w:val="27"/>
                  <w:bdr w:val="none" w:sz="0" w:space="0" w:color="auto" w:frame="1"/>
                  <w:lang w:val="uk-UA"/>
                </w:rPr>
                <w:t>(</w:t>
              </w:r>
              <w:r w:rsidRPr="006A7A37">
                <w:rPr>
                  <w:rFonts w:ascii="Times New Roman" w:eastAsia="Times New Roman" w:hAnsi="Times New Roman" w:cs="Times New Roman"/>
                  <w:sz w:val="19"/>
                  <w:szCs w:val="19"/>
                  <w:bdr w:val="none" w:sz="0" w:space="0" w:color="auto" w:frame="1"/>
                  <w:vertAlign w:val="superscript"/>
                  <w:lang w:val="uk-UA"/>
                </w:rPr>
                <w:t>16</w:t>
              </w:r>
              <w:r w:rsidRPr="006A7A37">
                <w:rPr>
                  <w:rFonts w:ascii="Times New Roman" w:eastAsia="Times New Roman" w:hAnsi="Times New Roman" w:cs="Times New Roman"/>
                  <w:sz w:val="27"/>
                  <w:szCs w:val="27"/>
                  <w:bdr w:val="none" w:sz="0" w:space="0" w:color="auto" w:frame="1"/>
                  <w:lang w:val="uk-UA"/>
                </w:rPr>
                <w:t>)</w:t>
              </w:r>
            </w:hyperlink>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або з Міжнародними стандартами фінансової звітності (МСФЗ), прийнятими на виконання Регламенту (ЕС) № 1606/2002 Європейського Парламенту та Ради</w:t>
            </w:r>
            <w:hyperlink r:id="rId21" w:anchor="ntr17-L_2012201EN.01000101-E0017" w:history="1">
              <w:r w:rsidRPr="006279CF">
                <w:rPr>
                  <w:rFonts w:ascii="Times New Roman" w:eastAsia="Times New Roman" w:hAnsi="Times New Roman" w:cs="Times New Roman"/>
                  <w:sz w:val="27"/>
                  <w:szCs w:val="27"/>
                  <w:bdr w:val="none" w:sz="0" w:space="0" w:color="auto" w:frame="1"/>
                </w:rPr>
                <w:t> </w:t>
              </w:r>
              <w:r w:rsidRPr="006A7A37">
                <w:rPr>
                  <w:rFonts w:ascii="Times New Roman" w:eastAsia="Times New Roman" w:hAnsi="Times New Roman" w:cs="Times New Roman"/>
                  <w:sz w:val="27"/>
                  <w:szCs w:val="27"/>
                  <w:bdr w:val="none" w:sz="0" w:space="0" w:color="auto" w:frame="1"/>
                  <w:lang w:val="uk-UA"/>
                </w:rPr>
                <w:t>(</w:t>
              </w:r>
              <w:r w:rsidRPr="006A7A37">
                <w:rPr>
                  <w:rFonts w:ascii="Times New Roman" w:eastAsia="Times New Roman" w:hAnsi="Times New Roman" w:cs="Times New Roman"/>
                  <w:sz w:val="19"/>
                  <w:szCs w:val="19"/>
                  <w:bdr w:val="none" w:sz="0" w:space="0" w:color="auto" w:frame="1"/>
                  <w:vertAlign w:val="superscript"/>
                  <w:lang w:val="uk-UA"/>
                </w:rPr>
                <w:t>17</w:t>
              </w:r>
              <w:r w:rsidRPr="006A7A37">
                <w:rPr>
                  <w:rFonts w:ascii="Times New Roman" w:eastAsia="Times New Roman" w:hAnsi="Times New Roman" w:cs="Times New Roman"/>
                  <w:sz w:val="27"/>
                  <w:szCs w:val="27"/>
                  <w:bdr w:val="none" w:sz="0" w:space="0" w:color="auto" w:frame="1"/>
                  <w:lang w:val="uk-UA"/>
                </w:rPr>
                <w:t>)</w:t>
              </w:r>
            </w:hyperlink>
            <w:r>
              <w:rPr>
                <w:rFonts w:ascii="Times New Roman" w:eastAsia="Times New Roman" w:hAnsi="Times New Roman" w:cs="Times New Roman"/>
                <w:sz w:val="27"/>
                <w:szCs w:val="27"/>
                <w:bdr w:val="none" w:sz="0" w:space="0" w:color="auto" w:frame="1"/>
                <w:lang w:val="uk-UA"/>
              </w:rPr>
              <w:t>, або, по відношенню до групи, материнська компанія якої має головну контору в третій країні, згідно з загальноприйнятими принципами бухгалтерського обліку третьої країни, визначеними як еквівалентні МСФЗ згідно з Регламентом Комісії (ЕС) №</w:t>
            </w:r>
            <w:r w:rsidRPr="00E371A1">
              <w:rPr>
                <w:rFonts w:ascii="Times New Roman" w:eastAsia="Times New Roman" w:hAnsi="Times New Roman" w:cs="Times New Roman"/>
                <w:sz w:val="27"/>
                <w:szCs w:val="27"/>
                <w:lang w:val="uk-UA"/>
              </w:rPr>
              <w:t>1569/2007</w:t>
            </w:r>
            <w:hyperlink r:id="rId22" w:anchor="ntr18-L_2012201EN.01000101-E0018" w:history="1">
              <w:r w:rsidRPr="006279CF">
                <w:rPr>
                  <w:rFonts w:ascii="Times New Roman" w:eastAsia="Times New Roman" w:hAnsi="Times New Roman" w:cs="Times New Roman"/>
                  <w:sz w:val="27"/>
                  <w:szCs w:val="27"/>
                  <w:bdr w:val="none" w:sz="0" w:space="0" w:color="auto" w:frame="1"/>
                </w:rPr>
                <w:t> </w:t>
              </w:r>
              <w:r w:rsidRPr="00E371A1">
                <w:rPr>
                  <w:rFonts w:ascii="Times New Roman" w:eastAsia="Times New Roman" w:hAnsi="Times New Roman" w:cs="Times New Roman"/>
                  <w:sz w:val="27"/>
                  <w:szCs w:val="27"/>
                  <w:bdr w:val="none" w:sz="0" w:space="0" w:color="auto" w:frame="1"/>
                  <w:lang w:val="uk-UA"/>
                </w:rPr>
                <w:t>(</w:t>
              </w:r>
              <w:r w:rsidRPr="00E371A1">
                <w:rPr>
                  <w:rFonts w:ascii="Times New Roman" w:eastAsia="Times New Roman" w:hAnsi="Times New Roman" w:cs="Times New Roman"/>
                  <w:sz w:val="19"/>
                  <w:szCs w:val="19"/>
                  <w:bdr w:val="none" w:sz="0" w:space="0" w:color="auto" w:frame="1"/>
                  <w:vertAlign w:val="superscript"/>
                  <w:lang w:val="uk-UA"/>
                </w:rPr>
                <w:t>18</w:t>
              </w:r>
              <w:r w:rsidRPr="00E371A1">
                <w:rPr>
                  <w:rFonts w:ascii="Times New Roman" w:eastAsia="Times New Roman" w:hAnsi="Times New Roman" w:cs="Times New Roman"/>
                  <w:sz w:val="27"/>
                  <w:szCs w:val="27"/>
                  <w:bdr w:val="none" w:sz="0" w:space="0" w:color="auto" w:frame="1"/>
                  <w:lang w:val="uk-UA"/>
                </w:rPr>
                <w:t>)</w:t>
              </w:r>
            </w:hyperlink>
            <w:r w:rsidRPr="006279CF">
              <w:rPr>
                <w:rFonts w:ascii="Times New Roman" w:eastAsia="Times New Roman" w:hAnsi="Times New Roman" w:cs="Times New Roman"/>
                <w:sz w:val="27"/>
                <w:szCs w:val="27"/>
              </w:rPr>
              <w:t> </w:t>
            </w:r>
            <w:r w:rsidRPr="00E371A1">
              <w:rPr>
                <w:rFonts w:ascii="Times New Roman" w:eastAsia="Times New Roman" w:hAnsi="Times New Roman" w:cs="Times New Roman"/>
                <w:sz w:val="27"/>
                <w:szCs w:val="27"/>
                <w:lang w:val="uk-UA"/>
              </w:rPr>
              <w:t>(</w:t>
            </w:r>
            <w:r>
              <w:rPr>
                <w:rFonts w:ascii="Times New Roman" w:eastAsia="Times New Roman" w:hAnsi="Times New Roman" w:cs="Times New Roman"/>
                <w:sz w:val="27"/>
                <w:szCs w:val="27"/>
                <w:lang w:val="uk-UA"/>
              </w:rPr>
              <w:t>або стандартами бухгалтерського обліку третьої країни, застосування яких дозволено згідно зі ст. 4 Регламенту (ЕС) №</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1569/2007), або, якщо обидва вони охоплені одним і тим самим консолідованим наглядом згідно з Директивою</w:t>
            </w:r>
            <w:r w:rsidRPr="0024262D">
              <w:rPr>
                <w:rFonts w:ascii="Times New Roman" w:eastAsia="Times New Roman" w:hAnsi="Times New Roman" w:cs="Times New Roman"/>
                <w:sz w:val="27"/>
                <w:szCs w:val="27"/>
                <w:lang w:val="uk-UA"/>
              </w:rPr>
              <w:t xml:space="preserve"> 2006/48/</w:t>
            </w:r>
            <w:r w:rsidRPr="006279CF">
              <w:rPr>
                <w:rFonts w:ascii="Times New Roman" w:eastAsia="Times New Roman" w:hAnsi="Times New Roman" w:cs="Times New Roman"/>
                <w:sz w:val="27"/>
                <w:szCs w:val="27"/>
              </w:rPr>
              <w:t>EC</w:t>
            </w:r>
            <w:r w:rsidRPr="0024262D">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або Директивою</w:t>
            </w:r>
            <w:r w:rsidRPr="0024262D">
              <w:rPr>
                <w:rFonts w:ascii="Times New Roman" w:eastAsia="Times New Roman" w:hAnsi="Times New Roman" w:cs="Times New Roman"/>
                <w:sz w:val="27"/>
                <w:szCs w:val="27"/>
                <w:lang w:val="uk-UA"/>
              </w:rPr>
              <w:t xml:space="preserve"> 2006/49/</w:t>
            </w:r>
            <w:r w:rsidRPr="006279CF">
              <w:rPr>
                <w:rFonts w:ascii="Times New Roman" w:eastAsia="Times New Roman" w:hAnsi="Times New Roman" w:cs="Times New Roman"/>
                <w:sz w:val="27"/>
                <w:szCs w:val="27"/>
              </w:rPr>
              <w:t>EC</w:t>
            </w:r>
            <w:r w:rsidRPr="0024262D">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Європейського Парламенту та Ради</w:t>
            </w:r>
            <w:hyperlink r:id="rId23" w:anchor="ntr19-L_2012201EN.01000101-E0019" w:history="1">
              <w:r w:rsidRPr="006279CF">
                <w:rPr>
                  <w:rFonts w:ascii="Times New Roman" w:eastAsia="Times New Roman" w:hAnsi="Times New Roman" w:cs="Times New Roman"/>
                  <w:sz w:val="27"/>
                  <w:szCs w:val="27"/>
                  <w:bdr w:val="none" w:sz="0" w:space="0" w:color="auto" w:frame="1"/>
                </w:rPr>
                <w:t> </w:t>
              </w:r>
              <w:r w:rsidRPr="0024262D">
                <w:rPr>
                  <w:rFonts w:ascii="Times New Roman" w:eastAsia="Times New Roman" w:hAnsi="Times New Roman" w:cs="Times New Roman"/>
                  <w:sz w:val="27"/>
                  <w:szCs w:val="27"/>
                  <w:bdr w:val="none" w:sz="0" w:space="0" w:color="auto" w:frame="1"/>
                  <w:lang w:val="uk-UA"/>
                </w:rPr>
                <w:t>(</w:t>
              </w:r>
              <w:r w:rsidRPr="0024262D">
                <w:rPr>
                  <w:rFonts w:ascii="Times New Roman" w:eastAsia="Times New Roman" w:hAnsi="Times New Roman" w:cs="Times New Roman"/>
                  <w:sz w:val="19"/>
                  <w:szCs w:val="19"/>
                  <w:bdr w:val="none" w:sz="0" w:space="0" w:color="auto" w:frame="1"/>
                  <w:vertAlign w:val="superscript"/>
                  <w:lang w:val="uk-UA"/>
                </w:rPr>
                <w:t>19</w:t>
              </w:r>
              <w:r w:rsidRPr="0024262D">
                <w:rPr>
                  <w:rFonts w:ascii="Times New Roman" w:eastAsia="Times New Roman" w:hAnsi="Times New Roman" w:cs="Times New Roman"/>
                  <w:sz w:val="27"/>
                  <w:szCs w:val="27"/>
                  <w:bdr w:val="none" w:sz="0" w:space="0" w:color="auto" w:frame="1"/>
                  <w:lang w:val="uk-UA"/>
                </w:rPr>
                <w:t>)</w:t>
              </w:r>
            </w:hyperlink>
            <w:r>
              <w:rPr>
                <w:rFonts w:ascii="Times New Roman" w:eastAsia="Times New Roman" w:hAnsi="Times New Roman" w:cs="Times New Roman"/>
                <w:sz w:val="27"/>
                <w:szCs w:val="27"/>
                <w:bdr w:val="none" w:sz="0" w:space="0" w:color="auto" w:frame="1"/>
                <w:lang w:val="uk-UA"/>
              </w:rPr>
              <w:t>, або, по відношенню до групи, материнська компанія якої має головну контору в третій країні, цим самим консолідованим наглядом з боку компетентного органу третьої країни, визначеним як еквівалентний наглядові, регульованому принципами, викладеними у ст. 143 Директиви</w:t>
            </w:r>
            <w:r w:rsidRPr="0024262D">
              <w:rPr>
                <w:rFonts w:ascii="Times New Roman" w:eastAsia="Times New Roman" w:hAnsi="Times New Roman" w:cs="Times New Roman"/>
                <w:sz w:val="27"/>
                <w:szCs w:val="27"/>
                <w:lang w:val="uk-UA"/>
              </w:rPr>
              <w:t xml:space="preserve"> 2006/48/</w:t>
            </w:r>
            <w:r w:rsidRPr="006279CF">
              <w:rPr>
                <w:rFonts w:ascii="Times New Roman" w:eastAsia="Times New Roman" w:hAnsi="Times New Roman" w:cs="Times New Roman"/>
                <w:sz w:val="27"/>
                <w:szCs w:val="27"/>
              </w:rPr>
              <w:t>EC</w:t>
            </w:r>
            <w:r w:rsidRPr="0024262D">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або у ст. 2 Директиви</w:t>
            </w:r>
            <w:r w:rsidRPr="0024262D">
              <w:rPr>
                <w:rFonts w:ascii="Times New Roman" w:eastAsia="Times New Roman" w:hAnsi="Times New Roman" w:cs="Times New Roman"/>
                <w:sz w:val="27"/>
                <w:szCs w:val="27"/>
                <w:lang w:val="uk-UA"/>
              </w:rPr>
              <w:t xml:space="preserve"> 2006/49/</w:t>
            </w:r>
            <w:r w:rsidRPr="006279CF">
              <w:rPr>
                <w:rFonts w:ascii="Times New Roman" w:eastAsia="Times New Roman" w:hAnsi="Times New Roman" w:cs="Times New Roman"/>
                <w:sz w:val="27"/>
                <w:szCs w:val="27"/>
              </w:rPr>
              <w:t>EC</w:t>
            </w:r>
            <w:r w:rsidRPr="0024262D">
              <w:rPr>
                <w:rFonts w:ascii="Times New Roman" w:eastAsia="Times New Roman" w:hAnsi="Times New Roman" w:cs="Times New Roman"/>
                <w:sz w:val="27"/>
                <w:szCs w:val="27"/>
                <w:lang w:val="uk-UA"/>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0312CC" w:rsidP="00A263CE">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Важливо, щоб учасники ринку повідомляли всі деталі стосовно контрактів на деривативи, які вони уклали, торговим </w:t>
            </w:r>
            <w:proofErr w:type="spellStart"/>
            <w:r>
              <w:rPr>
                <w:rFonts w:ascii="Times New Roman" w:eastAsia="Times New Roman" w:hAnsi="Times New Roman" w:cs="Times New Roman"/>
                <w:sz w:val="27"/>
                <w:szCs w:val="27"/>
                <w:lang w:val="uk-UA"/>
              </w:rPr>
              <w:t>репозитаріям</w:t>
            </w:r>
            <w:proofErr w:type="spellEnd"/>
            <w:r>
              <w:rPr>
                <w:rFonts w:ascii="Times New Roman" w:eastAsia="Times New Roman" w:hAnsi="Times New Roman" w:cs="Times New Roman"/>
                <w:sz w:val="27"/>
                <w:szCs w:val="27"/>
                <w:lang w:val="uk-UA"/>
              </w:rPr>
              <w:t xml:space="preserve">. У результаті інформація про ризики, характерні для ринків деривативів, зберігатиметься у централізованому порядку з можливістю легкого доступу, зокрема, для </w:t>
            </w:r>
            <w:r w:rsidR="00DE77B0" w:rsidRPr="006279CF">
              <w:rPr>
                <w:rFonts w:ascii="Times New Roman" w:eastAsia="Times New Roman" w:hAnsi="Times New Roman" w:cs="Times New Roman"/>
                <w:sz w:val="27"/>
                <w:szCs w:val="27"/>
              </w:rPr>
              <w:t>ESMA</w:t>
            </w:r>
            <w:r w:rsidR="00DE77B0" w:rsidRPr="00A263CE">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 xml:space="preserve">відповідних компетентних органів, </w:t>
            </w:r>
            <w:r w:rsidR="00A263CE">
              <w:rPr>
                <w:rFonts w:ascii="Times New Roman" w:eastAsia="Times New Roman" w:hAnsi="Times New Roman" w:cs="Times New Roman"/>
                <w:sz w:val="27"/>
                <w:szCs w:val="27"/>
                <w:lang w:val="uk-UA"/>
              </w:rPr>
              <w:t>Європейської ради з системних ризиків (</w:t>
            </w:r>
            <w:r w:rsidR="004E7873">
              <w:rPr>
                <w:rFonts w:ascii="Times New Roman" w:eastAsia="Times New Roman" w:hAnsi="Times New Roman" w:cs="Times New Roman"/>
                <w:sz w:val="27"/>
                <w:szCs w:val="27"/>
                <w:lang w:val="uk-UA"/>
              </w:rPr>
              <w:t>ESRB</w:t>
            </w:r>
            <w:r w:rsidR="00A263CE">
              <w:rPr>
                <w:rFonts w:ascii="Times New Roman" w:eastAsia="Times New Roman" w:hAnsi="Times New Roman" w:cs="Times New Roman"/>
                <w:sz w:val="27"/>
                <w:szCs w:val="27"/>
                <w:lang w:val="uk-UA"/>
              </w:rPr>
              <w:t>) та відповідних центральних банків ЄСЦБ.</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4E1440" w:rsidP="00FA2D27">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Надання послуг торгових репозитаріїв характеризується ефектом масштабу, що може стримувати конкуренцію в даній конкретній сфері. </w:t>
            </w:r>
            <w:r>
              <w:rPr>
                <w:rFonts w:ascii="Times New Roman" w:eastAsia="Times New Roman" w:hAnsi="Times New Roman" w:cs="Times New Roman"/>
                <w:sz w:val="27"/>
                <w:szCs w:val="27"/>
                <w:lang w:val="uk-UA"/>
              </w:rPr>
              <w:lastRenderedPageBreak/>
              <w:t xml:space="preserve">Водночас, встановлення для учасників ринку всеосяжної вимоги про звітування може збільшити цінність інформації, що її ведуть торгові </w:t>
            </w:r>
            <w:proofErr w:type="spellStart"/>
            <w:r>
              <w:rPr>
                <w:rFonts w:ascii="Times New Roman" w:eastAsia="Times New Roman" w:hAnsi="Times New Roman" w:cs="Times New Roman"/>
                <w:sz w:val="27"/>
                <w:szCs w:val="27"/>
                <w:lang w:val="uk-UA"/>
              </w:rPr>
              <w:t>репозитарії</w:t>
            </w:r>
            <w:proofErr w:type="spellEnd"/>
            <w:r>
              <w:rPr>
                <w:rFonts w:ascii="Times New Roman" w:eastAsia="Times New Roman" w:hAnsi="Times New Roman" w:cs="Times New Roman"/>
                <w:sz w:val="27"/>
                <w:szCs w:val="27"/>
                <w:lang w:val="uk-UA"/>
              </w:rPr>
              <w:t xml:space="preserve">, і для третіх сторін, які надають </w:t>
            </w:r>
            <w:r w:rsidR="00FA2D27">
              <w:rPr>
                <w:rFonts w:ascii="Times New Roman" w:eastAsia="Times New Roman" w:hAnsi="Times New Roman" w:cs="Times New Roman"/>
                <w:sz w:val="27"/>
                <w:szCs w:val="27"/>
                <w:lang w:val="uk-UA"/>
              </w:rPr>
              <w:t xml:space="preserve">допоміжні послуги, як-от підтвердження угод, звіряння угод, обслуговування випадків кредитної неплатоспроможності, узгодження або зменшення обсягів портфелів. </w:t>
            </w:r>
            <w:r w:rsidR="00BD5C15">
              <w:rPr>
                <w:rFonts w:ascii="Times New Roman" w:eastAsia="Times New Roman" w:hAnsi="Times New Roman" w:cs="Times New Roman"/>
                <w:sz w:val="27"/>
                <w:szCs w:val="27"/>
                <w:lang w:val="uk-UA"/>
              </w:rPr>
              <w:t xml:space="preserve">Доречно забезпечити, щоб рівним умовам діяльності у </w:t>
            </w:r>
            <w:proofErr w:type="spellStart"/>
            <w:r w:rsidR="00CC2F40">
              <w:rPr>
                <w:rFonts w:ascii="Times New Roman" w:eastAsia="Times New Roman" w:hAnsi="Times New Roman" w:cs="Times New Roman"/>
                <w:sz w:val="27"/>
                <w:szCs w:val="27"/>
                <w:lang w:val="uk-UA"/>
              </w:rPr>
              <w:t>постторговельному</w:t>
            </w:r>
            <w:proofErr w:type="spellEnd"/>
            <w:r w:rsidR="00CC2F40">
              <w:rPr>
                <w:rFonts w:ascii="Times New Roman" w:eastAsia="Times New Roman" w:hAnsi="Times New Roman" w:cs="Times New Roman"/>
                <w:sz w:val="27"/>
                <w:szCs w:val="27"/>
                <w:lang w:val="uk-UA"/>
              </w:rPr>
              <w:t xml:space="preserve"> секторі не шкодила можлива природна монополія на надання послуг торгових репозитаріїв. Тому торгові </w:t>
            </w:r>
            <w:proofErr w:type="spellStart"/>
            <w:r w:rsidR="00CC2F40">
              <w:rPr>
                <w:rFonts w:ascii="Times New Roman" w:eastAsia="Times New Roman" w:hAnsi="Times New Roman" w:cs="Times New Roman"/>
                <w:sz w:val="27"/>
                <w:szCs w:val="27"/>
                <w:lang w:val="uk-UA"/>
              </w:rPr>
              <w:t>репозитарії</w:t>
            </w:r>
            <w:proofErr w:type="spellEnd"/>
            <w:r w:rsidR="00CC2F40">
              <w:rPr>
                <w:rFonts w:ascii="Times New Roman" w:eastAsia="Times New Roman" w:hAnsi="Times New Roman" w:cs="Times New Roman"/>
                <w:sz w:val="27"/>
                <w:szCs w:val="27"/>
                <w:lang w:val="uk-UA"/>
              </w:rPr>
              <w:t xml:space="preserve"> повинні бути зобов’язані надати доступ до інформації, яку вони зберігають, на справедливих, розумних і недискримінаційних засадах, із застосуванням необхідних запобіжних заходів захисту даних.</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13101A" w:rsidP="00FA43B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Для того, щоб забезпечити всеосяжний огляд ринку та оцінювання системного ризику, торговим </w:t>
            </w:r>
            <w:proofErr w:type="spellStart"/>
            <w:r>
              <w:rPr>
                <w:rFonts w:ascii="Times New Roman" w:eastAsia="Times New Roman" w:hAnsi="Times New Roman" w:cs="Times New Roman"/>
                <w:sz w:val="27"/>
                <w:szCs w:val="27"/>
                <w:lang w:val="uk-UA"/>
              </w:rPr>
              <w:t>репозитаріям</w:t>
            </w:r>
            <w:proofErr w:type="spellEnd"/>
            <w:r>
              <w:rPr>
                <w:rFonts w:ascii="Times New Roman" w:eastAsia="Times New Roman" w:hAnsi="Times New Roman" w:cs="Times New Roman"/>
                <w:sz w:val="27"/>
                <w:szCs w:val="27"/>
                <w:lang w:val="uk-UA"/>
              </w:rPr>
              <w:t xml:space="preserve"> слід повідомляти про контракти на деривативи, </w:t>
            </w:r>
            <w:r w:rsidR="00FA43B1">
              <w:rPr>
                <w:rFonts w:ascii="Times New Roman" w:eastAsia="Times New Roman" w:hAnsi="Times New Roman" w:cs="Times New Roman"/>
                <w:sz w:val="27"/>
                <w:szCs w:val="27"/>
                <w:lang w:val="uk-UA"/>
              </w:rPr>
              <w:t>як проведені, так і не проведені через ЦКА.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FA43B1" w:rsidP="00FA43B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ЄНО повинні бути забезпечені достатніми ресурсами для ефективного виконання завдань, покладених на них цим регламентом.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530E1" w:rsidRDefault="00FA43B1" w:rsidP="00E530E1">
            <w:pPr>
              <w:spacing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Контрагенти та ЦКА, які укладають, змінюють або розривають контракт на дериватив, повинні забезпечити повідомлення деталей цього контракту торговому </w:t>
            </w:r>
            <w:proofErr w:type="spellStart"/>
            <w:r>
              <w:rPr>
                <w:rFonts w:ascii="Times New Roman" w:eastAsia="Times New Roman" w:hAnsi="Times New Roman" w:cs="Times New Roman"/>
                <w:sz w:val="27"/>
                <w:szCs w:val="27"/>
                <w:lang w:val="uk-UA"/>
              </w:rPr>
              <w:t>репозитарію</w:t>
            </w:r>
            <w:proofErr w:type="spellEnd"/>
            <w:r>
              <w:rPr>
                <w:rFonts w:ascii="Times New Roman" w:eastAsia="Times New Roman" w:hAnsi="Times New Roman" w:cs="Times New Roman"/>
                <w:sz w:val="27"/>
                <w:szCs w:val="27"/>
                <w:lang w:val="uk-UA"/>
              </w:rPr>
              <w:t>. Вони пов</w:t>
            </w:r>
            <w:r w:rsidR="009D2530">
              <w:rPr>
                <w:rFonts w:ascii="Times New Roman" w:eastAsia="Times New Roman" w:hAnsi="Times New Roman" w:cs="Times New Roman"/>
                <w:sz w:val="27"/>
                <w:szCs w:val="27"/>
                <w:lang w:val="uk-UA"/>
              </w:rPr>
              <w:t xml:space="preserve">инні мати можливість доручити іншому суб’єкту повідомити про контракт. Суб’єкт або його працівники, що повідомляють деталі контракту на дериватив торговому </w:t>
            </w:r>
            <w:proofErr w:type="spellStart"/>
            <w:r w:rsidR="009D2530">
              <w:rPr>
                <w:rFonts w:ascii="Times New Roman" w:eastAsia="Times New Roman" w:hAnsi="Times New Roman" w:cs="Times New Roman"/>
                <w:sz w:val="27"/>
                <w:szCs w:val="27"/>
                <w:lang w:val="uk-UA"/>
              </w:rPr>
              <w:t>репозитарію</w:t>
            </w:r>
            <w:proofErr w:type="spellEnd"/>
            <w:r w:rsidR="009D2530">
              <w:rPr>
                <w:rFonts w:ascii="Times New Roman" w:eastAsia="Times New Roman" w:hAnsi="Times New Roman" w:cs="Times New Roman"/>
                <w:sz w:val="27"/>
                <w:szCs w:val="27"/>
                <w:lang w:val="uk-UA"/>
              </w:rPr>
              <w:t xml:space="preserve"> від імені контрагента, згідно з цим регламентом, не повинні порушувати будь-які обмеження щодо розкриття інформації. При розробленні проектів регуляторних технічних стандартів щодо звітування</w:t>
            </w:r>
            <w:r w:rsidR="009D2530" w:rsidRPr="009D2530">
              <w:rPr>
                <w:rFonts w:ascii="Times New Roman" w:eastAsia="Times New Roman" w:hAnsi="Times New Roman" w:cs="Times New Roman"/>
                <w:sz w:val="27"/>
                <w:szCs w:val="27"/>
                <w:lang w:val="uk-UA"/>
              </w:rPr>
              <w:t xml:space="preserve"> </w:t>
            </w:r>
            <w:r w:rsidR="009D2530">
              <w:rPr>
                <w:rFonts w:ascii="Times New Roman" w:eastAsia="Times New Roman" w:hAnsi="Times New Roman" w:cs="Times New Roman"/>
                <w:sz w:val="27"/>
                <w:szCs w:val="27"/>
              </w:rPr>
              <w:t>ESMA</w:t>
            </w:r>
            <w:r w:rsidR="009D2530">
              <w:rPr>
                <w:rFonts w:ascii="Times New Roman" w:eastAsia="Times New Roman" w:hAnsi="Times New Roman" w:cs="Times New Roman"/>
                <w:sz w:val="27"/>
                <w:szCs w:val="27"/>
                <w:lang w:val="uk-UA"/>
              </w:rPr>
              <w:t xml:space="preserve"> повинна враховувати прогрес, досягнутий у розробленні унікального ідентифікатору контракту, та перелік потрібних звітних дан</w:t>
            </w:r>
            <w:r w:rsidR="00E530E1">
              <w:rPr>
                <w:rFonts w:ascii="Times New Roman" w:eastAsia="Times New Roman" w:hAnsi="Times New Roman" w:cs="Times New Roman"/>
                <w:sz w:val="27"/>
                <w:szCs w:val="27"/>
                <w:lang w:val="uk-UA"/>
              </w:rPr>
              <w:t>их, поданий у таблиці 1 Додатку І до Регламенту Комісії</w:t>
            </w:r>
            <w:r w:rsidR="00DE77B0" w:rsidRPr="00E530E1">
              <w:rPr>
                <w:rFonts w:ascii="Times New Roman" w:eastAsia="Times New Roman" w:hAnsi="Times New Roman" w:cs="Times New Roman"/>
                <w:sz w:val="27"/>
                <w:szCs w:val="27"/>
                <w:lang w:val="uk-UA"/>
              </w:rPr>
              <w:t xml:space="preserve"> (</w:t>
            </w:r>
            <w:r w:rsidR="00DE77B0" w:rsidRPr="006279CF">
              <w:rPr>
                <w:rFonts w:ascii="Times New Roman" w:eastAsia="Times New Roman" w:hAnsi="Times New Roman" w:cs="Times New Roman"/>
                <w:sz w:val="27"/>
                <w:szCs w:val="27"/>
              </w:rPr>
              <w:t>EC</w:t>
            </w:r>
            <w:r w:rsidR="00DE77B0" w:rsidRPr="00E530E1">
              <w:rPr>
                <w:rFonts w:ascii="Times New Roman" w:eastAsia="Times New Roman" w:hAnsi="Times New Roman" w:cs="Times New Roman"/>
                <w:sz w:val="27"/>
                <w:szCs w:val="27"/>
                <w:lang w:val="uk-UA"/>
              </w:rPr>
              <w:t xml:space="preserve">) </w:t>
            </w:r>
            <w:r w:rsidR="00E530E1">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 </w:t>
            </w:r>
            <w:r w:rsidR="00DE77B0" w:rsidRPr="00E530E1">
              <w:rPr>
                <w:rFonts w:ascii="Times New Roman" w:eastAsia="Times New Roman" w:hAnsi="Times New Roman" w:cs="Times New Roman"/>
                <w:sz w:val="27"/>
                <w:szCs w:val="27"/>
                <w:lang w:val="uk-UA"/>
              </w:rPr>
              <w:t>1287/2006</w:t>
            </w:r>
            <w:hyperlink r:id="rId24" w:anchor="ntr20-L_2012201EN.01000101-E0020" w:history="1">
              <w:r w:rsidR="00DE77B0" w:rsidRPr="006279CF">
                <w:rPr>
                  <w:rFonts w:ascii="Times New Roman" w:eastAsia="Times New Roman" w:hAnsi="Times New Roman" w:cs="Times New Roman"/>
                  <w:sz w:val="27"/>
                  <w:szCs w:val="27"/>
                  <w:bdr w:val="none" w:sz="0" w:space="0" w:color="auto" w:frame="1"/>
                </w:rPr>
                <w:t> </w:t>
              </w:r>
              <w:r w:rsidR="00DE77B0" w:rsidRPr="00E530E1">
                <w:rPr>
                  <w:rFonts w:ascii="Times New Roman" w:eastAsia="Times New Roman" w:hAnsi="Times New Roman" w:cs="Times New Roman"/>
                  <w:sz w:val="27"/>
                  <w:szCs w:val="27"/>
                  <w:bdr w:val="none" w:sz="0" w:space="0" w:color="auto" w:frame="1"/>
                  <w:lang w:val="uk-UA"/>
                </w:rPr>
                <w:t>(</w:t>
              </w:r>
              <w:r w:rsidR="00DE77B0" w:rsidRPr="00E530E1">
                <w:rPr>
                  <w:rFonts w:ascii="Times New Roman" w:eastAsia="Times New Roman" w:hAnsi="Times New Roman" w:cs="Times New Roman"/>
                  <w:sz w:val="19"/>
                  <w:szCs w:val="19"/>
                  <w:bdr w:val="none" w:sz="0" w:space="0" w:color="auto" w:frame="1"/>
                  <w:vertAlign w:val="superscript"/>
                  <w:lang w:val="uk-UA"/>
                </w:rPr>
                <w:t>20</w:t>
              </w:r>
              <w:r w:rsidR="00DE77B0" w:rsidRPr="00E530E1">
                <w:rPr>
                  <w:rFonts w:ascii="Times New Roman" w:eastAsia="Times New Roman" w:hAnsi="Times New Roman" w:cs="Times New Roman"/>
                  <w:sz w:val="27"/>
                  <w:szCs w:val="27"/>
                  <w:bdr w:val="none" w:sz="0" w:space="0" w:color="auto" w:frame="1"/>
                  <w:lang w:val="uk-UA"/>
                </w:rPr>
                <w:t>)</w:t>
              </w:r>
            </w:hyperlink>
            <w:r w:rsidR="00DE77B0" w:rsidRPr="006279CF">
              <w:rPr>
                <w:rFonts w:ascii="Times New Roman" w:eastAsia="Times New Roman" w:hAnsi="Times New Roman" w:cs="Times New Roman"/>
                <w:sz w:val="27"/>
                <w:szCs w:val="27"/>
              </w:rPr>
              <w:t> </w:t>
            </w:r>
            <w:r w:rsidR="00E530E1">
              <w:rPr>
                <w:rFonts w:ascii="Times New Roman" w:eastAsia="Times New Roman" w:hAnsi="Times New Roman" w:cs="Times New Roman"/>
                <w:sz w:val="27"/>
                <w:szCs w:val="27"/>
                <w:lang w:val="uk-UA"/>
              </w:rPr>
              <w:t>про імплементацію Директиви 2004/39/ЕС, і консультуватися з іншими відповідними органами, наприклад, з Агентством із співробітництва регуляторів у галузі енергетики</w:t>
            </w:r>
            <w:r w:rsidR="00DE77B0" w:rsidRPr="00E530E1">
              <w:rPr>
                <w:rFonts w:ascii="Times New Roman" w:eastAsia="Times New Roman" w:hAnsi="Times New Roman" w:cs="Times New Roman"/>
                <w:sz w:val="27"/>
                <w:szCs w:val="27"/>
                <w:lang w:val="uk-UA"/>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D33A96" w:rsidP="00903F5F">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Ураховуючи принципи, викладені у Повідомленні Комісії про посилення режимів санкцій у секторі фінансових послуг і правових актах Союзу, прийнятих у розвиток цього повідомлення, держави-члени </w:t>
            </w:r>
            <w:r w:rsidR="008C5F1B">
              <w:rPr>
                <w:rFonts w:ascii="Times New Roman" w:eastAsia="Times New Roman" w:hAnsi="Times New Roman" w:cs="Times New Roman"/>
                <w:sz w:val="27"/>
                <w:szCs w:val="27"/>
                <w:lang w:val="uk-UA"/>
              </w:rPr>
              <w:t>Союзу</w:t>
            </w:r>
            <w:r>
              <w:rPr>
                <w:rFonts w:ascii="Times New Roman" w:eastAsia="Times New Roman" w:hAnsi="Times New Roman" w:cs="Times New Roman"/>
                <w:sz w:val="27"/>
                <w:szCs w:val="27"/>
                <w:lang w:val="uk-UA"/>
              </w:rPr>
              <w:t xml:space="preserve"> повинні встановити правила щодо санкцій, застосовних за порушення цього регламенту. Держави-члени </w:t>
            </w:r>
            <w:r w:rsidR="008C5F1B">
              <w:rPr>
                <w:rFonts w:ascii="Times New Roman" w:eastAsia="Times New Roman" w:hAnsi="Times New Roman" w:cs="Times New Roman"/>
                <w:sz w:val="27"/>
                <w:szCs w:val="27"/>
                <w:lang w:val="uk-UA"/>
              </w:rPr>
              <w:t>Союзу</w:t>
            </w:r>
            <w:r>
              <w:rPr>
                <w:rFonts w:ascii="Times New Roman" w:eastAsia="Times New Roman" w:hAnsi="Times New Roman" w:cs="Times New Roman"/>
                <w:sz w:val="27"/>
                <w:szCs w:val="27"/>
                <w:lang w:val="uk-UA"/>
              </w:rPr>
              <w:t xml:space="preserve"> повинні застосовувати ці санкції у спосіб, який не зменшує дієвість цих правил. </w:t>
            </w:r>
            <w:r w:rsidR="00903F5F">
              <w:rPr>
                <w:rFonts w:ascii="Times New Roman" w:eastAsia="Times New Roman" w:hAnsi="Times New Roman" w:cs="Times New Roman"/>
                <w:sz w:val="27"/>
                <w:szCs w:val="27"/>
                <w:lang w:val="uk-UA"/>
              </w:rPr>
              <w:t xml:space="preserve">Ці санкції повинні бути ефективними, сумірними та стримуючими. </w:t>
            </w:r>
            <w:r w:rsidR="003F2FCE">
              <w:rPr>
                <w:rFonts w:ascii="Times New Roman" w:eastAsia="Times New Roman" w:hAnsi="Times New Roman" w:cs="Times New Roman"/>
                <w:sz w:val="27"/>
                <w:szCs w:val="27"/>
                <w:lang w:val="uk-UA"/>
              </w:rPr>
              <w:t xml:space="preserve">Вони мають ґрунтуватися на настановах, прийнятих </w:t>
            </w:r>
            <w:r w:rsidR="003F2FCE">
              <w:rPr>
                <w:rFonts w:ascii="Times New Roman" w:eastAsia="Times New Roman" w:hAnsi="Times New Roman" w:cs="Times New Roman"/>
                <w:sz w:val="27"/>
                <w:szCs w:val="27"/>
              </w:rPr>
              <w:t>ESMA</w:t>
            </w:r>
            <w:r w:rsidR="003F2FCE">
              <w:rPr>
                <w:rFonts w:ascii="Times New Roman" w:eastAsia="Times New Roman" w:hAnsi="Times New Roman" w:cs="Times New Roman"/>
                <w:sz w:val="27"/>
                <w:szCs w:val="27"/>
                <w:lang w:val="uk-UA"/>
              </w:rPr>
              <w:t xml:space="preserve"> для сприяння конвергенції та міжгалузевої </w:t>
            </w:r>
            <w:proofErr w:type="spellStart"/>
            <w:r w:rsidR="003F2FCE">
              <w:rPr>
                <w:rFonts w:ascii="Times New Roman" w:eastAsia="Times New Roman" w:hAnsi="Times New Roman" w:cs="Times New Roman"/>
                <w:sz w:val="27"/>
                <w:szCs w:val="27"/>
                <w:lang w:val="uk-UA"/>
              </w:rPr>
              <w:t>угодженості</w:t>
            </w:r>
            <w:proofErr w:type="spellEnd"/>
            <w:r w:rsidR="003F2FCE">
              <w:rPr>
                <w:rFonts w:ascii="Times New Roman" w:eastAsia="Times New Roman" w:hAnsi="Times New Roman" w:cs="Times New Roman"/>
                <w:sz w:val="27"/>
                <w:szCs w:val="27"/>
                <w:lang w:val="uk-UA"/>
              </w:rPr>
              <w:t xml:space="preserve"> режимів санкцій у фінансовому секторі. Держави-члени </w:t>
            </w:r>
            <w:r w:rsidR="008C5F1B">
              <w:rPr>
                <w:rFonts w:ascii="Times New Roman" w:eastAsia="Times New Roman" w:hAnsi="Times New Roman" w:cs="Times New Roman"/>
                <w:sz w:val="27"/>
                <w:szCs w:val="27"/>
                <w:lang w:val="uk-UA"/>
              </w:rPr>
              <w:t>Союзу</w:t>
            </w:r>
            <w:r w:rsidR="003F2FCE">
              <w:rPr>
                <w:rFonts w:ascii="Times New Roman" w:eastAsia="Times New Roman" w:hAnsi="Times New Roman" w:cs="Times New Roman"/>
                <w:sz w:val="27"/>
                <w:szCs w:val="27"/>
                <w:lang w:val="uk-UA"/>
              </w:rPr>
              <w:t xml:space="preserve"> </w:t>
            </w:r>
            <w:r w:rsidR="003F2FCE">
              <w:rPr>
                <w:rFonts w:ascii="Times New Roman" w:eastAsia="Times New Roman" w:hAnsi="Times New Roman" w:cs="Times New Roman"/>
                <w:sz w:val="27"/>
                <w:szCs w:val="27"/>
                <w:lang w:val="uk-UA"/>
              </w:rPr>
              <w:lastRenderedPageBreak/>
              <w:t xml:space="preserve">повинні забезпечити, щоб застосовані санкції у доречних випадках оприлюднювалися, а </w:t>
            </w:r>
            <w:r w:rsidR="003267B0">
              <w:rPr>
                <w:rFonts w:ascii="Times New Roman" w:eastAsia="Times New Roman" w:hAnsi="Times New Roman" w:cs="Times New Roman"/>
                <w:sz w:val="27"/>
                <w:szCs w:val="27"/>
                <w:lang w:val="uk-UA"/>
              </w:rPr>
              <w:t xml:space="preserve">звіти за результатами оцінки ефективності </w:t>
            </w:r>
            <w:r w:rsidR="004906A1">
              <w:rPr>
                <w:rFonts w:ascii="Times New Roman" w:eastAsia="Times New Roman" w:hAnsi="Times New Roman" w:cs="Times New Roman"/>
                <w:sz w:val="27"/>
                <w:szCs w:val="27"/>
                <w:lang w:val="uk-UA"/>
              </w:rPr>
              <w:t xml:space="preserve">чинних правил публікувалися </w:t>
            </w:r>
            <w:r w:rsidR="00F067E6">
              <w:rPr>
                <w:rFonts w:ascii="Times New Roman" w:eastAsia="Times New Roman" w:hAnsi="Times New Roman" w:cs="Times New Roman"/>
                <w:sz w:val="27"/>
                <w:szCs w:val="27"/>
                <w:lang w:val="uk-UA"/>
              </w:rPr>
              <w:t>регулярно.</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F067E6" w:rsidP="00383087">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ЦКА може бути створений згідно з цим регламентом у будь-якій державі-члені </w:t>
            </w:r>
            <w:r w:rsidR="008C5F1B">
              <w:rPr>
                <w:rFonts w:ascii="Times New Roman" w:eastAsia="Times New Roman" w:hAnsi="Times New Roman" w:cs="Times New Roman"/>
                <w:sz w:val="27"/>
                <w:szCs w:val="27"/>
                <w:lang w:val="uk-UA"/>
              </w:rPr>
              <w:t>Союзу</w:t>
            </w:r>
            <w:r>
              <w:rPr>
                <w:rFonts w:ascii="Times New Roman" w:eastAsia="Times New Roman" w:hAnsi="Times New Roman" w:cs="Times New Roman"/>
                <w:sz w:val="27"/>
                <w:szCs w:val="27"/>
                <w:lang w:val="uk-UA"/>
              </w:rPr>
              <w:t xml:space="preserve">. Жодна держава-член або група держав-членів </w:t>
            </w:r>
            <w:r w:rsidR="008C5F1B">
              <w:rPr>
                <w:rFonts w:ascii="Times New Roman" w:eastAsia="Times New Roman" w:hAnsi="Times New Roman" w:cs="Times New Roman"/>
                <w:sz w:val="27"/>
                <w:szCs w:val="27"/>
                <w:lang w:val="uk-UA"/>
              </w:rPr>
              <w:t>Союзу</w:t>
            </w:r>
            <w:r>
              <w:rPr>
                <w:rFonts w:ascii="Times New Roman" w:eastAsia="Times New Roman" w:hAnsi="Times New Roman" w:cs="Times New Roman"/>
                <w:sz w:val="27"/>
                <w:szCs w:val="27"/>
                <w:lang w:val="uk-UA"/>
              </w:rPr>
              <w:t xml:space="preserve"> не повинна зазнавати дискримінації, прямої чи непрямої, як місце надання клірингових послуг. Ніщо в цьому регламенті не спрямовано на обмеження або запобігання проведення ЦКА в одній юрисдикції клірингу продукту, деномінованого у валюті іншої держави-члена </w:t>
            </w:r>
            <w:r w:rsidR="008C5F1B">
              <w:rPr>
                <w:rFonts w:ascii="Times New Roman" w:eastAsia="Times New Roman" w:hAnsi="Times New Roman" w:cs="Times New Roman"/>
                <w:sz w:val="27"/>
                <w:szCs w:val="27"/>
                <w:lang w:val="uk-UA"/>
              </w:rPr>
              <w:t>Союзу</w:t>
            </w:r>
            <w:r>
              <w:rPr>
                <w:rFonts w:ascii="Times New Roman" w:eastAsia="Times New Roman" w:hAnsi="Times New Roman" w:cs="Times New Roman"/>
                <w:sz w:val="27"/>
                <w:szCs w:val="27"/>
                <w:lang w:val="uk-UA"/>
              </w:rPr>
              <w:t xml:space="preserve"> або у валюті третьої країни.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482B12" w:rsidP="00AF4372">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Надання ЦКА повноважень здійснюється залежно від мінімального обсягу початкового капіталу. Капітал, у тому числі нерозподілений прибуток і резерви ЦКА, постійно повинен бути сумірним ризику, що випливає з діяльності ЦКА</w:t>
            </w:r>
            <w:r w:rsidR="007E4051">
              <w:rPr>
                <w:rFonts w:ascii="Times New Roman" w:eastAsia="Times New Roman" w:hAnsi="Times New Roman" w:cs="Times New Roman"/>
                <w:sz w:val="27"/>
                <w:szCs w:val="27"/>
                <w:lang w:val="uk-UA"/>
              </w:rPr>
              <w:t>, щоб забезпечити належну капіталізацію ЦКА проти кредитного, контрагентського, ринкового, операційного, юридичного і ділового ризиків, які ще не покриті конкретними фінансовими ресурсами, а також заб</w:t>
            </w:r>
            <w:r w:rsidR="00AF4372">
              <w:rPr>
                <w:rFonts w:ascii="Times New Roman" w:eastAsia="Times New Roman" w:hAnsi="Times New Roman" w:cs="Times New Roman"/>
                <w:sz w:val="27"/>
                <w:szCs w:val="27"/>
                <w:lang w:val="uk-UA"/>
              </w:rPr>
              <w:t>езпечити здатність ЦКА проводити за потреби впорядковану ліквідацію або реорганізацію його діяльності.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07805" w:rsidRDefault="00AF4372" w:rsidP="00F07805">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Оскільки цим регламентом вводиться юридичний обов’язок щодо клірингу через конкретні ЦКА у цілях нагляду, важливо забезпечити, щоб ці ЦКА постійно підтримували свою безпеку і </w:t>
            </w:r>
            <w:r w:rsidR="00F07805">
              <w:rPr>
                <w:rFonts w:ascii="Times New Roman" w:eastAsia="Times New Roman" w:hAnsi="Times New Roman" w:cs="Times New Roman"/>
                <w:sz w:val="27"/>
                <w:szCs w:val="27"/>
                <w:lang w:val="uk-UA"/>
              </w:rPr>
              <w:t>оптимальний режим роботи та незмінно дотримувалися суворих вимог щодо організації, ділової поведінки та розсудливості, встановлених цим регламентом. Щоб забезпечити одноманітне застосування цього регламенту, ці вимоги повинні застосовуватися до клірингу всіх фінансових інструментів, з якими працюють ЦКА.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B17E1" w:rsidRDefault="00552FD1" w:rsidP="004F47DC">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Тому в цілях нагляду і гармонізації необхідно забезпечити, щоб контрагенти користувалися послугами лише тих ЦКА, які відповідають вимогам, установленим у цьому регламенті. Ці вимоги не повинні заважати державам-членам </w:t>
            </w:r>
            <w:r w:rsidR="008C5F1B">
              <w:rPr>
                <w:rFonts w:ascii="Times New Roman" w:eastAsia="Times New Roman" w:hAnsi="Times New Roman" w:cs="Times New Roman"/>
                <w:sz w:val="27"/>
                <w:szCs w:val="27"/>
                <w:lang w:val="uk-UA"/>
              </w:rPr>
              <w:t>Союзу</w:t>
            </w:r>
            <w:r>
              <w:rPr>
                <w:rFonts w:ascii="Times New Roman" w:eastAsia="Times New Roman" w:hAnsi="Times New Roman" w:cs="Times New Roman"/>
                <w:sz w:val="27"/>
                <w:szCs w:val="27"/>
                <w:lang w:val="uk-UA"/>
              </w:rPr>
              <w:t xml:space="preserve"> установлювати або продовжувати застосовувати додаткові вимоги щодо ЦКА, створених на їхній території, включаючи певні вимоги щодо надання повноважень за Директивою</w:t>
            </w:r>
            <w:r w:rsidR="00DE77B0" w:rsidRPr="00552FD1">
              <w:rPr>
                <w:rFonts w:ascii="Times New Roman" w:eastAsia="Times New Roman" w:hAnsi="Times New Roman" w:cs="Times New Roman"/>
                <w:sz w:val="27"/>
                <w:szCs w:val="27"/>
                <w:lang w:val="ru-RU"/>
              </w:rPr>
              <w:t xml:space="preserve"> 2006/48/</w:t>
            </w:r>
            <w:r w:rsidR="00DE77B0" w:rsidRPr="006279CF">
              <w:rPr>
                <w:rFonts w:ascii="Times New Roman" w:eastAsia="Times New Roman" w:hAnsi="Times New Roman" w:cs="Times New Roman"/>
                <w:sz w:val="27"/>
                <w:szCs w:val="27"/>
              </w:rPr>
              <w:t>EC</w:t>
            </w:r>
            <w:r w:rsidR="00DE77B0" w:rsidRPr="00552FD1">
              <w:rPr>
                <w:rFonts w:ascii="Times New Roman" w:eastAsia="Times New Roman" w:hAnsi="Times New Roman" w:cs="Times New Roman"/>
                <w:sz w:val="27"/>
                <w:szCs w:val="27"/>
                <w:lang w:val="ru-RU"/>
              </w:rPr>
              <w:t>.</w:t>
            </w:r>
            <w:r>
              <w:rPr>
                <w:rFonts w:ascii="Times New Roman" w:eastAsia="Times New Roman" w:hAnsi="Times New Roman" w:cs="Times New Roman"/>
                <w:sz w:val="27"/>
                <w:szCs w:val="27"/>
                <w:lang w:val="uk-UA"/>
              </w:rPr>
              <w:t xml:space="preserve"> Проте, встановлення таких додаткових вимог не повинно впли</w:t>
            </w:r>
            <w:r w:rsidR="004F47DC">
              <w:rPr>
                <w:rFonts w:ascii="Times New Roman" w:eastAsia="Times New Roman" w:hAnsi="Times New Roman" w:cs="Times New Roman"/>
                <w:sz w:val="27"/>
                <w:szCs w:val="27"/>
                <w:lang w:val="uk-UA"/>
              </w:rPr>
              <w:t xml:space="preserve">вати на право ЦКА, уповноважених в інших державах-членах </w:t>
            </w:r>
            <w:r w:rsidR="005F4941">
              <w:rPr>
                <w:rFonts w:ascii="Times New Roman" w:eastAsia="Times New Roman" w:hAnsi="Times New Roman" w:cs="Times New Roman"/>
                <w:sz w:val="27"/>
                <w:szCs w:val="27"/>
                <w:lang w:val="uk-UA"/>
              </w:rPr>
              <w:t xml:space="preserve">Союзу </w:t>
            </w:r>
            <w:r w:rsidR="004F47DC">
              <w:rPr>
                <w:rFonts w:ascii="Times New Roman" w:eastAsia="Times New Roman" w:hAnsi="Times New Roman" w:cs="Times New Roman"/>
                <w:sz w:val="27"/>
                <w:szCs w:val="27"/>
                <w:lang w:val="uk-UA"/>
              </w:rPr>
              <w:t>або визнаних згідно з цим регламентом як такі, що можуть надавати клірингові послуги учасникам клірингу та їхнім клієнтам, створеним у державі-члені</w:t>
            </w:r>
            <w:r w:rsidR="005F4941">
              <w:rPr>
                <w:rFonts w:ascii="Times New Roman" w:eastAsia="Times New Roman" w:hAnsi="Times New Roman" w:cs="Times New Roman"/>
                <w:sz w:val="27"/>
                <w:szCs w:val="27"/>
                <w:lang w:val="uk-UA"/>
              </w:rPr>
              <w:t xml:space="preserve"> Союзу</w:t>
            </w:r>
            <w:r w:rsidR="004F47DC">
              <w:rPr>
                <w:rFonts w:ascii="Times New Roman" w:eastAsia="Times New Roman" w:hAnsi="Times New Roman" w:cs="Times New Roman"/>
                <w:sz w:val="27"/>
                <w:szCs w:val="27"/>
                <w:lang w:val="uk-UA"/>
              </w:rPr>
              <w:t xml:space="preserve">, яка встановлює додаткові вимоги, тому що ці ЦКА не підпадають під ці додаткові вимоги й не повинні їх виконувати. До 30 вересня 2014 р. </w:t>
            </w:r>
            <w:r w:rsidR="004F47DC">
              <w:rPr>
                <w:rFonts w:ascii="Times New Roman" w:eastAsia="Times New Roman" w:hAnsi="Times New Roman" w:cs="Times New Roman"/>
                <w:sz w:val="27"/>
                <w:szCs w:val="27"/>
              </w:rPr>
              <w:t>ESMA</w:t>
            </w:r>
            <w:r w:rsidR="004F47DC">
              <w:rPr>
                <w:rFonts w:ascii="Times New Roman" w:eastAsia="Times New Roman" w:hAnsi="Times New Roman" w:cs="Times New Roman"/>
                <w:sz w:val="27"/>
                <w:szCs w:val="27"/>
                <w:lang w:val="uk-UA"/>
              </w:rPr>
              <w:t xml:space="preserve"> </w:t>
            </w:r>
            <w:r w:rsidR="004F47DC">
              <w:rPr>
                <w:rFonts w:ascii="Times New Roman" w:eastAsia="Times New Roman" w:hAnsi="Times New Roman" w:cs="Times New Roman"/>
                <w:sz w:val="27"/>
                <w:szCs w:val="27"/>
                <w:lang w:val="uk-UA"/>
              </w:rPr>
              <w:lastRenderedPageBreak/>
              <w:t>має підготувати звіт про вплив застосування додаткових вимог державами-членами ЄС.</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0650AA" w:rsidRDefault="00AB17E1" w:rsidP="002A46F3">
            <w:pPr>
              <w:spacing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Безпосередні правила стосовно надання повн</w:t>
            </w:r>
            <w:r w:rsidR="008C545E">
              <w:rPr>
                <w:rFonts w:ascii="Times New Roman" w:eastAsia="Times New Roman" w:hAnsi="Times New Roman" w:cs="Times New Roman"/>
                <w:sz w:val="27"/>
                <w:szCs w:val="27"/>
                <w:lang w:val="uk-UA"/>
              </w:rPr>
              <w:t>оважень ЦКА і нагляду за ними є істотним наслідком зобов’язання щодо клірингу контрактів на позабіржові деривативи. Доречно, щоб компетентні органи зберегли відповідальність за всі аспекти надання повноважень і нагляду за ЦКА, включаючи відповідальність за перевірку відповідності ЦКА-заявника цьому регламенту та Директиві</w:t>
            </w:r>
            <w:r w:rsidR="00DE77B0" w:rsidRPr="008C545E">
              <w:rPr>
                <w:rFonts w:ascii="Times New Roman" w:eastAsia="Times New Roman" w:hAnsi="Times New Roman" w:cs="Times New Roman"/>
                <w:sz w:val="27"/>
                <w:szCs w:val="27"/>
                <w:lang w:val="uk-UA"/>
              </w:rPr>
              <w:t xml:space="preserve"> 98/26/</w:t>
            </w:r>
            <w:r w:rsidR="00DE77B0" w:rsidRPr="006279CF">
              <w:rPr>
                <w:rFonts w:ascii="Times New Roman" w:eastAsia="Times New Roman" w:hAnsi="Times New Roman" w:cs="Times New Roman"/>
                <w:sz w:val="27"/>
                <w:szCs w:val="27"/>
              </w:rPr>
              <w:t>EC</w:t>
            </w:r>
            <w:r w:rsidR="00DE77B0" w:rsidRPr="008C545E">
              <w:rPr>
                <w:rFonts w:ascii="Times New Roman" w:eastAsia="Times New Roman" w:hAnsi="Times New Roman" w:cs="Times New Roman"/>
                <w:sz w:val="27"/>
                <w:szCs w:val="27"/>
                <w:lang w:val="uk-UA"/>
              </w:rPr>
              <w:t xml:space="preserve"> </w:t>
            </w:r>
            <w:r w:rsidR="008C545E">
              <w:rPr>
                <w:rFonts w:ascii="Times New Roman" w:eastAsia="Times New Roman" w:hAnsi="Times New Roman" w:cs="Times New Roman"/>
                <w:sz w:val="27"/>
                <w:szCs w:val="27"/>
                <w:lang w:val="uk-UA"/>
              </w:rPr>
              <w:t xml:space="preserve">Європейського Парламенту та Ради від 19 травня 1998 р. про </w:t>
            </w:r>
            <w:r w:rsidR="002A46F3">
              <w:rPr>
                <w:rFonts w:ascii="Times New Roman" w:eastAsia="Times New Roman" w:hAnsi="Times New Roman" w:cs="Times New Roman"/>
                <w:sz w:val="27"/>
                <w:szCs w:val="27"/>
                <w:lang w:val="uk-UA"/>
              </w:rPr>
              <w:t>незворотність розрахунків у платіжних системах і системах розрахунків по цінних паперах</w:t>
            </w:r>
            <w:hyperlink r:id="rId25" w:anchor="ntr21-L_2012201EN.01000101-E0021" w:history="1">
              <w:r w:rsidR="00DE77B0" w:rsidRPr="006279CF">
                <w:rPr>
                  <w:rFonts w:ascii="Times New Roman" w:eastAsia="Times New Roman" w:hAnsi="Times New Roman" w:cs="Times New Roman"/>
                  <w:sz w:val="27"/>
                  <w:szCs w:val="27"/>
                  <w:bdr w:val="none" w:sz="0" w:space="0" w:color="auto" w:frame="1"/>
                </w:rPr>
                <w:t> </w:t>
              </w:r>
              <w:r w:rsidR="00DE77B0" w:rsidRPr="002A46F3">
                <w:rPr>
                  <w:rFonts w:ascii="Times New Roman" w:eastAsia="Times New Roman" w:hAnsi="Times New Roman" w:cs="Times New Roman"/>
                  <w:sz w:val="27"/>
                  <w:szCs w:val="27"/>
                  <w:bdr w:val="none" w:sz="0" w:space="0" w:color="auto" w:frame="1"/>
                  <w:lang w:val="uk-UA"/>
                </w:rPr>
                <w:t>(</w:t>
              </w:r>
              <w:r w:rsidR="00DE77B0" w:rsidRPr="002A46F3">
                <w:rPr>
                  <w:rFonts w:ascii="Times New Roman" w:eastAsia="Times New Roman" w:hAnsi="Times New Roman" w:cs="Times New Roman"/>
                  <w:sz w:val="19"/>
                  <w:szCs w:val="19"/>
                  <w:bdr w:val="none" w:sz="0" w:space="0" w:color="auto" w:frame="1"/>
                  <w:vertAlign w:val="superscript"/>
                  <w:lang w:val="uk-UA"/>
                </w:rPr>
                <w:t>21</w:t>
              </w:r>
              <w:r w:rsidR="00DE77B0" w:rsidRPr="002A46F3">
                <w:rPr>
                  <w:rFonts w:ascii="Times New Roman" w:eastAsia="Times New Roman" w:hAnsi="Times New Roman" w:cs="Times New Roman"/>
                  <w:sz w:val="27"/>
                  <w:szCs w:val="27"/>
                  <w:bdr w:val="none" w:sz="0" w:space="0" w:color="auto" w:frame="1"/>
                  <w:lang w:val="uk-UA"/>
                </w:rPr>
                <w:t>)</w:t>
              </w:r>
            </w:hyperlink>
            <w:r w:rsidR="00DE77B0" w:rsidRPr="002A46F3">
              <w:rPr>
                <w:rFonts w:ascii="Times New Roman" w:eastAsia="Times New Roman" w:hAnsi="Times New Roman" w:cs="Times New Roman"/>
                <w:sz w:val="27"/>
                <w:szCs w:val="27"/>
                <w:lang w:val="uk-UA"/>
              </w:rPr>
              <w:t xml:space="preserve">, </w:t>
            </w:r>
            <w:r w:rsidR="002A46F3">
              <w:rPr>
                <w:rFonts w:ascii="Times New Roman" w:eastAsia="Times New Roman" w:hAnsi="Times New Roman" w:cs="Times New Roman"/>
                <w:sz w:val="27"/>
                <w:szCs w:val="27"/>
                <w:lang w:val="uk-UA"/>
              </w:rPr>
              <w:t>ураховуючи, що ці національні компетентні органи мають найкращу можливість для вивчення повсякденної роботи ЦКА, проведення регулярних перевірок і за потреби вжиття відповідних заходів.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0650AA" w:rsidRDefault="00546B1C" w:rsidP="00980B53">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Якщо виник ризик неплатоспроможності ЦКА, то фінансова відповідальність може лежати переважно на державі-члені </w:t>
            </w:r>
            <w:r w:rsidR="005F4941">
              <w:rPr>
                <w:rFonts w:ascii="Times New Roman" w:eastAsia="Times New Roman" w:hAnsi="Times New Roman" w:cs="Times New Roman"/>
                <w:sz w:val="27"/>
                <w:szCs w:val="27"/>
                <w:lang w:val="uk-UA"/>
              </w:rPr>
              <w:t>Союзу</w:t>
            </w:r>
            <w:r>
              <w:rPr>
                <w:rFonts w:ascii="Times New Roman" w:eastAsia="Times New Roman" w:hAnsi="Times New Roman" w:cs="Times New Roman"/>
                <w:sz w:val="27"/>
                <w:szCs w:val="27"/>
                <w:lang w:val="uk-UA"/>
              </w:rPr>
              <w:t xml:space="preserve">, у якій створений цей ЦКА. Отже, надання повноважень цьому ЦКА і нагляд за його роботою має здійснювати відповідний компетентний орган цієї держави-члена </w:t>
            </w:r>
            <w:r w:rsidR="005F4941">
              <w:rPr>
                <w:rFonts w:ascii="Times New Roman" w:eastAsia="Times New Roman" w:hAnsi="Times New Roman" w:cs="Times New Roman"/>
                <w:sz w:val="27"/>
                <w:szCs w:val="27"/>
                <w:lang w:val="uk-UA"/>
              </w:rPr>
              <w:t>Союзу</w:t>
            </w:r>
            <w:r>
              <w:rPr>
                <w:rFonts w:ascii="Times New Roman" w:eastAsia="Times New Roman" w:hAnsi="Times New Roman" w:cs="Times New Roman"/>
                <w:sz w:val="27"/>
                <w:szCs w:val="27"/>
                <w:lang w:val="uk-UA"/>
              </w:rPr>
              <w:t xml:space="preserve">. </w:t>
            </w:r>
            <w:r w:rsidR="00C607FC">
              <w:rPr>
                <w:rFonts w:ascii="Times New Roman" w:eastAsia="Times New Roman" w:hAnsi="Times New Roman" w:cs="Times New Roman"/>
                <w:sz w:val="27"/>
                <w:szCs w:val="27"/>
                <w:lang w:val="uk-UA"/>
              </w:rPr>
              <w:t>Проте, оскільки учасники клірингу у ЦКА можуть бути створені в інших</w:t>
            </w:r>
            <w:r w:rsidR="00051C6D">
              <w:rPr>
                <w:rFonts w:ascii="Times New Roman" w:eastAsia="Times New Roman" w:hAnsi="Times New Roman" w:cs="Times New Roman"/>
                <w:sz w:val="27"/>
                <w:szCs w:val="27"/>
                <w:lang w:val="uk-UA"/>
              </w:rPr>
              <w:t xml:space="preserve"> державах-членах </w:t>
            </w:r>
            <w:r w:rsidR="005F4941">
              <w:rPr>
                <w:rFonts w:ascii="Times New Roman" w:eastAsia="Times New Roman" w:hAnsi="Times New Roman" w:cs="Times New Roman"/>
                <w:sz w:val="27"/>
                <w:szCs w:val="27"/>
                <w:lang w:val="uk-UA"/>
              </w:rPr>
              <w:t xml:space="preserve">Союзу </w:t>
            </w:r>
            <w:r w:rsidR="00051C6D">
              <w:rPr>
                <w:rFonts w:ascii="Times New Roman" w:eastAsia="Times New Roman" w:hAnsi="Times New Roman" w:cs="Times New Roman"/>
                <w:sz w:val="27"/>
                <w:szCs w:val="27"/>
                <w:lang w:val="uk-UA"/>
              </w:rPr>
              <w:t>і вони стануть першими, на кого вплине дефолт ЦКА, то обов’язково необхідно залучити до процесу надання повноважень і нагляду всі відповідні компетентні органи та</w:t>
            </w:r>
            <w:r w:rsidR="00DE77B0" w:rsidRPr="005F4941">
              <w:rPr>
                <w:rFonts w:ascii="Times New Roman" w:eastAsia="Times New Roman" w:hAnsi="Times New Roman" w:cs="Times New Roman"/>
                <w:sz w:val="27"/>
                <w:szCs w:val="27"/>
                <w:lang w:val="uk-UA"/>
              </w:rPr>
              <w:t xml:space="preserve"> </w:t>
            </w:r>
            <w:r w:rsidR="00DE77B0" w:rsidRPr="006279CF">
              <w:rPr>
                <w:rFonts w:ascii="Times New Roman" w:eastAsia="Times New Roman" w:hAnsi="Times New Roman" w:cs="Times New Roman"/>
                <w:sz w:val="27"/>
                <w:szCs w:val="27"/>
              </w:rPr>
              <w:t>ESMA</w:t>
            </w:r>
            <w:r w:rsidR="00051C6D">
              <w:rPr>
                <w:rFonts w:ascii="Times New Roman" w:eastAsia="Times New Roman" w:hAnsi="Times New Roman" w:cs="Times New Roman"/>
                <w:sz w:val="27"/>
                <w:szCs w:val="27"/>
                <w:lang w:val="uk-UA"/>
              </w:rPr>
              <w:t xml:space="preserve">. Це допоможе уникнути різнорідних національних заходів або практики та перешкод для належного функціонування внутрішнього ринку. Крім того, жодна пропозиція чи політика будь-якого члена </w:t>
            </w:r>
            <w:r w:rsidR="006136D2">
              <w:rPr>
                <w:rFonts w:ascii="Times New Roman" w:eastAsia="Times New Roman" w:hAnsi="Times New Roman" w:cs="Times New Roman"/>
                <w:sz w:val="27"/>
                <w:szCs w:val="27"/>
                <w:lang w:val="uk-UA"/>
              </w:rPr>
              <w:t xml:space="preserve">колегії наглядачів не повинна бути дискримінаційною, прямо чи непрямо, щодо будь-якої держави-члена </w:t>
            </w:r>
            <w:r w:rsidR="005F4941">
              <w:rPr>
                <w:rFonts w:ascii="Times New Roman" w:eastAsia="Times New Roman" w:hAnsi="Times New Roman" w:cs="Times New Roman"/>
                <w:sz w:val="27"/>
                <w:szCs w:val="27"/>
                <w:lang w:val="uk-UA"/>
              </w:rPr>
              <w:t xml:space="preserve">Союзу </w:t>
            </w:r>
            <w:r w:rsidR="006136D2">
              <w:rPr>
                <w:rFonts w:ascii="Times New Roman" w:eastAsia="Times New Roman" w:hAnsi="Times New Roman" w:cs="Times New Roman"/>
                <w:sz w:val="27"/>
                <w:szCs w:val="27"/>
                <w:lang w:val="uk-UA"/>
              </w:rPr>
              <w:t xml:space="preserve">чи групи держав-членів </w:t>
            </w:r>
            <w:r w:rsidR="005F4941">
              <w:rPr>
                <w:rFonts w:ascii="Times New Roman" w:eastAsia="Times New Roman" w:hAnsi="Times New Roman" w:cs="Times New Roman"/>
                <w:sz w:val="27"/>
                <w:szCs w:val="27"/>
                <w:lang w:val="uk-UA"/>
              </w:rPr>
              <w:t xml:space="preserve">Союзу </w:t>
            </w:r>
            <w:r w:rsidR="006136D2">
              <w:rPr>
                <w:rFonts w:ascii="Times New Roman" w:eastAsia="Times New Roman" w:hAnsi="Times New Roman" w:cs="Times New Roman"/>
                <w:sz w:val="27"/>
                <w:szCs w:val="27"/>
                <w:lang w:val="uk-UA"/>
              </w:rPr>
              <w:t>як місця</w:t>
            </w:r>
            <w:r w:rsidR="00C1306A">
              <w:rPr>
                <w:rFonts w:ascii="Times New Roman" w:eastAsia="Times New Roman" w:hAnsi="Times New Roman" w:cs="Times New Roman"/>
                <w:sz w:val="27"/>
                <w:szCs w:val="27"/>
                <w:lang w:val="uk-UA"/>
              </w:rPr>
              <w:t xml:space="preserve"> надання клірингових послуг у будь-якій валюті.</w:t>
            </w:r>
            <w:r w:rsidR="00DE77B0" w:rsidRPr="00C1306A">
              <w:rPr>
                <w:rFonts w:ascii="Times New Roman" w:eastAsia="Times New Roman" w:hAnsi="Times New Roman" w:cs="Times New Roman"/>
                <w:sz w:val="27"/>
                <w:szCs w:val="27"/>
                <w:lang w:val="uk-UA"/>
              </w:rPr>
              <w:t xml:space="preserve"> </w:t>
            </w:r>
            <w:r w:rsidR="00DE77B0" w:rsidRPr="006279CF">
              <w:rPr>
                <w:rFonts w:ascii="Times New Roman" w:eastAsia="Times New Roman" w:hAnsi="Times New Roman" w:cs="Times New Roman"/>
                <w:sz w:val="27"/>
                <w:szCs w:val="27"/>
              </w:rPr>
              <w:t>ESMA</w:t>
            </w:r>
            <w:r w:rsidR="00DE77B0" w:rsidRPr="00C1306A">
              <w:rPr>
                <w:rFonts w:ascii="Times New Roman" w:eastAsia="Times New Roman" w:hAnsi="Times New Roman" w:cs="Times New Roman"/>
                <w:sz w:val="27"/>
                <w:szCs w:val="27"/>
                <w:lang w:val="uk-UA"/>
              </w:rPr>
              <w:t xml:space="preserve"> </w:t>
            </w:r>
            <w:r w:rsidR="00C1306A">
              <w:rPr>
                <w:rFonts w:ascii="Times New Roman" w:eastAsia="Times New Roman" w:hAnsi="Times New Roman" w:cs="Times New Roman"/>
                <w:sz w:val="27"/>
                <w:szCs w:val="27"/>
                <w:lang w:val="uk-UA"/>
              </w:rPr>
              <w:t>пов</w:t>
            </w:r>
            <w:r w:rsidR="00980B53">
              <w:rPr>
                <w:rFonts w:ascii="Times New Roman" w:eastAsia="Times New Roman" w:hAnsi="Times New Roman" w:cs="Times New Roman"/>
                <w:sz w:val="27"/>
                <w:szCs w:val="27"/>
                <w:lang w:val="uk-UA"/>
              </w:rPr>
              <w:t xml:space="preserve">инна бути членом кожної колегії, щоб забезпечити послідовне та правильне застосування цього регламенту. </w:t>
            </w:r>
            <w:r w:rsidR="00DE77B0" w:rsidRPr="006279CF">
              <w:rPr>
                <w:rFonts w:ascii="Times New Roman" w:eastAsia="Times New Roman" w:hAnsi="Times New Roman" w:cs="Times New Roman"/>
                <w:sz w:val="27"/>
                <w:szCs w:val="27"/>
              </w:rPr>
              <w:t>ESMA</w:t>
            </w:r>
            <w:r w:rsidR="00DE77B0" w:rsidRPr="00980B53">
              <w:rPr>
                <w:rFonts w:ascii="Times New Roman" w:eastAsia="Times New Roman" w:hAnsi="Times New Roman" w:cs="Times New Roman"/>
                <w:sz w:val="27"/>
                <w:szCs w:val="27"/>
                <w:lang w:val="ru-RU"/>
              </w:rPr>
              <w:t xml:space="preserve"> </w:t>
            </w:r>
            <w:r w:rsidR="00980B53">
              <w:rPr>
                <w:rFonts w:ascii="Times New Roman" w:eastAsia="Times New Roman" w:hAnsi="Times New Roman" w:cs="Times New Roman"/>
                <w:sz w:val="27"/>
                <w:szCs w:val="27"/>
                <w:lang w:val="uk-UA"/>
              </w:rPr>
              <w:t xml:space="preserve">повинна залучати інші компетентні органи зацікавлених держав-членів </w:t>
            </w:r>
            <w:r w:rsidR="005F4941">
              <w:rPr>
                <w:rFonts w:ascii="Times New Roman" w:eastAsia="Times New Roman" w:hAnsi="Times New Roman" w:cs="Times New Roman"/>
                <w:sz w:val="27"/>
                <w:szCs w:val="27"/>
                <w:lang w:val="uk-UA"/>
              </w:rPr>
              <w:t xml:space="preserve">Союзу </w:t>
            </w:r>
            <w:r w:rsidR="00980B53">
              <w:rPr>
                <w:rFonts w:ascii="Times New Roman" w:eastAsia="Times New Roman" w:hAnsi="Times New Roman" w:cs="Times New Roman"/>
                <w:sz w:val="27"/>
                <w:szCs w:val="27"/>
                <w:lang w:val="uk-UA"/>
              </w:rPr>
              <w:t>до роботи з підготовки рекомендацій та рішень.</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0650AA" w:rsidRDefault="00A830CC" w:rsidP="00202DBA">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У світлі ролі, покладеної на колегії, важливо, щоб усі відповідні компетентні органи, а також члени ЄСЦБ були задіяні у виконанні колегіями їхніх задач. Колегія повинна складатися не тільки з компетентних органів, які здійснюють нагляд за ЦКА, а й також із наглядачів суб’єкт</w:t>
            </w:r>
            <w:r w:rsidR="008C3151">
              <w:rPr>
                <w:rFonts w:ascii="Times New Roman" w:eastAsia="Times New Roman" w:hAnsi="Times New Roman" w:cs="Times New Roman"/>
                <w:sz w:val="27"/>
                <w:szCs w:val="27"/>
                <w:lang w:val="uk-UA"/>
              </w:rPr>
              <w:t xml:space="preserve">ів, на яких може впливати </w:t>
            </w:r>
            <w:r w:rsidR="000420BA">
              <w:rPr>
                <w:rFonts w:ascii="Times New Roman" w:eastAsia="Times New Roman" w:hAnsi="Times New Roman" w:cs="Times New Roman"/>
                <w:sz w:val="27"/>
                <w:szCs w:val="27"/>
                <w:lang w:val="uk-UA"/>
              </w:rPr>
              <w:t xml:space="preserve">діяльність цього ЦКА, як-от вибрані учасники клірингу, торговельні майданчики, сумісні ЦКА та центральні депозитарії цінних паперів. Члени ЄСЦБ, що відповідають за нагляд за ЦКА і сумісними ЦКА, а також ті, що відповідають за емісію валют фінансових інструментів, кліринг яких здійснює ЦКА, повинні мати </w:t>
            </w:r>
            <w:r w:rsidR="000420BA">
              <w:rPr>
                <w:rFonts w:ascii="Times New Roman" w:eastAsia="Times New Roman" w:hAnsi="Times New Roman" w:cs="Times New Roman"/>
                <w:sz w:val="27"/>
                <w:szCs w:val="27"/>
                <w:lang w:val="uk-UA"/>
              </w:rPr>
              <w:lastRenderedPageBreak/>
              <w:t>можливість брати участь у роботі колегії. Оскільки суб’єкти нагляду чи контролю будуть створені в обмеженому колі держав-членів</w:t>
            </w:r>
            <w:r w:rsidR="000A55B9">
              <w:rPr>
                <w:rFonts w:ascii="Times New Roman" w:eastAsia="Times New Roman" w:hAnsi="Times New Roman" w:cs="Times New Roman"/>
                <w:sz w:val="27"/>
                <w:szCs w:val="27"/>
                <w:lang w:val="uk-UA"/>
              </w:rPr>
              <w:t xml:space="preserve"> Союзу</w:t>
            </w:r>
            <w:r w:rsidR="000420BA">
              <w:rPr>
                <w:rFonts w:ascii="Times New Roman" w:eastAsia="Times New Roman" w:hAnsi="Times New Roman" w:cs="Times New Roman"/>
                <w:sz w:val="27"/>
                <w:szCs w:val="27"/>
                <w:lang w:val="uk-UA"/>
              </w:rPr>
              <w:t>, де діє ЦКА</w:t>
            </w:r>
            <w:r w:rsidR="00202DBA">
              <w:rPr>
                <w:rFonts w:ascii="Times New Roman" w:eastAsia="Times New Roman" w:hAnsi="Times New Roman" w:cs="Times New Roman"/>
                <w:sz w:val="27"/>
                <w:szCs w:val="27"/>
                <w:lang w:val="uk-UA"/>
              </w:rPr>
              <w:t>, то один компетентний орган або член ЄСЦБ може нести відповідальність за нагляд або контроль за рядом таких суб’єктів. Щоб забезпечити постійне співробітництво між усіма членами колегії, необхідно запровадити відповідні процедури та механізми.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0650AA" w:rsidRDefault="004F36B0" w:rsidP="000D4568">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Оскільки створення і функціонування колегії має основуватися на письмовій угоді між усіма її членами, доречно покласти на них повноваження щодо визначення порядку прийняття рішень колегією, враховуючи делікатність питання. Отже, детальні правила щодо порядку голосування слід викласти у письмовій угоді між членами колегії. Проте, для того, щоб належним чином урівноважити інтереси всіх відповідних учасників ринку та держав-членів </w:t>
            </w:r>
            <w:r w:rsidR="000A55B9">
              <w:rPr>
                <w:rFonts w:ascii="Times New Roman" w:eastAsia="Times New Roman" w:hAnsi="Times New Roman" w:cs="Times New Roman"/>
                <w:sz w:val="27"/>
                <w:szCs w:val="27"/>
                <w:lang w:val="uk-UA"/>
              </w:rPr>
              <w:t>Союзу</w:t>
            </w:r>
            <w:r>
              <w:rPr>
                <w:rFonts w:ascii="Times New Roman" w:eastAsia="Times New Roman" w:hAnsi="Times New Roman" w:cs="Times New Roman"/>
                <w:sz w:val="27"/>
                <w:szCs w:val="27"/>
                <w:lang w:val="uk-UA"/>
              </w:rPr>
              <w:t>, колегія повинна голосувати згідно з загальним принципом, за яким кожний член має один голос, не</w:t>
            </w:r>
            <w:r w:rsidR="0036119E">
              <w:rPr>
                <w:rFonts w:ascii="Times New Roman" w:eastAsia="Times New Roman" w:hAnsi="Times New Roman" w:cs="Times New Roman"/>
                <w:sz w:val="27"/>
                <w:szCs w:val="27"/>
                <w:lang w:val="uk-UA"/>
              </w:rPr>
              <w:t xml:space="preserve">залежно від кількості функцій, виконуваних ним згідно з цим регламентом. </w:t>
            </w:r>
            <w:r w:rsidR="000D4568">
              <w:rPr>
                <w:rFonts w:ascii="Times New Roman" w:eastAsia="Times New Roman" w:hAnsi="Times New Roman" w:cs="Times New Roman"/>
                <w:sz w:val="27"/>
                <w:szCs w:val="27"/>
                <w:lang w:val="uk-UA"/>
              </w:rPr>
              <w:t xml:space="preserve">Якщо кількість членів колегії становить до 12 осіб включно, то максимум два члени колегії з однієї й тієї самої держави-члена </w:t>
            </w:r>
            <w:r w:rsidR="000A55B9">
              <w:rPr>
                <w:rFonts w:ascii="Times New Roman" w:eastAsia="Times New Roman" w:hAnsi="Times New Roman" w:cs="Times New Roman"/>
                <w:sz w:val="27"/>
                <w:szCs w:val="27"/>
                <w:lang w:val="uk-UA"/>
              </w:rPr>
              <w:t xml:space="preserve">Союзу </w:t>
            </w:r>
            <w:r w:rsidR="000D4568">
              <w:rPr>
                <w:rFonts w:ascii="Times New Roman" w:eastAsia="Times New Roman" w:hAnsi="Times New Roman" w:cs="Times New Roman"/>
                <w:sz w:val="27"/>
                <w:szCs w:val="27"/>
                <w:lang w:val="uk-UA"/>
              </w:rPr>
              <w:t xml:space="preserve">повинні мати голос, і кожний голосуючий член повинен мати один голос. Якщо кількість членів колегії більше 12 осіб, то максимум три члени колегії з однієї держави-члена </w:t>
            </w:r>
            <w:r w:rsidR="000A55B9">
              <w:rPr>
                <w:rFonts w:ascii="Times New Roman" w:eastAsia="Times New Roman" w:hAnsi="Times New Roman" w:cs="Times New Roman"/>
                <w:sz w:val="27"/>
                <w:szCs w:val="27"/>
                <w:lang w:val="uk-UA"/>
              </w:rPr>
              <w:t xml:space="preserve">Союзу </w:t>
            </w:r>
            <w:r w:rsidR="000D4568">
              <w:rPr>
                <w:rFonts w:ascii="Times New Roman" w:eastAsia="Times New Roman" w:hAnsi="Times New Roman" w:cs="Times New Roman"/>
                <w:sz w:val="27"/>
                <w:szCs w:val="27"/>
                <w:lang w:val="uk-UA"/>
              </w:rPr>
              <w:t>повинні мати голос, а кожний голосуючий член повинен мати один голос.</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0650AA" w:rsidRDefault="0055613D" w:rsidP="0055613D">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Дуже особливе положення ЦКА вимагає, що колегії були організовані та функціонували відповідно до процедур, характерних для нагляду за ЦКА.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0650AA" w:rsidRDefault="00D81613" w:rsidP="00A14D36">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Процедури, передбачені у цьому регламенті, не становлять прецедент для іншого законодавства щодо нагляду і контролю за інфраструктурою фінансового ринку, зокрема щодо правил голосування за направлення до </w:t>
            </w:r>
            <w:r>
              <w:rPr>
                <w:rFonts w:ascii="Times New Roman" w:eastAsia="Times New Roman" w:hAnsi="Times New Roman" w:cs="Times New Roman"/>
                <w:sz w:val="27"/>
                <w:szCs w:val="27"/>
              </w:rPr>
              <w:t>ESMA</w:t>
            </w:r>
            <w:r w:rsidRPr="00D81613">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984172" w:rsidRDefault="00A14D36" w:rsidP="00984172">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ЦКА не повинен отримати повноваження у випадку, якщо всі члени колегії, крім компетентних органів держави-члена</w:t>
            </w:r>
            <w:r w:rsidR="000A55B9">
              <w:rPr>
                <w:rFonts w:ascii="Times New Roman" w:eastAsia="Times New Roman" w:hAnsi="Times New Roman" w:cs="Times New Roman"/>
                <w:sz w:val="27"/>
                <w:szCs w:val="27"/>
                <w:lang w:val="uk-UA"/>
              </w:rPr>
              <w:t xml:space="preserve"> Союзу</w:t>
            </w:r>
            <w:r>
              <w:rPr>
                <w:rFonts w:ascii="Times New Roman" w:eastAsia="Times New Roman" w:hAnsi="Times New Roman" w:cs="Times New Roman"/>
                <w:sz w:val="27"/>
                <w:szCs w:val="27"/>
                <w:lang w:val="uk-UA"/>
              </w:rPr>
              <w:t>, в якій створено ЦКА, приходять за взаємною згодою до спільного висновку про те, що цьому ЦКА не слід надавати повноваження.</w:t>
            </w:r>
            <w:r w:rsidR="002E36F2">
              <w:rPr>
                <w:rFonts w:ascii="Times New Roman" w:eastAsia="Times New Roman" w:hAnsi="Times New Roman" w:cs="Times New Roman"/>
                <w:sz w:val="27"/>
                <w:szCs w:val="27"/>
                <w:lang w:val="uk-UA"/>
              </w:rPr>
              <w:t xml:space="preserve"> Якщо ж достатня більшість членів колегії висловила негативну думку, а будь-які зацікавлені компетентні органи за рішенням такої більшості, що становить дві третини членів колегії, направила справу до </w:t>
            </w:r>
            <w:r w:rsidR="002E36F2">
              <w:rPr>
                <w:rFonts w:ascii="Times New Roman" w:eastAsia="Times New Roman" w:hAnsi="Times New Roman" w:cs="Times New Roman"/>
                <w:sz w:val="27"/>
                <w:szCs w:val="27"/>
              </w:rPr>
              <w:t>ESMA</w:t>
            </w:r>
            <w:r w:rsidR="002E36F2">
              <w:rPr>
                <w:rFonts w:ascii="Times New Roman" w:eastAsia="Times New Roman" w:hAnsi="Times New Roman" w:cs="Times New Roman"/>
                <w:sz w:val="27"/>
                <w:szCs w:val="27"/>
                <w:lang w:val="uk-UA"/>
              </w:rPr>
              <w:t>, то компетентний орган держави-члена</w:t>
            </w:r>
            <w:r w:rsidR="000A55B9">
              <w:rPr>
                <w:rFonts w:ascii="Times New Roman" w:eastAsia="Times New Roman" w:hAnsi="Times New Roman" w:cs="Times New Roman"/>
                <w:sz w:val="27"/>
                <w:szCs w:val="27"/>
                <w:lang w:val="uk-UA"/>
              </w:rPr>
              <w:t xml:space="preserve"> Союзу</w:t>
            </w:r>
            <w:r w:rsidR="002E36F2">
              <w:rPr>
                <w:rFonts w:ascii="Times New Roman" w:eastAsia="Times New Roman" w:hAnsi="Times New Roman" w:cs="Times New Roman"/>
                <w:sz w:val="27"/>
                <w:szCs w:val="27"/>
                <w:lang w:val="uk-UA"/>
              </w:rPr>
              <w:t>, в якій створено ЦКА</w:t>
            </w:r>
            <w:r w:rsidR="00F85B0D">
              <w:rPr>
                <w:rFonts w:ascii="Times New Roman" w:eastAsia="Times New Roman" w:hAnsi="Times New Roman" w:cs="Times New Roman"/>
                <w:sz w:val="27"/>
                <w:szCs w:val="27"/>
                <w:lang w:val="uk-UA"/>
              </w:rPr>
              <w:t xml:space="preserve">, повинен відкласти </w:t>
            </w:r>
            <w:r w:rsidR="001678DA">
              <w:rPr>
                <w:rFonts w:ascii="Times New Roman" w:eastAsia="Times New Roman" w:hAnsi="Times New Roman" w:cs="Times New Roman"/>
                <w:sz w:val="27"/>
                <w:szCs w:val="27"/>
                <w:lang w:val="uk-UA"/>
              </w:rPr>
              <w:t>прийняття свого</w:t>
            </w:r>
            <w:r w:rsidR="00F85B0D">
              <w:rPr>
                <w:rFonts w:ascii="Times New Roman" w:eastAsia="Times New Roman" w:hAnsi="Times New Roman" w:cs="Times New Roman"/>
                <w:sz w:val="27"/>
                <w:szCs w:val="27"/>
                <w:lang w:val="uk-UA"/>
              </w:rPr>
              <w:t xml:space="preserve"> рішення щодо надання повноважень</w:t>
            </w:r>
            <w:r w:rsidR="00F85B0D" w:rsidRPr="00F85B0D">
              <w:rPr>
                <w:rFonts w:ascii="Times New Roman" w:eastAsia="Times New Roman" w:hAnsi="Times New Roman" w:cs="Times New Roman"/>
                <w:sz w:val="27"/>
                <w:szCs w:val="27"/>
                <w:lang w:val="uk-UA"/>
              </w:rPr>
              <w:t xml:space="preserve"> </w:t>
            </w:r>
            <w:r w:rsidR="00F85B0D">
              <w:rPr>
                <w:rFonts w:ascii="Times New Roman" w:eastAsia="Times New Roman" w:hAnsi="Times New Roman" w:cs="Times New Roman"/>
                <w:sz w:val="27"/>
                <w:szCs w:val="27"/>
                <w:lang w:val="uk-UA"/>
              </w:rPr>
              <w:t xml:space="preserve">і очікувати рішення, котре </w:t>
            </w:r>
            <w:r w:rsidR="00F85B0D">
              <w:rPr>
                <w:rFonts w:ascii="Times New Roman" w:eastAsia="Times New Roman" w:hAnsi="Times New Roman" w:cs="Times New Roman"/>
                <w:sz w:val="27"/>
                <w:szCs w:val="27"/>
              </w:rPr>
              <w:t>ESMA</w:t>
            </w:r>
            <w:r w:rsidR="00F85B0D">
              <w:rPr>
                <w:rFonts w:ascii="Times New Roman" w:eastAsia="Times New Roman" w:hAnsi="Times New Roman" w:cs="Times New Roman"/>
                <w:sz w:val="27"/>
                <w:szCs w:val="27"/>
                <w:lang w:val="uk-UA"/>
              </w:rPr>
              <w:t xml:space="preserve"> може ухвалити щодо відповідності законодавству Союзу.</w:t>
            </w:r>
            <w:r w:rsidR="001678DA">
              <w:rPr>
                <w:rFonts w:ascii="Times New Roman" w:eastAsia="Times New Roman" w:hAnsi="Times New Roman" w:cs="Times New Roman"/>
                <w:sz w:val="27"/>
                <w:szCs w:val="27"/>
                <w:lang w:val="uk-UA"/>
              </w:rPr>
              <w:t xml:space="preserve"> Компетентний орган держави-члена</w:t>
            </w:r>
            <w:r w:rsidR="000A55B9">
              <w:rPr>
                <w:rFonts w:ascii="Times New Roman" w:eastAsia="Times New Roman" w:hAnsi="Times New Roman" w:cs="Times New Roman"/>
                <w:sz w:val="27"/>
                <w:szCs w:val="27"/>
                <w:lang w:val="uk-UA"/>
              </w:rPr>
              <w:t xml:space="preserve"> Союзу</w:t>
            </w:r>
            <w:r w:rsidR="001678DA">
              <w:rPr>
                <w:rFonts w:ascii="Times New Roman" w:eastAsia="Times New Roman" w:hAnsi="Times New Roman" w:cs="Times New Roman"/>
                <w:sz w:val="27"/>
                <w:szCs w:val="27"/>
                <w:lang w:val="uk-UA"/>
              </w:rPr>
              <w:t xml:space="preserve">, де створено ЦКА, повинен ухвалити свої рішення </w:t>
            </w:r>
            <w:r w:rsidR="001678DA">
              <w:rPr>
                <w:rFonts w:ascii="Times New Roman" w:eastAsia="Times New Roman" w:hAnsi="Times New Roman" w:cs="Times New Roman"/>
                <w:sz w:val="27"/>
                <w:szCs w:val="27"/>
                <w:lang w:val="uk-UA"/>
              </w:rPr>
              <w:lastRenderedPageBreak/>
              <w:t xml:space="preserve">згідно з рішенням </w:t>
            </w:r>
            <w:r w:rsidR="001678DA">
              <w:rPr>
                <w:rFonts w:ascii="Times New Roman" w:eastAsia="Times New Roman" w:hAnsi="Times New Roman" w:cs="Times New Roman"/>
                <w:sz w:val="27"/>
                <w:szCs w:val="27"/>
              </w:rPr>
              <w:t>ESMA</w:t>
            </w:r>
            <w:r w:rsidR="001678DA" w:rsidRPr="001678DA">
              <w:rPr>
                <w:rFonts w:ascii="Times New Roman" w:eastAsia="Times New Roman" w:hAnsi="Times New Roman" w:cs="Times New Roman"/>
                <w:sz w:val="27"/>
                <w:szCs w:val="27"/>
                <w:lang w:val="uk-UA"/>
              </w:rPr>
              <w:t>.</w:t>
            </w:r>
            <w:r w:rsidR="001678DA">
              <w:rPr>
                <w:rFonts w:ascii="Times New Roman" w:eastAsia="Times New Roman" w:hAnsi="Times New Roman" w:cs="Times New Roman"/>
                <w:sz w:val="27"/>
                <w:szCs w:val="27"/>
                <w:lang w:val="uk-UA"/>
              </w:rPr>
              <w:t xml:space="preserve"> Якщо всі члени колегії, крім органів держави-члена</w:t>
            </w:r>
            <w:r w:rsidR="000A55B9">
              <w:rPr>
                <w:rFonts w:ascii="Times New Roman" w:eastAsia="Times New Roman" w:hAnsi="Times New Roman" w:cs="Times New Roman"/>
                <w:sz w:val="27"/>
                <w:szCs w:val="27"/>
                <w:lang w:val="uk-UA"/>
              </w:rPr>
              <w:t xml:space="preserve"> Союзу</w:t>
            </w:r>
            <w:r w:rsidR="001678DA">
              <w:rPr>
                <w:rFonts w:ascii="Times New Roman" w:eastAsia="Times New Roman" w:hAnsi="Times New Roman" w:cs="Times New Roman"/>
                <w:sz w:val="27"/>
                <w:szCs w:val="27"/>
                <w:lang w:val="uk-UA"/>
              </w:rPr>
              <w:t xml:space="preserve">, де створено ЦКА, дійшли спільної думки </w:t>
            </w:r>
            <w:r w:rsidR="00CB16A4">
              <w:rPr>
                <w:rFonts w:ascii="Times New Roman" w:eastAsia="Times New Roman" w:hAnsi="Times New Roman" w:cs="Times New Roman"/>
                <w:sz w:val="27"/>
                <w:szCs w:val="27"/>
                <w:lang w:val="uk-UA"/>
              </w:rPr>
              <w:t>про те, що, на їхній погляд, установлені вимоги не виконані й ЦКА не повинен отримати повноваження, то компетентний органи держави-члена</w:t>
            </w:r>
            <w:r w:rsidR="000A55B9">
              <w:rPr>
                <w:rFonts w:ascii="Times New Roman" w:eastAsia="Times New Roman" w:hAnsi="Times New Roman" w:cs="Times New Roman"/>
                <w:sz w:val="27"/>
                <w:szCs w:val="27"/>
                <w:lang w:val="uk-UA"/>
              </w:rPr>
              <w:t xml:space="preserve"> Союзу</w:t>
            </w:r>
            <w:r w:rsidR="00CB16A4">
              <w:rPr>
                <w:rFonts w:ascii="Times New Roman" w:eastAsia="Times New Roman" w:hAnsi="Times New Roman" w:cs="Times New Roman"/>
                <w:sz w:val="27"/>
                <w:szCs w:val="27"/>
                <w:lang w:val="uk-UA"/>
              </w:rPr>
              <w:t xml:space="preserve">, де створено ЦКА, повинен мати можливість передати справу до </w:t>
            </w:r>
            <w:r w:rsidR="00CB16A4">
              <w:rPr>
                <w:rFonts w:ascii="Times New Roman" w:eastAsia="Times New Roman" w:hAnsi="Times New Roman" w:cs="Times New Roman"/>
                <w:sz w:val="27"/>
                <w:szCs w:val="27"/>
              </w:rPr>
              <w:t>ESMA</w:t>
            </w:r>
            <w:r w:rsidR="00CB16A4">
              <w:rPr>
                <w:rFonts w:ascii="Times New Roman" w:eastAsia="Times New Roman" w:hAnsi="Times New Roman" w:cs="Times New Roman"/>
                <w:sz w:val="27"/>
                <w:szCs w:val="27"/>
                <w:lang w:val="uk-UA"/>
              </w:rPr>
              <w:t xml:space="preserve"> на предмет ухвалення рішення щодо відповідності законодавству Союзу.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676E5B" w:rsidP="00F9712D">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Необхідно посилити положення про обмін інформацією між комп</w:t>
            </w:r>
            <w:r w:rsidR="000650AA">
              <w:rPr>
                <w:rFonts w:ascii="Times New Roman" w:eastAsia="Times New Roman" w:hAnsi="Times New Roman" w:cs="Times New Roman"/>
                <w:sz w:val="27"/>
                <w:szCs w:val="27"/>
                <w:lang w:val="uk-UA"/>
              </w:rPr>
              <w:t xml:space="preserve">етентними органами, </w:t>
            </w:r>
            <w:r w:rsidR="000650AA">
              <w:rPr>
                <w:rFonts w:ascii="Times New Roman" w:eastAsia="Times New Roman" w:hAnsi="Times New Roman" w:cs="Times New Roman"/>
                <w:sz w:val="27"/>
                <w:szCs w:val="27"/>
              </w:rPr>
              <w:t>ESMA</w:t>
            </w:r>
            <w:r w:rsidR="000650AA">
              <w:rPr>
                <w:rFonts w:ascii="Times New Roman" w:eastAsia="Times New Roman" w:hAnsi="Times New Roman" w:cs="Times New Roman"/>
                <w:sz w:val="27"/>
                <w:szCs w:val="27"/>
                <w:lang w:val="uk-UA"/>
              </w:rPr>
              <w:t xml:space="preserve"> та іншими відповідними органами й посилити виконання ними обов’язків щодо допомоги та співробітництва. Через розширення транскордонної діяльності ці органи повинні надавати один одному необхідну інформацію для виконання ними своїх функцій з тим, щоб забезпечити ефективне дотримання цього регламенту, зокре</w:t>
            </w:r>
            <w:r w:rsidR="00A74563">
              <w:rPr>
                <w:rFonts w:ascii="Times New Roman" w:eastAsia="Times New Roman" w:hAnsi="Times New Roman" w:cs="Times New Roman"/>
                <w:sz w:val="27"/>
                <w:szCs w:val="27"/>
                <w:lang w:val="uk-UA"/>
              </w:rPr>
              <w:t>ма у ситуаціях, де порушення, фактичні або можливі, можуть стосуватися органів двох або більше держав-членів</w:t>
            </w:r>
            <w:r w:rsidR="000A55B9">
              <w:rPr>
                <w:rFonts w:ascii="Times New Roman" w:eastAsia="Times New Roman" w:hAnsi="Times New Roman" w:cs="Times New Roman"/>
                <w:sz w:val="27"/>
                <w:szCs w:val="27"/>
                <w:lang w:val="uk-UA"/>
              </w:rPr>
              <w:t xml:space="preserve"> Союзу</w:t>
            </w:r>
            <w:r w:rsidR="00A74563">
              <w:rPr>
                <w:rFonts w:ascii="Times New Roman" w:eastAsia="Times New Roman" w:hAnsi="Times New Roman" w:cs="Times New Roman"/>
                <w:sz w:val="27"/>
                <w:szCs w:val="27"/>
                <w:lang w:val="uk-UA"/>
              </w:rPr>
              <w:t xml:space="preserve">. Для обміну інформацією необхідно суворо дотримуватися професійної таємниці. Через значний вплив контрактів на позабіржові деривативи необхідно, щоб інші відповідні органи, як-от податкові органи та </w:t>
            </w:r>
            <w:r w:rsidR="00F9712D">
              <w:rPr>
                <w:rFonts w:ascii="Times New Roman" w:eastAsia="Times New Roman" w:hAnsi="Times New Roman" w:cs="Times New Roman"/>
                <w:sz w:val="27"/>
                <w:szCs w:val="27"/>
                <w:lang w:val="uk-UA"/>
              </w:rPr>
              <w:t>регулятори в галузі енергетики, мали доступ до інформації, необхідної для виконання ними своїх функцій.</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5041B3" w:rsidRDefault="00965B3E" w:rsidP="0019610C">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Ураховуючи глобальний характер фінансових ринків,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повинна безпосередньо відповідати за визнання ЦКА, створених у третіх країнах, і дозволяти їм надавати клірингові послуги у Союзі, за умови, що Комісія визнала </w:t>
            </w:r>
            <w:r w:rsidR="00C66280">
              <w:rPr>
                <w:rFonts w:ascii="Times New Roman" w:eastAsia="Times New Roman" w:hAnsi="Times New Roman" w:cs="Times New Roman"/>
                <w:sz w:val="27"/>
                <w:szCs w:val="27"/>
                <w:lang w:val="uk-UA"/>
              </w:rPr>
              <w:t xml:space="preserve">правову та наглядову базу такої третьої країни </w:t>
            </w:r>
            <w:r w:rsidR="00A5577D">
              <w:rPr>
                <w:rFonts w:ascii="Times New Roman" w:eastAsia="Times New Roman" w:hAnsi="Times New Roman" w:cs="Times New Roman"/>
                <w:sz w:val="27"/>
                <w:szCs w:val="27"/>
                <w:lang w:val="uk-UA"/>
              </w:rPr>
              <w:t xml:space="preserve">еквівалентною базі Союзу та виконуються певні інші умови. Отже, ЦКА, створений у третій країні, що надає клірингові послуги учасникам клірингу або торговельним майданчикам, створеним у Союзі, повинен бути визнаний </w:t>
            </w:r>
            <w:r w:rsidR="00A5577D">
              <w:rPr>
                <w:rFonts w:ascii="Times New Roman" w:eastAsia="Times New Roman" w:hAnsi="Times New Roman" w:cs="Times New Roman"/>
                <w:sz w:val="27"/>
                <w:szCs w:val="27"/>
              </w:rPr>
              <w:t>ESMA</w:t>
            </w:r>
            <w:r w:rsidR="00A5577D" w:rsidRPr="00A5577D">
              <w:rPr>
                <w:rFonts w:ascii="Times New Roman" w:eastAsia="Times New Roman" w:hAnsi="Times New Roman" w:cs="Times New Roman"/>
                <w:sz w:val="27"/>
                <w:szCs w:val="27"/>
                <w:lang w:val="ru-RU"/>
              </w:rPr>
              <w:t>.</w:t>
            </w:r>
            <w:r w:rsidR="00A5577D">
              <w:rPr>
                <w:rFonts w:ascii="Times New Roman" w:eastAsia="Times New Roman" w:hAnsi="Times New Roman" w:cs="Times New Roman"/>
                <w:sz w:val="27"/>
                <w:szCs w:val="27"/>
                <w:lang w:val="uk-UA"/>
              </w:rPr>
              <w:t xml:space="preserve"> Проте, щоб не заважати подальшому розвиткові </w:t>
            </w:r>
            <w:r w:rsidR="0019610C">
              <w:rPr>
                <w:rFonts w:ascii="Times New Roman" w:eastAsia="Times New Roman" w:hAnsi="Times New Roman" w:cs="Times New Roman"/>
                <w:sz w:val="27"/>
                <w:szCs w:val="27"/>
                <w:lang w:val="uk-UA"/>
              </w:rPr>
              <w:t xml:space="preserve">сфери управління транскордонними інвестиціями у Союзі, ЦКА третьої країни, що надає послуги клієнтам, створеним у Союзі, через учасника клірингу, створеного у третій країні, не повинен бути визнаний </w:t>
            </w:r>
            <w:r w:rsidR="0019610C">
              <w:rPr>
                <w:rFonts w:ascii="Times New Roman" w:eastAsia="Times New Roman" w:hAnsi="Times New Roman" w:cs="Times New Roman"/>
                <w:sz w:val="27"/>
                <w:szCs w:val="27"/>
              </w:rPr>
              <w:t>ESMA</w:t>
            </w:r>
            <w:r w:rsidR="0019610C">
              <w:rPr>
                <w:rFonts w:ascii="Times New Roman" w:eastAsia="Times New Roman" w:hAnsi="Times New Roman" w:cs="Times New Roman"/>
                <w:sz w:val="27"/>
                <w:szCs w:val="27"/>
                <w:lang w:val="uk-UA"/>
              </w:rPr>
              <w:t>. У цьому контексті угоди з основними міжнародними партнерами Союзу матимуть особливе значення для забезпечення однакових умов діяльності та фінансової стабільності у глобальному масштабі.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0650AA"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5041B3" w:rsidP="00D75A4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16 вересня 2010 р. Європейська Рада визнала, що Союзові потрібно активніше просувати свої інтереси й цінності та, у дусі взаємності та обопільного інтересу</w:t>
            </w:r>
            <w:r w:rsidR="00D75A49">
              <w:rPr>
                <w:rFonts w:ascii="Times New Roman" w:eastAsia="Times New Roman" w:hAnsi="Times New Roman" w:cs="Times New Roman"/>
                <w:sz w:val="27"/>
                <w:szCs w:val="27"/>
                <w:lang w:val="uk-UA"/>
              </w:rPr>
              <w:t xml:space="preserve">, в контексті зовнішніх стосунків Союзу, а також, зокрема забезпечити європейському </w:t>
            </w:r>
            <w:proofErr w:type="spellStart"/>
            <w:r w:rsidR="00D75A49">
              <w:rPr>
                <w:rFonts w:ascii="Times New Roman" w:eastAsia="Times New Roman" w:hAnsi="Times New Roman" w:cs="Times New Roman"/>
                <w:sz w:val="27"/>
                <w:szCs w:val="27"/>
                <w:lang w:val="uk-UA"/>
              </w:rPr>
              <w:t>бізнеосві</w:t>
            </w:r>
            <w:proofErr w:type="spellEnd"/>
            <w:r w:rsidR="00D75A49">
              <w:rPr>
                <w:rFonts w:ascii="Times New Roman" w:eastAsia="Times New Roman" w:hAnsi="Times New Roman" w:cs="Times New Roman"/>
                <w:sz w:val="27"/>
                <w:szCs w:val="27"/>
                <w:lang w:val="uk-UA"/>
              </w:rPr>
              <w:t xml:space="preserve"> ширший доступ на ринки та поглибити співробітництво з головними торговими партнерами у сфері нагляду.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lastRenderedPageBreak/>
              <w:t>(61)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D75A49" w:rsidP="0004543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ЦКА повинен мати стабільні механізми управління, хорошу репут</w:t>
            </w:r>
            <w:r w:rsidR="006E3642">
              <w:rPr>
                <w:rFonts w:ascii="Times New Roman" w:eastAsia="Times New Roman" w:hAnsi="Times New Roman" w:cs="Times New Roman"/>
                <w:sz w:val="27"/>
                <w:szCs w:val="27"/>
                <w:lang w:val="uk-UA"/>
              </w:rPr>
              <w:t xml:space="preserve">ацію свого вищого керівництва, а до складу його </w:t>
            </w:r>
            <w:r w:rsidR="00045439">
              <w:rPr>
                <w:rFonts w:ascii="Times New Roman" w:eastAsia="Times New Roman" w:hAnsi="Times New Roman" w:cs="Times New Roman"/>
                <w:sz w:val="27"/>
                <w:szCs w:val="27"/>
                <w:lang w:val="uk-UA"/>
              </w:rPr>
              <w:t>ради</w:t>
            </w:r>
            <w:r w:rsidR="006E3642">
              <w:rPr>
                <w:rFonts w:ascii="Times New Roman" w:eastAsia="Times New Roman" w:hAnsi="Times New Roman" w:cs="Times New Roman"/>
                <w:sz w:val="27"/>
                <w:szCs w:val="27"/>
                <w:lang w:val="uk-UA"/>
              </w:rPr>
              <w:t xml:space="preserve"> повинні входити незалежні члени, якою б не була структура його власності. Щонайменше третина членів </w:t>
            </w:r>
            <w:r w:rsidR="00045439">
              <w:rPr>
                <w:rFonts w:ascii="Times New Roman" w:eastAsia="Times New Roman" w:hAnsi="Times New Roman" w:cs="Times New Roman"/>
                <w:sz w:val="27"/>
                <w:szCs w:val="27"/>
                <w:lang w:val="uk-UA"/>
              </w:rPr>
              <w:t>ради</w:t>
            </w:r>
            <w:r w:rsidR="006E3642">
              <w:rPr>
                <w:rFonts w:ascii="Times New Roman" w:eastAsia="Times New Roman" w:hAnsi="Times New Roman" w:cs="Times New Roman"/>
                <w:sz w:val="27"/>
                <w:szCs w:val="27"/>
                <w:lang w:val="uk-UA"/>
              </w:rPr>
              <w:t>, але не менше двох, повинні бути незалежними. Проте</w:t>
            </w:r>
            <w:r w:rsidR="004F21E0">
              <w:rPr>
                <w:rFonts w:ascii="Times New Roman" w:eastAsia="Times New Roman" w:hAnsi="Times New Roman" w:cs="Times New Roman"/>
                <w:sz w:val="27"/>
                <w:szCs w:val="27"/>
                <w:lang w:val="uk-UA"/>
              </w:rPr>
              <w:t xml:space="preserve">, різні схеми управління та структури власності впливають на готовність або здатність ЦКА проводити кліринг певних продуктів. Тому доречно, щоб незалежні члени </w:t>
            </w:r>
            <w:r w:rsidR="00045439">
              <w:rPr>
                <w:rFonts w:ascii="Times New Roman" w:eastAsia="Times New Roman" w:hAnsi="Times New Roman" w:cs="Times New Roman"/>
                <w:sz w:val="27"/>
                <w:szCs w:val="27"/>
                <w:lang w:val="uk-UA"/>
              </w:rPr>
              <w:t>ради</w:t>
            </w:r>
            <w:r w:rsidR="004F21E0">
              <w:rPr>
                <w:rFonts w:ascii="Times New Roman" w:eastAsia="Times New Roman" w:hAnsi="Times New Roman" w:cs="Times New Roman"/>
                <w:sz w:val="27"/>
                <w:szCs w:val="27"/>
                <w:lang w:val="uk-UA"/>
              </w:rPr>
              <w:t xml:space="preserve"> та комітет із ризиків, що має бути створений ЦКА, вирішували проблему потенційного конфлікту інтересів у ньому. Учасники та клієнти клірингу повинні бути належним чином представлені, тому що рішення, ухвалені ЦКА, можуть впливати на них.</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4F21E0" w:rsidP="00BF3720">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ЦКА може передавати певні функції на сторону. Комітет із ризиків ЦК</w:t>
            </w:r>
            <w:r w:rsidR="00BF3720">
              <w:rPr>
                <w:rFonts w:ascii="Times New Roman" w:eastAsia="Times New Roman" w:hAnsi="Times New Roman" w:cs="Times New Roman"/>
                <w:sz w:val="27"/>
                <w:szCs w:val="27"/>
                <w:lang w:val="uk-UA"/>
              </w:rPr>
              <w:t>А повинен надавати рекомендації щодо такої передачі. Основні види діяльності, пов'язані з управлінням ризиками, не слід передавати на сторону, якщо така передача не схвалена компетентним органом.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BF3720" w:rsidP="006F0677">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Вимоги щодо участі у ЦКА повинні бути прозорими, сумірними та недискримінаційними</w:t>
            </w:r>
            <w:r w:rsidR="00924ADC">
              <w:rPr>
                <w:rFonts w:ascii="Times New Roman" w:eastAsia="Times New Roman" w:hAnsi="Times New Roman" w:cs="Times New Roman"/>
                <w:sz w:val="27"/>
                <w:szCs w:val="27"/>
                <w:lang w:val="uk-UA"/>
              </w:rPr>
              <w:t xml:space="preserve"> й передбачати дистанційний доступ</w:t>
            </w:r>
            <w:r w:rsidR="006F0677">
              <w:rPr>
                <w:rFonts w:ascii="Times New Roman" w:eastAsia="Times New Roman" w:hAnsi="Times New Roman" w:cs="Times New Roman"/>
                <w:sz w:val="27"/>
                <w:szCs w:val="27"/>
                <w:lang w:val="uk-UA"/>
              </w:rPr>
              <w:t xml:space="preserve"> мірою, що не наражає ЦКА на додаткові ризики.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DC54F5" w:rsidP="00051804">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Клієнт</w:t>
            </w:r>
            <w:r w:rsidR="00876AA5">
              <w:rPr>
                <w:rFonts w:ascii="Times New Roman" w:eastAsia="Times New Roman" w:hAnsi="Times New Roman" w:cs="Times New Roman"/>
                <w:sz w:val="27"/>
                <w:szCs w:val="27"/>
                <w:lang w:val="uk-UA"/>
              </w:rPr>
              <w:t>ам</w:t>
            </w:r>
            <w:r>
              <w:rPr>
                <w:rFonts w:ascii="Times New Roman" w:eastAsia="Times New Roman" w:hAnsi="Times New Roman" w:cs="Times New Roman"/>
                <w:sz w:val="27"/>
                <w:szCs w:val="27"/>
                <w:lang w:val="uk-UA"/>
              </w:rPr>
              <w:t xml:space="preserve"> учасників клірингу, які проводять кліринг своїх контрактів </w:t>
            </w:r>
            <w:r w:rsidR="00876AA5">
              <w:rPr>
                <w:rFonts w:ascii="Times New Roman" w:eastAsia="Times New Roman" w:hAnsi="Times New Roman" w:cs="Times New Roman"/>
                <w:sz w:val="27"/>
                <w:szCs w:val="27"/>
                <w:lang w:val="uk-UA"/>
              </w:rPr>
              <w:t>на позабіржові дериватив</w:t>
            </w:r>
            <w:r w:rsidR="002133C0">
              <w:rPr>
                <w:rFonts w:ascii="Times New Roman" w:eastAsia="Times New Roman" w:hAnsi="Times New Roman" w:cs="Times New Roman"/>
                <w:sz w:val="27"/>
                <w:szCs w:val="27"/>
                <w:lang w:val="uk-UA"/>
              </w:rPr>
              <w:t xml:space="preserve">и з ЦКА, необхідно надавати високий рівень захисту. Фактичний рівень захисту залежить від рівня відокремлення, обраного цими клієнтами. Посередники повинні </w:t>
            </w:r>
            <w:r w:rsidR="008254C0">
              <w:rPr>
                <w:rFonts w:ascii="Times New Roman" w:eastAsia="Times New Roman" w:hAnsi="Times New Roman" w:cs="Times New Roman"/>
                <w:sz w:val="27"/>
                <w:szCs w:val="27"/>
                <w:lang w:val="uk-UA"/>
              </w:rPr>
              <w:t>відокремлювати свої активи від активів своїх клієнтів. Через цю причину ЦКА повинні забезпечити актуалізацію та можливість легкого визначення звітних документів, щоб сприяти передачі позицій</w:t>
            </w:r>
            <w:r w:rsidR="00F95D64" w:rsidRPr="00F95D64">
              <w:rPr>
                <w:rFonts w:ascii="Times New Roman" w:eastAsia="Times New Roman" w:hAnsi="Times New Roman" w:cs="Times New Roman"/>
                <w:sz w:val="27"/>
                <w:szCs w:val="27"/>
                <w:lang w:val="uk-UA"/>
              </w:rPr>
              <w:t xml:space="preserve"> </w:t>
            </w:r>
            <w:r w:rsidR="00F95D64">
              <w:rPr>
                <w:rFonts w:ascii="Times New Roman" w:eastAsia="Times New Roman" w:hAnsi="Times New Roman" w:cs="Times New Roman"/>
                <w:sz w:val="27"/>
                <w:szCs w:val="27"/>
                <w:lang w:val="uk-UA"/>
              </w:rPr>
              <w:t>і активів клієнтів неплатоспроможного учасника клірингу платоспроможному учаснику або, залежно від ситуації, впорядкованій ліквідації позицій клієнтів та поверненню клієнтам надлишку забезпечення. Тому вимоги, викладені у цьому регламенті щодо відокремлення та можливості перенесення позицій і активів клієнтів, повинні мати переважну силу над будь-якими законами, нормативними актами і адміністративними положеннями держав</w:t>
            </w:r>
            <w:r w:rsidR="00051804" w:rsidRPr="00051804">
              <w:rPr>
                <w:rFonts w:ascii="Times New Roman" w:eastAsia="Times New Roman" w:hAnsi="Times New Roman" w:cs="Times New Roman"/>
                <w:sz w:val="27"/>
                <w:szCs w:val="27"/>
                <w:lang w:val="ru-RU"/>
              </w:rPr>
              <w:t>-</w:t>
            </w:r>
            <w:r w:rsidR="00051804">
              <w:rPr>
                <w:rFonts w:ascii="Times New Roman" w:eastAsia="Times New Roman" w:hAnsi="Times New Roman" w:cs="Times New Roman"/>
                <w:sz w:val="27"/>
                <w:szCs w:val="27"/>
                <w:lang w:val="uk-UA"/>
              </w:rPr>
              <w:t>членів</w:t>
            </w:r>
            <w:r w:rsidR="000A55B9">
              <w:rPr>
                <w:rFonts w:ascii="Times New Roman" w:eastAsia="Times New Roman" w:hAnsi="Times New Roman" w:cs="Times New Roman"/>
                <w:sz w:val="27"/>
                <w:szCs w:val="27"/>
                <w:lang w:val="uk-UA"/>
              </w:rPr>
              <w:t xml:space="preserve"> Союзу</w:t>
            </w:r>
            <w:r w:rsidR="00051804">
              <w:rPr>
                <w:rFonts w:ascii="Times New Roman" w:eastAsia="Times New Roman" w:hAnsi="Times New Roman" w:cs="Times New Roman"/>
                <w:sz w:val="27"/>
                <w:szCs w:val="27"/>
                <w:lang w:val="uk-UA"/>
              </w:rPr>
              <w:t>, які суперечать цим вимогам і не дозволяють сторонам виконувати ці вимоги.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43365C" w:rsidP="007B2884">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ЦКА повинен мати потужну систему управління ризиками для управління кредитними ризиками, ризиками ліквідності, операційними та іншими ризиками, які він несе або створює для інших суб’єктів у результатів взаємозалежності. ЦКА повинен мати належні процедури та механізми на випадок дефолту учасника клірингу.</w:t>
            </w:r>
            <w:r w:rsidR="002A7DF6">
              <w:rPr>
                <w:rFonts w:ascii="Times New Roman" w:eastAsia="Times New Roman" w:hAnsi="Times New Roman" w:cs="Times New Roman"/>
                <w:sz w:val="27"/>
                <w:szCs w:val="27"/>
                <w:lang w:val="uk-UA"/>
              </w:rPr>
              <w:t xml:space="preserve"> Щоб звести до мінімуму ризик ланцюгової реакції від такого дефолту, ЦКА повинен установити суворі вимоги щодо участі, зібрати відповідну початкову маржу, підтримувати </w:t>
            </w:r>
            <w:r w:rsidR="002A7DF6">
              <w:rPr>
                <w:rFonts w:ascii="Times New Roman" w:eastAsia="Times New Roman" w:hAnsi="Times New Roman" w:cs="Times New Roman"/>
                <w:sz w:val="27"/>
                <w:szCs w:val="27"/>
                <w:lang w:val="uk-UA"/>
              </w:rPr>
              <w:lastRenderedPageBreak/>
              <w:t>гарантійний фонд та інші фінансові ресурси для покриття потенційних збитків. Щоб забезпечити можливість користування достатніми ресурсами на постійній основі, ЦКА повинен установити мінімальний</w:t>
            </w:r>
            <w:r w:rsidR="00622B5E">
              <w:rPr>
                <w:rFonts w:ascii="Times New Roman" w:eastAsia="Times New Roman" w:hAnsi="Times New Roman" w:cs="Times New Roman"/>
                <w:sz w:val="27"/>
                <w:szCs w:val="27"/>
                <w:lang w:val="uk-UA"/>
              </w:rPr>
              <w:t xml:space="preserve"> рівень, нижче </w:t>
            </w:r>
            <w:r w:rsidR="002A7DF6">
              <w:rPr>
                <w:rFonts w:ascii="Times New Roman" w:eastAsia="Times New Roman" w:hAnsi="Times New Roman" w:cs="Times New Roman"/>
                <w:sz w:val="27"/>
                <w:szCs w:val="27"/>
                <w:lang w:val="uk-UA"/>
              </w:rPr>
              <w:t xml:space="preserve">якого </w:t>
            </w:r>
            <w:r w:rsidR="00622B5E">
              <w:rPr>
                <w:rFonts w:ascii="Times New Roman" w:eastAsia="Times New Roman" w:hAnsi="Times New Roman" w:cs="Times New Roman"/>
                <w:sz w:val="27"/>
                <w:szCs w:val="27"/>
                <w:lang w:val="uk-UA"/>
              </w:rPr>
              <w:t>розмір гарантійного фонду, як правило, не повинен зменшуватися. Це не повинно, однак, обмежувати здатність ЦКА</w:t>
            </w:r>
            <w:r w:rsidR="007B2884">
              <w:rPr>
                <w:rFonts w:ascii="Times New Roman" w:eastAsia="Times New Roman" w:hAnsi="Times New Roman" w:cs="Times New Roman"/>
                <w:sz w:val="27"/>
                <w:szCs w:val="27"/>
                <w:lang w:val="uk-UA"/>
              </w:rPr>
              <w:t xml:space="preserve"> повністю використовувати гарантійний фонд для покриття збитків, спричинених дефолтом учасника клірингу.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ED1CA2" w:rsidP="00B97342">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Визначаючи оптимальну систему управління ризиками, ЦКА повинен ураховувати свій потенційний ризик і економічний вплив на учасників клірингу т</w:t>
            </w:r>
            <w:r w:rsidR="00FC2057">
              <w:rPr>
                <w:rFonts w:ascii="Times New Roman" w:eastAsia="Times New Roman" w:hAnsi="Times New Roman" w:cs="Times New Roman"/>
                <w:sz w:val="27"/>
                <w:szCs w:val="27"/>
                <w:lang w:val="uk-UA"/>
              </w:rPr>
              <w:t xml:space="preserve">а їхніх клієнтів. Хоча розвиток </w:t>
            </w:r>
            <w:r w:rsidR="00287007">
              <w:rPr>
                <w:rFonts w:ascii="Times New Roman" w:eastAsia="Times New Roman" w:hAnsi="Times New Roman" w:cs="Times New Roman"/>
                <w:sz w:val="27"/>
                <w:szCs w:val="27"/>
                <w:lang w:val="uk-UA"/>
              </w:rPr>
              <w:t xml:space="preserve">стійкої </w:t>
            </w:r>
            <w:r w:rsidR="00FC2057">
              <w:rPr>
                <w:rFonts w:ascii="Times New Roman" w:eastAsia="Times New Roman" w:hAnsi="Times New Roman" w:cs="Times New Roman"/>
                <w:sz w:val="27"/>
                <w:szCs w:val="27"/>
                <w:lang w:val="uk-UA"/>
              </w:rPr>
              <w:t xml:space="preserve">системи управління ризиками повинен залишатися </w:t>
            </w:r>
            <w:r w:rsidR="00287007">
              <w:rPr>
                <w:rFonts w:ascii="Times New Roman" w:eastAsia="Times New Roman" w:hAnsi="Times New Roman" w:cs="Times New Roman"/>
                <w:sz w:val="27"/>
                <w:szCs w:val="27"/>
                <w:lang w:val="uk-UA"/>
              </w:rPr>
              <w:t>його головною метою, ЦКА може адаптувати особливості цієї системи до конкретних видів діяльності та профілів ризику клієнтів учасників клірингу</w:t>
            </w:r>
            <w:r w:rsidR="00F37E63">
              <w:rPr>
                <w:rFonts w:ascii="Times New Roman" w:eastAsia="Times New Roman" w:hAnsi="Times New Roman" w:cs="Times New Roman"/>
                <w:sz w:val="27"/>
                <w:szCs w:val="27"/>
                <w:lang w:val="uk-UA"/>
              </w:rPr>
              <w:t xml:space="preserve"> та, якщо це вважається доречним за критеріями, встановленими у регуляторних технічних стандартах, розроблюваних </w:t>
            </w:r>
            <w:r w:rsidR="00F37E63">
              <w:rPr>
                <w:rFonts w:ascii="Times New Roman" w:eastAsia="Times New Roman" w:hAnsi="Times New Roman" w:cs="Times New Roman"/>
                <w:sz w:val="27"/>
                <w:szCs w:val="27"/>
              </w:rPr>
              <w:t>ESMA</w:t>
            </w:r>
            <w:r w:rsidR="00F37E63">
              <w:rPr>
                <w:rFonts w:ascii="Times New Roman" w:eastAsia="Times New Roman" w:hAnsi="Times New Roman" w:cs="Times New Roman"/>
                <w:sz w:val="27"/>
                <w:szCs w:val="27"/>
                <w:lang w:val="uk-UA"/>
              </w:rPr>
              <w:t>, може</w:t>
            </w:r>
            <w:r w:rsidR="00362368">
              <w:rPr>
                <w:rFonts w:ascii="Times New Roman" w:eastAsia="Times New Roman" w:hAnsi="Times New Roman" w:cs="Times New Roman"/>
                <w:sz w:val="27"/>
                <w:szCs w:val="27"/>
                <w:lang w:val="uk-UA"/>
              </w:rPr>
              <w:t xml:space="preserve"> включати у високоліквідні активи, прийнятні в якості забезпечення,</w:t>
            </w:r>
            <w:r w:rsidR="00362368" w:rsidRPr="00362368">
              <w:rPr>
                <w:rFonts w:ascii="Times New Roman" w:eastAsia="Times New Roman" w:hAnsi="Times New Roman" w:cs="Times New Roman"/>
                <w:sz w:val="27"/>
                <w:szCs w:val="27"/>
                <w:lang w:val="uk-UA"/>
              </w:rPr>
              <w:t xml:space="preserve"> </w:t>
            </w:r>
            <w:r w:rsidR="00362368">
              <w:rPr>
                <w:rFonts w:ascii="Times New Roman" w:eastAsia="Times New Roman" w:hAnsi="Times New Roman" w:cs="Times New Roman"/>
                <w:sz w:val="27"/>
                <w:szCs w:val="27"/>
                <w:lang w:val="uk-UA"/>
              </w:rPr>
              <w:t>як мінімум готівку, державні облігації, забезпечені облігації згідно з Директивою 2006/48/ЕС з ура</w:t>
            </w:r>
            <w:r w:rsidR="001A334E">
              <w:rPr>
                <w:rFonts w:ascii="Times New Roman" w:eastAsia="Times New Roman" w:hAnsi="Times New Roman" w:cs="Times New Roman"/>
                <w:sz w:val="27"/>
                <w:szCs w:val="27"/>
                <w:lang w:val="uk-UA"/>
              </w:rPr>
              <w:t xml:space="preserve">хуванням відповідних </w:t>
            </w:r>
            <w:r w:rsidR="00B97342">
              <w:rPr>
                <w:rFonts w:ascii="Times New Roman" w:eastAsia="Times New Roman" w:hAnsi="Times New Roman" w:cs="Times New Roman"/>
                <w:sz w:val="27"/>
                <w:szCs w:val="27"/>
                <w:lang w:val="uk-UA"/>
              </w:rPr>
              <w:t>дисконтів</w:t>
            </w:r>
            <w:r w:rsidR="001A334E">
              <w:rPr>
                <w:rFonts w:ascii="Times New Roman" w:eastAsia="Times New Roman" w:hAnsi="Times New Roman" w:cs="Times New Roman"/>
                <w:sz w:val="27"/>
                <w:szCs w:val="27"/>
                <w:lang w:val="uk-UA"/>
              </w:rPr>
              <w:t xml:space="preserve">, гарантії, що </w:t>
            </w:r>
            <w:r w:rsidR="00B763F4">
              <w:rPr>
                <w:rFonts w:ascii="Times New Roman" w:eastAsia="Times New Roman" w:hAnsi="Times New Roman" w:cs="Times New Roman"/>
                <w:sz w:val="27"/>
                <w:szCs w:val="27"/>
                <w:lang w:val="uk-UA"/>
              </w:rPr>
              <w:t>підлягають</w:t>
            </w:r>
            <w:r w:rsidR="001A334E">
              <w:rPr>
                <w:rFonts w:ascii="Times New Roman" w:eastAsia="Times New Roman" w:hAnsi="Times New Roman" w:cs="Times New Roman"/>
                <w:sz w:val="27"/>
                <w:szCs w:val="27"/>
                <w:lang w:val="uk-UA"/>
              </w:rPr>
              <w:t xml:space="preserve"> задоволенню на першу вимогу</w:t>
            </w:r>
            <w:r w:rsidR="00B763F4">
              <w:rPr>
                <w:rFonts w:ascii="Times New Roman" w:eastAsia="Times New Roman" w:hAnsi="Times New Roman" w:cs="Times New Roman"/>
                <w:sz w:val="27"/>
                <w:szCs w:val="27"/>
                <w:lang w:val="uk-UA"/>
              </w:rPr>
              <w:t xml:space="preserve">, надані членом ЄСЦБ, гарантії комерційних банків на жорстких умовах, зокрема щодо кредитоспроможності гаранта, а також капітальних </w:t>
            </w:r>
            <w:proofErr w:type="spellStart"/>
            <w:r w:rsidR="00B763F4">
              <w:rPr>
                <w:rFonts w:ascii="Times New Roman" w:eastAsia="Times New Roman" w:hAnsi="Times New Roman" w:cs="Times New Roman"/>
                <w:sz w:val="27"/>
                <w:szCs w:val="27"/>
                <w:lang w:val="uk-UA"/>
              </w:rPr>
              <w:t>зв'язків</w:t>
            </w:r>
            <w:proofErr w:type="spellEnd"/>
            <w:r w:rsidR="00B763F4">
              <w:rPr>
                <w:rFonts w:ascii="Times New Roman" w:eastAsia="Times New Roman" w:hAnsi="Times New Roman" w:cs="Times New Roman"/>
                <w:sz w:val="27"/>
                <w:szCs w:val="27"/>
                <w:lang w:val="uk-UA"/>
              </w:rPr>
              <w:t xml:space="preserve"> гаранта з учасниками клірингу. У доречних випадках </w:t>
            </w:r>
            <w:r w:rsidR="00B763F4">
              <w:rPr>
                <w:rFonts w:ascii="Times New Roman" w:eastAsia="Times New Roman" w:hAnsi="Times New Roman" w:cs="Times New Roman"/>
                <w:sz w:val="27"/>
                <w:szCs w:val="27"/>
              </w:rPr>
              <w:t>ESMA</w:t>
            </w:r>
            <w:r w:rsidR="00B763F4">
              <w:rPr>
                <w:rFonts w:ascii="Times New Roman" w:eastAsia="Times New Roman" w:hAnsi="Times New Roman" w:cs="Times New Roman"/>
                <w:sz w:val="27"/>
                <w:szCs w:val="27"/>
                <w:lang w:val="uk-UA"/>
              </w:rPr>
              <w:t xml:space="preserve"> може також розглянути можливість надання золота в якості активу, прийнятного як забезпечення. ЦКА повинні бути здатні приймати, на жорстких умовах управління ризиками, гарантії комерційних банків від нефінансових контрагентів, виступаючих як учасники клірингу.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B97342" w:rsidP="00B97342">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Стратегії управління ризиками ЦКА повинні бути достатньо раціональними для того, щоб уникати ризиків для платника податків.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44930" w:rsidRDefault="00B97342" w:rsidP="00E44930">
            <w:pPr>
              <w:spacing w:before="120" w:after="0" w:line="240" w:lineRule="auto"/>
              <w:jc w:val="both"/>
              <w:textAlignment w:val="baseline"/>
              <w:rPr>
                <w:rFonts w:ascii="Times New Roman" w:eastAsia="Times New Roman" w:hAnsi="Times New Roman" w:cs="Times New Roman"/>
                <w:sz w:val="27"/>
                <w:szCs w:val="27"/>
                <w:lang w:val="uk-UA"/>
              </w:rPr>
            </w:pPr>
            <w:proofErr w:type="spellStart"/>
            <w:r>
              <w:rPr>
                <w:rFonts w:ascii="Times New Roman" w:eastAsia="Times New Roman" w:hAnsi="Times New Roman" w:cs="Times New Roman"/>
                <w:sz w:val="27"/>
                <w:szCs w:val="27"/>
                <w:lang w:val="uk-UA"/>
              </w:rPr>
              <w:t>Маржові</w:t>
            </w:r>
            <w:proofErr w:type="spellEnd"/>
            <w:r>
              <w:rPr>
                <w:rFonts w:ascii="Times New Roman" w:eastAsia="Times New Roman" w:hAnsi="Times New Roman" w:cs="Times New Roman"/>
                <w:sz w:val="27"/>
                <w:szCs w:val="27"/>
                <w:lang w:val="uk-UA"/>
              </w:rPr>
              <w:t xml:space="preserve"> вимоги та </w:t>
            </w:r>
            <w:r w:rsidR="00A73D2A">
              <w:rPr>
                <w:rFonts w:ascii="Times New Roman" w:eastAsia="Times New Roman" w:hAnsi="Times New Roman" w:cs="Times New Roman"/>
                <w:sz w:val="27"/>
                <w:szCs w:val="27"/>
                <w:lang w:val="uk-UA"/>
              </w:rPr>
              <w:t xml:space="preserve">дисконти з забезпечення можуть мати </w:t>
            </w:r>
            <w:proofErr w:type="spellStart"/>
            <w:r w:rsidR="00A73D2A">
              <w:rPr>
                <w:rFonts w:ascii="Times New Roman" w:eastAsia="Times New Roman" w:hAnsi="Times New Roman" w:cs="Times New Roman"/>
                <w:sz w:val="27"/>
                <w:szCs w:val="27"/>
                <w:lang w:val="uk-UA"/>
              </w:rPr>
              <w:t>проциклічні</w:t>
            </w:r>
            <w:proofErr w:type="spellEnd"/>
            <w:r w:rsidR="00A73D2A">
              <w:rPr>
                <w:rFonts w:ascii="Times New Roman" w:eastAsia="Times New Roman" w:hAnsi="Times New Roman" w:cs="Times New Roman"/>
                <w:sz w:val="27"/>
                <w:szCs w:val="27"/>
                <w:lang w:val="uk-UA"/>
              </w:rPr>
              <w:t xml:space="preserve"> ефекти. </w:t>
            </w:r>
            <w:r w:rsidR="00784AA3">
              <w:rPr>
                <w:rFonts w:ascii="Times New Roman" w:eastAsia="Times New Roman" w:hAnsi="Times New Roman" w:cs="Times New Roman"/>
                <w:sz w:val="27"/>
                <w:szCs w:val="27"/>
                <w:lang w:val="uk-UA"/>
              </w:rPr>
              <w:t xml:space="preserve">Тому ЦКА, компетентні органи та </w:t>
            </w:r>
            <w:r w:rsidR="00784AA3">
              <w:rPr>
                <w:rFonts w:ascii="Times New Roman" w:eastAsia="Times New Roman" w:hAnsi="Times New Roman" w:cs="Times New Roman"/>
                <w:sz w:val="27"/>
                <w:szCs w:val="27"/>
              </w:rPr>
              <w:t>ESMA</w:t>
            </w:r>
            <w:r w:rsidR="00784AA3">
              <w:rPr>
                <w:rFonts w:ascii="Times New Roman" w:eastAsia="Times New Roman" w:hAnsi="Times New Roman" w:cs="Times New Roman"/>
                <w:sz w:val="27"/>
                <w:szCs w:val="27"/>
                <w:lang w:val="uk-UA"/>
              </w:rPr>
              <w:t xml:space="preserve"> повинні вживати заходів для попередження і контролю можливих </w:t>
            </w:r>
            <w:proofErr w:type="spellStart"/>
            <w:r w:rsidR="00784AA3">
              <w:rPr>
                <w:rFonts w:ascii="Times New Roman" w:eastAsia="Times New Roman" w:hAnsi="Times New Roman" w:cs="Times New Roman"/>
                <w:sz w:val="27"/>
                <w:szCs w:val="27"/>
                <w:lang w:val="uk-UA"/>
              </w:rPr>
              <w:t>проциклічних</w:t>
            </w:r>
            <w:proofErr w:type="spellEnd"/>
            <w:r w:rsidR="00784AA3">
              <w:rPr>
                <w:rFonts w:ascii="Times New Roman" w:eastAsia="Times New Roman" w:hAnsi="Times New Roman" w:cs="Times New Roman"/>
                <w:sz w:val="27"/>
                <w:szCs w:val="27"/>
                <w:lang w:val="uk-UA"/>
              </w:rPr>
              <w:t xml:space="preserve"> ефектів у практиці управління ризиками, прийнятій ЦКА, за умови відсу</w:t>
            </w:r>
            <w:r w:rsidR="00E44930">
              <w:rPr>
                <w:rFonts w:ascii="Times New Roman" w:eastAsia="Times New Roman" w:hAnsi="Times New Roman" w:cs="Times New Roman"/>
                <w:sz w:val="27"/>
                <w:szCs w:val="27"/>
                <w:lang w:val="uk-UA"/>
              </w:rPr>
              <w:t>тності несприятливого впливу цих заходів на стабільність і фінансову безпеку ЦКА.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(69)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E44930" w:rsidP="00381D9C">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Важливою складовою процесу клірингу є управління схильністю до ризиків. </w:t>
            </w:r>
            <w:r w:rsidR="00EE39C4">
              <w:rPr>
                <w:rFonts w:ascii="Times New Roman" w:eastAsia="Times New Roman" w:hAnsi="Times New Roman" w:cs="Times New Roman"/>
                <w:sz w:val="27"/>
                <w:szCs w:val="27"/>
                <w:lang w:val="uk-UA"/>
              </w:rPr>
              <w:t xml:space="preserve">Для надання клірингових послуг повинен забезпечуватися доступ до відповідних джерел </w:t>
            </w:r>
            <w:r w:rsidR="00381D9C">
              <w:rPr>
                <w:rFonts w:ascii="Times New Roman" w:eastAsia="Times New Roman" w:hAnsi="Times New Roman" w:cs="Times New Roman"/>
                <w:sz w:val="27"/>
                <w:szCs w:val="27"/>
                <w:lang w:val="uk-UA"/>
              </w:rPr>
              <w:t xml:space="preserve">інформації про </w:t>
            </w:r>
            <w:r w:rsidR="00EE39C4">
              <w:rPr>
                <w:rFonts w:ascii="Times New Roman" w:eastAsia="Times New Roman" w:hAnsi="Times New Roman" w:cs="Times New Roman"/>
                <w:sz w:val="27"/>
                <w:szCs w:val="27"/>
                <w:lang w:val="uk-UA"/>
              </w:rPr>
              <w:t>ціноутворення і використання цих джерел.</w:t>
            </w:r>
            <w:r w:rsidR="00381D9C">
              <w:rPr>
                <w:rFonts w:ascii="Times New Roman" w:eastAsia="Times New Roman" w:hAnsi="Times New Roman" w:cs="Times New Roman"/>
                <w:sz w:val="27"/>
                <w:szCs w:val="27"/>
                <w:lang w:val="uk-UA"/>
              </w:rPr>
              <w:t xml:space="preserve"> Такі джерела повинні включати джерела, що стосуються індексів, які використовуються як еталони для деривативів або інших фінансових </w:t>
            </w:r>
            <w:r w:rsidR="00381D9C">
              <w:rPr>
                <w:rFonts w:ascii="Times New Roman" w:eastAsia="Times New Roman" w:hAnsi="Times New Roman" w:cs="Times New Roman"/>
                <w:sz w:val="27"/>
                <w:szCs w:val="27"/>
                <w:lang w:val="uk-UA"/>
              </w:rPr>
              <w:lastRenderedPageBreak/>
              <w:t>інструментів.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D92D8F" w:rsidP="005E0A1E">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ru-RU"/>
              </w:rPr>
              <w:t>Маржа</w:t>
            </w:r>
            <w:r w:rsidRPr="0064260F">
              <w:rPr>
                <w:rFonts w:ascii="Times New Roman" w:eastAsia="Times New Roman" w:hAnsi="Times New Roman" w:cs="Times New Roman"/>
                <w:sz w:val="27"/>
                <w:szCs w:val="27"/>
                <w:lang w:val="ru-RU"/>
              </w:rPr>
              <w:t xml:space="preserve"> – </w:t>
            </w:r>
            <w:r>
              <w:rPr>
                <w:rFonts w:ascii="Times New Roman" w:eastAsia="Times New Roman" w:hAnsi="Times New Roman" w:cs="Times New Roman"/>
                <w:sz w:val="27"/>
                <w:szCs w:val="27"/>
                <w:lang w:val="uk-UA"/>
              </w:rPr>
              <w:t xml:space="preserve">це передній край оборони для ЦКА. ЦКА повинні вкладати отриману маржу в безпечний та розсудливий спосіб, проте їм слід докладати особливих зусиль для забезпечення належного захисту маржі, щоб гарантувати її своєчасне повернення </w:t>
            </w:r>
            <w:r w:rsidR="00592A4D">
              <w:rPr>
                <w:rFonts w:ascii="Times New Roman" w:eastAsia="Times New Roman" w:hAnsi="Times New Roman" w:cs="Times New Roman"/>
                <w:sz w:val="27"/>
                <w:szCs w:val="27"/>
                <w:lang w:val="uk-UA"/>
              </w:rPr>
              <w:t xml:space="preserve">учасникам клірингу, які виконують свої зобов’язання, або сумісним ЦКА, якщо ЦКА, що стягує </w:t>
            </w:r>
            <w:r w:rsidR="005E0A1E">
              <w:rPr>
                <w:rFonts w:ascii="Times New Roman" w:eastAsia="Times New Roman" w:hAnsi="Times New Roman" w:cs="Times New Roman"/>
                <w:sz w:val="27"/>
                <w:szCs w:val="27"/>
                <w:lang w:val="uk-UA"/>
              </w:rPr>
              <w:t>цю маржу, оголошує дефолт.</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(71)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5E0A1E" w:rsidP="00332278">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Важливим для ЦКА є доступ до достатніх </w:t>
            </w:r>
            <w:r w:rsidR="00332278">
              <w:rPr>
                <w:rFonts w:ascii="Times New Roman" w:eastAsia="Times New Roman" w:hAnsi="Times New Roman" w:cs="Times New Roman"/>
                <w:sz w:val="27"/>
                <w:szCs w:val="27"/>
                <w:lang w:val="uk-UA"/>
              </w:rPr>
              <w:t>ліквідних коштів</w:t>
            </w:r>
            <w:r>
              <w:rPr>
                <w:rFonts w:ascii="Times New Roman" w:eastAsia="Times New Roman" w:hAnsi="Times New Roman" w:cs="Times New Roman"/>
                <w:sz w:val="27"/>
                <w:szCs w:val="27"/>
                <w:lang w:val="uk-UA"/>
              </w:rPr>
              <w:t xml:space="preserve">. </w:t>
            </w:r>
            <w:r w:rsidR="00BC659E">
              <w:rPr>
                <w:rFonts w:ascii="Times New Roman" w:eastAsia="Times New Roman" w:hAnsi="Times New Roman" w:cs="Times New Roman"/>
                <w:sz w:val="27"/>
                <w:szCs w:val="27"/>
                <w:lang w:val="uk-UA"/>
              </w:rPr>
              <w:t>Так</w:t>
            </w:r>
            <w:r w:rsidR="00332278">
              <w:rPr>
                <w:rFonts w:ascii="Times New Roman" w:eastAsia="Times New Roman" w:hAnsi="Times New Roman" w:cs="Times New Roman"/>
                <w:sz w:val="27"/>
                <w:szCs w:val="27"/>
                <w:lang w:val="uk-UA"/>
              </w:rPr>
              <w:t>і кошти</w:t>
            </w:r>
            <w:r w:rsidR="00BC659E">
              <w:rPr>
                <w:rFonts w:ascii="Times New Roman" w:eastAsia="Times New Roman" w:hAnsi="Times New Roman" w:cs="Times New Roman"/>
                <w:sz w:val="27"/>
                <w:szCs w:val="27"/>
                <w:lang w:val="uk-UA"/>
              </w:rPr>
              <w:t xml:space="preserve"> можна залучити через доступ до ліквідності центрального банку, ліквідності кредитоспроможного і надійного комерційного банку або ліквідності обох цих банків. Доступ до ліквідності може забезпечуватися завдяки дозволу, наданому згідно зі ст. 6 Директиви</w:t>
            </w:r>
            <w:r w:rsidR="00DE77B0" w:rsidRPr="00BC659E">
              <w:rPr>
                <w:rFonts w:ascii="Times New Roman" w:eastAsia="Times New Roman" w:hAnsi="Times New Roman" w:cs="Times New Roman"/>
                <w:sz w:val="27"/>
                <w:szCs w:val="27"/>
                <w:lang w:val="uk-UA"/>
              </w:rPr>
              <w:t xml:space="preserve"> 2006/48/</w:t>
            </w:r>
            <w:r w:rsidR="00DE77B0" w:rsidRPr="006279CF">
              <w:rPr>
                <w:rFonts w:ascii="Times New Roman" w:eastAsia="Times New Roman" w:hAnsi="Times New Roman" w:cs="Times New Roman"/>
                <w:sz w:val="27"/>
                <w:szCs w:val="27"/>
              </w:rPr>
              <w:t>EC</w:t>
            </w:r>
            <w:r w:rsidR="00BC659E">
              <w:rPr>
                <w:rFonts w:ascii="Times New Roman" w:eastAsia="Times New Roman" w:hAnsi="Times New Roman" w:cs="Times New Roman"/>
                <w:sz w:val="27"/>
                <w:szCs w:val="27"/>
                <w:lang w:val="uk-UA"/>
              </w:rPr>
              <w:t>, або іншим відповідним процедурам. Оцінюючи достатність ресурсів ліквідності, особливо у стресових ситуаціях, ЦКА повинен ураховувати ризики</w:t>
            </w:r>
            <w:r w:rsidR="00D77E51">
              <w:rPr>
                <w:rFonts w:ascii="Times New Roman" w:eastAsia="Times New Roman" w:hAnsi="Times New Roman" w:cs="Times New Roman"/>
                <w:sz w:val="27"/>
                <w:szCs w:val="27"/>
                <w:lang w:val="uk-UA"/>
              </w:rPr>
              <w:t xml:space="preserve"> отримання ліквідності тільки за рахунок кредитних ліній комерційних банків.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(72)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2B003C" w:rsidP="00FB7B0A">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«Європейським кодексом поведінки у клірингу та розрахунках» від 7 листопада 2006 р. створено добровільну систему встановлення </w:t>
            </w:r>
            <w:proofErr w:type="spellStart"/>
            <w:r>
              <w:rPr>
                <w:rFonts w:ascii="Times New Roman" w:eastAsia="Times New Roman" w:hAnsi="Times New Roman" w:cs="Times New Roman"/>
                <w:sz w:val="27"/>
                <w:szCs w:val="27"/>
                <w:lang w:val="uk-UA"/>
              </w:rPr>
              <w:t>зв'язків</w:t>
            </w:r>
            <w:proofErr w:type="spellEnd"/>
            <w:r>
              <w:rPr>
                <w:rFonts w:ascii="Times New Roman" w:eastAsia="Times New Roman" w:hAnsi="Times New Roman" w:cs="Times New Roman"/>
                <w:sz w:val="27"/>
                <w:szCs w:val="27"/>
                <w:lang w:val="uk-UA"/>
              </w:rPr>
              <w:t xml:space="preserve"> між ЦКА. Проте, </w:t>
            </w:r>
            <w:proofErr w:type="spellStart"/>
            <w:r>
              <w:rPr>
                <w:rFonts w:ascii="Times New Roman" w:eastAsia="Times New Roman" w:hAnsi="Times New Roman" w:cs="Times New Roman"/>
                <w:sz w:val="27"/>
                <w:szCs w:val="27"/>
                <w:lang w:val="uk-UA"/>
              </w:rPr>
              <w:t>постторговельний</w:t>
            </w:r>
            <w:proofErr w:type="spellEnd"/>
            <w:r>
              <w:rPr>
                <w:rFonts w:ascii="Times New Roman" w:eastAsia="Times New Roman" w:hAnsi="Times New Roman" w:cs="Times New Roman"/>
                <w:sz w:val="27"/>
                <w:szCs w:val="27"/>
                <w:lang w:val="uk-UA"/>
              </w:rPr>
              <w:t xml:space="preserve"> сектор залишається </w:t>
            </w:r>
            <w:proofErr w:type="spellStart"/>
            <w:r>
              <w:rPr>
                <w:rFonts w:ascii="Times New Roman" w:eastAsia="Times New Roman" w:hAnsi="Times New Roman" w:cs="Times New Roman"/>
                <w:sz w:val="27"/>
                <w:szCs w:val="27"/>
                <w:lang w:val="uk-UA"/>
              </w:rPr>
              <w:t>фрагментованим</w:t>
            </w:r>
            <w:proofErr w:type="spellEnd"/>
            <w:r>
              <w:rPr>
                <w:rFonts w:ascii="Times New Roman" w:eastAsia="Times New Roman" w:hAnsi="Times New Roman" w:cs="Times New Roman"/>
                <w:sz w:val="27"/>
                <w:szCs w:val="27"/>
                <w:lang w:val="uk-UA"/>
              </w:rPr>
              <w:t xml:space="preserve"> у національному масштабі, що підвищує вартість транскордонних угод і заважає гармонізації. Тому необхідно викласти умови створення </w:t>
            </w:r>
            <w:r w:rsidR="00FB7B0A">
              <w:rPr>
                <w:rFonts w:ascii="Times New Roman" w:eastAsia="Times New Roman" w:hAnsi="Times New Roman" w:cs="Times New Roman"/>
                <w:sz w:val="27"/>
                <w:szCs w:val="27"/>
                <w:lang w:val="uk-UA"/>
              </w:rPr>
              <w:t>механізмів</w:t>
            </w:r>
            <w:r w:rsidR="00FB7B0A" w:rsidRPr="00FB7B0A">
              <w:rPr>
                <w:rFonts w:ascii="Times New Roman" w:eastAsia="Times New Roman" w:hAnsi="Times New Roman" w:cs="Times New Roman"/>
                <w:sz w:val="27"/>
                <w:szCs w:val="27"/>
                <w:lang w:val="ru-RU"/>
              </w:rPr>
              <w:t xml:space="preserve"> </w:t>
            </w:r>
            <w:r w:rsidR="00FB7B0A">
              <w:rPr>
                <w:rFonts w:ascii="Times New Roman" w:eastAsia="Times New Roman" w:hAnsi="Times New Roman" w:cs="Times New Roman"/>
                <w:sz w:val="27"/>
                <w:szCs w:val="27"/>
                <w:lang w:val="uk-UA"/>
              </w:rPr>
              <w:t>сумісності між ЦКА, забезпечивши при цьому, щоб вони не наражали відповідних ЦКА на ризики, належне управління котрими не здійснюється.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(73)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C3766D" w:rsidP="007B5D65">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Механізми сумісності важливі для посилення інтеграції </w:t>
            </w:r>
            <w:proofErr w:type="spellStart"/>
            <w:r>
              <w:rPr>
                <w:rFonts w:ascii="Times New Roman" w:eastAsia="Times New Roman" w:hAnsi="Times New Roman" w:cs="Times New Roman"/>
                <w:sz w:val="27"/>
                <w:szCs w:val="27"/>
                <w:lang w:val="uk-UA"/>
              </w:rPr>
              <w:t>постторговельного</w:t>
            </w:r>
            <w:proofErr w:type="spellEnd"/>
            <w:r>
              <w:rPr>
                <w:rFonts w:ascii="Times New Roman" w:eastAsia="Times New Roman" w:hAnsi="Times New Roman" w:cs="Times New Roman"/>
                <w:sz w:val="27"/>
                <w:szCs w:val="27"/>
                <w:lang w:val="uk-UA"/>
              </w:rPr>
              <w:t xml:space="preserve"> ринку в Союзі, тому необхідно передбачити відповідне регулювання. Проте, оскільки </w:t>
            </w:r>
            <w:r w:rsidR="00393ED1">
              <w:rPr>
                <w:rFonts w:ascii="Times New Roman" w:eastAsia="Times New Roman" w:hAnsi="Times New Roman" w:cs="Times New Roman"/>
                <w:sz w:val="27"/>
                <w:szCs w:val="27"/>
                <w:lang w:val="uk-UA"/>
              </w:rPr>
              <w:t xml:space="preserve">механізми сумісності можуть наражати ЦКА на додаткові ризики, </w:t>
            </w:r>
            <w:r w:rsidR="0079604D">
              <w:rPr>
                <w:rFonts w:ascii="Times New Roman" w:eastAsia="Times New Roman" w:hAnsi="Times New Roman" w:cs="Times New Roman"/>
                <w:sz w:val="27"/>
                <w:szCs w:val="27"/>
                <w:lang w:val="uk-UA"/>
              </w:rPr>
              <w:t xml:space="preserve">то необхідно, щоб до того, як компетентні органи </w:t>
            </w:r>
            <w:proofErr w:type="spellStart"/>
            <w:r w:rsidR="0079604D">
              <w:rPr>
                <w:rFonts w:ascii="Times New Roman" w:eastAsia="Times New Roman" w:hAnsi="Times New Roman" w:cs="Times New Roman"/>
                <w:sz w:val="27"/>
                <w:szCs w:val="27"/>
                <w:lang w:val="uk-UA"/>
              </w:rPr>
              <w:t>нада</w:t>
            </w:r>
            <w:r w:rsidR="002C5A4D">
              <w:rPr>
                <w:rFonts w:ascii="Times New Roman" w:eastAsia="Times New Roman" w:hAnsi="Times New Roman" w:cs="Times New Roman"/>
                <w:sz w:val="27"/>
                <w:szCs w:val="27"/>
                <w:lang w:val="uk-UA"/>
              </w:rPr>
              <w:t>дуть</w:t>
            </w:r>
            <w:proofErr w:type="spellEnd"/>
            <w:r w:rsidR="0079604D">
              <w:rPr>
                <w:rFonts w:ascii="Times New Roman" w:eastAsia="Times New Roman" w:hAnsi="Times New Roman" w:cs="Times New Roman"/>
                <w:sz w:val="27"/>
                <w:szCs w:val="27"/>
                <w:lang w:val="uk-UA"/>
              </w:rPr>
              <w:t xml:space="preserve"> дозвіл на такі механізми, ЦКА були вже протягом трьох років уповноважені на проведення клірингу або визнані згідно з цим регламентом чи уповноважені за вже існуючим національним </w:t>
            </w:r>
            <w:r w:rsidR="002C5A4D">
              <w:rPr>
                <w:rFonts w:ascii="Times New Roman" w:eastAsia="Times New Roman" w:hAnsi="Times New Roman" w:cs="Times New Roman"/>
                <w:sz w:val="27"/>
                <w:szCs w:val="27"/>
                <w:lang w:val="uk-UA"/>
              </w:rPr>
              <w:t>режим надання повноважень. Крім того, враховуючи додаткові складнощі, характерні для механізму сумісності між ЦКА, що проводять кліринг контрактів на позабіржові деривативи, на цьому етапі доречно</w:t>
            </w:r>
            <w:r w:rsidR="00B757FA">
              <w:rPr>
                <w:rFonts w:ascii="Times New Roman" w:eastAsia="Times New Roman" w:hAnsi="Times New Roman" w:cs="Times New Roman"/>
                <w:sz w:val="27"/>
                <w:szCs w:val="27"/>
                <w:lang w:val="uk-UA"/>
              </w:rPr>
              <w:t xml:space="preserve"> обмежити сферу дії мех</w:t>
            </w:r>
            <w:r w:rsidR="00ED3592">
              <w:rPr>
                <w:rFonts w:ascii="Times New Roman" w:eastAsia="Times New Roman" w:hAnsi="Times New Roman" w:cs="Times New Roman"/>
                <w:sz w:val="27"/>
                <w:szCs w:val="27"/>
                <w:lang w:val="uk-UA"/>
              </w:rPr>
              <w:t>анізмів сумісності оборотними цінними паперами та інструментами грошового ринку.</w:t>
            </w:r>
            <w:r w:rsidR="007B5D65" w:rsidRPr="007B5D65">
              <w:rPr>
                <w:rFonts w:ascii="Times New Roman" w:eastAsia="Times New Roman" w:hAnsi="Times New Roman" w:cs="Times New Roman"/>
                <w:sz w:val="27"/>
                <w:szCs w:val="27"/>
                <w:lang w:val="uk-UA"/>
              </w:rPr>
              <w:t xml:space="preserve"> </w:t>
            </w:r>
            <w:r w:rsidR="007B5D65">
              <w:rPr>
                <w:rFonts w:ascii="Times New Roman" w:eastAsia="Times New Roman" w:hAnsi="Times New Roman" w:cs="Times New Roman"/>
                <w:sz w:val="27"/>
                <w:szCs w:val="27"/>
                <w:lang w:val="uk-UA"/>
              </w:rPr>
              <w:t xml:space="preserve">Проте, до 30 вересня 2014 р. </w:t>
            </w:r>
            <w:r w:rsidR="007B5D65">
              <w:rPr>
                <w:rFonts w:ascii="Times New Roman" w:eastAsia="Times New Roman" w:hAnsi="Times New Roman" w:cs="Times New Roman"/>
                <w:sz w:val="27"/>
                <w:szCs w:val="27"/>
              </w:rPr>
              <w:t>ESMA</w:t>
            </w:r>
            <w:r w:rsidR="007B5D65">
              <w:rPr>
                <w:rFonts w:ascii="Times New Roman" w:eastAsia="Times New Roman" w:hAnsi="Times New Roman" w:cs="Times New Roman"/>
                <w:sz w:val="27"/>
                <w:szCs w:val="27"/>
                <w:lang w:val="uk-UA"/>
              </w:rPr>
              <w:t xml:space="preserve"> повинна подати Комісії звіт про те, чи буде доречним поширення сфери дії цих механізмів на інші фінансові інструменти.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3D6B58"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(74)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3A4B6E" w:rsidRDefault="00E621A1" w:rsidP="003A4B6E">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Торгові </w:t>
            </w:r>
            <w:proofErr w:type="spellStart"/>
            <w:r>
              <w:rPr>
                <w:rFonts w:ascii="Times New Roman" w:eastAsia="Times New Roman" w:hAnsi="Times New Roman" w:cs="Times New Roman"/>
                <w:sz w:val="27"/>
                <w:szCs w:val="27"/>
                <w:lang w:val="uk-UA"/>
              </w:rPr>
              <w:t>репозитарії</w:t>
            </w:r>
            <w:proofErr w:type="spellEnd"/>
            <w:r>
              <w:rPr>
                <w:rFonts w:ascii="Times New Roman" w:eastAsia="Times New Roman" w:hAnsi="Times New Roman" w:cs="Times New Roman"/>
                <w:sz w:val="27"/>
                <w:szCs w:val="27"/>
                <w:lang w:val="uk-UA"/>
              </w:rPr>
              <w:t xml:space="preserve"> збирають дані для цілей нагляду, доречні для органів </w:t>
            </w:r>
            <w:r>
              <w:rPr>
                <w:rFonts w:ascii="Times New Roman" w:eastAsia="Times New Roman" w:hAnsi="Times New Roman" w:cs="Times New Roman"/>
                <w:sz w:val="27"/>
                <w:szCs w:val="27"/>
                <w:lang w:val="uk-UA"/>
              </w:rPr>
              <w:lastRenderedPageBreak/>
              <w:t xml:space="preserve">влади усіх держав-членів </w:t>
            </w:r>
            <w:r w:rsidR="003D6B58">
              <w:rPr>
                <w:rFonts w:ascii="Times New Roman" w:eastAsia="Times New Roman" w:hAnsi="Times New Roman" w:cs="Times New Roman"/>
                <w:sz w:val="27"/>
                <w:szCs w:val="27"/>
                <w:lang w:val="uk-UA"/>
              </w:rPr>
              <w:t>Союзу</w:t>
            </w:r>
            <w:r>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повинна взяти на себе відповідальність за реєстрацію торгових репозитаріїв, </w:t>
            </w:r>
            <w:r w:rsidR="003A4B6E">
              <w:rPr>
                <w:rFonts w:ascii="Times New Roman" w:eastAsia="Times New Roman" w:hAnsi="Times New Roman" w:cs="Times New Roman"/>
                <w:sz w:val="27"/>
                <w:szCs w:val="27"/>
                <w:lang w:val="uk-UA"/>
              </w:rPr>
              <w:t>скасування їхньої реєстрації та нагляд за ними.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3A4B6E" w:rsidP="00630503">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Ураховуючи, що регулятори, ЦКА та інші учасники ринку покладаються на дані, що їх зберігають торгові </w:t>
            </w:r>
            <w:proofErr w:type="spellStart"/>
            <w:r>
              <w:rPr>
                <w:rFonts w:ascii="Times New Roman" w:eastAsia="Times New Roman" w:hAnsi="Times New Roman" w:cs="Times New Roman"/>
                <w:sz w:val="27"/>
                <w:szCs w:val="27"/>
                <w:lang w:val="uk-UA"/>
              </w:rPr>
              <w:t>репозитарії</w:t>
            </w:r>
            <w:proofErr w:type="spellEnd"/>
            <w:r>
              <w:rPr>
                <w:rFonts w:ascii="Times New Roman" w:eastAsia="Times New Roman" w:hAnsi="Times New Roman" w:cs="Times New Roman"/>
                <w:sz w:val="27"/>
                <w:szCs w:val="27"/>
                <w:lang w:val="uk-UA"/>
              </w:rPr>
              <w:t>, н</w:t>
            </w:r>
            <w:r w:rsidR="00630503">
              <w:rPr>
                <w:rFonts w:ascii="Times New Roman" w:eastAsia="Times New Roman" w:hAnsi="Times New Roman" w:cs="Times New Roman"/>
                <w:sz w:val="27"/>
                <w:szCs w:val="27"/>
                <w:lang w:val="uk-UA"/>
              </w:rPr>
              <w:t>еобхідно забезпечити, щоб на цих торгових репозитаріїв поширювалися жорсткі вимоги щодо ведення операцій, обліку та управління даними.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(76)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630503" w:rsidP="00B82BB7">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Прозорість цін, комісійних та моделей управління ризиками, пов'язаних із послугами, надаваними ЦКА, їхнім чле</w:t>
            </w:r>
            <w:r w:rsidR="00B82BB7">
              <w:rPr>
                <w:rFonts w:ascii="Times New Roman" w:eastAsia="Times New Roman" w:hAnsi="Times New Roman" w:cs="Times New Roman"/>
                <w:sz w:val="27"/>
                <w:szCs w:val="27"/>
                <w:lang w:val="uk-UA"/>
              </w:rPr>
              <w:t xml:space="preserve">нами та торговими </w:t>
            </w:r>
            <w:proofErr w:type="spellStart"/>
            <w:r w:rsidR="00B82BB7">
              <w:rPr>
                <w:rFonts w:ascii="Times New Roman" w:eastAsia="Times New Roman" w:hAnsi="Times New Roman" w:cs="Times New Roman"/>
                <w:sz w:val="27"/>
                <w:szCs w:val="27"/>
                <w:lang w:val="uk-UA"/>
              </w:rPr>
              <w:t>репозитаріями</w:t>
            </w:r>
            <w:proofErr w:type="spellEnd"/>
            <w:r w:rsidR="00B82BB7">
              <w:rPr>
                <w:rFonts w:ascii="Times New Roman" w:eastAsia="Times New Roman" w:hAnsi="Times New Roman" w:cs="Times New Roman"/>
                <w:sz w:val="27"/>
                <w:szCs w:val="27"/>
                <w:lang w:val="uk-UA"/>
              </w:rPr>
              <w:t>, необхідна для того, щоб учасники ринку могли робити свідомий вибір.</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(77)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249D0" w:rsidRDefault="00B82BB7" w:rsidP="007A446E">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Для того, щоб ефективно виконувати свої обов’язки,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повинна мати можливість вимагати, за допомогою простого запиту чи рішення, всю необхідну інформацію у торгових репозитаріїв, </w:t>
            </w:r>
            <w:r w:rsidR="007A446E">
              <w:rPr>
                <w:rFonts w:ascii="Times New Roman" w:eastAsia="Times New Roman" w:hAnsi="Times New Roman" w:cs="Times New Roman"/>
                <w:sz w:val="27"/>
                <w:szCs w:val="27"/>
                <w:lang w:val="uk-UA"/>
              </w:rPr>
              <w:t>пов’язаних</w:t>
            </w:r>
            <w:r>
              <w:rPr>
                <w:rFonts w:ascii="Times New Roman" w:eastAsia="Times New Roman" w:hAnsi="Times New Roman" w:cs="Times New Roman"/>
                <w:sz w:val="27"/>
                <w:szCs w:val="27"/>
                <w:lang w:val="uk-UA"/>
              </w:rPr>
              <w:t xml:space="preserve"> третіх сторін</w:t>
            </w:r>
            <w:r w:rsidR="007A446E">
              <w:rPr>
                <w:rFonts w:ascii="Times New Roman" w:eastAsia="Times New Roman" w:hAnsi="Times New Roman" w:cs="Times New Roman"/>
                <w:sz w:val="27"/>
                <w:szCs w:val="27"/>
                <w:lang w:val="uk-UA"/>
              </w:rPr>
              <w:t xml:space="preserve"> і третіх сторін, яким торгові </w:t>
            </w:r>
            <w:proofErr w:type="spellStart"/>
            <w:r w:rsidR="007A446E">
              <w:rPr>
                <w:rFonts w:ascii="Times New Roman" w:eastAsia="Times New Roman" w:hAnsi="Times New Roman" w:cs="Times New Roman"/>
                <w:sz w:val="27"/>
                <w:szCs w:val="27"/>
                <w:lang w:val="uk-UA"/>
              </w:rPr>
              <w:t>репозитарії</w:t>
            </w:r>
            <w:proofErr w:type="spellEnd"/>
            <w:r w:rsidR="007A446E">
              <w:rPr>
                <w:rFonts w:ascii="Times New Roman" w:eastAsia="Times New Roman" w:hAnsi="Times New Roman" w:cs="Times New Roman"/>
                <w:sz w:val="27"/>
                <w:szCs w:val="27"/>
                <w:lang w:val="uk-UA"/>
              </w:rPr>
              <w:t xml:space="preserve"> передали для виконання операційні функції чи види діяльності. Якщо </w:t>
            </w:r>
            <w:r w:rsidR="007A446E">
              <w:rPr>
                <w:rFonts w:ascii="Times New Roman" w:eastAsia="Times New Roman" w:hAnsi="Times New Roman" w:cs="Times New Roman"/>
                <w:sz w:val="27"/>
                <w:szCs w:val="27"/>
              </w:rPr>
              <w:t>ESMA</w:t>
            </w:r>
            <w:r w:rsidR="007A446E">
              <w:rPr>
                <w:rFonts w:ascii="Times New Roman" w:eastAsia="Times New Roman" w:hAnsi="Times New Roman" w:cs="Times New Roman"/>
                <w:sz w:val="27"/>
                <w:szCs w:val="27"/>
                <w:lang w:val="uk-UA"/>
              </w:rPr>
              <w:t xml:space="preserve"> вимагає такої інформації простим запитом, то адресат не зобов’язаний надавати цю інформацію, але у випадку, якщо він усе ж добровільно надає її, надана інформація не повинна бути невірною чи вводити в оману. Таку інформацію слід надавати без затримки.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(78)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D82DB3" w:rsidRDefault="00E249D0" w:rsidP="00D82DB3">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Без шкоди </w:t>
            </w:r>
            <w:r w:rsidR="008619FF">
              <w:rPr>
                <w:rFonts w:ascii="Times New Roman" w:eastAsia="Times New Roman" w:hAnsi="Times New Roman" w:cs="Times New Roman"/>
                <w:sz w:val="27"/>
                <w:szCs w:val="27"/>
                <w:lang w:val="uk-UA"/>
              </w:rPr>
              <w:t>для випадків, охоплених кримінальним або податковим законодавством</w:t>
            </w:r>
            <w:r w:rsidR="008619FF" w:rsidRPr="00D82DB3">
              <w:rPr>
                <w:rFonts w:ascii="Times New Roman" w:eastAsia="Times New Roman" w:hAnsi="Times New Roman" w:cs="Times New Roman"/>
                <w:sz w:val="27"/>
                <w:szCs w:val="27"/>
              </w:rPr>
              <w:t xml:space="preserve">, </w:t>
            </w:r>
            <w:r w:rsidR="008619FF">
              <w:rPr>
                <w:rFonts w:ascii="Times New Roman" w:eastAsia="Times New Roman" w:hAnsi="Times New Roman" w:cs="Times New Roman"/>
                <w:sz w:val="27"/>
                <w:szCs w:val="27"/>
                <w:lang w:val="uk-UA"/>
              </w:rPr>
              <w:t xml:space="preserve">компетентні органи, </w:t>
            </w:r>
            <w:r w:rsidR="008619FF">
              <w:rPr>
                <w:rFonts w:ascii="Times New Roman" w:eastAsia="Times New Roman" w:hAnsi="Times New Roman" w:cs="Times New Roman"/>
                <w:sz w:val="27"/>
                <w:szCs w:val="27"/>
              </w:rPr>
              <w:t>ESMA</w:t>
            </w:r>
            <w:r w:rsidR="008619FF">
              <w:rPr>
                <w:rFonts w:ascii="Times New Roman" w:eastAsia="Times New Roman" w:hAnsi="Times New Roman" w:cs="Times New Roman"/>
                <w:sz w:val="27"/>
                <w:szCs w:val="27"/>
                <w:lang w:val="uk-UA"/>
              </w:rPr>
              <w:t>, інші органи, фізичні або юридичні особи</w:t>
            </w:r>
            <w:r w:rsidR="00D82DB3">
              <w:rPr>
                <w:rFonts w:ascii="Times New Roman" w:eastAsia="Times New Roman" w:hAnsi="Times New Roman" w:cs="Times New Roman"/>
                <w:sz w:val="27"/>
                <w:szCs w:val="27"/>
                <w:lang w:val="uk-UA"/>
              </w:rPr>
              <w:t>, які отримують конфіденційну інформацію, повинні користуватися нею тільки при виконанні своїх обов’язків і для здійснення своїх функцій. Проте, це не повинно запобігати здійсненню, згідно з національним законодавством, функцій національних органів, відповідальних за попередження, розслідування або усунення випадків неналежного управління.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4D103D"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(79)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4D103D" w:rsidRDefault="00D82DB3" w:rsidP="004D103D">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Для того, щоб ефективно здійснювати свої наглядові повноваження, ESMA повинна мати можливість проводити розслідування та </w:t>
            </w:r>
            <w:r w:rsidR="004D103D">
              <w:rPr>
                <w:rFonts w:ascii="Times New Roman" w:eastAsia="Times New Roman" w:hAnsi="Times New Roman" w:cs="Times New Roman"/>
                <w:sz w:val="27"/>
                <w:szCs w:val="27"/>
                <w:lang w:val="uk-UA"/>
              </w:rPr>
              <w:t>виїзні перевірки.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(80)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DE77B0" w:rsidP="004D103D">
            <w:pPr>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t xml:space="preserve">ESMA </w:t>
            </w:r>
            <w:r w:rsidR="005F7439">
              <w:rPr>
                <w:rFonts w:ascii="Times New Roman" w:eastAsia="Times New Roman" w:hAnsi="Times New Roman" w:cs="Times New Roman"/>
                <w:sz w:val="27"/>
                <w:szCs w:val="27"/>
                <w:lang w:val="uk-UA"/>
              </w:rPr>
              <w:t>повинна мати можливість делегувати конкретні задачі з нагляду компетентному органові державі-члена</w:t>
            </w:r>
            <w:r w:rsidR="003D6B58">
              <w:rPr>
                <w:rFonts w:ascii="Times New Roman" w:eastAsia="Times New Roman" w:hAnsi="Times New Roman" w:cs="Times New Roman"/>
                <w:sz w:val="27"/>
                <w:szCs w:val="27"/>
                <w:lang w:val="uk-UA"/>
              </w:rPr>
              <w:t xml:space="preserve"> Союзу</w:t>
            </w:r>
            <w:r w:rsidR="005F7439">
              <w:rPr>
                <w:rFonts w:ascii="Times New Roman" w:eastAsia="Times New Roman" w:hAnsi="Times New Roman" w:cs="Times New Roman"/>
                <w:sz w:val="27"/>
                <w:szCs w:val="27"/>
                <w:lang w:val="uk-UA"/>
              </w:rPr>
              <w:t xml:space="preserve">, наприклад, якщо певна задача з нагляду вимагає наявності знань і досвіду </w:t>
            </w:r>
            <w:r w:rsidR="00F471BF">
              <w:rPr>
                <w:rFonts w:ascii="Times New Roman" w:eastAsia="Times New Roman" w:hAnsi="Times New Roman" w:cs="Times New Roman"/>
                <w:sz w:val="27"/>
                <w:szCs w:val="27"/>
                <w:lang w:val="uk-UA"/>
              </w:rPr>
              <w:t xml:space="preserve">щодо місцевих умов, що скоріше можуть бути наявними на національному рівні. </w:t>
            </w:r>
            <w:r w:rsidR="00F471BF">
              <w:rPr>
                <w:rFonts w:ascii="Times New Roman" w:eastAsia="Times New Roman" w:hAnsi="Times New Roman" w:cs="Times New Roman"/>
                <w:sz w:val="27"/>
                <w:szCs w:val="27"/>
              </w:rPr>
              <w:t>ESMA</w:t>
            </w:r>
            <w:r w:rsidR="00F471BF">
              <w:rPr>
                <w:rFonts w:ascii="Times New Roman" w:eastAsia="Times New Roman" w:hAnsi="Times New Roman" w:cs="Times New Roman"/>
                <w:sz w:val="27"/>
                <w:szCs w:val="27"/>
                <w:lang w:val="uk-UA"/>
              </w:rPr>
              <w:t xml:space="preserve"> повинна мати можливість делегувати функції виконання конкретних задач із розслідування та проведення </w:t>
            </w:r>
            <w:r w:rsidR="004D103D">
              <w:rPr>
                <w:rFonts w:ascii="Times New Roman" w:eastAsia="Times New Roman" w:hAnsi="Times New Roman" w:cs="Times New Roman"/>
                <w:sz w:val="27"/>
                <w:szCs w:val="27"/>
                <w:lang w:val="uk-UA"/>
              </w:rPr>
              <w:t xml:space="preserve">виїзних </w:t>
            </w:r>
            <w:r w:rsidR="00F471BF">
              <w:rPr>
                <w:rFonts w:ascii="Times New Roman" w:eastAsia="Times New Roman" w:hAnsi="Times New Roman" w:cs="Times New Roman"/>
                <w:sz w:val="27"/>
                <w:szCs w:val="27"/>
                <w:lang w:val="uk-UA"/>
              </w:rPr>
              <w:t xml:space="preserve">перевірок. Перед тим, як </w:t>
            </w:r>
            <w:r w:rsidR="00CD0438">
              <w:rPr>
                <w:rFonts w:ascii="Times New Roman" w:eastAsia="Times New Roman" w:hAnsi="Times New Roman" w:cs="Times New Roman"/>
                <w:sz w:val="27"/>
                <w:szCs w:val="27"/>
                <w:lang w:val="uk-UA"/>
              </w:rPr>
              <w:t xml:space="preserve">делегувати свої задачі, </w:t>
            </w:r>
            <w:r w:rsidR="00CD0438">
              <w:rPr>
                <w:rFonts w:ascii="Times New Roman" w:eastAsia="Times New Roman" w:hAnsi="Times New Roman" w:cs="Times New Roman"/>
                <w:sz w:val="27"/>
                <w:szCs w:val="27"/>
              </w:rPr>
              <w:t>ESMA</w:t>
            </w:r>
            <w:r w:rsidR="00CD0438">
              <w:rPr>
                <w:rFonts w:ascii="Times New Roman" w:eastAsia="Times New Roman" w:hAnsi="Times New Roman" w:cs="Times New Roman"/>
                <w:sz w:val="27"/>
                <w:szCs w:val="27"/>
                <w:lang w:val="uk-UA"/>
              </w:rPr>
              <w:t xml:space="preserve"> повинна проконсультуватися з відповідним компетентним органом щодо детальних умов такої передачі, зокрема щодо </w:t>
            </w:r>
            <w:r w:rsidR="00CD0438">
              <w:rPr>
                <w:rFonts w:ascii="Times New Roman" w:eastAsia="Times New Roman" w:hAnsi="Times New Roman" w:cs="Times New Roman"/>
                <w:sz w:val="27"/>
                <w:szCs w:val="27"/>
                <w:lang w:val="uk-UA"/>
              </w:rPr>
              <w:lastRenderedPageBreak/>
              <w:t xml:space="preserve">обсягу задачі, що делегується, терміну її виконання та передачі необхідної інформації самою </w:t>
            </w:r>
            <w:r w:rsidR="00CD0438">
              <w:rPr>
                <w:rFonts w:ascii="Times New Roman" w:eastAsia="Times New Roman" w:hAnsi="Times New Roman" w:cs="Times New Roman"/>
                <w:sz w:val="27"/>
                <w:szCs w:val="27"/>
              </w:rPr>
              <w:t>ESMA</w:t>
            </w:r>
            <w:r w:rsidR="00CD0438" w:rsidRPr="00CD0438">
              <w:rPr>
                <w:rFonts w:ascii="Times New Roman" w:eastAsia="Times New Roman" w:hAnsi="Times New Roman" w:cs="Times New Roman"/>
                <w:sz w:val="27"/>
                <w:szCs w:val="27"/>
                <w:lang w:val="uk-UA"/>
              </w:rPr>
              <w:t xml:space="preserve"> та до </w:t>
            </w:r>
            <w:r w:rsidR="00CD0438">
              <w:rPr>
                <w:rFonts w:ascii="Times New Roman" w:eastAsia="Times New Roman" w:hAnsi="Times New Roman" w:cs="Times New Roman"/>
                <w:sz w:val="27"/>
                <w:szCs w:val="27"/>
                <w:lang w:val="uk-UA"/>
              </w:rPr>
              <w:t xml:space="preserve">неї. </w:t>
            </w:r>
            <w:r w:rsidR="00911084">
              <w:rPr>
                <w:rFonts w:ascii="Times New Roman" w:eastAsia="Times New Roman" w:hAnsi="Times New Roman" w:cs="Times New Roman"/>
                <w:sz w:val="27"/>
                <w:szCs w:val="27"/>
              </w:rPr>
              <w:t>ESMA</w:t>
            </w:r>
            <w:r w:rsidR="00911084">
              <w:rPr>
                <w:rFonts w:ascii="Times New Roman" w:eastAsia="Times New Roman" w:hAnsi="Times New Roman" w:cs="Times New Roman"/>
                <w:sz w:val="27"/>
                <w:szCs w:val="27"/>
                <w:lang w:val="uk-UA"/>
              </w:rPr>
              <w:t xml:space="preserve"> повинна відшкодовувати компетентним органам відповідні витрати, </w:t>
            </w:r>
            <w:r w:rsidR="005A7857">
              <w:rPr>
                <w:rFonts w:ascii="Times New Roman" w:eastAsia="Times New Roman" w:hAnsi="Times New Roman" w:cs="Times New Roman"/>
                <w:sz w:val="27"/>
                <w:szCs w:val="27"/>
                <w:lang w:val="uk-UA"/>
              </w:rPr>
              <w:t>по’вязані</w:t>
            </w:r>
            <w:r w:rsidR="00911084">
              <w:rPr>
                <w:rFonts w:ascii="Times New Roman" w:eastAsia="Times New Roman" w:hAnsi="Times New Roman" w:cs="Times New Roman"/>
                <w:sz w:val="27"/>
                <w:szCs w:val="27"/>
                <w:lang w:val="uk-UA"/>
              </w:rPr>
              <w:t xml:space="preserve"> з виконанням делегованих задач, згідно з положенням щодо їх оплати, яке має бути прийнят</w:t>
            </w:r>
            <w:r w:rsidR="005A7857">
              <w:rPr>
                <w:rFonts w:ascii="Times New Roman" w:eastAsia="Times New Roman" w:hAnsi="Times New Roman" w:cs="Times New Roman"/>
                <w:sz w:val="27"/>
                <w:szCs w:val="27"/>
                <w:lang w:val="uk-UA"/>
              </w:rPr>
              <w:t>о</w:t>
            </w:r>
            <w:r w:rsidR="00911084">
              <w:rPr>
                <w:rFonts w:ascii="Times New Roman" w:eastAsia="Times New Roman" w:hAnsi="Times New Roman" w:cs="Times New Roman"/>
                <w:sz w:val="27"/>
                <w:szCs w:val="27"/>
                <w:lang w:val="uk-UA"/>
              </w:rPr>
              <w:t xml:space="preserve"> Комісією </w:t>
            </w:r>
            <w:r w:rsidR="005A7857">
              <w:rPr>
                <w:rFonts w:ascii="Times New Roman" w:eastAsia="Times New Roman" w:hAnsi="Times New Roman" w:cs="Times New Roman"/>
                <w:sz w:val="27"/>
                <w:szCs w:val="27"/>
                <w:lang w:val="uk-UA"/>
              </w:rPr>
              <w:t xml:space="preserve">делегованим актом. </w:t>
            </w:r>
            <w:r w:rsidRPr="006279CF">
              <w:rPr>
                <w:rFonts w:ascii="Times New Roman" w:eastAsia="Times New Roman" w:hAnsi="Times New Roman" w:cs="Times New Roman"/>
                <w:sz w:val="27"/>
                <w:szCs w:val="27"/>
              </w:rPr>
              <w:t>ESMA</w:t>
            </w:r>
            <w:r w:rsidRPr="005A7857">
              <w:rPr>
                <w:rFonts w:ascii="Times New Roman" w:eastAsia="Times New Roman" w:hAnsi="Times New Roman" w:cs="Times New Roman"/>
                <w:sz w:val="27"/>
                <w:szCs w:val="27"/>
                <w:lang w:val="ru-RU"/>
              </w:rPr>
              <w:t xml:space="preserve"> </w:t>
            </w:r>
            <w:r w:rsidR="005A7857">
              <w:rPr>
                <w:rFonts w:ascii="Times New Roman" w:eastAsia="Times New Roman" w:hAnsi="Times New Roman" w:cs="Times New Roman"/>
                <w:sz w:val="27"/>
                <w:szCs w:val="27"/>
                <w:lang w:val="uk-UA"/>
              </w:rPr>
              <w:t>не повинна мати можливість делегувати повноваження на прийняття рішень щодо реєстрації.</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(81)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904A17" w:rsidRDefault="003A305B" w:rsidP="009E010C">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Необхідно забезпечити, щоб компетентні органи могли вимагати від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визначення того, чи виконані умови скасування реєстрації торгового </w:t>
            </w:r>
            <w:proofErr w:type="spellStart"/>
            <w:r>
              <w:rPr>
                <w:rFonts w:ascii="Times New Roman" w:eastAsia="Times New Roman" w:hAnsi="Times New Roman" w:cs="Times New Roman"/>
                <w:sz w:val="27"/>
                <w:szCs w:val="27"/>
                <w:lang w:val="uk-UA"/>
              </w:rPr>
              <w:t>репозитарія</w:t>
            </w:r>
            <w:proofErr w:type="spellEnd"/>
            <w:r>
              <w:rPr>
                <w:rFonts w:ascii="Times New Roman" w:eastAsia="Times New Roman" w:hAnsi="Times New Roman" w:cs="Times New Roman"/>
                <w:sz w:val="27"/>
                <w:szCs w:val="27"/>
                <w:lang w:val="uk-UA"/>
              </w:rPr>
              <w:t xml:space="preserve">. </w:t>
            </w:r>
            <w:r w:rsidR="009E010C">
              <w:rPr>
                <w:rFonts w:ascii="Times New Roman" w:eastAsia="Times New Roman" w:hAnsi="Times New Roman" w:cs="Times New Roman"/>
                <w:sz w:val="27"/>
                <w:szCs w:val="27"/>
              </w:rPr>
              <w:t>ESMA</w:t>
            </w:r>
            <w:r w:rsidR="009E010C">
              <w:rPr>
                <w:rFonts w:ascii="Times New Roman" w:eastAsia="Times New Roman" w:hAnsi="Times New Roman" w:cs="Times New Roman"/>
                <w:sz w:val="27"/>
                <w:szCs w:val="27"/>
                <w:lang w:val="uk-UA"/>
              </w:rPr>
              <w:t xml:space="preserve"> повинна розглядати такі вимоги та вживати відповідних заходів.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(82)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4D103D">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 xml:space="preserve">ESMA </w:t>
            </w:r>
            <w:r w:rsidR="00904A17">
              <w:rPr>
                <w:rFonts w:ascii="Times New Roman" w:eastAsia="Times New Roman" w:hAnsi="Times New Roman" w:cs="Times New Roman"/>
                <w:sz w:val="27"/>
                <w:szCs w:val="27"/>
                <w:lang w:val="uk-UA"/>
              </w:rPr>
              <w:t xml:space="preserve">повинна мати можливість стягувати періодичні штрафні платежі, </w:t>
            </w:r>
            <w:r w:rsidR="001114D1">
              <w:rPr>
                <w:rFonts w:ascii="Times New Roman" w:eastAsia="Times New Roman" w:hAnsi="Times New Roman" w:cs="Times New Roman"/>
                <w:sz w:val="27"/>
                <w:szCs w:val="27"/>
                <w:lang w:val="uk-UA"/>
              </w:rPr>
              <w:t>покликані</w:t>
            </w:r>
            <w:r w:rsidR="00904A17">
              <w:rPr>
                <w:rFonts w:ascii="Times New Roman" w:eastAsia="Times New Roman" w:hAnsi="Times New Roman" w:cs="Times New Roman"/>
                <w:sz w:val="27"/>
                <w:szCs w:val="27"/>
                <w:lang w:val="uk-UA"/>
              </w:rPr>
              <w:t xml:space="preserve"> приму</w:t>
            </w:r>
            <w:r w:rsidR="00262C97">
              <w:rPr>
                <w:rFonts w:ascii="Times New Roman" w:eastAsia="Times New Roman" w:hAnsi="Times New Roman" w:cs="Times New Roman"/>
                <w:sz w:val="27"/>
                <w:szCs w:val="27"/>
                <w:lang w:val="uk-UA"/>
              </w:rPr>
              <w:t>си</w:t>
            </w:r>
            <w:r w:rsidR="00904A17">
              <w:rPr>
                <w:rFonts w:ascii="Times New Roman" w:eastAsia="Times New Roman" w:hAnsi="Times New Roman" w:cs="Times New Roman"/>
                <w:sz w:val="27"/>
                <w:szCs w:val="27"/>
                <w:lang w:val="uk-UA"/>
              </w:rPr>
              <w:t xml:space="preserve">ти торгових репозитаріїв усунути </w:t>
            </w:r>
            <w:r w:rsidR="00262C97">
              <w:rPr>
                <w:rFonts w:ascii="Times New Roman" w:eastAsia="Times New Roman" w:hAnsi="Times New Roman" w:cs="Times New Roman"/>
                <w:sz w:val="27"/>
                <w:szCs w:val="27"/>
                <w:lang w:val="uk-UA"/>
              </w:rPr>
              <w:t xml:space="preserve">порушення, надати повну та достовірну інформацію, що її вимагає </w:t>
            </w:r>
            <w:r w:rsidR="00262C97">
              <w:rPr>
                <w:rFonts w:ascii="Times New Roman" w:eastAsia="Times New Roman" w:hAnsi="Times New Roman" w:cs="Times New Roman"/>
                <w:sz w:val="27"/>
                <w:szCs w:val="27"/>
              </w:rPr>
              <w:t>ESMA</w:t>
            </w:r>
            <w:r w:rsidR="00262C97">
              <w:rPr>
                <w:rFonts w:ascii="Times New Roman" w:eastAsia="Times New Roman" w:hAnsi="Times New Roman" w:cs="Times New Roman"/>
                <w:sz w:val="27"/>
                <w:szCs w:val="27"/>
                <w:lang w:val="uk-UA"/>
              </w:rPr>
              <w:t xml:space="preserve">, або </w:t>
            </w:r>
            <w:r w:rsidR="009E2C53">
              <w:rPr>
                <w:rFonts w:ascii="Times New Roman" w:eastAsia="Times New Roman" w:hAnsi="Times New Roman" w:cs="Times New Roman"/>
                <w:sz w:val="27"/>
                <w:szCs w:val="27"/>
                <w:lang w:val="uk-UA"/>
              </w:rPr>
              <w:t xml:space="preserve">погодитися на </w:t>
            </w:r>
            <w:r w:rsidR="00262C97">
              <w:rPr>
                <w:rFonts w:ascii="Times New Roman" w:eastAsia="Times New Roman" w:hAnsi="Times New Roman" w:cs="Times New Roman"/>
                <w:sz w:val="27"/>
                <w:szCs w:val="27"/>
                <w:lang w:val="uk-UA"/>
              </w:rPr>
              <w:t xml:space="preserve">розслідування чи </w:t>
            </w:r>
            <w:r w:rsidR="004D103D">
              <w:rPr>
                <w:rFonts w:ascii="Times New Roman" w:eastAsia="Times New Roman" w:hAnsi="Times New Roman" w:cs="Times New Roman"/>
                <w:sz w:val="27"/>
                <w:szCs w:val="27"/>
                <w:lang w:val="uk-UA"/>
              </w:rPr>
              <w:t xml:space="preserve">виїзну </w:t>
            </w:r>
            <w:r w:rsidR="00262C97">
              <w:rPr>
                <w:rFonts w:ascii="Times New Roman" w:eastAsia="Times New Roman" w:hAnsi="Times New Roman" w:cs="Times New Roman"/>
                <w:sz w:val="27"/>
                <w:szCs w:val="27"/>
                <w:lang w:val="uk-UA"/>
              </w:rPr>
              <w:t>перевірку.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(83)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DE77B0" w:rsidP="00156712">
            <w:pPr>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rPr>
              <w:t>ESMA</w:t>
            </w:r>
            <w:r w:rsidRPr="0064260F">
              <w:rPr>
                <w:rFonts w:ascii="Times New Roman" w:eastAsia="Times New Roman" w:hAnsi="Times New Roman" w:cs="Times New Roman"/>
                <w:sz w:val="27"/>
                <w:szCs w:val="27"/>
                <w:lang w:val="ru-RU"/>
              </w:rPr>
              <w:t xml:space="preserve"> </w:t>
            </w:r>
            <w:r w:rsidR="009E2C53">
              <w:rPr>
                <w:rFonts w:ascii="Times New Roman" w:eastAsia="Times New Roman" w:hAnsi="Times New Roman" w:cs="Times New Roman"/>
                <w:sz w:val="27"/>
                <w:szCs w:val="27"/>
                <w:lang w:val="uk-UA"/>
              </w:rPr>
              <w:t xml:space="preserve">також повинна мати можливість накладати штрафи на торгових репозитаріїв, якщо вона встановить, що вони вчинили, свідомо чи з недбалості, порушення цього регламенту. Штрафи повинні накладатися відповідно до ступеню тяжкості порушення. Порушення слід поділити на різні групи, для яких призначатимуться конкретні штрафи. Щоб розрахувати суму штрафу стосовно конкретного порушення, </w:t>
            </w:r>
            <w:r w:rsidR="009E2C53">
              <w:rPr>
                <w:rFonts w:ascii="Times New Roman" w:eastAsia="Times New Roman" w:hAnsi="Times New Roman" w:cs="Times New Roman"/>
                <w:sz w:val="27"/>
                <w:szCs w:val="27"/>
              </w:rPr>
              <w:t>ESMA</w:t>
            </w:r>
            <w:r w:rsidR="009E2C53">
              <w:rPr>
                <w:rFonts w:ascii="Times New Roman" w:eastAsia="Times New Roman" w:hAnsi="Times New Roman" w:cs="Times New Roman"/>
                <w:sz w:val="27"/>
                <w:szCs w:val="27"/>
                <w:lang w:val="uk-UA"/>
              </w:rPr>
              <w:t xml:space="preserve"> слід </w:t>
            </w:r>
            <w:r w:rsidR="00156712">
              <w:rPr>
                <w:rFonts w:ascii="Times New Roman" w:eastAsia="Times New Roman" w:hAnsi="Times New Roman" w:cs="Times New Roman"/>
                <w:sz w:val="27"/>
                <w:szCs w:val="27"/>
                <w:lang w:val="uk-UA"/>
              </w:rPr>
              <w:t xml:space="preserve">застосовувати </w:t>
            </w:r>
            <w:proofErr w:type="spellStart"/>
            <w:r w:rsidR="00156712">
              <w:rPr>
                <w:rFonts w:ascii="Times New Roman" w:eastAsia="Times New Roman" w:hAnsi="Times New Roman" w:cs="Times New Roman"/>
                <w:sz w:val="27"/>
                <w:szCs w:val="27"/>
                <w:lang w:val="uk-UA"/>
              </w:rPr>
              <w:t>двохетапну</w:t>
            </w:r>
            <w:proofErr w:type="spellEnd"/>
            <w:r w:rsidR="00156712">
              <w:rPr>
                <w:rFonts w:ascii="Times New Roman" w:eastAsia="Times New Roman" w:hAnsi="Times New Roman" w:cs="Times New Roman"/>
                <w:sz w:val="27"/>
                <w:szCs w:val="27"/>
                <w:lang w:val="uk-UA"/>
              </w:rPr>
              <w:t xml:space="preserve"> методику, що передбачає встановлення основної суми і за потреби її коригування на певні коефіцієнти. Основна сума встановлюється з урахуванням річного обігу відповідного торгового </w:t>
            </w:r>
            <w:proofErr w:type="spellStart"/>
            <w:r w:rsidR="00156712">
              <w:rPr>
                <w:rFonts w:ascii="Times New Roman" w:eastAsia="Times New Roman" w:hAnsi="Times New Roman" w:cs="Times New Roman"/>
                <w:sz w:val="27"/>
                <w:szCs w:val="27"/>
                <w:lang w:val="uk-UA"/>
              </w:rPr>
              <w:t>репозитарія</w:t>
            </w:r>
            <w:proofErr w:type="spellEnd"/>
            <w:r w:rsidR="00156712">
              <w:rPr>
                <w:rFonts w:ascii="Times New Roman" w:eastAsia="Times New Roman" w:hAnsi="Times New Roman" w:cs="Times New Roman"/>
                <w:sz w:val="27"/>
                <w:szCs w:val="27"/>
                <w:lang w:val="uk-UA"/>
              </w:rPr>
              <w:t>, а коригування здійснюється шляхом збільшення чи зменшення основної суми за допомогою відповідних коефіцієнтів згідно з цим регламентом.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(84)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A1421B" w:rsidP="00A1421B">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Цим регламентом повинні бути встановлені коефіцієнти, пов'язані з погіршенням і покращенням обставин, щоб у </w:t>
            </w:r>
            <w:r>
              <w:rPr>
                <w:rFonts w:ascii="Times New Roman" w:eastAsia="Times New Roman" w:hAnsi="Times New Roman" w:cs="Times New Roman"/>
                <w:sz w:val="27"/>
                <w:szCs w:val="27"/>
              </w:rPr>
              <w:t>ESMA</w:t>
            </w:r>
            <w:r w:rsidRPr="00A1421B">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lang w:val="uk-UA"/>
              </w:rPr>
              <w:t xml:space="preserve">в розпорядженні були необхідні інструменти для прийняття рішень щодо штрафу, сумірного тяжкості порушення, вчиненого торговим </w:t>
            </w:r>
            <w:proofErr w:type="spellStart"/>
            <w:r>
              <w:rPr>
                <w:rFonts w:ascii="Times New Roman" w:eastAsia="Times New Roman" w:hAnsi="Times New Roman" w:cs="Times New Roman"/>
                <w:sz w:val="27"/>
                <w:szCs w:val="27"/>
                <w:lang w:val="uk-UA"/>
              </w:rPr>
              <w:t>репозитарієм</w:t>
            </w:r>
            <w:proofErr w:type="spellEnd"/>
            <w:r>
              <w:rPr>
                <w:rFonts w:ascii="Times New Roman" w:eastAsia="Times New Roman" w:hAnsi="Times New Roman" w:cs="Times New Roman"/>
                <w:sz w:val="27"/>
                <w:szCs w:val="27"/>
                <w:lang w:val="uk-UA"/>
              </w:rPr>
              <w:t>, з урахуванням обставин, за яких було вчинено це порушення.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(85)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A1421B" w:rsidP="00E2145F">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Перш ніж приймати рішення про накладання</w:t>
            </w:r>
            <w:r w:rsidR="00C606AB" w:rsidRPr="00C606AB">
              <w:rPr>
                <w:rFonts w:ascii="Times New Roman" w:eastAsia="Times New Roman" w:hAnsi="Times New Roman" w:cs="Times New Roman"/>
                <w:sz w:val="27"/>
                <w:szCs w:val="27"/>
              </w:rPr>
              <w:t xml:space="preserve"> </w:t>
            </w:r>
            <w:r w:rsidR="00C606AB">
              <w:rPr>
                <w:rFonts w:ascii="Times New Roman" w:eastAsia="Times New Roman" w:hAnsi="Times New Roman" w:cs="Times New Roman"/>
                <w:sz w:val="27"/>
                <w:szCs w:val="27"/>
                <w:lang w:val="uk-UA"/>
              </w:rPr>
              <w:t>разових</w:t>
            </w:r>
            <w:r>
              <w:rPr>
                <w:rFonts w:ascii="Times New Roman" w:eastAsia="Times New Roman" w:hAnsi="Times New Roman" w:cs="Times New Roman"/>
                <w:sz w:val="27"/>
                <w:szCs w:val="27"/>
                <w:lang w:val="uk-UA"/>
              </w:rPr>
              <w:t xml:space="preserve"> штрафів або періодичних </w:t>
            </w:r>
            <w:r w:rsidR="00C606AB">
              <w:rPr>
                <w:rFonts w:ascii="Times New Roman" w:eastAsia="Times New Roman" w:hAnsi="Times New Roman" w:cs="Times New Roman"/>
                <w:sz w:val="27"/>
                <w:szCs w:val="27"/>
                <w:lang w:val="uk-UA"/>
              </w:rPr>
              <w:t xml:space="preserve">штрафних платежів, </w:t>
            </w:r>
            <w:r w:rsidR="00C606AB">
              <w:rPr>
                <w:rFonts w:ascii="Times New Roman" w:eastAsia="Times New Roman" w:hAnsi="Times New Roman" w:cs="Times New Roman"/>
                <w:sz w:val="27"/>
                <w:szCs w:val="27"/>
              </w:rPr>
              <w:t>ESMA</w:t>
            </w:r>
            <w:r w:rsidR="00C606AB">
              <w:rPr>
                <w:rFonts w:ascii="Times New Roman" w:eastAsia="Times New Roman" w:hAnsi="Times New Roman" w:cs="Times New Roman"/>
                <w:sz w:val="27"/>
                <w:szCs w:val="27"/>
                <w:lang w:val="uk-UA"/>
              </w:rPr>
              <w:t xml:space="preserve"> повинна надати особам, щодо яких приймається таке рішення, можливість </w:t>
            </w:r>
            <w:r w:rsidR="00E2145F">
              <w:rPr>
                <w:rFonts w:ascii="Times New Roman" w:eastAsia="Times New Roman" w:hAnsi="Times New Roman" w:cs="Times New Roman"/>
                <w:sz w:val="27"/>
                <w:szCs w:val="27"/>
                <w:lang w:val="uk-UA"/>
              </w:rPr>
              <w:t>викласти свою позицію, щоб були дотримані їхні права на захист.</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(86)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F3775" w:rsidRDefault="00DE77B0" w:rsidP="008A3CE8">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 xml:space="preserve">ESMA </w:t>
            </w:r>
            <w:r w:rsidR="00B53F1A">
              <w:rPr>
                <w:rFonts w:ascii="Times New Roman" w:eastAsia="Times New Roman" w:hAnsi="Times New Roman" w:cs="Times New Roman"/>
                <w:sz w:val="27"/>
                <w:szCs w:val="27"/>
                <w:lang w:val="uk-UA"/>
              </w:rPr>
              <w:t xml:space="preserve">повинна утримуватися від стягування разових штрафів або періодичних штрафних платежів, </w:t>
            </w:r>
            <w:r w:rsidR="008A3CE8">
              <w:rPr>
                <w:rFonts w:ascii="Times New Roman" w:eastAsia="Times New Roman" w:hAnsi="Times New Roman" w:cs="Times New Roman"/>
                <w:sz w:val="27"/>
                <w:szCs w:val="27"/>
                <w:lang w:val="uk-UA"/>
              </w:rPr>
              <w:t xml:space="preserve">якщо попереднє виправдання або </w:t>
            </w:r>
            <w:r w:rsidR="008A3CE8">
              <w:rPr>
                <w:rFonts w:ascii="Times New Roman" w:eastAsia="Times New Roman" w:hAnsi="Times New Roman" w:cs="Times New Roman"/>
                <w:sz w:val="27"/>
                <w:szCs w:val="27"/>
                <w:lang w:val="uk-UA"/>
              </w:rPr>
              <w:lastRenderedPageBreak/>
              <w:t>засудження на підставі ідентичних фактів або фактів, що по суті є такими самими, набуло законної сили в результаті кримінального провадження за національним законодавством.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(87)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0608AC" w:rsidP="00930F83">
            <w:pPr>
              <w:spacing w:before="120" w:after="0" w:line="240" w:lineRule="auto"/>
              <w:jc w:val="both"/>
              <w:textAlignment w:val="baseline"/>
              <w:rPr>
                <w:rFonts w:ascii="Times New Roman" w:eastAsia="Times New Roman" w:hAnsi="Times New Roman" w:cs="Times New Roman"/>
                <w:sz w:val="27"/>
                <w:szCs w:val="27"/>
                <w:lang w:val="ru-RU"/>
              </w:rPr>
            </w:pPr>
            <w:proofErr w:type="spellStart"/>
            <w:r>
              <w:rPr>
                <w:rFonts w:ascii="Times New Roman" w:eastAsia="Times New Roman" w:hAnsi="Times New Roman" w:cs="Times New Roman"/>
                <w:sz w:val="27"/>
                <w:szCs w:val="27"/>
                <w:lang w:val="ru-RU"/>
              </w:rPr>
              <w:t>Рішення</w:t>
            </w:r>
            <w:proofErr w:type="spellEnd"/>
            <w:r w:rsidRPr="000608AC">
              <w:rPr>
                <w:rFonts w:ascii="Times New Roman" w:eastAsia="Times New Roman" w:hAnsi="Times New Roman" w:cs="Times New Roman"/>
                <w:sz w:val="27"/>
                <w:szCs w:val="27"/>
              </w:rPr>
              <w:t xml:space="preserve"> </w:t>
            </w:r>
            <w:r w:rsidR="00DE77B0" w:rsidRPr="006279CF">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щодо накладання разових штрафів і стягування періодичних штрафних платежів повинні бути забезпечені правовою санкцією, і </w:t>
            </w:r>
            <w:r w:rsidR="00816870">
              <w:rPr>
                <w:rFonts w:ascii="Times New Roman" w:eastAsia="Times New Roman" w:hAnsi="Times New Roman" w:cs="Times New Roman"/>
                <w:sz w:val="27"/>
                <w:szCs w:val="27"/>
                <w:lang w:val="uk-UA"/>
              </w:rPr>
              <w:t>виконання цих рішень повинно відповідати положенням цивільного процесуального</w:t>
            </w:r>
            <w:r w:rsidR="00930F83">
              <w:rPr>
                <w:rFonts w:ascii="Times New Roman" w:eastAsia="Times New Roman" w:hAnsi="Times New Roman" w:cs="Times New Roman"/>
                <w:sz w:val="27"/>
                <w:szCs w:val="27"/>
                <w:lang w:val="uk-UA"/>
              </w:rPr>
              <w:t xml:space="preserve"> права</w:t>
            </w:r>
            <w:r w:rsidR="00816870">
              <w:rPr>
                <w:rFonts w:ascii="Times New Roman" w:eastAsia="Times New Roman" w:hAnsi="Times New Roman" w:cs="Times New Roman"/>
                <w:sz w:val="27"/>
                <w:szCs w:val="27"/>
                <w:lang w:val="uk-UA"/>
              </w:rPr>
              <w:t>, чинним у державі</w:t>
            </w:r>
            <w:r w:rsidR="00930F83">
              <w:rPr>
                <w:rFonts w:ascii="Times New Roman" w:eastAsia="Times New Roman" w:hAnsi="Times New Roman" w:cs="Times New Roman"/>
                <w:sz w:val="27"/>
                <w:szCs w:val="27"/>
                <w:lang w:val="uk-UA"/>
              </w:rPr>
              <w:t>, на території якої таке рішення виконується. Положення цивільного процесуального права не повинні включати положення кримінального процесуального права, але можуть включати положення адміністративного процесуального права.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(88)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C34FD1" w:rsidP="00E2145F">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У випадку порушення, вчиненого торговим </w:t>
            </w:r>
            <w:proofErr w:type="spellStart"/>
            <w:r>
              <w:rPr>
                <w:rFonts w:ascii="Times New Roman" w:eastAsia="Times New Roman" w:hAnsi="Times New Roman" w:cs="Times New Roman"/>
                <w:sz w:val="27"/>
                <w:szCs w:val="27"/>
                <w:lang w:val="uk-UA"/>
              </w:rPr>
              <w:t>репозитарієм</w:t>
            </w:r>
            <w:proofErr w:type="spellEnd"/>
            <w:r>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повинна мати повноваження на вжиття ряду заходів наглядового характеру, зокрема повноваження вимагати від торгового </w:t>
            </w:r>
            <w:proofErr w:type="spellStart"/>
            <w:r>
              <w:rPr>
                <w:rFonts w:ascii="Times New Roman" w:eastAsia="Times New Roman" w:hAnsi="Times New Roman" w:cs="Times New Roman"/>
                <w:sz w:val="27"/>
                <w:szCs w:val="27"/>
                <w:lang w:val="uk-UA"/>
              </w:rPr>
              <w:t>репозитарія</w:t>
            </w:r>
            <w:proofErr w:type="spellEnd"/>
            <w:r>
              <w:rPr>
                <w:rFonts w:ascii="Times New Roman" w:eastAsia="Times New Roman" w:hAnsi="Times New Roman" w:cs="Times New Roman"/>
                <w:sz w:val="27"/>
                <w:szCs w:val="27"/>
                <w:lang w:val="uk-UA"/>
              </w:rPr>
              <w:t xml:space="preserve"> усунення порушення або, як крайнього заходу, скасувати реєстрацію, якщо торговий </w:t>
            </w:r>
            <w:proofErr w:type="spellStart"/>
            <w:r>
              <w:rPr>
                <w:rFonts w:ascii="Times New Roman" w:eastAsia="Times New Roman" w:hAnsi="Times New Roman" w:cs="Times New Roman"/>
                <w:sz w:val="27"/>
                <w:szCs w:val="27"/>
                <w:lang w:val="uk-UA"/>
              </w:rPr>
              <w:t>репозитарій</w:t>
            </w:r>
            <w:proofErr w:type="spellEnd"/>
            <w:r>
              <w:rPr>
                <w:rFonts w:ascii="Times New Roman" w:eastAsia="Times New Roman" w:hAnsi="Times New Roman" w:cs="Times New Roman"/>
                <w:sz w:val="27"/>
                <w:szCs w:val="27"/>
                <w:lang w:val="uk-UA"/>
              </w:rPr>
              <w:t xml:space="preserve"> порушив цей регламент істотно або повторно. Заходи на</w:t>
            </w:r>
            <w:r w:rsidR="00E2145F">
              <w:rPr>
                <w:rFonts w:ascii="Times New Roman" w:eastAsia="Times New Roman" w:hAnsi="Times New Roman" w:cs="Times New Roman"/>
                <w:sz w:val="27"/>
                <w:szCs w:val="27"/>
                <w:lang w:val="uk-UA"/>
              </w:rPr>
              <w:t xml:space="preserve">глядового характеру повинні застосовуватися </w:t>
            </w:r>
            <w:r w:rsidR="00E2145F">
              <w:rPr>
                <w:rFonts w:ascii="Times New Roman" w:eastAsia="Times New Roman" w:hAnsi="Times New Roman" w:cs="Times New Roman"/>
                <w:sz w:val="27"/>
                <w:szCs w:val="27"/>
              </w:rPr>
              <w:t>ESMA</w:t>
            </w:r>
            <w:r w:rsidR="00E2145F">
              <w:rPr>
                <w:rFonts w:ascii="Times New Roman" w:eastAsia="Times New Roman" w:hAnsi="Times New Roman" w:cs="Times New Roman"/>
                <w:sz w:val="27"/>
                <w:szCs w:val="27"/>
                <w:lang w:val="uk-UA"/>
              </w:rPr>
              <w:t xml:space="preserve"> з урахуванням характеру і тяжкості порушення та з дотриманням принципу сумірності. Перш ніж ухвалити рішення про вжиття таких заходів, </w:t>
            </w:r>
            <w:r w:rsidR="00E2145F">
              <w:rPr>
                <w:rFonts w:ascii="Times New Roman" w:eastAsia="Times New Roman" w:hAnsi="Times New Roman" w:cs="Times New Roman"/>
                <w:sz w:val="27"/>
                <w:szCs w:val="27"/>
              </w:rPr>
              <w:t>ESMA</w:t>
            </w:r>
            <w:r w:rsidR="00E2145F">
              <w:rPr>
                <w:rFonts w:ascii="Times New Roman" w:eastAsia="Times New Roman" w:hAnsi="Times New Roman" w:cs="Times New Roman"/>
                <w:sz w:val="27"/>
                <w:szCs w:val="27"/>
                <w:lang w:val="uk-UA"/>
              </w:rPr>
              <w:t xml:space="preserve"> повинна надати особам, щодо яких розглядаються такі заходи, можливість викласти свою позицію, щоб були дотримані їхні права на захист.</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(89)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4D5848" w:rsidRDefault="00B46108" w:rsidP="004D5848">
            <w:pPr>
              <w:spacing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Важливо, щоб держави-члени </w:t>
            </w:r>
            <w:r w:rsidR="003D6B58">
              <w:rPr>
                <w:rFonts w:ascii="Times New Roman" w:eastAsia="Times New Roman" w:hAnsi="Times New Roman" w:cs="Times New Roman"/>
                <w:sz w:val="27"/>
                <w:szCs w:val="27"/>
                <w:lang w:val="uk-UA"/>
              </w:rPr>
              <w:t xml:space="preserve">Союзу </w:t>
            </w:r>
            <w:r>
              <w:rPr>
                <w:rFonts w:ascii="Times New Roman" w:eastAsia="Times New Roman" w:hAnsi="Times New Roman" w:cs="Times New Roman"/>
                <w:sz w:val="27"/>
                <w:szCs w:val="27"/>
                <w:lang w:val="uk-UA"/>
              </w:rPr>
              <w:t xml:space="preserve">та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при обробленні персональних даних захищали право фізичних осіб на таємницю особистого життя згідно з Директивою</w:t>
            </w:r>
            <w:r w:rsidR="00DE77B0" w:rsidRPr="00B46108">
              <w:rPr>
                <w:rFonts w:ascii="Times New Roman" w:eastAsia="Times New Roman" w:hAnsi="Times New Roman" w:cs="Times New Roman"/>
                <w:sz w:val="27"/>
                <w:szCs w:val="27"/>
                <w:lang w:val="ru-RU"/>
              </w:rPr>
              <w:t xml:space="preserve"> 95/46/</w:t>
            </w:r>
            <w:r w:rsidR="00DE77B0" w:rsidRPr="006279CF">
              <w:rPr>
                <w:rFonts w:ascii="Times New Roman" w:eastAsia="Times New Roman" w:hAnsi="Times New Roman" w:cs="Times New Roman"/>
                <w:sz w:val="27"/>
                <w:szCs w:val="27"/>
              </w:rPr>
              <w:t>EC</w:t>
            </w:r>
            <w:r w:rsidR="00DE77B0" w:rsidRPr="00B46108">
              <w:rPr>
                <w:rFonts w:ascii="Times New Roman" w:eastAsia="Times New Roman" w:hAnsi="Times New Roman" w:cs="Times New Roman"/>
                <w:sz w:val="27"/>
                <w:szCs w:val="27"/>
                <w:lang w:val="ru-RU"/>
              </w:rPr>
              <w:t xml:space="preserve"> </w:t>
            </w:r>
            <w:proofErr w:type="spellStart"/>
            <w:r w:rsidRPr="00B46108">
              <w:rPr>
                <w:rFonts w:ascii="Times New Roman" w:eastAsia="Times New Roman" w:hAnsi="Times New Roman" w:cs="Times New Roman"/>
                <w:sz w:val="27"/>
                <w:szCs w:val="27"/>
                <w:lang w:val="ru-RU"/>
              </w:rPr>
              <w:t>Європейського</w:t>
            </w:r>
            <w:proofErr w:type="spellEnd"/>
            <w:r w:rsidRPr="00B46108">
              <w:rPr>
                <w:rFonts w:ascii="Times New Roman" w:eastAsia="Times New Roman" w:hAnsi="Times New Roman" w:cs="Times New Roman"/>
                <w:sz w:val="27"/>
                <w:szCs w:val="27"/>
                <w:lang w:val="ru-RU"/>
              </w:rPr>
              <w:t xml:space="preserve"> Парламенту та Ради </w:t>
            </w:r>
            <w:r>
              <w:rPr>
                <w:rFonts w:ascii="Times New Roman" w:eastAsia="Times New Roman" w:hAnsi="Times New Roman" w:cs="Times New Roman"/>
                <w:sz w:val="27"/>
                <w:szCs w:val="27"/>
                <w:lang w:val="uk-UA"/>
              </w:rPr>
              <w:t>від 24 жовтня 1995 р. про захист осіб при обробленні</w:t>
            </w:r>
            <w:r w:rsidR="004D5848">
              <w:rPr>
                <w:rFonts w:ascii="Times New Roman" w:eastAsia="Times New Roman" w:hAnsi="Times New Roman" w:cs="Times New Roman"/>
                <w:sz w:val="27"/>
                <w:szCs w:val="27"/>
                <w:lang w:val="uk-UA"/>
              </w:rPr>
              <w:t xml:space="preserve"> персональних даних і про вільне переміщення</w:t>
            </w:r>
            <w:r>
              <w:rPr>
                <w:rFonts w:ascii="Times New Roman" w:eastAsia="Times New Roman" w:hAnsi="Times New Roman" w:cs="Times New Roman"/>
                <w:sz w:val="27"/>
                <w:szCs w:val="27"/>
                <w:lang w:val="uk-UA"/>
              </w:rPr>
              <w:t xml:space="preserve"> таких даних</w:t>
            </w:r>
            <w:hyperlink r:id="rId26" w:anchor="ntr22-L_2012201EN.01000101-E0022" w:history="1">
              <w:r w:rsidR="00DE77B0" w:rsidRPr="006279CF">
                <w:rPr>
                  <w:rFonts w:ascii="Times New Roman" w:eastAsia="Times New Roman" w:hAnsi="Times New Roman" w:cs="Times New Roman"/>
                  <w:sz w:val="27"/>
                  <w:szCs w:val="27"/>
                  <w:bdr w:val="none" w:sz="0" w:space="0" w:color="auto" w:frame="1"/>
                </w:rPr>
                <w:t> </w:t>
              </w:r>
              <w:r w:rsidR="00DE77B0" w:rsidRPr="00B46108">
                <w:rPr>
                  <w:rFonts w:ascii="Times New Roman" w:eastAsia="Times New Roman" w:hAnsi="Times New Roman" w:cs="Times New Roman"/>
                  <w:sz w:val="27"/>
                  <w:szCs w:val="27"/>
                  <w:bdr w:val="none" w:sz="0" w:space="0" w:color="auto" w:frame="1"/>
                  <w:lang w:val="ru-RU"/>
                </w:rPr>
                <w:t>(</w:t>
              </w:r>
              <w:r w:rsidR="00DE77B0" w:rsidRPr="00B46108">
                <w:rPr>
                  <w:rFonts w:ascii="Times New Roman" w:eastAsia="Times New Roman" w:hAnsi="Times New Roman" w:cs="Times New Roman"/>
                  <w:sz w:val="19"/>
                  <w:szCs w:val="19"/>
                  <w:bdr w:val="none" w:sz="0" w:space="0" w:color="auto" w:frame="1"/>
                  <w:vertAlign w:val="superscript"/>
                  <w:lang w:val="ru-RU"/>
                </w:rPr>
                <w:t>22</w:t>
              </w:r>
              <w:r w:rsidR="00DE77B0" w:rsidRPr="00B46108">
                <w:rPr>
                  <w:rFonts w:ascii="Times New Roman" w:eastAsia="Times New Roman" w:hAnsi="Times New Roman" w:cs="Times New Roman"/>
                  <w:sz w:val="27"/>
                  <w:szCs w:val="27"/>
                  <w:bdr w:val="none" w:sz="0" w:space="0" w:color="auto" w:frame="1"/>
                  <w:lang w:val="ru-RU"/>
                </w:rPr>
                <w:t>)</w:t>
              </w:r>
            </w:hyperlink>
            <w:r w:rsidR="00DE77B0"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і згідно з Регламентом</w:t>
            </w:r>
            <w:r w:rsidR="00DE77B0" w:rsidRPr="00B46108">
              <w:rPr>
                <w:rFonts w:ascii="Times New Roman" w:eastAsia="Times New Roman" w:hAnsi="Times New Roman" w:cs="Times New Roman"/>
                <w:sz w:val="27"/>
                <w:szCs w:val="27"/>
                <w:lang w:val="ru-RU"/>
              </w:rPr>
              <w:t xml:space="preserve"> (</w:t>
            </w:r>
            <w:r w:rsidR="00DE77B0" w:rsidRPr="006279CF">
              <w:rPr>
                <w:rFonts w:ascii="Times New Roman" w:eastAsia="Times New Roman" w:hAnsi="Times New Roman" w:cs="Times New Roman"/>
                <w:sz w:val="27"/>
                <w:szCs w:val="27"/>
              </w:rPr>
              <w:t>EC</w:t>
            </w:r>
            <w:r w:rsidR="00DE77B0" w:rsidRPr="00B46108">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 </w:t>
            </w:r>
            <w:r w:rsidR="00DE77B0" w:rsidRPr="00B46108">
              <w:rPr>
                <w:rFonts w:ascii="Times New Roman" w:eastAsia="Times New Roman" w:hAnsi="Times New Roman" w:cs="Times New Roman"/>
                <w:sz w:val="27"/>
                <w:szCs w:val="27"/>
                <w:lang w:val="ru-RU"/>
              </w:rPr>
              <w:t xml:space="preserve">45/2001 </w:t>
            </w:r>
            <w:proofErr w:type="spellStart"/>
            <w:r w:rsidRPr="00B46108">
              <w:rPr>
                <w:rFonts w:ascii="Times New Roman" w:eastAsia="Times New Roman" w:hAnsi="Times New Roman" w:cs="Times New Roman"/>
                <w:sz w:val="27"/>
                <w:szCs w:val="27"/>
                <w:lang w:val="ru-RU"/>
              </w:rPr>
              <w:t>Європейського</w:t>
            </w:r>
            <w:proofErr w:type="spellEnd"/>
            <w:r w:rsidRPr="00B46108">
              <w:rPr>
                <w:rFonts w:ascii="Times New Roman" w:eastAsia="Times New Roman" w:hAnsi="Times New Roman" w:cs="Times New Roman"/>
                <w:sz w:val="27"/>
                <w:szCs w:val="27"/>
                <w:lang w:val="ru-RU"/>
              </w:rPr>
              <w:t xml:space="preserve"> Парламенту та Ради</w:t>
            </w:r>
            <w:r w:rsidR="00DE77B0" w:rsidRPr="00B46108">
              <w:rPr>
                <w:rFonts w:ascii="Times New Roman" w:eastAsia="Times New Roman" w:hAnsi="Times New Roman" w:cs="Times New Roman"/>
                <w:sz w:val="27"/>
                <w:szCs w:val="27"/>
                <w:lang w:val="ru-RU"/>
              </w:rPr>
              <w:t xml:space="preserve"> </w:t>
            </w:r>
            <w:proofErr w:type="spellStart"/>
            <w:r>
              <w:rPr>
                <w:rFonts w:ascii="Times New Roman" w:eastAsia="Times New Roman" w:hAnsi="Times New Roman" w:cs="Times New Roman"/>
                <w:sz w:val="27"/>
                <w:szCs w:val="27"/>
                <w:lang w:val="ru-RU"/>
              </w:rPr>
              <w:t>від</w:t>
            </w:r>
            <w:proofErr w:type="spellEnd"/>
            <w:r>
              <w:rPr>
                <w:rFonts w:ascii="Times New Roman" w:eastAsia="Times New Roman" w:hAnsi="Times New Roman" w:cs="Times New Roman"/>
                <w:sz w:val="27"/>
                <w:szCs w:val="27"/>
                <w:lang w:val="ru-RU"/>
              </w:rPr>
              <w:t xml:space="preserve"> 18 </w:t>
            </w:r>
            <w:proofErr w:type="spellStart"/>
            <w:r>
              <w:rPr>
                <w:rFonts w:ascii="Times New Roman" w:eastAsia="Times New Roman" w:hAnsi="Times New Roman" w:cs="Times New Roman"/>
                <w:sz w:val="27"/>
                <w:szCs w:val="27"/>
                <w:lang w:val="ru-RU"/>
              </w:rPr>
              <w:t>грудня</w:t>
            </w:r>
            <w:proofErr w:type="spellEnd"/>
            <w:r>
              <w:rPr>
                <w:rFonts w:ascii="Times New Roman" w:eastAsia="Times New Roman" w:hAnsi="Times New Roman" w:cs="Times New Roman"/>
                <w:sz w:val="27"/>
                <w:szCs w:val="27"/>
                <w:lang w:val="ru-RU"/>
              </w:rPr>
              <w:t xml:space="preserve"> 2000 р. </w:t>
            </w:r>
            <w:r>
              <w:rPr>
                <w:rFonts w:ascii="Times New Roman" w:eastAsia="Times New Roman" w:hAnsi="Times New Roman" w:cs="Times New Roman"/>
                <w:sz w:val="27"/>
                <w:szCs w:val="27"/>
                <w:lang w:val="uk-UA"/>
              </w:rPr>
              <w:t xml:space="preserve">про захист осіб при обробленні персональних даних установами </w:t>
            </w:r>
            <w:r w:rsidR="004D45BD">
              <w:rPr>
                <w:rFonts w:ascii="Times New Roman" w:eastAsia="Times New Roman" w:hAnsi="Times New Roman" w:cs="Times New Roman"/>
                <w:sz w:val="27"/>
                <w:szCs w:val="27"/>
                <w:lang w:val="uk-UA"/>
              </w:rPr>
              <w:t>і органами Співтовари</w:t>
            </w:r>
            <w:r w:rsidR="004D5848">
              <w:rPr>
                <w:rFonts w:ascii="Times New Roman" w:eastAsia="Times New Roman" w:hAnsi="Times New Roman" w:cs="Times New Roman"/>
                <w:sz w:val="27"/>
                <w:szCs w:val="27"/>
                <w:lang w:val="uk-UA"/>
              </w:rPr>
              <w:t>ства та про вільне переміщення таких даних</w:t>
            </w:r>
            <w:hyperlink r:id="rId27" w:anchor="ntr23-L_2012201EN.01000101-E0023" w:history="1">
              <w:r w:rsidR="00DE77B0" w:rsidRPr="006279CF">
                <w:rPr>
                  <w:rFonts w:ascii="Times New Roman" w:eastAsia="Times New Roman" w:hAnsi="Times New Roman" w:cs="Times New Roman"/>
                  <w:sz w:val="27"/>
                  <w:szCs w:val="27"/>
                  <w:bdr w:val="none" w:sz="0" w:space="0" w:color="auto" w:frame="1"/>
                </w:rPr>
                <w:t> </w:t>
              </w:r>
              <w:r w:rsidR="00DE77B0" w:rsidRPr="004D5848">
                <w:rPr>
                  <w:rFonts w:ascii="Times New Roman" w:eastAsia="Times New Roman" w:hAnsi="Times New Roman" w:cs="Times New Roman"/>
                  <w:sz w:val="27"/>
                  <w:szCs w:val="27"/>
                  <w:bdr w:val="none" w:sz="0" w:space="0" w:color="auto" w:frame="1"/>
                  <w:lang w:val="ru-RU"/>
                </w:rPr>
                <w:t>(</w:t>
              </w:r>
              <w:r w:rsidR="00DE77B0" w:rsidRPr="004D5848">
                <w:rPr>
                  <w:rFonts w:ascii="Times New Roman" w:eastAsia="Times New Roman" w:hAnsi="Times New Roman" w:cs="Times New Roman"/>
                  <w:sz w:val="19"/>
                  <w:szCs w:val="19"/>
                  <w:bdr w:val="none" w:sz="0" w:space="0" w:color="auto" w:frame="1"/>
                  <w:vertAlign w:val="superscript"/>
                  <w:lang w:val="ru-RU"/>
                </w:rPr>
                <w:t>23</w:t>
              </w:r>
              <w:r w:rsidR="00DE77B0" w:rsidRPr="004D5848">
                <w:rPr>
                  <w:rFonts w:ascii="Times New Roman" w:eastAsia="Times New Roman" w:hAnsi="Times New Roman" w:cs="Times New Roman"/>
                  <w:sz w:val="27"/>
                  <w:szCs w:val="27"/>
                  <w:bdr w:val="none" w:sz="0" w:space="0" w:color="auto" w:frame="1"/>
                  <w:lang w:val="ru-RU"/>
                </w:rPr>
                <w:t>)</w:t>
              </w:r>
            </w:hyperlink>
            <w:r w:rsidR="00DE77B0" w:rsidRPr="004D5848">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(90)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CE67A9" w:rsidP="00DD234C">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Важливо забезпечити міжнародну конвергенцію вимог до ЦКА і торгових репозитаріїв. </w:t>
            </w:r>
            <w:r w:rsidR="00171B68">
              <w:rPr>
                <w:rFonts w:ascii="Times New Roman" w:eastAsia="Times New Roman" w:hAnsi="Times New Roman" w:cs="Times New Roman"/>
                <w:sz w:val="27"/>
                <w:szCs w:val="27"/>
                <w:lang w:val="uk-UA"/>
              </w:rPr>
              <w:t>Цей регламент відповідає існуючим рекомендаціям, розробленим Комітетом із платіжних і розрахункових систем</w:t>
            </w:r>
            <w:r w:rsidR="00171B68" w:rsidRPr="00171B68">
              <w:rPr>
                <w:rFonts w:ascii="Times New Roman" w:eastAsia="Times New Roman" w:hAnsi="Times New Roman" w:cs="Times New Roman"/>
                <w:sz w:val="27"/>
                <w:szCs w:val="27"/>
                <w:lang w:val="uk-UA"/>
              </w:rPr>
              <w:t xml:space="preserve"> </w:t>
            </w:r>
            <w:r w:rsidR="00DE77B0" w:rsidRPr="00171B68">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CPSS</w:t>
            </w:r>
            <w:r w:rsidR="00DE77B0" w:rsidRPr="00171B68">
              <w:rPr>
                <w:rFonts w:ascii="Times New Roman" w:eastAsia="Times New Roman" w:hAnsi="Times New Roman" w:cs="Times New Roman"/>
                <w:sz w:val="27"/>
                <w:szCs w:val="27"/>
                <w:lang w:val="uk-UA"/>
              </w:rPr>
              <w:t xml:space="preserve">) </w:t>
            </w:r>
            <w:r w:rsidR="00171B68">
              <w:rPr>
                <w:rFonts w:ascii="Times New Roman" w:eastAsia="Times New Roman" w:hAnsi="Times New Roman" w:cs="Times New Roman"/>
                <w:sz w:val="27"/>
                <w:szCs w:val="27"/>
                <w:lang w:val="uk-UA"/>
              </w:rPr>
              <w:t>та Міжнародною організацією комісій з цінних паперів</w:t>
            </w:r>
            <w:r w:rsidR="00171B68" w:rsidRPr="00171B68">
              <w:rPr>
                <w:rFonts w:ascii="Times New Roman" w:eastAsia="Times New Roman" w:hAnsi="Times New Roman" w:cs="Times New Roman"/>
                <w:sz w:val="27"/>
                <w:szCs w:val="27"/>
                <w:lang w:val="uk-UA"/>
              </w:rPr>
              <w:t xml:space="preserve"> </w:t>
            </w:r>
            <w:r w:rsidR="00DE77B0" w:rsidRPr="00171B68">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IOSCO</w:t>
            </w:r>
            <w:r w:rsidR="00FA28FA">
              <w:rPr>
                <w:rFonts w:ascii="Times New Roman" w:eastAsia="Times New Roman" w:hAnsi="Times New Roman" w:cs="Times New Roman"/>
                <w:sz w:val="27"/>
                <w:szCs w:val="27"/>
                <w:lang w:val="uk-UA"/>
              </w:rPr>
              <w:t>), з урахуванням того, що принципи</w:t>
            </w:r>
            <w:r w:rsidR="00DE77B0" w:rsidRPr="00FA28FA">
              <w:rPr>
                <w:rFonts w:ascii="Times New Roman" w:eastAsia="Times New Roman" w:hAnsi="Times New Roman" w:cs="Times New Roman"/>
                <w:sz w:val="27"/>
                <w:szCs w:val="27"/>
                <w:lang w:val="uk-UA"/>
              </w:rPr>
              <w:t xml:space="preserve"> </w:t>
            </w:r>
            <w:r w:rsidR="00DE77B0" w:rsidRPr="006279CF">
              <w:rPr>
                <w:rFonts w:ascii="Times New Roman" w:eastAsia="Times New Roman" w:hAnsi="Times New Roman" w:cs="Times New Roman"/>
                <w:sz w:val="27"/>
                <w:szCs w:val="27"/>
              </w:rPr>
              <w:t>CPSS</w:t>
            </w:r>
            <w:r w:rsidR="00DE77B0" w:rsidRPr="00FA28FA">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IOSCO</w:t>
            </w:r>
            <w:r w:rsidR="00DE77B0" w:rsidRPr="00FA28FA">
              <w:rPr>
                <w:rFonts w:ascii="Times New Roman" w:eastAsia="Times New Roman" w:hAnsi="Times New Roman" w:cs="Times New Roman"/>
                <w:sz w:val="27"/>
                <w:szCs w:val="27"/>
                <w:lang w:val="uk-UA"/>
              </w:rPr>
              <w:t xml:space="preserve"> </w:t>
            </w:r>
            <w:r w:rsidR="00FA28FA">
              <w:rPr>
                <w:rFonts w:ascii="Times New Roman" w:eastAsia="Times New Roman" w:hAnsi="Times New Roman" w:cs="Times New Roman"/>
                <w:sz w:val="27"/>
                <w:szCs w:val="27"/>
                <w:lang w:val="uk-UA"/>
              </w:rPr>
              <w:t xml:space="preserve">щодо інфраструктури фінансових ринків, зокрема ЦКА, були встановлені 16 квітня 2012 р. Ним створено рамки у масштабах Союзу, в яких ЦКА можуть безпечно працювати. </w:t>
            </w:r>
            <w:r w:rsidR="00FA28FA">
              <w:rPr>
                <w:rFonts w:ascii="Times New Roman" w:eastAsia="Times New Roman" w:hAnsi="Times New Roman" w:cs="Times New Roman"/>
                <w:sz w:val="27"/>
                <w:szCs w:val="27"/>
              </w:rPr>
              <w:t>ESMA</w:t>
            </w:r>
            <w:r w:rsidR="00FA28FA">
              <w:rPr>
                <w:rFonts w:ascii="Times New Roman" w:eastAsia="Times New Roman" w:hAnsi="Times New Roman" w:cs="Times New Roman"/>
                <w:sz w:val="27"/>
                <w:szCs w:val="27"/>
                <w:lang w:val="uk-UA"/>
              </w:rPr>
              <w:t xml:space="preserve"> повинна </w:t>
            </w:r>
            <w:r w:rsidR="00DD234C">
              <w:rPr>
                <w:rFonts w:ascii="Times New Roman" w:eastAsia="Times New Roman" w:hAnsi="Times New Roman" w:cs="Times New Roman"/>
                <w:sz w:val="27"/>
                <w:szCs w:val="27"/>
                <w:lang w:val="uk-UA"/>
              </w:rPr>
              <w:t xml:space="preserve">враховувати ці чинні стандарти та їхню майбутню еволюцію, розробляючи або пропонуючи перегляд регуляторних технічних стандартів, а також настанов і рекомендацій, передбачених цим </w:t>
            </w:r>
            <w:r w:rsidR="00DD234C">
              <w:rPr>
                <w:rFonts w:ascii="Times New Roman" w:eastAsia="Times New Roman" w:hAnsi="Times New Roman" w:cs="Times New Roman"/>
                <w:sz w:val="27"/>
                <w:szCs w:val="27"/>
                <w:lang w:val="uk-UA"/>
              </w:rPr>
              <w:lastRenderedPageBreak/>
              <w:t>регламентом.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(91)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4260F" w:rsidRDefault="005E2916" w:rsidP="00C85ACE">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Згідно зі ст. 290 Договору про функціонування Європейського Союзу (ДФЄС) Комісії повинні делегуватися повноваження на прийняття актів</w:t>
            </w:r>
            <w:r w:rsidR="006D5E24">
              <w:rPr>
                <w:rFonts w:ascii="Times New Roman" w:eastAsia="Times New Roman" w:hAnsi="Times New Roman" w:cs="Times New Roman"/>
                <w:sz w:val="27"/>
                <w:szCs w:val="27"/>
                <w:lang w:val="uk-UA"/>
              </w:rPr>
              <w:t xml:space="preserve"> щодо внесення змін до переліку суб’єктів, звільнених від дії цього регламенту</w:t>
            </w:r>
            <w:r w:rsidR="00422B19">
              <w:rPr>
                <w:rFonts w:ascii="Times New Roman" w:eastAsia="Times New Roman" w:hAnsi="Times New Roman" w:cs="Times New Roman"/>
                <w:sz w:val="27"/>
                <w:szCs w:val="27"/>
                <w:lang w:val="uk-UA"/>
              </w:rPr>
              <w:t>;</w:t>
            </w:r>
            <w:r w:rsidR="006D5E24">
              <w:rPr>
                <w:rFonts w:ascii="Times New Roman" w:eastAsia="Times New Roman" w:hAnsi="Times New Roman" w:cs="Times New Roman"/>
                <w:sz w:val="27"/>
                <w:szCs w:val="27"/>
                <w:lang w:val="uk-UA"/>
              </w:rPr>
              <w:t xml:space="preserve"> додаткових правил процедури стосовно накладення разових штрафів </w:t>
            </w:r>
            <w:r w:rsidR="00C85ACE">
              <w:rPr>
                <w:rFonts w:ascii="Times New Roman" w:eastAsia="Times New Roman" w:hAnsi="Times New Roman" w:cs="Times New Roman"/>
                <w:sz w:val="27"/>
                <w:szCs w:val="27"/>
                <w:lang w:val="uk-UA"/>
              </w:rPr>
              <w:t>і</w:t>
            </w:r>
            <w:r w:rsidR="006D5E24">
              <w:rPr>
                <w:rFonts w:ascii="Times New Roman" w:eastAsia="Times New Roman" w:hAnsi="Times New Roman" w:cs="Times New Roman"/>
                <w:sz w:val="27"/>
                <w:szCs w:val="27"/>
                <w:lang w:val="uk-UA"/>
              </w:rPr>
              <w:t xml:space="preserve"> </w:t>
            </w:r>
            <w:r w:rsidR="00422B19">
              <w:rPr>
                <w:rFonts w:ascii="Times New Roman" w:eastAsia="Times New Roman" w:hAnsi="Times New Roman" w:cs="Times New Roman"/>
                <w:sz w:val="27"/>
                <w:szCs w:val="27"/>
                <w:lang w:val="uk-UA"/>
              </w:rPr>
              <w:t>п</w:t>
            </w:r>
            <w:r w:rsidR="006D5E24">
              <w:rPr>
                <w:rFonts w:ascii="Times New Roman" w:eastAsia="Times New Roman" w:hAnsi="Times New Roman" w:cs="Times New Roman"/>
                <w:sz w:val="27"/>
                <w:szCs w:val="27"/>
                <w:lang w:val="uk-UA"/>
              </w:rPr>
              <w:t xml:space="preserve">еріодичних штрафних платежів, включаючи положення щодо прав на захист, </w:t>
            </w:r>
            <w:r w:rsidR="00422B19">
              <w:rPr>
                <w:rFonts w:ascii="Times New Roman" w:eastAsia="Times New Roman" w:hAnsi="Times New Roman" w:cs="Times New Roman"/>
                <w:sz w:val="27"/>
                <w:szCs w:val="27"/>
                <w:lang w:val="uk-UA"/>
              </w:rPr>
              <w:t xml:space="preserve">строків, стягування разових штрафів </w:t>
            </w:r>
            <w:r w:rsidR="00C85ACE">
              <w:rPr>
                <w:rFonts w:ascii="Times New Roman" w:eastAsia="Times New Roman" w:hAnsi="Times New Roman" w:cs="Times New Roman"/>
                <w:sz w:val="27"/>
                <w:szCs w:val="27"/>
                <w:lang w:val="uk-UA"/>
              </w:rPr>
              <w:t>і</w:t>
            </w:r>
            <w:r w:rsidR="00422B19">
              <w:rPr>
                <w:rFonts w:ascii="Times New Roman" w:eastAsia="Times New Roman" w:hAnsi="Times New Roman" w:cs="Times New Roman"/>
                <w:sz w:val="27"/>
                <w:szCs w:val="27"/>
                <w:lang w:val="uk-UA"/>
              </w:rPr>
              <w:t xml:space="preserve"> періодичних штрафних платежів та позовної давності </w:t>
            </w:r>
            <w:r w:rsidR="00C85ACE">
              <w:rPr>
                <w:rFonts w:ascii="Times New Roman" w:eastAsia="Times New Roman" w:hAnsi="Times New Roman" w:cs="Times New Roman"/>
                <w:sz w:val="27"/>
                <w:szCs w:val="27"/>
                <w:lang w:val="uk-UA"/>
              </w:rPr>
              <w:t>щодо накладення і забезпечення стягування таких штрафів і платежів; подальшого визначення виду комісійних, питань, за які належать сплачувати комісійні, розміру комісійних і способу їхньої сплати. Особливо важливо, щоб Комісія у процесі підготовчої роботи проводила належні консультації, зокрема на рівні експертів. Готуючи і оформлюючи делеговані акти, Комісія повинна забезпечити одночасну, своєчасну та належну передачу відповідних документів Європейському Парламентові та Раді.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(92)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372FEE" w:rsidRDefault="00716244" w:rsidP="006D1914">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Для того, щоб забезпечити послідовну гармонізацію, Комісії слід делегувати повноваження на прийняття проектів регуляторних технічних стандартів ЄНО згідно зі ст. 10-14 Регламентів </w:t>
            </w:r>
            <w:r w:rsidR="00DE77B0" w:rsidRPr="006279CF">
              <w:rPr>
                <w:rFonts w:ascii="Times New Roman" w:eastAsia="Times New Roman" w:hAnsi="Times New Roman" w:cs="Times New Roman"/>
                <w:sz w:val="27"/>
                <w:szCs w:val="27"/>
              </w:rPr>
              <w:t xml:space="preserve">(EU) </w:t>
            </w:r>
            <w:r>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 xml:space="preserve"> 1093/2010, (EU) </w:t>
            </w:r>
            <w:r>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 xml:space="preserve"> 1094/2010 </w:t>
            </w:r>
            <w:r>
              <w:rPr>
                <w:rFonts w:ascii="Times New Roman" w:eastAsia="Times New Roman" w:hAnsi="Times New Roman" w:cs="Times New Roman"/>
                <w:sz w:val="27"/>
                <w:szCs w:val="27"/>
                <w:lang w:val="uk-UA"/>
              </w:rPr>
              <w:t>та</w:t>
            </w:r>
            <w:r w:rsidR="00DE77B0" w:rsidRPr="006279CF">
              <w:rPr>
                <w:rFonts w:ascii="Times New Roman" w:eastAsia="Times New Roman" w:hAnsi="Times New Roman" w:cs="Times New Roman"/>
                <w:sz w:val="27"/>
                <w:szCs w:val="27"/>
              </w:rPr>
              <w:t xml:space="preserve"> (EU) </w:t>
            </w:r>
            <w:r>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 xml:space="preserve"> 1095/2010 </w:t>
            </w:r>
            <w:r>
              <w:rPr>
                <w:rFonts w:ascii="Times New Roman" w:eastAsia="Times New Roman" w:hAnsi="Times New Roman" w:cs="Times New Roman"/>
                <w:sz w:val="27"/>
                <w:szCs w:val="27"/>
                <w:lang w:val="uk-UA"/>
              </w:rPr>
              <w:t xml:space="preserve">для застосування в цілях регламенту </w:t>
            </w:r>
            <w:proofErr w:type="spellStart"/>
            <w:r>
              <w:rPr>
                <w:rFonts w:ascii="Times New Roman" w:eastAsia="Times New Roman" w:hAnsi="Times New Roman" w:cs="Times New Roman"/>
                <w:sz w:val="27"/>
                <w:szCs w:val="27"/>
                <w:lang w:val="uk-UA"/>
              </w:rPr>
              <w:t>пп</w:t>
            </w:r>
            <w:proofErr w:type="spellEnd"/>
            <w:r>
              <w:rPr>
                <w:rFonts w:ascii="Times New Roman" w:eastAsia="Times New Roman" w:hAnsi="Times New Roman" w:cs="Times New Roman"/>
                <w:sz w:val="27"/>
                <w:szCs w:val="27"/>
                <w:lang w:val="uk-UA"/>
              </w:rPr>
              <w:t>. (4)-(10) розділу С Додатку І до Директиви</w:t>
            </w:r>
            <w:r w:rsidRPr="00CE17A5">
              <w:rPr>
                <w:rFonts w:ascii="Times New Roman" w:eastAsia="Times New Roman" w:hAnsi="Times New Roman" w:cs="Times New Roman"/>
                <w:sz w:val="27"/>
                <w:szCs w:val="27"/>
                <w:lang w:val="uk-UA"/>
              </w:rPr>
              <w:t xml:space="preserve"> 2004/39/</w:t>
            </w:r>
            <w:r>
              <w:rPr>
                <w:rFonts w:ascii="Times New Roman" w:eastAsia="Times New Roman" w:hAnsi="Times New Roman" w:cs="Times New Roman"/>
                <w:sz w:val="27"/>
                <w:szCs w:val="27"/>
              </w:rPr>
              <w:t>EC</w:t>
            </w:r>
            <w:r w:rsidRPr="00CE17A5">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та з метою</w:t>
            </w:r>
            <w:r w:rsidR="00CE17A5">
              <w:rPr>
                <w:rFonts w:ascii="Times New Roman" w:eastAsia="Times New Roman" w:hAnsi="Times New Roman" w:cs="Times New Roman"/>
                <w:sz w:val="27"/>
                <w:szCs w:val="27"/>
                <w:lang w:val="uk-UA"/>
              </w:rPr>
              <w:t xml:space="preserve"> зазначення: контрактів на позабіржові деривативи, які вважаються такими, </w:t>
            </w:r>
            <w:r w:rsidR="006D1914">
              <w:rPr>
                <w:rFonts w:ascii="Times New Roman" w:eastAsia="Times New Roman" w:hAnsi="Times New Roman" w:cs="Times New Roman"/>
                <w:sz w:val="27"/>
                <w:szCs w:val="27"/>
                <w:lang w:val="uk-UA"/>
              </w:rPr>
              <w:t xml:space="preserve">що мають безпосередній, істотний та передбачуваний вплив у Союзі, або випадків, у яких необхідно або доречно запобігти ухиленню від виконання будь-якого положення цього регламенту; видів непрямих договірних </w:t>
            </w:r>
            <w:r w:rsidR="00CE17A5">
              <w:rPr>
                <w:rFonts w:ascii="Times New Roman" w:eastAsia="Times New Roman" w:hAnsi="Times New Roman" w:cs="Times New Roman"/>
                <w:sz w:val="27"/>
                <w:szCs w:val="27"/>
                <w:lang w:val="uk-UA"/>
              </w:rPr>
              <w:t xml:space="preserve">домовленостей, які відповідають умовам, викладеним у цьому регламенті; класів контрактів на позабіржові деривативи, які повинні підпадати </w:t>
            </w:r>
            <w:proofErr w:type="spellStart"/>
            <w:r w:rsidR="00CE17A5">
              <w:rPr>
                <w:rFonts w:ascii="Times New Roman" w:eastAsia="Times New Roman" w:hAnsi="Times New Roman" w:cs="Times New Roman"/>
                <w:sz w:val="27"/>
                <w:szCs w:val="27"/>
                <w:lang w:val="uk-UA"/>
              </w:rPr>
              <w:t>под</w:t>
            </w:r>
            <w:proofErr w:type="spellEnd"/>
            <w:r w:rsidR="00CE17A5">
              <w:rPr>
                <w:rFonts w:ascii="Times New Roman" w:eastAsia="Times New Roman" w:hAnsi="Times New Roman" w:cs="Times New Roman"/>
                <w:sz w:val="27"/>
                <w:szCs w:val="27"/>
                <w:lang w:val="uk-UA"/>
              </w:rPr>
              <w:t xml:space="preserve"> зобов’язання щодо клірингу, дати або дат, з якої чи яких це зобов’язання </w:t>
            </w:r>
            <w:r w:rsidR="00E76FA5">
              <w:rPr>
                <w:rFonts w:ascii="Times New Roman" w:eastAsia="Times New Roman" w:hAnsi="Times New Roman" w:cs="Times New Roman"/>
                <w:sz w:val="27"/>
                <w:szCs w:val="27"/>
                <w:lang w:val="uk-UA"/>
              </w:rPr>
              <w:t xml:space="preserve">має набрати чинність, включаючи поетапне запровадження, категорій контрагентів, на які поширюється зобов’язання щодо клірингу, і мінімального залишкового строку погашення контрактів на позабіржові деривативи, укладених або переоформлених до дати набрання чинності зобов’язанням щодо клірингу; відомостей, що мають бути включені у повідомлення компетентного органу до </w:t>
            </w:r>
            <w:r w:rsidR="00E76FA5">
              <w:rPr>
                <w:rFonts w:ascii="Times New Roman" w:eastAsia="Times New Roman" w:hAnsi="Times New Roman" w:cs="Times New Roman"/>
                <w:sz w:val="27"/>
                <w:szCs w:val="27"/>
              </w:rPr>
              <w:t>ESMA</w:t>
            </w:r>
            <w:r w:rsidR="00E76FA5">
              <w:rPr>
                <w:rFonts w:ascii="Times New Roman" w:eastAsia="Times New Roman" w:hAnsi="Times New Roman" w:cs="Times New Roman"/>
                <w:sz w:val="27"/>
                <w:szCs w:val="27"/>
                <w:lang w:val="uk-UA"/>
              </w:rPr>
              <w:t xml:space="preserve"> про надання ЦКА повноважень на </w:t>
            </w:r>
            <w:r w:rsidR="004305F2">
              <w:rPr>
                <w:rFonts w:ascii="Times New Roman" w:eastAsia="Times New Roman" w:hAnsi="Times New Roman" w:cs="Times New Roman"/>
                <w:sz w:val="27"/>
                <w:szCs w:val="27"/>
                <w:lang w:val="uk-UA"/>
              </w:rPr>
              <w:t xml:space="preserve">кліринг певного класу контрактів на позабіржові деривативи; конкретних класів контрактів на позабіржові деривативи, ступеню стандартизації договірних умов і робочих процесів, обсягу та ліквідності, наявності правдивої, достовірної та загальноприйнятої інформації про ціни; відомостей, що мають бути включені </w:t>
            </w:r>
            <w:r w:rsidR="006D08AA">
              <w:rPr>
                <w:rFonts w:ascii="Times New Roman" w:eastAsia="Times New Roman" w:hAnsi="Times New Roman" w:cs="Times New Roman"/>
                <w:sz w:val="27"/>
                <w:szCs w:val="27"/>
              </w:rPr>
              <w:t>ESMA</w:t>
            </w:r>
            <w:r w:rsidR="006D08AA">
              <w:rPr>
                <w:rFonts w:ascii="Times New Roman" w:eastAsia="Times New Roman" w:hAnsi="Times New Roman" w:cs="Times New Roman"/>
                <w:sz w:val="27"/>
                <w:szCs w:val="27"/>
                <w:lang w:val="uk-UA"/>
              </w:rPr>
              <w:t xml:space="preserve"> у свій реєстр класів контрактів на позабіржові деривативи, які підпадають під зобов’язання щодо клірингу; деталей та виду звітів про різні класи </w:t>
            </w:r>
            <w:r w:rsidR="006D08AA">
              <w:rPr>
                <w:rFonts w:ascii="Times New Roman" w:eastAsia="Times New Roman" w:hAnsi="Times New Roman" w:cs="Times New Roman"/>
                <w:sz w:val="27"/>
                <w:szCs w:val="27"/>
                <w:lang w:val="uk-UA"/>
              </w:rPr>
              <w:lastRenderedPageBreak/>
              <w:t>деривативів;</w:t>
            </w:r>
            <w:r w:rsidR="003E728C">
              <w:rPr>
                <w:rFonts w:ascii="Times New Roman" w:eastAsia="Times New Roman" w:hAnsi="Times New Roman" w:cs="Times New Roman"/>
                <w:sz w:val="27"/>
                <w:szCs w:val="27"/>
                <w:lang w:val="uk-UA"/>
              </w:rPr>
              <w:t xml:space="preserve"> критеріїв визначення того, які контракти на позабіржові деривативи є </w:t>
            </w:r>
            <w:r w:rsidR="00A6618E">
              <w:rPr>
                <w:rFonts w:ascii="Times New Roman" w:eastAsia="Times New Roman" w:hAnsi="Times New Roman" w:cs="Times New Roman"/>
                <w:sz w:val="27"/>
                <w:szCs w:val="27"/>
                <w:lang w:val="uk-UA"/>
              </w:rPr>
              <w:t>об’єктивно</w:t>
            </w:r>
            <w:r w:rsidR="003E728C">
              <w:rPr>
                <w:rFonts w:ascii="Times New Roman" w:eastAsia="Times New Roman" w:hAnsi="Times New Roman" w:cs="Times New Roman"/>
                <w:sz w:val="27"/>
                <w:szCs w:val="27"/>
                <w:lang w:val="uk-UA"/>
              </w:rPr>
              <w:t xml:space="preserve"> вимірними </w:t>
            </w:r>
            <w:r w:rsidR="00A6618E">
              <w:rPr>
                <w:rFonts w:ascii="Times New Roman" w:eastAsia="Times New Roman" w:hAnsi="Times New Roman" w:cs="Times New Roman"/>
                <w:sz w:val="27"/>
                <w:szCs w:val="27"/>
                <w:lang w:val="uk-UA"/>
              </w:rPr>
              <w:t xml:space="preserve">як такі, що </w:t>
            </w:r>
            <w:r w:rsidR="00B152F6">
              <w:rPr>
                <w:rFonts w:ascii="Times New Roman" w:eastAsia="Times New Roman" w:hAnsi="Times New Roman" w:cs="Times New Roman"/>
                <w:sz w:val="27"/>
                <w:szCs w:val="27"/>
                <w:lang w:val="uk-UA"/>
              </w:rPr>
              <w:t xml:space="preserve">зменшують ризики, безпосередньо пов'язані з комерційною чи </w:t>
            </w:r>
            <w:proofErr w:type="spellStart"/>
            <w:r w:rsidR="00B152F6">
              <w:rPr>
                <w:rFonts w:ascii="Times New Roman" w:eastAsia="Times New Roman" w:hAnsi="Times New Roman" w:cs="Times New Roman"/>
                <w:sz w:val="27"/>
                <w:szCs w:val="27"/>
                <w:lang w:val="uk-UA"/>
              </w:rPr>
              <w:t>казначейсько</w:t>
            </w:r>
            <w:proofErr w:type="spellEnd"/>
            <w:r w:rsidR="00B152F6">
              <w:rPr>
                <w:rFonts w:ascii="Times New Roman" w:eastAsia="Times New Roman" w:hAnsi="Times New Roman" w:cs="Times New Roman"/>
                <w:sz w:val="27"/>
                <w:szCs w:val="27"/>
                <w:lang w:val="uk-UA"/>
              </w:rPr>
              <w:t>-фінансовою діяльністю, та величин клірингових порогів, процедур і механізмів щодо методів зменшення ризиків щодо контрактів на позабіржові дериватив, кліринг яких не проводиться через ЦКА; процедур управління ризиками, включаючи</w:t>
            </w:r>
            <w:r w:rsidR="00033EE6">
              <w:rPr>
                <w:rFonts w:ascii="Times New Roman" w:eastAsia="Times New Roman" w:hAnsi="Times New Roman" w:cs="Times New Roman"/>
                <w:sz w:val="27"/>
                <w:szCs w:val="27"/>
                <w:lang w:val="uk-UA"/>
              </w:rPr>
              <w:t xml:space="preserve"> потрібні рівні та вид забезпечення та угод про відокремлення і потрібний </w:t>
            </w:r>
            <w:r w:rsidR="00780800">
              <w:rPr>
                <w:rFonts w:ascii="Times New Roman" w:eastAsia="Times New Roman" w:hAnsi="Times New Roman" w:cs="Times New Roman"/>
                <w:sz w:val="27"/>
                <w:szCs w:val="27"/>
                <w:lang w:val="uk-UA"/>
              </w:rPr>
              <w:t>обсяг капіталу; поняття фрагментації ліквідності; вимог щодо капіталу, нерозподіленого прибутку і резервів ЦКА; мінімального змісту правил і процедур управління ЦКА; відомостей про документацію та інформацію, що її мають вести ЦКА; мінімального змісту і вимог до політики ЦКА щодо забезпечення безперервності діяльності та їхніх планів дій на випадок надзвичайних ситуацій;</w:t>
            </w:r>
            <w:r w:rsidR="00516FAA">
              <w:rPr>
                <w:rFonts w:ascii="Times New Roman" w:eastAsia="Times New Roman" w:hAnsi="Times New Roman" w:cs="Times New Roman"/>
                <w:sz w:val="27"/>
                <w:szCs w:val="27"/>
                <w:lang w:val="uk-UA"/>
              </w:rPr>
              <w:t xml:space="preserve"> відповідної відсоткової частки та строків періоду ліквідації та розрахунку історичної </w:t>
            </w:r>
            <w:proofErr w:type="spellStart"/>
            <w:r w:rsidR="00516FAA">
              <w:rPr>
                <w:rFonts w:ascii="Times New Roman" w:eastAsia="Times New Roman" w:hAnsi="Times New Roman" w:cs="Times New Roman"/>
                <w:sz w:val="27"/>
                <w:szCs w:val="27"/>
                <w:lang w:val="uk-UA"/>
              </w:rPr>
              <w:t>волатильності</w:t>
            </w:r>
            <w:proofErr w:type="spellEnd"/>
            <w:r w:rsidR="00516FAA">
              <w:rPr>
                <w:rFonts w:ascii="Times New Roman" w:eastAsia="Times New Roman" w:hAnsi="Times New Roman" w:cs="Times New Roman"/>
                <w:sz w:val="27"/>
                <w:szCs w:val="27"/>
                <w:lang w:val="uk-UA"/>
              </w:rPr>
              <w:t xml:space="preserve"> щодо різних класів фінансових інструментів з урахуванням задачі обмеження </w:t>
            </w:r>
            <w:proofErr w:type="spellStart"/>
            <w:r w:rsidR="00516FAA">
              <w:rPr>
                <w:rFonts w:ascii="Times New Roman" w:eastAsia="Times New Roman" w:hAnsi="Times New Roman" w:cs="Times New Roman"/>
                <w:sz w:val="27"/>
                <w:szCs w:val="27"/>
                <w:lang w:val="uk-UA"/>
              </w:rPr>
              <w:t>проциклічності</w:t>
            </w:r>
            <w:proofErr w:type="spellEnd"/>
            <w:r w:rsidR="00516FAA">
              <w:rPr>
                <w:rFonts w:ascii="Times New Roman" w:eastAsia="Times New Roman" w:hAnsi="Times New Roman" w:cs="Times New Roman"/>
                <w:sz w:val="27"/>
                <w:szCs w:val="27"/>
                <w:lang w:val="uk-UA"/>
              </w:rPr>
              <w:t xml:space="preserve"> та умов, за яких можна запровадити практику портфельного маржування; </w:t>
            </w:r>
            <w:r w:rsidR="00372FEE">
              <w:rPr>
                <w:rFonts w:ascii="Times New Roman" w:eastAsia="Times New Roman" w:hAnsi="Times New Roman" w:cs="Times New Roman"/>
                <w:sz w:val="27"/>
                <w:szCs w:val="27"/>
                <w:lang w:val="uk-UA"/>
              </w:rPr>
              <w:t xml:space="preserve">рамок для визначення крайніх, але ймовірних ринкових умов, які слід використовувати при визначенні розміру гарантійного фонду і ресурсів ЦКА; методики розрахунку і підтримання обсягу власних коштів ЦКА; типу забезпечення, який можна вважати високоліквідним, як-от грошові кошти, золото, державні та високоякісні корпоративні облігації, забезпечені облігації, а також дисконтів та умов, за яких гарантії комерційних банків можна приймати як забезпечення; фінансових інструментів, які </w:t>
            </w:r>
            <w:r w:rsidR="003E1F8C">
              <w:rPr>
                <w:rFonts w:ascii="Times New Roman" w:eastAsia="Times New Roman" w:hAnsi="Times New Roman" w:cs="Times New Roman"/>
                <w:sz w:val="27"/>
                <w:szCs w:val="27"/>
                <w:lang w:val="uk-UA"/>
              </w:rPr>
              <w:t xml:space="preserve">можна вважати високоліквідними й такими, що несуть у себе мінімальний кредитний та ринковий ризик, угод із високим рівнем забезпеченості і меж концентрації; виду стрес-тестів, що мають проводитися ЦКА для різних класів фінансових інструментів і портфелів, залучення </w:t>
            </w:r>
            <w:r w:rsidR="004C1630">
              <w:rPr>
                <w:rFonts w:ascii="Times New Roman" w:eastAsia="Times New Roman" w:hAnsi="Times New Roman" w:cs="Times New Roman"/>
                <w:sz w:val="27"/>
                <w:szCs w:val="27"/>
                <w:lang w:val="uk-UA"/>
              </w:rPr>
              <w:t xml:space="preserve">учасників клірингу та інших сторін до цих тестів, частоти та строків проведення тестів, ключової інформації, яку ЦКА має розкрити щодо своєї моделі управління ризиками та припущень, прийнятих для проведення стрес-тестів; деталей заяв торгових репозитаріїв про реєстрацію в </w:t>
            </w:r>
            <w:r w:rsidR="004C1630">
              <w:rPr>
                <w:rFonts w:ascii="Times New Roman" w:eastAsia="Times New Roman" w:hAnsi="Times New Roman" w:cs="Times New Roman"/>
                <w:sz w:val="27"/>
                <w:szCs w:val="27"/>
              </w:rPr>
              <w:t>ESMA</w:t>
            </w:r>
            <w:r w:rsidR="004C1630">
              <w:rPr>
                <w:rFonts w:ascii="Times New Roman" w:eastAsia="Times New Roman" w:hAnsi="Times New Roman" w:cs="Times New Roman"/>
                <w:sz w:val="27"/>
                <w:szCs w:val="27"/>
                <w:lang w:val="uk-UA"/>
              </w:rPr>
              <w:t xml:space="preserve">; частоти та ступеню деталізації при розкритті торговими </w:t>
            </w:r>
            <w:proofErr w:type="spellStart"/>
            <w:r w:rsidR="004C1630">
              <w:rPr>
                <w:rFonts w:ascii="Times New Roman" w:eastAsia="Times New Roman" w:hAnsi="Times New Roman" w:cs="Times New Roman"/>
                <w:sz w:val="27"/>
                <w:szCs w:val="27"/>
                <w:lang w:val="uk-UA"/>
              </w:rPr>
              <w:t>репозитаріями</w:t>
            </w:r>
            <w:proofErr w:type="spellEnd"/>
            <w:r w:rsidR="004C1630">
              <w:rPr>
                <w:rFonts w:ascii="Times New Roman" w:eastAsia="Times New Roman" w:hAnsi="Times New Roman" w:cs="Times New Roman"/>
                <w:sz w:val="27"/>
                <w:szCs w:val="27"/>
                <w:lang w:val="uk-UA"/>
              </w:rPr>
              <w:t xml:space="preserve"> інформації </w:t>
            </w:r>
            <w:r w:rsidR="007C2907">
              <w:rPr>
                <w:rFonts w:ascii="Times New Roman" w:eastAsia="Times New Roman" w:hAnsi="Times New Roman" w:cs="Times New Roman"/>
                <w:sz w:val="27"/>
                <w:szCs w:val="27"/>
                <w:lang w:val="uk-UA"/>
              </w:rPr>
              <w:t xml:space="preserve">стосовно сукупних позицій по класах контрактів на позабіржові деривативи; операційних стандартів, потрібних для укрупнення та порівняння даних по </w:t>
            </w:r>
            <w:proofErr w:type="spellStart"/>
            <w:r w:rsidR="007C2907">
              <w:rPr>
                <w:rFonts w:ascii="Times New Roman" w:eastAsia="Times New Roman" w:hAnsi="Times New Roman" w:cs="Times New Roman"/>
                <w:sz w:val="27"/>
                <w:szCs w:val="27"/>
                <w:lang w:val="uk-UA"/>
              </w:rPr>
              <w:t>репозитаріях</w:t>
            </w:r>
            <w:proofErr w:type="spellEnd"/>
            <w:r w:rsidR="007C2907">
              <w:rPr>
                <w:rFonts w:ascii="Times New Roman" w:eastAsia="Times New Roman" w:hAnsi="Times New Roman" w:cs="Times New Roman"/>
                <w:sz w:val="27"/>
                <w:szCs w:val="27"/>
                <w:lang w:val="uk-UA"/>
              </w:rPr>
              <w:t>.</w:t>
            </w:r>
          </w:p>
        </w:tc>
      </w:tr>
    </w:tbl>
    <w:p w:rsidR="00DE77B0" w:rsidRPr="00372FEE" w:rsidRDefault="00DE77B0" w:rsidP="00187079">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372FEE" w:rsidRDefault="00DE77B0" w:rsidP="00187079">
            <w:pPr>
              <w:spacing w:before="120" w:after="0" w:line="240" w:lineRule="auto"/>
              <w:jc w:val="both"/>
              <w:textAlignment w:val="baseline"/>
              <w:rPr>
                <w:rFonts w:ascii="Times New Roman" w:eastAsia="Times New Roman" w:hAnsi="Times New Roman" w:cs="Times New Roman"/>
                <w:sz w:val="27"/>
                <w:szCs w:val="27"/>
                <w:lang w:val="uk-UA"/>
              </w:rPr>
            </w:pPr>
            <w:r w:rsidRPr="00372FEE">
              <w:rPr>
                <w:rFonts w:ascii="Times New Roman" w:eastAsia="Times New Roman" w:hAnsi="Times New Roman" w:cs="Times New Roman"/>
                <w:sz w:val="27"/>
                <w:szCs w:val="27"/>
                <w:lang w:val="uk-UA"/>
              </w:rPr>
              <w:t>(93)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372FEE" w:rsidRDefault="0064260F" w:rsidP="006F6D80">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Будь-яке зобов’язання, встановлене цим регламентом, яке має далі бути розкрито за допомогою делегованих або </w:t>
            </w:r>
            <w:r w:rsidR="006F6D80">
              <w:rPr>
                <w:rFonts w:ascii="Times New Roman" w:eastAsia="Times New Roman" w:hAnsi="Times New Roman" w:cs="Times New Roman"/>
                <w:sz w:val="27"/>
                <w:szCs w:val="27"/>
                <w:lang w:val="uk-UA"/>
              </w:rPr>
              <w:t>виконавчих актів, прийнятих згідно зі ст. 290 або 291 ТФЄС, слід розуміти як чинне тільки з тієї дати, з якої набирають чинності ці акти.</w:t>
            </w:r>
          </w:p>
        </w:tc>
      </w:tr>
    </w:tbl>
    <w:p w:rsidR="00DE77B0" w:rsidRPr="00372FEE" w:rsidRDefault="00DE77B0" w:rsidP="00187079">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372FEE" w:rsidRDefault="00DE77B0" w:rsidP="00187079">
            <w:pPr>
              <w:spacing w:before="120" w:after="0" w:line="240" w:lineRule="auto"/>
              <w:jc w:val="both"/>
              <w:textAlignment w:val="baseline"/>
              <w:rPr>
                <w:rFonts w:ascii="Times New Roman" w:eastAsia="Times New Roman" w:hAnsi="Times New Roman" w:cs="Times New Roman"/>
                <w:sz w:val="27"/>
                <w:szCs w:val="27"/>
                <w:lang w:val="uk-UA"/>
              </w:rPr>
            </w:pPr>
            <w:r w:rsidRPr="00372FEE">
              <w:rPr>
                <w:rFonts w:ascii="Times New Roman" w:eastAsia="Times New Roman" w:hAnsi="Times New Roman" w:cs="Times New Roman"/>
                <w:sz w:val="27"/>
                <w:szCs w:val="27"/>
                <w:lang w:val="uk-UA"/>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0F3FE4" w:rsidRDefault="006F6D80" w:rsidP="000F3FE4">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У рамках розроблення технічних настанов і ре</w:t>
            </w:r>
            <w:r w:rsidR="000F3FE4">
              <w:rPr>
                <w:rFonts w:ascii="Times New Roman" w:eastAsia="Times New Roman" w:hAnsi="Times New Roman" w:cs="Times New Roman"/>
                <w:sz w:val="27"/>
                <w:szCs w:val="27"/>
                <w:lang w:val="uk-UA"/>
              </w:rPr>
              <w:t xml:space="preserve">гуляторних технічних </w:t>
            </w:r>
            <w:r w:rsidR="000F3FE4">
              <w:rPr>
                <w:rFonts w:ascii="Times New Roman" w:eastAsia="Times New Roman" w:hAnsi="Times New Roman" w:cs="Times New Roman"/>
                <w:sz w:val="27"/>
                <w:szCs w:val="27"/>
                <w:lang w:val="uk-UA"/>
              </w:rPr>
              <w:lastRenderedPageBreak/>
              <w:t xml:space="preserve">стандартів, зокрема при встановленні клірингового порогу для нефінансових контрагентів за цим регламентом, </w:t>
            </w:r>
            <w:r w:rsidR="000F3FE4">
              <w:rPr>
                <w:rFonts w:ascii="Times New Roman" w:eastAsia="Times New Roman" w:hAnsi="Times New Roman" w:cs="Times New Roman"/>
                <w:sz w:val="27"/>
                <w:szCs w:val="27"/>
              </w:rPr>
              <w:t>ESMA</w:t>
            </w:r>
            <w:r w:rsidR="000F3FE4">
              <w:rPr>
                <w:rFonts w:ascii="Times New Roman" w:eastAsia="Times New Roman" w:hAnsi="Times New Roman" w:cs="Times New Roman"/>
                <w:sz w:val="27"/>
                <w:szCs w:val="27"/>
                <w:lang w:val="uk-UA"/>
              </w:rPr>
              <w:t xml:space="preserve"> повинна організовувати громадські слухання учасників ринку.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(95)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4338E" w:rsidRDefault="000F3FE4" w:rsidP="00E4338E">
            <w:pPr>
              <w:spacing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Щоб забезпечити </w:t>
            </w:r>
            <w:r w:rsidR="00B675D9">
              <w:rPr>
                <w:rFonts w:ascii="Times New Roman" w:eastAsia="Times New Roman" w:hAnsi="Times New Roman" w:cs="Times New Roman"/>
                <w:sz w:val="27"/>
                <w:szCs w:val="27"/>
                <w:lang w:val="uk-UA"/>
              </w:rPr>
              <w:t xml:space="preserve">одноманітні умови для імплементації цього регламенту, </w:t>
            </w:r>
            <w:proofErr w:type="spellStart"/>
            <w:r w:rsidR="00B675D9">
              <w:rPr>
                <w:rFonts w:ascii="Times New Roman" w:eastAsia="Times New Roman" w:hAnsi="Times New Roman" w:cs="Times New Roman"/>
                <w:sz w:val="27"/>
                <w:szCs w:val="27"/>
                <w:lang w:val="uk-UA"/>
              </w:rPr>
              <w:t>імплементаційні</w:t>
            </w:r>
            <w:proofErr w:type="spellEnd"/>
            <w:r w:rsidR="00B675D9">
              <w:rPr>
                <w:rFonts w:ascii="Times New Roman" w:eastAsia="Times New Roman" w:hAnsi="Times New Roman" w:cs="Times New Roman"/>
                <w:sz w:val="27"/>
                <w:szCs w:val="27"/>
                <w:lang w:val="uk-UA"/>
              </w:rPr>
              <w:t xml:space="preserve"> </w:t>
            </w:r>
            <w:r w:rsidR="005C4DAC">
              <w:rPr>
                <w:rFonts w:ascii="Times New Roman" w:eastAsia="Times New Roman" w:hAnsi="Times New Roman" w:cs="Times New Roman"/>
                <w:sz w:val="27"/>
                <w:szCs w:val="27"/>
                <w:lang w:val="uk-UA"/>
              </w:rPr>
              <w:t>повноваження повинні бути покладені на Комісію. Ці повноваження мають здійснюватися згідно з Регламентом</w:t>
            </w:r>
            <w:r w:rsidR="00DE77B0" w:rsidRPr="00D467DF">
              <w:rPr>
                <w:rFonts w:ascii="Times New Roman" w:eastAsia="Times New Roman" w:hAnsi="Times New Roman" w:cs="Times New Roman"/>
                <w:sz w:val="27"/>
                <w:szCs w:val="27"/>
                <w:lang w:val="uk-UA"/>
              </w:rPr>
              <w:t xml:space="preserve"> (</w:t>
            </w:r>
            <w:r w:rsidR="00DE77B0" w:rsidRPr="006279CF">
              <w:rPr>
                <w:rFonts w:ascii="Times New Roman" w:eastAsia="Times New Roman" w:hAnsi="Times New Roman" w:cs="Times New Roman"/>
                <w:sz w:val="27"/>
                <w:szCs w:val="27"/>
              </w:rPr>
              <w:t>EU</w:t>
            </w:r>
            <w:r w:rsidR="00DE77B0" w:rsidRPr="00D467DF">
              <w:rPr>
                <w:rFonts w:ascii="Times New Roman" w:eastAsia="Times New Roman" w:hAnsi="Times New Roman" w:cs="Times New Roman"/>
                <w:sz w:val="27"/>
                <w:szCs w:val="27"/>
                <w:lang w:val="uk-UA"/>
              </w:rPr>
              <w:t xml:space="preserve">) </w:t>
            </w:r>
            <w:r w:rsidR="005C4DAC">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 </w:t>
            </w:r>
            <w:r w:rsidR="00DE77B0" w:rsidRPr="00D467DF">
              <w:rPr>
                <w:rFonts w:ascii="Times New Roman" w:eastAsia="Times New Roman" w:hAnsi="Times New Roman" w:cs="Times New Roman"/>
                <w:sz w:val="27"/>
                <w:szCs w:val="27"/>
                <w:lang w:val="uk-UA"/>
              </w:rPr>
              <w:t xml:space="preserve">182/2011 </w:t>
            </w:r>
            <w:r w:rsidR="00B46108" w:rsidRPr="00D467DF">
              <w:rPr>
                <w:rFonts w:ascii="Times New Roman" w:eastAsia="Times New Roman" w:hAnsi="Times New Roman" w:cs="Times New Roman"/>
                <w:sz w:val="27"/>
                <w:szCs w:val="27"/>
                <w:lang w:val="uk-UA"/>
              </w:rPr>
              <w:t>Європейського Парламенту та Ради</w:t>
            </w:r>
            <w:r w:rsidR="00DE77B0" w:rsidRPr="00D467DF">
              <w:rPr>
                <w:rFonts w:ascii="Times New Roman" w:eastAsia="Times New Roman" w:hAnsi="Times New Roman" w:cs="Times New Roman"/>
                <w:sz w:val="27"/>
                <w:szCs w:val="27"/>
                <w:lang w:val="uk-UA"/>
              </w:rPr>
              <w:t xml:space="preserve"> </w:t>
            </w:r>
            <w:r w:rsidR="005C4DAC">
              <w:rPr>
                <w:rFonts w:ascii="Times New Roman" w:eastAsia="Times New Roman" w:hAnsi="Times New Roman" w:cs="Times New Roman"/>
                <w:sz w:val="27"/>
                <w:szCs w:val="27"/>
                <w:lang w:val="uk-UA"/>
              </w:rPr>
              <w:t xml:space="preserve">від </w:t>
            </w:r>
            <w:r w:rsidR="00D467DF" w:rsidRPr="00D467DF">
              <w:rPr>
                <w:rFonts w:ascii="Times New Roman" w:eastAsia="Times New Roman" w:hAnsi="Times New Roman" w:cs="Times New Roman"/>
                <w:sz w:val="27"/>
                <w:szCs w:val="27"/>
                <w:lang w:val="uk-UA"/>
              </w:rPr>
              <w:t xml:space="preserve">16 </w:t>
            </w:r>
            <w:r w:rsidR="00D467DF">
              <w:rPr>
                <w:rFonts w:ascii="Times New Roman" w:eastAsia="Times New Roman" w:hAnsi="Times New Roman" w:cs="Times New Roman"/>
                <w:sz w:val="27"/>
                <w:szCs w:val="27"/>
                <w:lang w:val="uk-UA"/>
              </w:rPr>
              <w:t xml:space="preserve">лютого 2011 р., яким установлено правила і загальні принципи стосовно механізмів контролю з боку держав-членів </w:t>
            </w:r>
            <w:r w:rsidR="003D6B58">
              <w:rPr>
                <w:rFonts w:ascii="Times New Roman" w:eastAsia="Times New Roman" w:hAnsi="Times New Roman" w:cs="Times New Roman"/>
                <w:sz w:val="27"/>
                <w:szCs w:val="27"/>
                <w:lang w:val="uk-UA"/>
              </w:rPr>
              <w:t>Союзу</w:t>
            </w:r>
            <w:r w:rsidR="00D467DF">
              <w:rPr>
                <w:rFonts w:ascii="Times New Roman" w:eastAsia="Times New Roman" w:hAnsi="Times New Roman" w:cs="Times New Roman"/>
                <w:sz w:val="27"/>
                <w:szCs w:val="27"/>
                <w:lang w:val="uk-UA"/>
              </w:rPr>
              <w:t xml:space="preserve"> </w:t>
            </w:r>
            <w:r w:rsidR="00E4338E">
              <w:rPr>
                <w:rFonts w:ascii="Times New Roman" w:eastAsia="Times New Roman" w:hAnsi="Times New Roman" w:cs="Times New Roman"/>
                <w:sz w:val="27"/>
                <w:szCs w:val="27"/>
                <w:lang w:val="uk-UA"/>
              </w:rPr>
              <w:t xml:space="preserve">здійснення Комісією своїх </w:t>
            </w:r>
            <w:proofErr w:type="spellStart"/>
            <w:r w:rsidR="00E4338E">
              <w:rPr>
                <w:rFonts w:ascii="Times New Roman" w:eastAsia="Times New Roman" w:hAnsi="Times New Roman" w:cs="Times New Roman"/>
                <w:sz w:val="27"/>
                <w:szCs w:val="27"/>
                <w:lang w:val="uk-UA"/>
              </w:rPr>
              <w:t>імплементаційних</w:t>
            </w:r>
            <w:proofErr w:type="spellEnd"/>
            <w:r w:rsidR="00E4338E">
              <w:rPr>
                <w:rFonts w:ascii="Times New Roman" w:eastAsia="Times New Roman" w:hAnsi="Times New Roman" w:cs="Times New Roman"/>
                <w:sz w:val="27"/>
                <w:szCs w:val="27"/>
                <w:lang w:val="uk-UA"/>
              </w:rPr>
              <w:t xml:space="preserve"> повноважень</w:t>
            </w:r>
            <w:hyperlink r:id="rId28" w:anchor="ntr24-L_2012201EN.01000101-E0024" w:history="1">
              <w:r w:rsidR="00DE77B0" w:rsidRPr="006279CF">
                <w:rPr>
                  <w:rFonts w:ascii="Times New Roman" w:eastAsia="Times New Roman" w:hAnsi="Times New Roman" w:cs="Times New Roman"/>
                  <w:sz w:val="27"/>
                  <w:szCs w:val="27"/>
                  <w:bdr w:val="none" w:sz="0" w:space="0" w:color="auto" w:frame="1"/>
                </w:rPr>
                <w:t> </w:t>
              </w:r>
              <w:r w:rsidR="00DE77B0" w:rsidRPr="00E4338E">
                <w:rPr>
                  <w:rFonts w:ascii="Times New Roman" w:eastAsia="Times New Roman" w:hAnsi="Times New Roman" w:cs="Times New Roman"/>
                  <w:sz w:val="27"/>
                  <w:szCs w:val="27"/>
                  <w:bdr w:val="none" w:sz="0" w:space="0" w:color="auto" w:frame="1"/>
                  <w:lang w:val="uk-UA"/>
                </w:rPr>
                <w:t>(</w:t>
              </w:r>
              <w:r w:rsidR="00DE77B0" w:rsidRPr="00E4338E">
                <w:rPr>
                  <w:rFonts w:ascii="Times New Roman" w:eastAsia="Times New Roman" w:hAnsi="Times New Roman" w:cs="Times New Roman"/>
                  <w:sz w:val="19"/>
                  <w:szCs w:val="19"/>
                  <w:bdr w:val="none" w:sz="0" w:space="0" w:color="auto" w:frame="1"/>
                  <w:vertAlign w:val="superscript"/>
                  <w:lang w:val="uk-UA"/>
                </w:rPr>
                <w:t>24</w:t>
              </w:r>
              <w:r w:rsidR="00DE77B0" w:rsidRPr="00E4338E">
                <w:rPr>
                  <w:rFonts w:ascii="Times New Roman" w:eastAsia="Times New Roman" w:hAnsi="Times New Roman" w:cs="Times New Roman"/>
                  <w:sz w:val="27"/>
                  <w:szCs w:val="27"/>
                  <w:bdr w:val="none" w:sz="0" w:space="0" w:color="auto" w:frame="1"/>
                  <w:lang w:val="uk-UA"/>
                </w:rPr>
                <w:t>)</w:t>
              </w:r>
            </w:hyperlink>
            <w:r w:rsidR="00DE77B0" w:rsidRPr="00E4338E">
              <w:rPr>
                <w:rFonts w:ascii="Times New Roman" w:eastAsia="Times New Roman" w:hAnsi="Times New Roman" w:cs="Times New Roman"/>
                <w:sz w:val="27"/>
                <w:szCs w:val="27"/>
                <w:lang w:val="uk-UA"/>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(96)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E4338E" w:rsidP="00DE1BA3">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К</w:t>
            </w:r>
            <w:r w:rsidR="00DE1BA3">
              <w:rPr>
                <w:rFonts w:ascii="Times New Roman" w:eastAsia="Times New Roman" w:hAnsi="Times New Roman" w:cs="Times New Roman"/>
                <w:sz w:val="27"/>
                <w:szCs w:val="27"/>
                <w:lang w:val="uk-UA"/>
              </w:rPr>
              <w:t>омісія повинна проводити моніторинг і оцінку потреби у відповідних заходах для забезпечення послідовного і ефективного застосування та розробки нормативних актів, стандартів і практики, що підпадають під дію цього регламенту, враховуючи результати роботи, виконаної відповідними міжнародними форумами.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(97)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72B6C" w:rsidRDefault="00FA71DC" w:rsidP="00533F20">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Ураховуючи правила стосовно сумісних систем, було визнано доречним </w:t>
            </w:r>
            <w:proofErr w:type="spellStart"/>
            <w:r>
              <w:rPr>
                <w:rFonts w:ascii="Times New Roman" w:eastAsia="Times New Roman" w:hAnsi="Times New Roman" w:cs="Times New Roman"/>
                <w:sz w:val="27"/>
                <w:szCs w:val="27"/>
                <w:lang w:val="uk-UA"/>
              </w:rPr>
              <w:t>внести</w:t>
            </w:r>
            <w:proofErr w:type="spellEnd"/>
            <w:r>
              <w:rPr>
                <w:rFonts w:ascii="Times New Roman" w:eastAsia="Times New Roman" w:hAnsi="Times New Roman" w:cs="Times New Roman"/>
                <w:sz w:val="27"/>
                <w:szCs w:val="27"/>
                <w:lang w:val="uk-UA"/>
              </w:rPr>
              <w:t xml:space="preserve"> зміни до Директиви</w:t>
            </w:r>
            <w:r w:rsidR="00DE77B0" w:rsidRPr="00FA71DC">
              <w:rPr>
                <w:rFonts w:ascii="Times New Roman" w:eastAsia="Times New Roman" w:hAnsi="Times New Roman" w:cs="Times New Roman"/>
                <w:sz w:val="27"/>
                <w:szCs w:val="27"/>
                <w:lang w:val="ru-RU"/>
              </w:rPr>
              <w:t xml:space="preserve"> 98/26/</w:t>
            </w:r>
            <w:r w:rsidR="00DE77B0" w:rsidRPr="006279CF">
              <w:rPr>
                <w:rFonts w:ascii="Times New Roman" w:eastAsia="Times New Roman" w:hAnsi="Times New Roman" w:cs="Times New Roman"/>
                <w:sz w:val="27"/>
                <w:szCs w:val="27"/>
              </w:rPr>
              <w:t>EC</w:t>
            </w:r>
            <w:r w:rsidR="00DE77B0" w:rsidRPr="00FA71DC">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 xml:space="preserve">для </w:t>
            </w:r>
            <w:r>
              <w:rPr>
                <w:rFonts w:ascii="Times New Roman" w:eastAsia="Times New Roman" w:hAnsi="Times New Roman" w:cs="Times New Roman"/>
                <w:sz w:val="27"/>
                <w:szCs w:val="27"/>
                <w:lang w:val="uk-UA"/>
              </w:rPr>
              <w:t xml:space="preserve">захисту прав оператора системи, який надає </w:t>
            </w:r>
            <w:r w:rsidR="00F97578">
              <w:rPr>
                <w:rFonts w:ascii="Times New Roman" w:eastAsia="Times New Roman" w:hAnsi="Times New Roman" w:cs="Times New Roman"/>
                <w:sz w:val="27"/>
                <w:szCs w:val="27"/>
                <w:lang w:val="uk-UA"/>
              </w:rPr>
              <w:t xml:space="preserve">додаткове забезпечення оператору приймаючої системи у випадку провадження про </w:t>
            </w:r>
            <w:r w:rsidR="00533F20">
              <w:rPr>
                <w:rFonts w:ascii="Times New Roman" w:eastAsia="Times New Roman" w:hAnsi="Times New Roman" w:cs="Times New Roman"/>
                <w:sz w:val="27"/>
                <w:szCs w:val="27"/>
                <w:lang w:val="uk-UA"/>
              </w:rPr>
              <w:t>неплатоспроможність оператора приймаючої системи.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(98)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C72B6C" w:rsidP="003F0E9C">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ru-RU"/>
              </w:rPr>
              <w:t>Для</w:t>
            </w:r>
            <w:r w:rsidRPr="00245B3D">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lang w:val="ru-RU"/>
              </w:rPr>
              <w:t>того</w:t>
            </w:r>
            <w:r w:rsidRPr="00245B3D">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lang w:val="uk-UA"/>
              </w:rPr>
              <w:t xml:space="preserve">щоб сприяти ефективному клірингу, обліку, розрахункам і </w:t>
            </w:r>
            <w:proofErr w:type="spellStart"/>
            <w:r>
              <w:rPr>
                <w:rFonts w:ascii="Times New Roman" w:eastAsia="Times New Roman" w:hAnsi="Times New Roman" w:cs="Times New Roman"/>
                <w:sz w:val="27"/>
                <w:szCs w:val="27"/>
                <w:lang w:val="uk-UA"/>
              </w:rPr>
              <w:t>платежам</w:t>
            </w:r>
            <w:proofErr w:type="spellEnd"/>
            <w:r w:rsidR="00245B3D">
              <w:rPr>
                <w:rFonts w:ascii="Times New Roman" w:eastAsia="Times New Roman" w:hAnsi="Times New Roman" w:cs="Times New Roman"/>
                <w:sz w:val="27"/>
                <w:szCs w:val="27"/>
                <w:lang w:val="uk-UA"/>
              </w:rPr>
              <w:t xml:space="preserve">, ЦКА і торгові </w:t>
            </w:r>
            <w:proofErr w:type="spellStart"/>
            <w:r w:rsidR="00245B3D">
              <w:rPr>
                <w:rFonts w:ascii="Times New Roman" w:eastAsia="Times New Roman" w:hAnsi="Times New Roman" w:cs="Times New Roman"/>
                <w:sz w:val="27"/>
                <w:szCs w:val="27"/>
                <w:lang w:val="uk-UA"/>
              </w:rPr>
              <w:t>репозитарії</w:t>
            </w:r>
            <w:proofErr w:type="spellEnd"/>
            <w:r w:rsidR="00245B3D">
              <w:rPr>
                <w:rFonts w:ascii="Times New Roman" w:eastAsia="Times New Roman" w:hAnsi="Times New Roman" w:cs="Times New Roman"/>
                <w:sz w:val="27"/>
                <w:szCs w:val="27"/>
                <w:lang w:val="uk-UA"/>
              </w:rPr>
              <w:t xml:space="preserve"> повинні запроваджувати в свої процедури </w:t>
            </w:r>
            <w:r w:rsidR="001F2A12">
              <w:rPr>
                <w:rFonts w:ascii="Times New Roman" w:eastAsia="Times New Roman" w:hAnsi="Times New Roman" w:cs="Times New Roman"/>
                <w:sz w:val="27"/>
                <w:szCs w:val="27"/>
                <w:lang w:val="uk-UA"/>
              </w:rPr>
              <w:t>роботи</w:t>
            </w:r>
            <w:r w:rsidR="00245B3D">
              <w:rPr>
                <w:rFonts w:ascii="Times New Roman" w:eastAsia="Times New Roman" w:hAnsi="Times New Roman" w:cs="Times New Roman"/>
                <w:sz w:val="27"/>
                <w:szCs w:val="27"/>
                <w:lang w:val="uk-UA"/>
              </w:rPr>
              <w:t xml:space="preserve"> з учасниками та з об’єктами ринкової</w:t>
            </w:r>
            <w:r w:rsidR="001F2A12">
              <w:rPr>
                <w:rFonts w:ascii="Times New Roman" w:eastAsia="Times New Roman" w:hAnsi="Times New Roman" w:cs="Times New Roman"/>
                <w:sz w:val="27"/>
                <w:szCs w:val="27"/>
                <w:lang w:val="uk-UA"/>
              </w:rPr>
              <w:t xml:space="preserve"> інфраструктури, з якими вони взаємодіють, </w:t>
            </w:r>
            <w:r w:rsidR="00CC66B8">
              <w:rPr>
                <w:rFonts w:ascii="Times New Roman" w:eastAsia="Times New Roman" w:hAnsi="Times New Roman" w:cs="Times New Roman"/>
                <w:sz w:val="27"/>
                <w:szCs w:val="27"/>
                <w:lang w:val="uk-UA"/>
              </w:rPr>
              <w:t xml:space="preserve">відповідні міжнародні комунікаційні процедури та стандарти передачі повідомлень і </w:t>
            </w:r>
            <w:proofErr w:type="spellStart"/>
            <w:r w:rsidR="00CC66B8">
              <w:rPr>
                <w:rFonts w:ascii="Times New Roman" w:eastAsia="Times New Roman" w:hAnsi="Times New Roman" w:cs="Times New Roman"/>
                <w:sz w:val="27"/>
                <w:szCs w:val="27"/>
                <w:lang w:val="ru-RU"/>
              </w:rPr>
              <w:t>довідкових</w:t>
            </w:r>
            <w:proofErr w:type="spellEnd"/>
            <w:r w:rsidR="00CC66B8" w:rsidRPr="00CC66B8">
              <w:rPr>
                <w:rFonts w:ascii="Times New Roman" w:eastAsia="Times New Roman" w:hAnsi="Times New Roman" w:cs="Times New Roman"/>
                <w:sz w:val="27"/>
                <w:szCs w:val="27"/>
              </w:rPr>
              <w:t xml:space="preserve"> </w:t>
            </w:r>
            <w:proofErr w:type="spellStart"/>
            <w:r w:rsidR="00CC66B8">
              <w:rPr>
                <w:rFonts w:ascii="Times New Roman" w:eastAsia="Times New Roman" w:hAnsi="Times New Roman" w:cs="Times New Roman"/>
                <w:sz w:val="27"/>
                <w:szCs w:val="27"/>
                <w:lang w:val="ru-RU"/>
              </w:rPr>
              <w:t>даних</w:t>
            </w:r>
            <w:proofErr w:type="spellEnd"/>
            <w:r w:rsidR="00CC66B8" w:rsidRPr="00CC66B8">
              <w:rPr>
                <w:rFonts w:ascii="Times New Roman" w:eastAsia="Times New Roman" w:hAnsi="Times New Roman" w:cs="Times New Roman"/>
                <w:sz w:val="27"/>
                <w:szCs w:val="27"/>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(99)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5701E7" w:rsidRDefault="003F0E9C" w:rsidP="006F3715">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Оскільки ціл</w:t>
            </w:r>
            <w:r w:rsidR="00DA256E">
              <w:rPr>
                <w:rFonts w:ascii="Times New Roman" w:eastAsia="Times New Roman" w:hAnsi="Times New Roman" w:cs="Times New Roman"/>
                <w:sz w:val="27"/>
                <w:szCs w:val="27"/>
                <w:lang w:val="uk-UA"/>
              </w:rPr>
              <w:t>і</w:t>
            </w:r>
            <w:r>
              <w:rPr>
                <w:rFonts w:ascii="Times New Roman" w:eastAsia="Times New Roman" w:hAnsi="Times New Roman" w:cs="Times New Roman"/>
                <w:sz w:val="27"/>
                <w:szCs w:val="27"/>
                <w:lang w:val="uk-UA"/>
              </w:rPr>
              <w:t xml:space="preserve"> цього регламенту, а саме встановлення одноманітних вимог до контрактів на позабіржові деривативи й до ведення діяльності ЦКА і т</w:t>
            </w:r>
            <w:r w:rsidR="00DA256E">
              <w:rPr>
                <w:rFonts w:ascii="Times New Roman" w:eastAsia="Times New Roman" w:hAnsi="Times New Roman" w:cs="Times New Roman"/>
                <w:sz w:val="27"/>
                <w:szCs w:val="27"/>
                <w:lang w:val="uk-UA"/>
              </w:rPr>
              <w:t xml:space="preserve">оргових репозитаріїв, не можуть бути повністю досягнуті державами-членами </w:t>
            </w:r>
            <w:r w:rsidR="003D6B58">
              <w:rPr>
                <w:rFonts w:ascii="Times New Roman" w:eastAsia="Times New Roman" w:hAnsi="Times New Roman" w:cs="Times New Roman"/>
                <w:sz w:val="27"/>
                <w:szCs w:val="27"/>
                <w:lang w:val="uk-UA"/>
              </w:rPr>
              <w:t xml:space="preserve">Союзу </w:t>
            </w:r>
            <w:r w:rsidR="00DA256E">
              <w:rPr>
                <w:rFonts w:ascii="Times New Roman" w:eastAsia="Times New Roman" w:hAnsi="Times New Roman" w:cs="Times New Roman"/>
                <w:sz w:val="27"/>
                <w:szCs w:val="27"/>
                <w:lang w:val="uk-UA"/>
              </w:rPr>
              <w:t>окремо і, враховуючи масштаб потрібних заходів, можуть бути повністю досягнуті на рівні Союзу</w:t>
            </w:r>
            <w:r w:rsidR="00A258A7">
              <w:rPr>
                <w:rFonts w:ascii="Times New Roman" w:eastAsia="Times New Roman" w:hAnsi="Times New Roman" w:cs="Times New Roman"/>
                <w:sz w:val="27"/>
                <w:szCs w:val="27"/>
                <w:lang w:val="uk-UA"/>
              </w:rPr>
              <w:t xml:space="preserve">, то Союз може вживати заходів, згідно з принципом </w:t>
            </w:r>
            <w:proofErr w:type="spellStart"/>
            <w:r w:rsidR="00A258A7">
              <w:rPr>
                <w:rFonts w:ascii="Times New Roman" w:eastAsia="Times New Roman" w:hAnsi="Times New Roman" w:cs="Times New Roman"/>
                <w:sz w:val="27"/>
                <w:szCs w:val="27"/>
                <w:lang w:val="uk-UA"/>
              </w:rPr>
              <w:t>субсидіарності</w:t>
            </w:r>
            <w:proofErr w:type="spellEnd"/>
            <w:r w:rsidR="00A258A7">
              <w:rPr>
                <w:rFonts w:ascii="Times New Roman" w:eastAsia="Times New Roman" w:hAnsi="Times New Roman" w:cs="Times New Roman"/>
                <w:sz w:val="27"/>
                <w:szCs w:val="27"/>
                <w:lang w:val="uk-UA"/>
              </w:rPr>
              <w:t xml:space="preserve">, викладеним у ст. 5 Договору про заснування Європейського </w:t>
            </w:r>
            <w:r w:rsidR="00CD4C0B">
              <w:rPr>
                <w:rFonts w:ascii="Times New Roman" w:eastAsia="Times New Roman" w:hAnsi="Times New Roman" w:cs="Times New Roman"/>
                <w:sz w:val="27"/>
                <w:szCs w:val="27"/>
                <w:lang w:val="uk-UA"/>
              </w:rPr>
              <w:t>Союзу</w:t>
            </w:r>
            <w:r w:rsidR="00A258A7">
              <w:rPr>
                <w:rFonts w:ascii="Times New Roman" w:eastAsia="Times New Roman" w:hAnsi="Times New Roman" w:cs="Times New Roman"/>
                <w:sz w:val="27"/>
                <w:szCs w:val="27"/>
                <w:lang w:val="uk-UA"/>
              </w:rPr>
              <w:t>.</w:t>
            </w:r>
            <w:r w:rsidR="00233918">
              <w:rPr>
                <w:rFonts w:ascii="Times New Roman" w:eastAsia="Times New Roman" w:hAnsi="Times New Roman" w:cs="Times New Roman"/>
                <w:sz w:val="27"/>
                <w:szCs w:val="27"/>
                <w:lang w:val="uk-UA"/>
              </w:rPr>
              <w:t xml:space="preserve"> Згідно з принципом </w:t>
            </w:r>
            <w:proofErr w:type="spellStart"/>
            <w:r w:rsidR="00233918">
              <w:rPr>
                <w:rFonts w:ascii="Times New Roman" w:eastAsia="Times New Roman" w:hAnsi="Times New Roman" w:cs="Times New Roman"/>
                <w:sz w:val="27"/>
                <w:szCs w:val="27"/>
                <w:lang w:val="uk-UA"/>
              </w:rPr>
              <w:t>субсидіарності</w:t>
            </w:r>
            <w:proofErr w:type="spellEnd"/>
            <w:r w:rsidR="00233918">
              <w:rPr>
                <w:rFonts w:ascii="Times New Roman" w:eastAsia="Times New Roman" w:hAnsi="Times New Roman" w:cs="Times New Roman"/>
                <w:sz w:val="27"/>
                <w:szCs w:val="27"/>
                <w:lang w:val="uk-UA"/>
              </w:rPr>
              <w:t>, викладеним у цій статті, дани</w:t>
            </w:r>
            <w:r w:rsidR="006F3715">
              <w:rPr>
                <w:rFonts w:ascii="Times New Roman" w:eastAsia="Times New Roman" w:hAnsi="Times New Roman" w:cs="Times New Roman"/>
                <w:sz w:val="27"/>
                <w:szCs w:val="27"/>
                <w:lang w:val="uk-UA"/>
              </w:rPr>
              <w:t xml:space="preserve">й регламент не виходить за межі того, що </w:t>
            </w:r>
            <w:proofErr w:type="spellStart"/>
            <w:r w:rsidR="006F3715">
              <w:rPr>
                <w:rFonts w:ascii="Times New Roman" w:eastAsia="Times New Roman" w:hAnsi="Times New Roman" w:cs="Times New Roman"/>
                <w:sz w:val="27"/>
                <w:szCs w:val="27"/>
                <w:lang w:val="uk-UA"/>
              </w:rPr>
              <w:t>необіхдно</w:t>
            </w:r>
            <w:proofErr w:type="spellEnd"/>
            <w:r w:rsidR="006F3715">
              <w:rPr>
                <w:rFonts w:ascii="Times New Roman" w:eastAsia="Times New Roman" w:hAnsi="Times New Roman" w:cs="Times New Roman"/>
                <w:sz w:val="27"/>
                <w:szCs w:val="27"/>
                <w:lang w:val="uk-UA"/>
              </w:rPr>
              <w:t xml:space="preserve"> для досягнення цих цілей.</w:t>
            </w:r>
          </w:p>
        </w:tc>
      </w:tr>
    </w:tbl>
    <w:p w:rsidR="00DE77B0" w:rsidRDefault="00081598"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lang w:val="uk-UA"/>
        </w:rPr>
        <w:t>ПРИЙНЯЛИ ЦЕЙ РЕГЛАМЕНТ</w:t>
      </w:r>
      <w:r w:rsidR="00DE77B0" w:rsidRPr="006279CF">
        <w:rPr>
          <w:rFonts w:ascii="Times New Roman" w:eastAsia="Times New Roman" w:hAnsi="Times New Roman" w:cs="Times New Roman"/>
          <w:sz w:val="27"/>
          <w:szCs w:val="27"/>
          <w:lang w:val="ru-RU"/>
        </w:rPr>
        <w:t>:</w:t>
      </w:r>
    </w:p>
    <w:p w:rsidR="006F3715" w:rsidRPr="006279CF" w:rsidRDefault="006F3715"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p>
    <w:p w:rsidR="00DE77B0" w:rsidRPr="006279CF" w:rsidRDefault="00081598" w:rsidP="00187079">
      <w:pPr>
        <w:shd w:val="clear" w:color="auto" w:fill="FFFFFF"/>
        <w:spacing w:before="480" w:after="0" w:line="240" w:lineRule="auto"/>
        <w:jc w:val="center"/>
        <w:textAlignment w:val="baseline"/>
        <w:rPr>
          <w:rFonts w:ascii="Times New Roman" w:eastAsia="Times New Roman" w:hAnsi="Times New Roman" w:cs="Times New Roman"/>
          <w:b/>
          <w:bCs/>
          <w:sz w:val="27"/>
          <w:szCs w:val="27"/>
          <w:lang w:val="ru-RU"/>
        </w:rPr>
      </w:pPr>
      <w:r w:rsidRPr="006279CF">
        <w:rPr>
          <w:rFonts w:ascii="Times New Roman" w:eastAsia="Times New Roman" w:hAnsi="Times New Roman" w:cs="Times New Roman"/>
          <w:b/>
          <w:bCs/>
          <w:sz w:val="27"/>
          <w:szCs w:val="27"/>
          <w:lang w:val="uk-UA"/>
        </w:rPr>
        <w:lastRenderedPageBreak/>
        <w:t>РОЗДІЛ</w:t>
      </w:r>
      <w:r w:rsidR="00DE77B0" w:rsidRPr="006279CF">
        <w:rPr>
          <w:rFonts w:ascii="Times New Roman" w:eastAsia="Times New Roman" w:hAnsi="Times New Roman" w:cs="Times New Roman"/>
          <w:b/>
          <w:bCs/>
          <w:sz w:val="27"/>
          <w:szCs w:val="27"/>
          <w:lang w:val="ru-RU"/>
        </w:rPr>
        <w:t xml:space="preserve"> </w:t>
      </w:r>
      <w:r w:rsidR="00DE77B0" w:rsidRPr="006279CF">
        <w:rPr>
          <w:rFonts w:ascii="Times New Roman" w:eastAsia="Times New Roman" w:hAnsi="Times New Roman" w:cs="Times New Roman"/>
          <w:b/>
          <w:bCs/>
          <w:sz w:val="27"/>
          <w:szCs w:val="27"/>
        </w:rPr>
        <w:t>I</w:t>
      </w:r>
    </w:p>
    <w:p w:rsidR="00DE77B0" w:rsidRPr="006279CF" w:rsidRDefault="00081598"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sidRPr="006279CF">
        <w:rPr>
          <w:rFonts w:ascii="Times New Roman" w:eastAsia="Times New Roman" w:hAnsi="Times New Roman" w:cs="Times New Roman"/>
          <w:b/>
          <w:bCs/>
          <w:sz w:val="27"/>
          <w:szCs w:val="27"/>
          <w:bdr w:val="none" w:sz="0" w:space="0" w:color="auto" w:frame="1"/>
          <w:lang w:val="uk-UA"/>
        </w:rPr>
        <w:t>ПРЕДМЕТ, СФЕРА ДІЇ ТА ВИЗНАЧЕННЯ</w:t>
      </w:r>
    </w:p>
    <w:p w:rsidR="00DE77B0" w:rsidRPr="006279CF"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6279CF">
        <w:rPr>
          <w:rFonts w:ascii="Times New Roman" w:eastAsia="Times New Roman" w:hAnsi="Times New Roman" w:cs="Times New Roman"/>
          <w:i/>
          <w:iCs/>
          <w:sz w:val="27"/>
          <w:szCs w:val="27"/>
          <w:lang w:val="ru-RU"/>
        </w:rPr>
        <w:t>Стаття</w:t>
      </w:r>
      <w:proofErr w:type="spellEnd"/>
      <w:r w:rsidR="00DE77B0" w:rsidRPr="006279CF">
        <w:rPr>
          <w:rFonts w:ascii="Times New Roman" w:eastAsia="Times New Roman" w:hAnsi="Times New Roman" w:cs="Times New Roman"/>
          <w:i/>
          <w:iCs/>
          <w:sz w:val="27"/>
          <w:szCs w:val="27"/>
          <w:lang w:val="ru-RU"/>
        </w:rPr>
        <w:t xml:space="preserve"> 1</w:t>
      </w:r>
    </w:p>
    <w:p w:rsidR="00DE77B0" w:rsidRPr="006279CF" w:rsidRDefault="00081598"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sidRPr="006279CF">
        <w:rPr>
          <w:rFonts w:ascii="Times New Roman" w:eastAsia="Times New Roman" w:hAnsi="Times New Roman" w:cs="Times New Roman"/>
          <w:b/>
          <w:bCs/>
          <w:sz w:val="27"/>
          <w:szCs w:val="27"/>
          <w:lang w:val="uk-UA"/>
        </w:rPr>
        <w:t>Предмет і сфера дії</w:t>
      </w:r>
    </w:p>
    <w:p w:rsidR="00DE77B0" w:rsidRPr="00B64775" w:rsidRDefault="00DE77B0" w:rsidP="00B6477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B64775">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5701E7">
        <w:rPr>
          <w:rFonts w:ascii="Times New Roman" w:eastAsia="Times New Roman" w:hAnsi="Times New Roman" w:cs="Times New Roman"/>
          <w:sz w:val="27"/>
          <w:szCs w:val="27"/>
          <w:lang w:val="uk-UA"/>
        </w:rPr>
        <w:t>У цьому регламенті викладені вимоги до клірингу та</w:t>
      </w:r>
      <w:r w:rsidR="00CC2F5C">
        <w:rPr>
          <w:rFonts w:ascii="Times New Roman" w:eastAsia="Times New Roman" w:hAnsi="Times New Roman" w:cs="Times New Roman"/>
          <w:sz w:val="27"/>
          <w:szCs w:val="27"/>
          <w:lang w:val="uk-UA"/>
        </w:rPr>
        <w:t xml:space="preserve"> управління двосторонніми ризиками </w:t>
      </w:r>
      <w:r w:rsidR="005F2E02">
        <w:rPr>
          <w:rFonts w:ascii="Times New Roman" w:eastAsia="Times New Roman" w:hAnsi="Times New Roman" w:cs="Times New Roman"/>
          <w:sz w:val="27"/>
          <w:szCs w:val="27"/>
          <w:lang w:val="uk-UA"/>
        </w:rPr>
        <w:t xml:space="preserve">щодо контрактів на позабіржові деривативи, вимоги щодо звітування про контракти на деривативи та єдині вимоги </w:t>
      </w:r>
      <w:r w:rsidR="00B64775">
        <w:rPr>
          <w:rFonts w:ascii="Times New Roman" w:eastAsia="Times New Roman" w:hAnsi="Times New Roman" w:cs="Times New Roman"/>
          <w:sz w:val="27"/>
          <w:szCs w:val="27"/>
          <w:lang w:val="uk-UA"/>
        </w:rPr>
        <w:t>до ведення діяльності центральних контрагентів («ЦКА») і торгових репозитаріїв.</w:t>
      </w:r>
    </w:p>
    <w:p w:rsidR="00B64775" w:rsidRPr="00AA04B4"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B64775">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B64775">
        <w:rPr>
          <w:rFonts w:ascii="Times New Roman" w:eastAsia="Times New Roman" w:hAnsi="Times New Roman" w:cs="Times New Roman"/>
          <w:sz w:val="27"/>
          <w:szCs w:val="27"/>
          <w:lang w:val="uk-UA"/>
        </w:rPr>
        <w:t xml:space="preserve">Цей регламент поширюється на ЦКА та їхніх учасників клірингу, фінансових контрагентів </w:t>
      </w:r>
      <w:r w:rsidR="00AA04B4">
        <w:rPr>
          <w:rFonts w:ascii="Times New Roman" w:eastAsia="Times New Roman" w:hAnsi="Times New Roman" w:cs="Times New Roman"/>
          <w:sz w:val="27"/>
          <w:szCs w:val="27"/>
          <w:lang w:val="uk-UA"/>
        </w:rPr>
        <w:t>і торгових репозитаріїв. Він поширюється на нефінансових контрагентів і торговельні майданчики у випадках, де це передбачено.</w:t>
      </w:r>
    </w:p>
    <w:p w:rsidR="00DE77B0" w:rsidRPr="00C52A17"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AA04B4">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AA04B4">
        <w:rPr>
          <w:rFonts w:ascii="Times New Roman" w:eastAsia="Times New Roman" w:hAnsi="Times New Roman" w:cs="Times New Roman"/>
          <w:sz w:val="27"/>
          <w:szCs w:val="27"/>
          <w:lang w:val="uk-UA"/>
        </w:rPr>
        <w:t xml:space="preserve">Розділ </w:t>
      </w:r>
      <w:r w:rsidRPr="006279CF">
        <w:rPr>
          <w:rFonts w:ascii="Times New Roman" w:eastAsia="Times New Roman" w:hAnsi="Times New Roman" w:cs="Times New Roman"/>
          <w:sz w:val="27"/>
          <w:szCs w:val="27"/>
        </w:rPr>
        <w:t>V</w:t>
      </w:r>
      <w:r w:rsidRPr="00AA04B4">
        <w:rPr>
          <w:rFonts w:ascii="Times New Roman" w:eastAsia="Times New Roman" w:hAnsi="Times New Roman" w:cs="Times New Roman"/>
          <w:sz w:val="27"/>
          <w:szCs w:val="27"/>
          <w:lang w:val="ru-RU"/>
        </w:rPr>
        <w:t xml:space="preserve"> </w:t>
      </w:r>
      <w:r w:rsidR="00AA04B4">
        <w:rPr>
          <w:rFonts w:ascii="Times New Roman" w:eastAsia="Times New Roman" w:hAnsi="Times New Roman" w:cs="Times New Roman"/>
          <w:sz w:val="27"/>
          <w:szCs w:val="27"/>
          <w:lang w:val="uk-UA"/>
        </w:rPr>
        <w:t xml:space="preserve">цього регламенту поширюється тільки на оборотні цінні папери та інструменти фінансового ринку, визначені у </w:t>
      </w:r>
      <w:proofErr w:type="spellStart"/>
      <w:r w:rsidR="00AA04B4">
        <w:rPr>
          <w:rFonts w:ascii="Times New Roman" w:eastAsia="Times New Roman" w:hAnsi="Times New Roman" w:cs="Times New Roman"/>
          <w:sz w:val="27"/>
          <w:szCs w:val="27"/>
          <w:lang w:val="uk-UA"/>
        </w:rPr>
        <w:t>пп</w:t>
      </w:r>
      <w:proofErr w:type="spellEnd"/>
      <w:r w:rsidR="00AA04B4">
        <w:rPr>
          <w:rFonts w:ascii="Times New Roman" w:eastAsia="Times New Roman" w:hAnsi="Times New Roman" w:cs="Times New Roman"/>
          <w:sz w:val="27"/>
          <w:szCs w:val="27"/>
          <w:lang w:val="uk-UA"/>
        </w:rPr>
        <w:t>.</w:t>
      </w:r>
      <w:r w:rsidRPr="00AA04B4">
        <w:rPr>
          <w:rFonts w:ascii="Times New Roman" w:eastAsia="Times New Roman" w:hAnsi="Times New Roman" w:cs="Times New Roman"/>
          <w:sz w:val="27"/>
          <w:szCs w:val="27"/>
          <w:lang w:val="ru-RU"/>
        </w:rPr>
        <w:t xml:space="preserve"> </w:t>
      </w:r>
      <w:r w:rsidRPr="00C52A17">
        <w:rPr>
          <w:rFonts w:ascii="Times New Roman" w:eastAsia="Times New Roman" w:hAnsi="Times New Roman" w:cs="Times New Roman"/>
          <w:sz w:val="27"/>
          <w:szCs w:val="27"/>
          <w:lang w:val="ru-RU"/>
        </w:rPr>
        <w:t>(18)(</w:t>
      </w:r>
      <w:r w:rsidRPr="006279CF">
        <w:rPr>
          <w:rFonts w:ascii="Times New Roman" w:eastAsia="Times New Roman" w:hAnsi="Times New Roman" w:cs="Times New Roman"/>
          <w:sz w:val="27"/>
          <w:szCs w:val="27"/>
        </w:rPr>
        <w:t>a</w:t>
      </w:r>
      <w:r w:rsidRPr="00C52A17">
        <w:rPr>
          <w:rFonts w:ascii="Times New Roman" w:eastAsia="Times New Roman" w:hAnsi="Times New Roman" w:cs="Times New Roman"/>
          <w:sz w:val="27"/>
          <w:szCs w:val="27"/>
          <w:lang w:val="ru-RU"/>
        </w:rPr>
        <w:t>)</w:t>
      </w:r>
      <w:r w:rsidR="00AA04B4">
        <w:rPr>
          <w:rFonts w:ascii="Times New Roman" w:eastAsia="Times New Roman" w:hAnsi="Times New Roman" w:cs="Times New Roman"/>
          <w:sz w:val="27"/>
          <w:szCs w:val="27"/>
          <w:lang w:val="uk-UA"/>
        </w:rPr>
        <w:t xml:space="preserve">, </w:t>
      </w:r>
      <w:r w:rsidRPr="00C52A17">
        <w:rPr>
          <w:rFonts w:ascii="Times New Roman" w:eastAsia="Times New Roman" w:hAnsi="Times New Roman" w:cs="Times New Roman"/>
          <w:sz w:val="27"/>
          <w:szCs w:val="27"/>
          <w:lang w:val="ru-RU"/>
        </w:rPr>
        <w:t>(</w:t>
      </w:r>
      <w:r w:rsidRPr="006279CF">
        <w:rPr>
          <w:rFonts w:ascii="Times New Roman" w:eastAsia="Times New Roman" w:hAnsi="Times New Roman" w:cs="Times New Roman"/>
          <w:sz w:val="27"/>
          <w:szCs w:val="27"/>
        </w:rPr>
        <w:t>b</w:t>
      </w:r>
      <w:r w:rsidRPr="00C52A17">
        <w:rPr>
          <w:rFonts w:ascii="Times New Roman" w:eastAsia="Times New Roman" w:hAnsi="Times New Roman" w:cs="Times New Roman"/>
          <w:sz w:val="27"/>
          <w:szCs w:val="27"/>
          <w:lang w:val="ru-RU"/>
        </w:rPr>
        <w:t xml:space="preserve">) </w:t>
      </w:r>
      <w:r w:rsidR="00AA04B4">
        <w:rPr>
          <w:rFonts w:ascii="Times New Roman" w:eastAsia="Times New Roman" w:hAnsi="Times New Roman" w:cs="Times New Roman"/>
          <w:sz w:val="27"/>
          <w:szCs w:val="27"/>
          <w:lang w:val="uk-UA"/>
        </w:rPr>
        <w:t>та</w:t>
      </w:r>
      <w:r w:rsidRPr="00C52A17">
        <w:rPr>
          <w:rFonts w:ascii="Times New Roman" w:eastAsia="Times New Roman" w:hAnsi="Times New Roman" w:cs="Times New Roman"/>
          <w:sz w:val="27"/>
          <w:szCs w:val="27"/>
          <w:lang w:val="ru-RU"/>
        </w:rPr>
        <w:t xml:space="preserve"> (19) </w:t>
      </w:r>
      <w:r w:rsidR="00AA04B4">
        <w:rPr>
          <w:rFonts w:ascii="Times New Roman" w:eastAsia="Times New Roman" w:hAnsi="Times New Roman" w:cs="Times New Roman"/>
          <w:sz w:val="27"/>
          <w:szCs w:val="27"/>
          <w:lang w:val="uk-UA"/>
        </w:rPr>
        <w:t>ст</w:t>
      </w:r>
      <w:r w:rsidR="00B275D0">
        <w:rPr>
          <w:rFonts w:ascii="Times New Roman" w:eastAsia="Times New Roman" w:hAnsi="Times New Roman" w:cs="Times New Roman"/>
          <w:sz w:val="27"/>
          <w:szCs w:val="27"/>
          <w:lang w:val="uk-UA"/>
        </w:rPr>
        <w:t>атті</w:t>
      </w:r>
      <w:r w:rsidRPr="00C52A17">
        <w:rPr>
          <w:rFonts w:ascii="Times New Roman" w:eastAsia="Times New Roman" w:hAnsi="Times New Roman" w:cs="Times New Roman"/>
          <w:sz w:val="27"/>
          <w:szCs w:val="27"/>
          <w:lang w:val="ru-RU"/>
        </w:rPr>
        <w:t xml:space="preserve"> 4(1) </w:t>
      </w:r>
      <w:r w:rsidR="00AA04B4">
        <w:rPr>
          <w:rFonts w:ascii="Times New Roman" w:eastAsia="Times New Roman" w:hAnsi="Times New Roman" w:cs="Times New Roman"/>
          <w:sz w:val="27"/>
          <w:szCs w:val="27"/>
          <w:lang w:val="uk-UA"/>
        </w:rPr>
        <w:t>Директиви</w:t>
      </w:r>
      <w:r w:rsidRPr="00C52A17">
        <w:rPr>
          <w:rFonts w:ascii="Times New Roman" w:eastAsia="Times New Roman" w:hAnsi="Times New Roman" w:cs="Times New Roman"/>
          <w:sz w:val="27"/>
          <w:szCs w:val="27"/>
          <w:lang w:val="ru-RU"/>
        </w:rPr>
        <w:t xml:space="preserve"> 2004/39/</w:t>
      </w:r>
      <w:r w:rsidRPr="006279CF">
        <w:rPr>
          <w:rFonts w:ascii="Times New Roman" w:eastAsia="Times New Roman" w:hAnsi="Times New Roman" w:cs="Times New Roman"/>
          <w:sz w:val="27"/>
          <w:szCs w:val="27"/>
        </w:rPr>
        <w:t>EC</w:t>
      </w:r>
      <w:r w:rsidRPr="00C52A17">
        <w:rPr>
          <w:rFonts w:ascii="Times New Roman" w:eastAsia="Times New Roman" w:hAnsi="Times New Roman" w:cs="Times New Roman"/>
          <w:sz w:val="27"/>
          <w:szCs w:val="27"/>
          <w:lang w:val="ru-RU"/>
        </w:rPr>
        <w:t>.</w:t>
      </w:r>
    </w:p>
    <w:p w:rsidR="00DE77B0" w:rsidRPr="00AA04B4"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52A17">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AA04B4">
        <w:rPr>
          <w:rFonts w:ascii="Times New Roman" w:eastAsia="Times New Roman" w:hAnsi="Times New Roman" w:cs="Times New Roman"/>
          <w:sz w:val="27"/>
          <w:szCs w:val="27"/>
          <w:lang w:val="uk-UA"/>
        </w:rPr>
        <w:t>Дія цього регламенту не поширюється на:</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AA04B4" w:rsidP="00F53495">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членів ЄСЦБ та інші органи держав-членів </w:t>
            </w:r>
            <w:r w:rsidR="003D6B58">
              <w:rPr>
                <w:rFonts w:ascii="Times New Roman" w:eastAsia="Times New Roman" w:hAnsi="Times New Roman" w:cs="Times New Roman"/>
                <w:sz w:val="27"/>
                <w:szCs w:val="27"/>
                <w:lang w:val="uk-UA"/>
              </w:rPr>
              <w:t>Союзу</w:t>
            </w:r>
            <w:r>
              <w:rPr>
                <w:rFonts w:ascii="Times New Roman" w:eastAsia="Times New Roman" w:hAnsi="Times New Roman" w:cs="Times New Roman"/>
                <w:sz w:val="27"/>
                <w:szCs w:val="27"/>
                <w:lang w:val="uk-UA"/>
              </w:rPr>
              <w:t xml:space="preserve">, виконуючі схожі функції, інші </w:t>
            </w:r>
            <w:r w:rsidR="00F53495">
              <w:rPr>
                <w:rFonts w:ascii="Times New Roman" w:eastAsia="Times New Roman" w:hAnsi="Times New Roman" w:cs="Times New Roman"/>
                <w:sz w:val="27"/>
                <w:szCs w:val="27"/>
                <w:lang w:val="uk-UA"/>
              </w:rPr>
              <w:t>державні органи Союзу, які здійснюють управління державним боргом або втручаються в управління ним</w:t>
            </w:r>
            <w:r w:rsidR="00F53495" w:rsidRPr="006279CF">
              <w:rPr>
                <w:rFonts w:ascii="Times New Roman" w:eastAsia="Times New Roman" w:hAnsi="Times New Roman" w:cs="Times New Roman"/>
                <w:sz w:val="27"/>
                <w:szCs w:val="27"/>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8963"/>
      </w:tblGrid>
      <w:tr w:rsidR="00763E3E" w:rsidRPr="006279CF" w:rsidTr="00EC4B0E">
        <w:tc>
          <w:tcPr>
            <w:tcW w:w="26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47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0B028F" w:rsidP="000B028F">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Банк міжнародних розрахунків.</w:t>
            </w:r>
          </w:p>
        </w:tc>
      </w:tr>
    </w:tbl>
    <w:p w:rsidR="000B028F"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52A17">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0B028F">
        <w:rPr>
          <w:rFonts w:ascii="Times New Roman" w:eastAsia="Times New Roman" w:hAnsi="Times New Roman" w:cs="Times New Roman"/>
          <w:sz w:val="27"/>
          <w:szCs w:val="27"/>
          <w:lang w:val="uk-UA"/>
        </w:rPr>
        <w:t>За винятком зобов’язання щодо звітування за ст</w:t>
      </w:r>
      <w:r w:rsidR="00B275D0">
        <w:rPr>
          <w:rFonts w:ascii="Times New Roman" w:eastAsia="Times New Roman" w:hAnsi="Times New Roman" w:cs="Times New Roman"/>
          <w:sz w:val="27"/>
          <w:szCs w:val="27"/>
          <w:lang w:val="uk-UA"/>
        </w:rPr>
        <w:t>аттею</w:t>
      </w:r>
      <w:r w:rsidR="000B028F">
        <w:rPr>
          <w:rFonts w:ascii="Times New Roman" w:eastAsia="Times New Roman" w:hAnsi="Times New Roman" w:cs="Times New Roman"/>
          <w:sz w:val="27"/>
          <w:szCs w:val="27"/>
          <w:lang w:val="uk-UA"/>
        </w:rPr>
        <w:t xml:space="preserve"> 9, дія цього регламенту не поширюється на наступних суб’єктів:</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0B028F" w:rsidRDefault="000B028F" w:rsidP="000B028F">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багатосторонні банки розвитку, зазначені у розділі 4.2 частини 1 Додатку</w:t>
            </w:r>
            <w:r w:rsidR="00DE77B0" w:rsidRPr="000B028F">
              <w:rPr>
                <w:rFonts w:ascii="Times New Roman" w:eastAsia="Times New Roman" w:hAnsi="Times New Roman" w:cs="Times New Roman"/>
                <w:sz w:val="27"/>
                <w:szCs w:val="27"/>
                <w:lang w:val="ru-RU"/>
              </w:rPr>
              <w:t xml:space="preserve"> </w:t>
            </w:r>
            <w:r w:rsidR="00DE77B0" w:rsidRPr="006279CF">
              <w:rPr>
                <w:rFonts w:ascii="Times New Roman" w:eastAsia="Times New Roman" w:hAnsi="Times New Roman" w:cs="Times New Roman"/>
                <w:sz w:val="27"/>
                <w:szCs w:val="27"/>
              </w:rPr>
              <w:t>VI</w:t>
            </w:r>
            <w:r w:rsidR="00DE77B0" w:rsidRPr="000B028F">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до Директиви</w:t>
            </w:r>
            <w:r w:rsidR="00DE77B0" w:rsidRPr="000B028F">
              <w:rPr>
                <w:rFonts w:ascii="Times New Roman" w:eastAsia="Times New Roman" w:hAnsi="Times New Roman" w:cs="Times New Roman"/>
                <w:sz w:val="27"/>
                <w:szCs w:val="27"/>
                <w:lang w:val="ru-RU"/>
              </w:rPr>
              <w:t xml:space="preserve"> 2006/48/</w:t>
            </w:r>
            <w:r w:rsidR="00DE77B0" w:rsidRPr="006279CF">
              <w:rPr>
                <w:rFonts w:ascii="Times New Roman" w:eastAsia="Times New Roman" w:hAnsi="Times New Roman" w:cs="Times New Roman"/>
                <w:sz w:val="27"/>
                <w:szCs w:val="27"/>
              </w:rPr>
              <w:t>EC</w:t>
            </w:r>
            <w:r w:rsidR="00DE77B0" w:rsidRPr="000B028F">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52A17" w:rsidRDefault="00465CE6" w:rsidP="00465CE6">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суб’єкти державного сектора у значенні п. (18) ст. 4 Директиви</w:t>
            </w:r>
            <w:r w:rsidR="00DE77B0" w:rsidRPr="00465CE6">
              <w:rPr>
                <w:rFonts w:ascii="Times New Roman" w:eastAsia="Times New Roman" w:hAnsi="Times New Roman" w:cs="Times New Roman"/>
                <w:sz w:val="27"/>
                <w:szCs w:val="27"/>
                <w:lang w:val="ru-RU"/>
              </w:rPr>
              <w:t xml:space="preserve"> 2006/48/</w:t>
            </w:r>
            <w:r w:rsidR="00DE77B0" w:rsidRPr="006279CF">
              <w:rPr>
                <w:rFonts w:ascii="Times New Roman" w:eastAsia="Times New Roman" w:hAnsi="Times New Roman" w:cs="Times New Roman"/>
                <w:sz w:val="27"/>
                <w:szCs w:val="27"/>
              </w:rPr>
              <w:t>EC</w:t>
            </w:r>
            <w:r>
              <w:rPr>
                <w:rFonts w:ascii="Times New Roman" w:eastAsia="Times New Roman" w:hAnsi="Times New Roman" w:cs="Times New Roman"/>
                <w:sz w:val="27"/>
                <w:szCs w:val="27"/>
                <w:lang w:val="uk-UA"/>
              </w:rPr>
              <w:t>, якщо вони належать центральним урядам і мають прямі гарантійні угоди, надані центральними урядами;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465CE6" w:rsidP="00465CE6">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Європейський фонд фінансової стабільності та Європейський стабілізаційний механізм</w:t>
            </w:r>
            <w:r w:rsidR="00DE77B0" w:rsidRPr="006279CF">
              <w:rPr>
                <w:rFonts w:ascii="Times New Roman" w:eastAsia="Times New Roman" w:hAnsi="Times New Roman" w:cs="Times New Roman"/>
                <w:sz w:val="27"/>
                <w:szCs w:val="27"/>
              </w:rPr>
              <w:t>.</w:t>
            </w:r>
          </w:p>
        </w:tc>
      </w:tr>
    </w:tbl>
    <w:p w:rsidR="00DE77B0" w:rsidRPr="00C52A17" w:rsidRDefault="00DE77B0" w:rsidP="00F5349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52A17">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w:t>
      </w:r>
      <w:r w:rsidR="00F53495">
        <w:rPr>
          <w:rFonts w:ascii="Times New Roman" w:eastAsia="Times New Roman" w:hAnsi="Times New Roman" w:cs="Times New Roman"/>
          <w:sz w:val="27"/>
          <w:szCs w:val="27"/>
          <w:lang w:val="uk-UA"/>
        </w:rPr>
        <w:t>Комісія уповноважена приймати делеговані акти відповідно до ст</w:t>
      </w:r>
      <w:r w:rsidR="00B275D0">
        <w:rPr>
          <w:rFonts w:ascii="Times New Roman" w:eastAsia="Times New Roman" w:hAnsi="Times New Roman" w:cs="Times New Roman"/>
          <w:sz w:val="27"/>
          <w:szCs w:val="27"/>
          <w:lang w:val="uk-UA"/>
        </w:rPr>
        <w:t>атті</w:t>
      </w:r>
      <w:r w:rsidR="00F53495">
        <w:rPr>
          <w:rFonts w:ascii="Times New Roman" w:eastAsia="Times New Roman" w:hAnsi="Times New Roman" w:cs="Times New Roman"/>
          <w:sz w:val="27"/>
          <w:szCs w:val="27"/>
          <w:lang w:val="uk-UA"/>
        </w:rPr>
        <w:t xml:space="preserve"> 82 для внесення змін у перелік, наведений у п. 4 цієї статті.</w:t>
      </w:r>
    </w:p>
    <w:p w:rsidR="00DE77B0" w:rsidRPr="00C52A17" w:rsidRDefault="00F53495" w:rsidP="00AE7DE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З цією метою Комісія до 17 листопада 2012 р. подає Європейському Парламентові та Раді доповідь за результатами оцінки міжнародного режиму </w:t>
      </w:r>
      <w:r>
        <w:rPr>
          <w:rFonts w:ascii="Times New Roman" w:eastAsia="Times New Roman" w:hAnsi="Times New Roman" w:cs="Times New Roman"/>
          <w:sz w:val="27"/>
          <w:szCs w:val="27"/>
          <w:lang w:val="uk-UA"/>
        </w:rPr>
        <w:lastRenderedPageBreak/>
        <w:t>державних органів, які здійснюють управління державним боргом або втручаються в управління ним</w:t>
      </w:r>
      <w:r w:rsidR="00C962CC">
        <w:rPr>
          <w:rFonts w:ascii="Times New Roman" w:eastAsia="Times New Roman" w:hAnsi="Times New Roman" w:cs="Times New Roman"/>
          <w:sz w:val="27"/>
          <w:szCs w:val="27"/>
          <w:lang w:val="ru-RU"/>
        </w:rPr>
        <w:t xml:space="preserve">, та </w:t>
      </w:r>
      <w:r w:rsidR="00C962CC">
        <w:rPr>
          <w:rFonts w:ascii="Times New Roman" w:eastAsia="Times New Roman" w:hAnsi="Times New Roman" w:cs="Times New Roman"/>
          <w:sz w:val="27"/>
          <w:szCs w:val="27"/>
          <w:lang w:val="uk-UA"/>
        </w:rPr>
        <w:t>центральних банків.</w:t>
      </w:r>
    </w:p>
    <w:p w:rsidR="00DE77B0" w:rsidRPr="00C52A17" w:rsidRDefault="00AE7DE5"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Доповідь повинна містити результати порівняльного аналізу режиму</w:t>
      </w:r>
      <w:r w:rsidR="00D75BFA">
        <w:rPr>
          <w:rFonts w:ascii="Times New Roman" w:eastAsia="Times New Roman" w:hAnsi="Times New Roman" w:cs="Times New Roman"/>
          <w:sz w:val="27"/>
          <w:szCs w:val="27"/>
          <w:lang w:val="uk-UA"/>
        </w:rPr>
        <w:t>, передбаченого</w:t>
      </w:r>
      <w:r>
        <w:rPr>
          <w:rFonts w:ascii="Times New Roman" w:eastAsia="Times New Roman" w:hAnsi="Times New Roman" w:cs="Times New Roman"/>
          <w:sz w:val="27"/>
          <w:szCs w:val="27"/>
          <w:lang w:val="uk-UA"/>
        </w:rPr>
        <w:t xml:space="preserve"> для цих органів і центральних банків у правовій базі значної кількості третіх країн</w:t>
      </w:r>
      <w:r w:rsidR="00D75BFA">
        <w:rPr>
          <w:rFonts w:ascii="Times New Roman" w:eastAsia="Times New Roman" w:hAnsi="Times New Roman" w:cs="Times New Roman"/>
          <w:sz w:val="27"/>
          <w:szCs w:val="27"/>
          <w:lang w:val="uk-UA"/>
        </w:rPr>
        <w:t xml:space="preserve">, зокрема щонайменше трьох найважливіших юрисдикцій за обсягами реалізованих контрактів, а також стандартів управління ризиками, застосовних до </w:t>
      </w:r>
      <w:r w:rsidR="009C4031">
        <w:rPr>
          <w:rFonts w:ascii="Times New Roman" w:eastAsia="Times New Roman" w:hAnsi="Times New Roman" w:cs="Times New Roman"/>
          <w:sz w:val="27"/>
          <w:szCs w:val="27"/>
          <w:lang w:val="uk-UA"/>
        </w:rPr>
        <w:t>угод</w:t>
      </w:r>
      <w:r w:rsidR="00D75BFA">
        <w:rPr>
          <w:rFonts w:ascii="Times New Roman" w:eastAsia="Times New Roman" w:hAnsi="Times New Roman" w:cs="Times New Roman"/>
          <w:sz w:val="27"/>
          <w:szCs w:val="27"/>
          <w:lang w:val="uk-UA"/>
        </w:rPr>
        <w:t xml:space="preserve"> </w:t>
      </w:r>
      <w:r w:rsidR="009C4031">
        <w:rPr>
          <w:rFonts w:ascii="Times New Roman" w:eastAsia="Times New Roman" w:hAnsi="Times New Roman" w:cs="Times New Roman"/>
          <w:sz w:val="27"/>
          <w:szCs w:val="27"/>
          <w:lang w:val="uk-UA"/>
        </w:rPr>
        <w:t>і</w:t>
      </w:r>
      <w:r w:rsidR="00D75BFA">
        <w:rPr>
          <w:rFonts w:ascii="Times New Roman" w:eastAsia="Times New Roman" w:hAnsi="Times New Roman" w:cs="Times New Roman"/>
          <w:sz w:val="27"/>
          <w:szCs w:val="27"/>
          <w:lang w:val="uk-UA"/>
        </w:rPr>
        <w:t xml:space="preserve">з деривативами, </w:t>
      </w:r>
      <w:r w:rsidR="009C4031">
        <w:rPr>
          <w:rFonts w:ascii="Times New Roman" w:eastAsia="Times New Roman" w:hAnsi="Times New Roman" w:cs="Times New Roman"/>
          <w:sz w:val="27"/>
          <w:szCs w:val="27"/>
          <w:lang w:val="uk-UA"/>
        </w:rPr>
        <w:t xml:space="preserve">укладених цими органами та центральними банками у цих юрисдикціях. Якщо у доповіді буде зроблено висновок, зокрема, за результатами порівняльного аналізу, що необхідно звільнити грошові </w:t>
      </w:r>
      <w:r w:rsidR="004217C2">
        <w:rPr>
          <w:rFonts w:ascii="Times New Roman" w:eastAsia="Times New Roman" w:hAnsi="Times New Roman" w:cs="Times New Roman"/>
          <w:sz w:val="27"/>
          <w:szCs w:val="27"/>
          <w:lang w:val="uk-UA"/>
        </w:rPr>
        <w:t>функції цих центральних банків третіх країн від виконання зобов’язання щодо клірингу та звітування, то Комісія включить їх у перелік, наведений у п. 4.</w:t>
      </w:r>
    </w:p>
    <w:p w:rsidR="00DE77B0" w:rsidRPr="00C52A17"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52A17">
        <w:rPr>
          <w:rFonts w:ascii="Times New Roman" w:eastAsia="Times New Roman" w:hAnsi="Times New Roman" w:cs="Times New Roman"/>
          <w:i/>
          <w:iCs/>
          <w:sz w:val="27"/>
          <w:szCs w:val="27"/>
          <w:lang w:val="ru-RU"/>
        </w:rPr>
        <w:t>Стаття</w:t>
      </w:r>
      <w:proofErr w:type="spellEnd"/>
      <w:r w:rsidR="00DE77B0" w:rsidRPr="00C52A17">
        <w:rPr>
          <w:rFonts w:ascii="Times New Roman" w:eastAsia="Times New Roman" w:hAnsi="Times New Roman" w:cs="Times New Roman"/>
          <w:i/>
          <w:iCs/>
          <w:sz w:val="27"/>
          <w:szCs w:val="27"/>
          <w:lang w:val="ru-RU"/>
        </w:rPr>
        <w:t xml:space="preserve"> 2</w:t>
      </w:r>
    </w:p>
    <w:p w:rsidR="00DE77B0" w:rsidRPr="006279CF" w:rsidRDefault="00081598"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sidRPr="006279CF">
        <w:rPr>
          <w:rFonts w:ascii="Times New Roman" w:eastAsia="Times New Roman" w:hAnsi="Times New Roman" w:cs="Times New Roman"/>
          <w:b/>
          <w:bCs/>
          <w:sz w:val="27"/>
          <w:szCs w:val="27"/>
          <w:lang w:val="uk-UA"/>
        </w:rPr>
        <w:t>Визначення термінів</w:t>
      </w:r>
    </w:p>
    <w:p w:rsidR="00DE77B0" w:rsidRPr="00C52A17" w:rsidRDefault="002F07DB" w:rsidP="002F07D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Для цілей цього регламенту діють наступні визначення термінів:</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52A17" w:rsidRDefault="002F07DB" w:rsidP="00D53B6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«ЦКА»</w:t>
            </w:r>
            <w:r w:rsidR="00D53B69">
              <w:rPr>
                <w:rFonts w:ascii="Times New Roman" w:eastAsia="Times New Roman" w:hAnsi="Times New Roman" w:cs="Times New Roman"/>
                <w:sz w:val="27"/>
                <w:szCs w:val="27"/>
                <w:lang w:val="uk-UA"/>
              </w:rPr>
              <w:t xml:space="preserve"> - юридична особа, яка встає між контрагентами контрактів, що торгуються на одному чи декількох фінансових ринках, становлячись покупцем для кожного продавця і продавцем для кожного покупця;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52A17" w:rsidRDefault="005825C3" w:rsidP="005825C3">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«торговий </w:t>
            </w:r>
            <w:proofErr w:type="spellStart"/>
            <w:r>
              <w:rPr>
                <w:rFonts w:ascii="Times New Roman" w:eastAsia="Times New Roman" w:hAnsi="Times New Roman" w:cs="Times New Roman"/>
                <w:sz w:val="27"/>
                <w:szCs w:val="27"/>
                <w:lang w:val="uk-UA"/>
              </w:rPr>
              <w:t>репозитарій</w:t>
            </w:r>
            <w:proofErr w:type="spellEnd"/>
            <w:r>
              <w:rPr>
                <w:rFonts w:ascii="Times New Roman" w:eastAsia="Times New Roman" w:hAnsi="Times New Roman" w:cs="Times New Roman"/>
                <w:sz w:val="27"/>
                <w:szCs w:val="27"/>
                <w:lang w:val="uk-UA"/>
              </w:rPr>
              <w:t>» - юридична особа, яка здійснює централізоване збирання і ведення документації щодо деривативів;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5825C3" w:rsidP="00C54D13">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«кліринг» - процес установлення позицій, зокрема розрахунок чистих зобов’язань, і забезпечення наявності фінансових інструментів, </w:t>
            </w:r>
            <w:r w:rsidR="000A03D7">
              <w:rPr>
                <w:rFonts w:ascii="Times New Roman" w:eastAsia="Times New Roman" w:hAnsi="Times New Roman" w:cs="Times New Roman"/>
                <w:sz w:val="27"/>
                <w:szCs w:val="27"/>
                <w:lang w:val="uk-UA"/>
              </w:rPr>
              <w:t xml:space="preserve">грошових коштів або і </w:t>
            </w:r>
            <w:r w:rsidR="00C54D13">
              <w:rPr>
                <w:rFonts w:ascii="Times New Roman" w:eastAsia="Times New Roman" w:hAnsi="Times New Roman" w:cs="Times New Roman"/>
                <w:sz w:val="27"/>
                <w:szCs w:val="27"/>
                <w:lang w:val="uk-UA"/>
              </w:rPr>
              <w:t>того, й іншого для забезпечення вимог, що випливають з цих позицій;</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C54D13" w:rsidP="00412A5C">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«торговельний майданчик» - система, якою керує інвестиційна фірма чи оператор ринку в значенні ст</w:t>
            </w:r>
            <w:r w:rsidR="00B275D0">
              <w:rPr>
                <w:rFonts w:ascii="Times New Roman" w:eastAsia="Times New Roman" w:hAnsi="Times New Roman" w:cs="Times New Roman"/>
                <w:sz w:val="27"/>
                <w:szCs w:val="27"/>
                <w:lang w:val="uk-UA"/>
              </w:rPr>
              <w:t>атей</w:t>
            </w:r>
            <w:r w:rsidR="00DE77B0" w:rsidRPr="001063BE">
              <w:rPr>
                <w:rFonts w:ascii="Times New Roman" w:eastAsia="Times New Roman" w:hAnsi="Times New Roman" w:cs="Times New Roman"/>
                <w:sz w:val="27"/>
                <w:szCs w:val="27"/>
              </w:rPr>
              <w:t xml:space="preserve"> 4(1)(1) </w:t>
            </w:r>
            <w:r>
              <w:rPr>
                <w:rFonts w:ascii="Times New Roman" w:eastAsia="Times New Roman" w:hAnsi="Times New Roman" w:cs="Times New Roman"/>
                <w:sz w:val="27"/>
                <w:szCs w:val="27"/>
                <w:lang w:val="uk-UA"/>
              </w:rPr>
              <w:t>та</w:t>
            </w:r>
            <w:r w:rsidR="00DE77B0" w:rsidRPr="001063BE">
              <w:rPr>
                <w:rFonts w:ascii="Times New Roman" w:eastAsia="Times New Roman" w:hAnsi="Times New Roman" w:cs="Times New Roman"/>
                <w:sz w:val="27"/>
                <w:szCs w:val="27"/>
              </w:rPr>
              <w:t xml:space="preserve"> 4(1)(13) </w:t>
            </w:r>
            <w:proofErr w:type="spellStart"/>
            <w:r>
              <w:rPr>
                <w:rFonts w:ascii="Times New Roman" w:eastAsia="Times New Roman" w:hAnsi="Times New Roman" w:cs="Times New Roman"/>
                <w:sz w:val="27"/>
                <w:szCs w:val="27"/>
                <w:lang w:val="ru-RU"/>
              </w:rPr>
              <w:t>Директиви</w:t>
            </w:r>
            <w:proofErr w:type="spellEnd"/>
            <w:r w:rsidR="00DE77B0" w:rsidRPr="001063BE">
              <w:rPr>
                <w:rFonts w:ascii="Times New Roman" w:eastAsia="Times New Roman" w:hAnsi="Times New Roman" w:cs="Times New Roman"/>
                <w:sz w:val="27"/>
                <w:szCs w:val="27"/>
              </w:rPr>
              <w:t xml:space="preserve"> 2004/39/</w:t>
            </w:r>
            <w:r w:rsidR="00DE77B0" w:rsidRPr="006279CF">
              <w:rPr>
                <w:rFonts w:ascii="Times New Roman" w:eastAsia="Times New Roman" w:hAnsi="Times New Roman" w:cs="Times New Roman"/>
                <w:sz w:val="27"/>
                <w:szCs w:val="27"/>
              </w:rPr>
              <w:t>EC</w:t>
            </w:r>
            <w:r>
              <w:rPr>
                <w:rFonts w:ascii="Times New Roman" w:eastAsia="Times New Roman" w:hAnsi="Times New Roman" w:cs="Times New Roman"/>
                <w:sz w:val="27"/>
                <w:szCs w:val="27"/>
                <w:lang w:val="uk-UA"/>
              </w:rPr>
              <w:t>, інш</w:t>
            </w:r>
            <w:r w:rsidR="00806D8F">
              <w:rPr>
                <w:rFonts w:ascii="Times New Roman" w:eastAsia="Times New Roman" w:hAnsi="Times New Roman" w:cs="Times New Roman"/>
                <w:sz w:val="27"/>
                <w:szCs w:val="27"/>
                <w:lang w:val="uk-UA"/>
              </w:rPr>
              <w:t>ий, ніж систем</w:t>
            </w:r>
            <w:r w:rsidR="001063BE">
              <w:rPr>
                <w:rFonts w:ascii="Times New Roman" w:eastAsia="Times New Roman" w:hAnsi="Times New Roman" w:cs="Times New Roman"/>
                <w:sz w:val="27"/>
                <w:szCs w:val="27"/>
                <w:lang w:val="uk-UA"/>
              </w:rPr>
              <w:t>атич</w:t>
            </w:r>
            <w:r w:rsidR="00806D8F">
              <w:rPr>
                <w:rFonts w:ascii="Times New Roman" w:eastAsia="Times New Roman" w:hAnsi="Times New Roman" w:cs="Times New Roman"/>
                <w:sz w:val="27"/>
                <w:szCs w:val="27"/>
                <w:lang w:val="uk-UA"/>
              </w:rPr>
              <w:t xml:space="preserve">ний </w:t>
            </w:r>
            <w:r w:rsidR="001063BE">
              <w:rPr>
                <w:rFonts w:ascii="Times New Roman" w:eastAsia="Times New Roman" w:hAnsi="Times New Roman" w:cs="Times New Roman"/>
                <w:sz w:val="27"/>
                <w:szCs w:val="27"/>
                <w:lang w:val="uk-UA"/>
              </w:rPr>
              <w:t>перекупник</w:t>
            </w:r>
            <w:r w:rsidR="00806D8F">
              <w:rPr>
                <w:rFonts w:ascii="Times New Roman" w:eastAsia="Times New Roman" w:hAnsi="Times New Roman" w:cs="Times New Roman"/>
                <w:sz w:val="27"/>
                <w:szCs w:val="27"/>
                <w:lang w:val="uk-UA"/>
              </w:rPr>
              <w:t xml:space="preserve"> у значенні ст. 4(1)(</w:t>
            </w:r>
            <w:r w:rsidR="001063BE">
              <w:rPr>
                <w:rFonts w:ascii="Times New Roman" w:eastAsia="Times New Roman" w:hAnsi="Times New Roman" w:cs="Times New Roman"/>
                <w:sz w:val="27"/>
                <w:szCs w:val="27"/>
                <w:lang w:val="uk-UA"/>
              </w:rPr>
              <w:t xml:space="preserve">7) цієї директиви, </w:t>
            </w:r>
            <w:r w:rsidR="001E0835">
              <w:rPr>
                <w:rFonts w:ascii="Times New Roman" w:eastAsia="Times New Roman" w:hAnsi="Times New Roman" w:cs="Times New Roman"/>
                <w:sz w:val="27"/>
                <w:szCs w:val="27"/>
                <w:lang w:val="uk-UA"/>
              </w:rPr>
              <w:t>і яка зводить інтереси</w:t>
            </w:r>
            <w:r w:rsidR="001063BE">
              <w:rPr>
                <w:rFonts w:ascii="Times New Roman" w:eastAsia="Times New Roman" w:hAnsi="Times New Roman" w:cs="Times New Roman"/>
                <w:sz w:val="27"/>
                <w:szCs w:val="27"/>
                <w:lang w:val="uk-UA"/>
              </w:rPr>
              <w:t xml:space="preserve"> щодо продажу та купівлі фінансових інструментів у спосіб, що призводить до</w:t>
            </w:r>
            <w:r w:rsidR="001E0835">
              <w:rPr>
                <w:rFonts w:ascii="Times New Roman" w:eastAsia="Times New Roman" w:hAnsi="Times New Roman" w:cs="Times New Roman"/>
                <w:sz w:val="27"/>
                <w:szCs w:val="27"/>
                <w:lang w:val="uk-UA"/>
              </w:rPr>
              <w:t xml:space="preserve"> укладення контракту згідно з розділом ІІ або ІІІ цієї директиви;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B02FD" w:rsidRDefault="0074236B" w:rsidP="00412A5C">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«дериватив» або «контракт на дериватив» - фінансовий інструмент</w:t>
            </w:r>
            <w:r w:rsidR="00FB02FD">
              <w:rPr>
                <w:rFonts w:ascii="Times New Roman" w:eastAsia="Times New Roman" w:hAnsi="Times New Roman" w:cs="Times New Roman"/>
                <w:sz w:val="27"/>
                <w:szCs w:val="27"/>
                <w:lang w:val="ru-RU"/>
              </w:rPr>
              <w:t xml:space="preserve"> </w:t>
            </w:r>
            <w:r w:rsidR="00FB02FD">
              <w:rPr>
                <w:rFonts w:ascii="Times New Roman" w:eastAsia="Times New Roman" w:hAnsi="Times New Roman" w:cs="Times New Roman"/>
                <w:sz w:val="27"/>
                <w:szCs w:val="27"/>
                <w:lang w:val="uk-UA"/>
              </w:rPr>
              <w:t xml:space="preserve">згідно з </w:t>
            </w:r>
            <w:proofErr w:type="spellStart"/>
            <w:r w:rsidR="00FB02FD">
              <w:rPr>
                <w:rFonts w:ascii="Times New Roman" w:eastAsia="Times New Roman" w:hAnsi="Times New Roman" w:cs="Times New Roman"/>
                <w:sz w:val="27"/>
                <w:szCs w:val="27"/>
                <w:lang w:val="uk-UA"/>
              </w:rPr>
              <w:t>пп</w:t>
            </w:r>
            <w:proofErr w:type="spellEnd"/>
            <w:r w:rsidR="00FB02FD">
              <w:rPr>
                <w:rFonts w:ascii="Times New Roman" w:eastAsia="Times New Roman" w:hAnsi="Times New Roman" w:cs="Times New Roman"/>
                <w:sz w:val="27"/>
                <w:szCs w:val="27"/>
                <w:lang w:val="uk-UA"/>
              </w:rPr>
              <w:t xml:space="preserve">. (4)-(10) розділу С Додатку І до Директиви </w:t>
            </w:r>
            <w:r w:rsidR="00DE77B0" w:rsidRPr="00FB02FD">
              <w:rPr>
                <w:rFonts w:ascii="Times New Roman" w:eastAsia="Times New Roman" w:hAnsi="Times New Roman" w:cs="Times New Roman"/>
                <w:sz w:val="27"/>
                <w:szCs w:val="27"/>
                <w:lang w:val="ru-RU"/>
              </w:rPr>
              <w:t>2004/39/</w:t>
            </w:r>
            <w:r w:rsidR="00DE77B0" w:rsidRPr="006279CF">
              <w:rPr>
                <w:rFonts w:ascii="Times New Roman" w:eastAsia="Times New Roman" w:hAnsi="Times New Roman" w:cs="Times New Roman"/>
                <w:sz w:val="27"/>
                <w:szCs w:val="27"/>
              </w:rPr>
              <w:t>EC</w:t>
            </w:r>
            <w:r w:rsidR="00FB02FD">
              <w:rPr>
                <w:rFonts w:ascii="Times New Roman" w:eastAsia="Times New Roman" w:hAnsi="Times New Roman" w:cs="Times New Roman"/>
                <w:sz w:val="27"/>
                <w:szCs w:val="27"/>
                <w:lang w:val="uk-UA"/>
              </w:rPr>
              <w:t xml:space="preserve">, </w:t>
            </w:r>
            <w:proofErr w:type="spellStart"/>
            <w:r w:rsidR="00FB02FD">
              <w:rPr>
                <w:rFonts w:ascii="Times New Roman" w:eastAsia="Times New Roman" w:hAnsi="Times New Roman" w:cs="Times New Roman"/>
                <w:sz w:val="27"/>
                <w:szCs w:val="27"/>
                <w:lang w:val="uk-UA"/>
              </w:rPr>
              <w:t>імплементованої</w:t>
            </w:r>
            <w:proofErr w:type="spellEnd"/>
            <w:r w:rsidR="00FB02FD">
              <w:rPr>
                <w:rFonts w:ascii="Times New Roman" w:eastAsia="Times New Roman" w:hAnsi="Times New Roman" w:cs="Times New Roman"/>
                <w:sz w:val="27"/>
                <w:szCs w:val="27"/>
                <w:lang w:val="uk-UA"/>
              </w:rPr>
              <w:t xml:space="preserve"> ст</w:t>
            </w:r>
            <w:r w:rsidR="00412A5C">
              <w:rPr>
                <w:rFonts w:ascii="Times New Roman" w:eastAsia="Times New Roman" w:hAnsi="Times New Roman" w:cs="Times New Roman"/>
                <w:sz w:val="27"/>
                <w:szCs w:val="27"/>
                <w:lang w:val="uk-UA"/>
              </w:rPr>
              <w:t>аттями</w:t>
            </w:r>
            <w:r w:rsidR="00FB02FD">
              <w:rPr>
                <w:rFonts w:ascii="Times New Roman" w:eastAsia="Times New Roman" w:hAnsi="Times New Roman" w:cs="Times New Roman"/>
                <w:sz w:val="27"/>
                <w:szCs w:val="27"/>
                <w:lang w:val="uk-UA"/>
              </w:rPr>
              <w:t xml:space="preserve"> 38 і 39 Регламенту</w:t>
            </w:r>
            <w:r w:rsidR="00DE77B0" w:rsidRPr="00FB02FD">
              <w:rPr>
                <w:rFonts w:ascii="Times New Roman" w:eastAsia="Times New Roman" w:hAnsi="Times New Roman" w:cs="Times New Roman"/>
                <w:sz w:val="27"/>
                <w:szCs w:val="27"/>
                <w:lang w:val="ru-RU"/>
              </w:rPr>
              <w:t xml:space="preserve"> (</w:t>
            </w:r>
            <w:r w:rsidR="00DE77B0" w:rsidRPr="006279CF">
              <w:rPr>
                <w:rFonts w:ascii="Times New Roman" w:eastAsia="Times New Roman" w:hAnsi="Times New Roman" w:cs="Times New Roman"/>
                <w:sz w:val="27"/>
                <w:szCs w:val="27"/>
              </w:rPr>
              <w:t>EC</w:t>
            </w:r>
            <w:r w:rsidR="00DE77B0" w:rsidRPr="00FB02FD">
              <w:rPr>
                <w:rFonts w:ascii="Times New Roman" w:eastAsia="Times New Roman" w:hAnsi="Times New Roman" w:cs="Times New Roman"/>
                <w:sz w:val="27"/>
                <w:szCs w:val="27"/>
                <w:lang w:val="ru-RU"/>
              </w:rPr>
              <w:t xml:space="preserve">) </w:t>
            </w:r>
            <w:r w:rsidR="00FB02FD">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 </w:t>
            </w:r>
            <w:r w:rsidR="00DE77B0" w:rsidRPr="00FB02FD">
              <w:rPr>
                <w:rFonts w:ascii="Times New Roman" w:eastAsia="Times New Roman" w:hAnsi="Times New Roman" w:cs="Times New Roman"/>
                <w:sz w:val="27"/>
                <w:szCs w:val="27"/>
                <w:lang w:val="ru-RU"/>
              </w:rPr>
              <w:t>1287/2006;</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52A17" w:rsidRDefault="00FB02FD" w:rsidP="00F4522D">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«клас деривативів» - підмножина деривативів із спільними та важливими характе</w:t>
            </w:r>
            <w:r w:rsidR="00F4522D">
              <w:rPr>
                <w:rFonts w:ascii="Times New Roman" w:eastAsia="Times New Roman" w:hAnsi="Times New Roman" w:cs="Times New Roman"/>
                <w:sz w:val="27"/>
                <w:szCs w:val="27"/>
                <w:lang w:val="uk-UA"/>
              </w:rPr>
              <w:t xml:space="preserve">ристиками, як мінімум, такими як відношення до базового активу, </w:t>
            </w:r>
            <w:r w:rsidR="00F4522D">
              <w:rPr>
                <w:rFonts w:ascii="Times New Roman" w:eastAsia="Times New Roman" w:hAnsi="Times New Roman" w:cs="Times New Roman"/>
                <w:sz w:val="27"/>
                <w:szCs w:val="27"/>
                <w:lang w:val="uk-UA"/>
              </w:rPr>
              <w:lastRenderedPageBreak/>
              <w:t>тип базового активу</w:t>
            </w:r>
            <w:r w:rsidR="00F4522D" w:rsidRPr="00C52A17">
              <w:rPr>
                <w:rFonts w:ascii="Times New Roman" w:eastAsia="Times New Roman" w:hAnsi="Times New Roman" w:cs="Times New Roman"/>
                <w:sz w:val="27"/>
                <w:szCs w:val="27"/>
                <w:lang w:val="ru-RU"/>
              </w:rPr>
              <w:t xml:space="preserve"> </w:t>
            </w:r>
            <w:r w:rsidR="00F4522D">
              <w:rPr>
                <w:rFonts w:ascii="Times New Roman" w:eastAsia="Times New Roman" w:hAnsi="Times New Roman" w:cs="Times New Roman"/>
                <w:sz w:val="27"/>
                <w:szCs w:val="27"/>
                <w:lang w:val="uk-UA"/>
              </w:rPr>
              <w:t>і валюта номінальної суми. Деривативи, що належать до одного класу, можуть мати різні строки погашення;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85667E" w:rsidRDefault="00A40209" w:rsidP="00412A5C">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«позабіржовий дериватив» або «контракт на позабіржовий дериватив» - контракт на дериватив, виконання котрого не здійснюється </w:t>
            </w:r>
            <w:r w:rsidR="0085667E">
              <w:rPr>
                <w:rFonts w:ascii="Times New Roman" w:eastAsia="Times New Roman" w:hAnsi="Times New Roman" w:cs="Times New Roman"/>
                <w:sz w:val="27"/>
                <w:szCs w:val="27"/>
                <w:lang w:val="uk-UA"/>
              </w:rPr>
              <w:t>на регульованому ринку, як у значенні ст</w:t>
            </w:r>
            <w:r w:rsidR="00412A5C">
              <w:rPr>
                <w:rFonts w:ascii="Times New Roman" w:eastAsia="Times New Roman" w:hAnsi="Times New Roman" w:cs="Times New Roman"/>
                <w:sz w:val="27"/>
                <w:szCs w:val="27"/>
                <w:lang w:val="uk-UA"/>
              </w:rPr>
              <w:t>атті</w:t>
            </w:r>
            <w:r w:rsidR="00DE77B0" w:rsidRPr="0085667E">
              <w:rPr>
                <w:rFonts w:ascii="Times New Roman" w:eastAsia="Times New Roman" w:hAnsi="Times New Roman" w:cs="Times New Roman"/>
                <w:sz w:val="27"/>
                <w:szCs w:val="27"/>
                <w:lang w:val="ru-RU"/>
              </w:rPr>
              <w:t xml:space="preserve"> 4(1)(14) </w:t>
            </w:r>
            <w:r w:rsidR="0085667E">
              <w:rPr>
                <w:rFonts w:ascii="Times New Roman" w:eastAsia="Times New Roman" w:hAnsi="Times New Roman" w:cs="Times New Roman"/>
                <w:sz w:val="27"/>
                <w:szCs w:val="27"/>
                <w:lang w:val="uk-UA"/>
              </w:rPr>
              <w:t>Директиви</w:t>
            </w:r>
            <w:r w:rsidR="00DE77B0" w:rsidRPr="0085667E">
              <w:rPr>
                <w:rFonts w:ascii="Times New Roman" w:eastAsia="Times New Roman" w:hAnsi="Times New Roman" w:cs="Times New Roman"/>
                <w:sz w:val="27"/>
                <w:szCs w:val="27"/>
                <w:lang w:val="ru-RU"/>
              </w:rPr>
              <w:t xml:space="preserve"> 2004/39/</w:t>
            </w:r>
            <w:r w:rsidR="00DE77B0" w:rsidRPr="006279CF">
              <w:rPr>
                <w:rFonts w:ascii="Times New Roman" w:eastAsia="Times New Roman" w:hAnsi="Times New Roman" w:cs="Times New Roman"/>
                <w:sz w:val="27"/>
                <w:szCs w:val="27"/>
              </w:rPr>
              <w:t>EC</w:t>
            </w:r>
            <w:r w:rsidR="0085667E">
              <w:rPr>
                <w:rFonts w:ascii="Times New Roman" w:eastAsia="Times New Roman" w:hAnsi="Times New Roman" w:cs="Times New Roman"/>
                <w:sz w:val="27"/>
                <w:szCs w:val="27"/>
                <w:lang w:val="uk-UA"/>
              </w:rPr>
              <w:t>, або на ринку третьої країни, який вважається еквівалентним регульованому ринку згідно зі ст. 19(6) Директиви</w:t>
            </w:r>
            <w:r w:rsidR="00DE77B0" w:rsidRPr="0085667E">
              <w:rPr>
                <w:rFonts w:ascii="Times New Roman" w:eastAsia="Times New Roman" w:hAnsi="Times New Roman" w:cs="Times New Roman"/>
                <w:sz w:val="27"/>
                <w:szCs w:val="27"/>
                <w:lang w:val="ru-RU"/>
              </w:rPr>
              <w:t xml:space="preserve"> 2004/39/</w:t>
            </w:r>
            <w:r w:rsidR="00DE77B0" w:rsidRPr="006279CF">
              <w:rPr>
                <w:rFonts w:ascii="Times New Roman" w:eastAsia="Times New Roman" w:hAnsi="Times New Roman" w:cs="Times New Roman"/>
                <w:sz w:val="27"/>
                <w:szCs w:val="27"/>
              </w:rPr>
              <w:t>EC</w:t>
            </w:r>
            <w:r w:rsidR="00DE77B0" w:rsidRPr="0085667E">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4157AE" w:rsidP="00412A5C">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«фінансовий контрагент» - інвестиційна фірма, уповноважена Директивою</w:t>
            </w:r>
            <w:r w:rsidRPr="00837BD7">
              <w:rPr>
                <w:rFonts w:ascii="Times New Roman" w:eastAsia="Times New Roman" w:hAnsi="Times New Roman" w:cs="Times New Roman"/>
                <w:sz w:val="27"/>
                <w:szCs w:val="27"/>
                <w:lang w:val="ru-RU"/>
              </w:rPr>
              <w:t xml:space="preserve"> 2004/39/</w:t>
            </w:r>
            <w:r w:rsidRPr="006279CF">
              <w:rPr>
                <w:rFonts w:ascii="Times New Roman" w:eastAsia="Times New Roman" w:hAnsi="Times New Roman" w:cs="Times New Roman"/>
                <w:sz w:val="27"/>
                <w:szCs w:val="27"/>
              </w:rPr>
              <w:t>EC</w:t>
            </w:r>
            <w:r w:rsidRPr="00837BD7">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кредитна установа, уповноважена Директивою</w:t>
            </w:r>
            <w:r w:rsidRPr="00837BD7">
              <w:rPr>
                <w:rFonts w:ascii="Times New Roman" w:eastAsia="Times New Roman" w:hAnsi="Times New Roman" w:cs="Times New Roman"/>
                <w:sz w:val="27"/>
                <w:szCs w:val="27"/>
                <w:lang w:val="ru-RU"/>
              </w:rPr>
              <w:t xml:space="preserve"> 2006/48/</w:t>
            </w:r>
            <w:r w:rsidRPr="006279CF">
              <w:rPr>
                <w:rFonts w:ascii="Times New Roman" w:eastAsia="Times New Roman" w:hAnsi="Times New Roman" w:cs="Times New Roman"/>
                <w:sz w:val="27"/>
                <w:szCs w:val="27"/>
              </w:rPr>
              <w:t>EC</w:t>
            </w:r>
            <w:r w:rsidRPr="00DF20EF">
              <w:rPr>
                <w:rFonts w:ascii="Times New Roman" w:eastAsia="Times New Roman" w:hAnsi="Times New Roman" w:cs="Times New Roman"/>
                <w:sz w:val="27"/>
                <w:szCs w:val="27"/>
                <w:lang w:val="ru-RU"/>
              </w:rPr>
              <w:t xml:space="preserve">, </w:t>
            </w:r>
            <w:proofErr w:type="spellStart"/>
            <w:r>
              <w:rPr>
                <w:rFonts w:ascii="Times New Roman" w:eastAsia="Times New Roman" w:hAnsi="Times New Roman" w:cs="Times New Roman"/>
                <w:sz w:val="27"/>
                <w:szCs w:val="27"/>
                <w:lang w:val="ru-RU"/>
              </w:rPr>
              <w:t>страхов</w:t>
            </w:r>
            <w:r w:rsidR="00D75D2D">
              <w:rPr>
                <w:rFonts w:ascii="Times New Roman" w:eastAsia="Times New Roman" w:hAnsi="Times New Roman" w:cs="Times New Roman"/>
                <w:sz w:val="27"/>
                <w:szCs w:val="27"/>
                <w:lang w:val="ru-RU"/>
              </w:rPr>
              <w:t>а</w:t>
            </w:r>
            <w:proofErr w:type="spellEnd"/>
            <w:r>
              <w:rPr>
                <w:rFonts w:ascii="Times New Roman" w:eastAsia="Times New Roman" w:hAnsi="Times New Roman" w:cs="Times New Roman"/>
                <w:sz w:val="27"/>
                <w:szCs w:val="27"/>
                <w:lang w:val="ru-RU"/>
              </w:rPr>
              <w:t xml:space="preserve"> </w:t>
            </w:r>
            <w:proofErr w:type="spellStart"/>
            <w:r>
              <w:rPr>
                <w:rFonts w:ascii="Times New Roman" w:eastAsia="Times New Roman" w:hAnsi="Times New Roman" w:cs="Times New Roman"/>
                <w:sz w:val="27"/>
                <w:szCs w:val="27"/>
                <w:lang w:val="ru-RU"/>
              </w:rPr>
              <w:t>компані</w:t>
            </w:r>
            <w:r w:rsidR="00D75D2D">
              <w:rPr>
                <w:rFonts w:ascii="Times New Roman" w:eastAsia="Times New Roman" w:hAnsi="Times New Roman" w:cs="Times New Roman"/>
                <w:sz w:val="27"/>
                <w:szCs w:val="27"/>
                <w:lang w:val="ru-RU"/>
              </w:rPr>
              <w:t>я</w:t>
            </w:r>
            <w:proofErr w:type="spellEnd"/>
            <w:r>
              <w:rPr>
                <w:rFonts w:ascii="Times New Roman" w:eastAsia="Times New Roman" w:hAnsi="Times New Roman" w:cs="Times New Roman"/>
                <w:sz w:val="27"/>
                <w:szCs w:val="27"/>
                <w:lang w:val="ru-RU"/>
              </w:rPr>
              <w:t xml:space="preserve">, </w:t>
            </w:r>
            <w:proofErr w:type="spellStart"/>
            <w:r>
              <w:rPr>
                <w:rFonts w:ascii="Times New Roman" w:eastAsia="Times New Roman" w:hAnsi="Times New Roman" w:cs="Times New Roman"/>
                <w:sz w:val="27"/>
                <w:szCs w:val="27"/>
                <w:lang w:val="ru-RU"/>
              </w:rPr>
              <w:t>уповноважен</w:t>
            </w:r>
            <w:r w:rsidR="00D75D2D">
              <w:rPr>
                <w:rFonts w:ascii="Times New Roman" w:eastAsia="Times New Roman" w:hAnsi="Times New Roman" w:cs="Times New Roman"/>
                <w:sz w:val="27"/>
                <w:szCs w:val="27"/>
                <w:lang w:val="ru-RU"/>
              </w:rPr>
              <w:t>а</w:t>
            </w:r>
            <w:proofErr w:type="spellEnd"/>
            <w:r>
              <w:rPr>
                <w:rFonts w:ascii="Times New Roman" w:eastAsia="Times New Roman" w:hAnsi="Times New Roman" w:cs="Times New Roman"/>
                <w:sz w:val="27"/>
                <w:szCs w:val="27"/>
                <w:lang w:val="uk-UA"/>
              </w:rPr>
              <w:t xml:space="preserve"> </w:t>
            </w:r>
            <w:r w:rsidR="00D75D2D">
              <w:rPr>
                <w:rFonts w:ascii="Times New Roman" w:eastAsia="Times New Roman" w:hAnsi="Times New Roman" w:cs="Times New Roman"/>
                <w:sz w:val="27"/>
                <w:szCs w:val="27"/>
                <w:lang w:val="uk-UA"/>
              </w:rPr>
              <w:t>Д</w:t>
            </w:r>
            <w:r>
              <w:rPr>
                <w:rFonts w:ascii="Times New Roman" w:eastAsia="Times New Roman" w:hAnsi="Times New Roman" w:cs="Times New Roman"/>
                <w:sz w:val="27"/>
                <w:szCs w:val="27"/>
                <w:lang w:val="uk-UA"/>
              </w:rPr>
              <w:t>ирективою 73/239/ЕЕС</w:t>
            </w:r>
            <w:r w:rsidRPr="006B7B80">
              <w:rPr>
                <w:rFonts w:ascii="Times New Roman" w:eastAsia="Times New Roman" w:hAnsi="Times New Roman" w:cs="Times New Roman"/>
                <w:sz w:val="27"/>
                <w:szCs w:val="27"/>
                <w:lang w:val="uk-UA"/>
              </w:rPr>
              <w:t>,</w:t>
            </w:r>
            <w:r w:rsidR="00D75D2D">
              <w:rPr>
                <w:rFonts w:ascii="Times New Roman" w:eastAsia="Times New Roman" w:hAnsi="Times New Roman" w:cs="Times New Roman"/>
                <w:sz w:val="27"/>
                <w:szCs w:val="27"/>
                <w:lang w:val="uk-UA"/>
              </w:rPr>
              <w:t xml:space="preserve"> страхова компанія</w:t>
            </w:r>
            <w:r>
              <w:rPr>
                <w:rFonts w:ascii="Times New Roman" w:eastAsia="Times New Roman" w:hAnsi="Times New Roman" w:cs="Times New Roman"/>
                <w:sz w:val="27"/>
                <w:szCs w:val="27"/>
                <w:lang w:val="uk-UA"/>
              </w:rPr>
              <w:t>, уповноважен</w:t>
            </w:r>
            <w:r w:rsidR="00D75D2D">
              <w:rPr>
                <w:rFonts w:ascii="Times New Roman" w:eastAsia="Times New Roman" w:hAnsi="Times New Roman" w:cs="Times New Roman"/>
                <w:sz w:val="27"/>
                <w:szCs w:val="27"/>
                <w:lang w:val="uk-UA"/>
              </w:rPr>
              <w:t>а</w:t>
            </w:r>
            <w:r>
              <w:rPr>
                <w:rFonts w:ascii="Times New Roman" w:eastAsia="Times New Roman" w:hAnsi="Times New Roman" w:cs="Times New Roman"/>
                <w:sz w:val="27"/>
                <w:szCs w:val="27"/>
                <w:lang w:val="uk-UA"/>
              </w:rPr>
              <w:t xml:space="preserve"> Директивою</w:t>
            </w:r>
            <w:r w:rsidRPr="006B7B80">
              <w:rPr>
                <w:rFonts w:ascii="Times New Roman" w:eastAsia="Times New Roman" w:hAnsi="Times New Roman" w:cs="Times New Roman"/>
                <w:sz w:val="27"/>
                <w:szCs w:val="27"/>
                <w:lang w:val="uk-UA"/>
              </w:rPr>
              <w:t xml:space="preserve"> 2002/83/</w:t>
            </w:r>
            <w:r w:rsidRPr="006279CF">
              <w:rPr>
                <w:rFonts w:ascii="Times New Roman" w:eastAsia="Times New Roman" w:hAnsi="Times New Roman" w:cs="Times New Roman"/>
                <w:sz w:val="27"/>
                <w:szCs w:val="27"/>
              </w:rPr>
              <w:t>EC</w:t>
            </w:r>
            <w:r w:rsidRPr="006B7B80">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організаці</w:t>
            </w:r>
            <w:r w:rsidR="00D75D2D">
              <w:rPr>
                <w:rFonts w:ascii="Times New Roman" w:eastAsia="Times New Roman" w:hAnsi="Times New Roman" w:cs="Times New Roman"/>
                <w:sz w:val="27"/>
                <w:szCs w:val="27"/>
                <w:lang w:val="uk-UA"/>
              </w:rPr>
              <w:t>я</w:t>
            </w:r>
            <w:r>
              <w:rPr>
                <w:rFonts w:ascii="Times New Roman" w:eastAsia="Times New Roman" w:hAnsi="Times New Roman" w:cs="Times New Roman"/>
                <w:sz w:val="27"/>
                <w:szCs w:val="27"/>
                <w:lang w:val="uk-UA"/>
              </w:rPr>
              <w:t xml:space="preserve"> перестрахування, уповноважен</w:t>
            </w:r>
            <w:r w:rsidR="00D75D2D">
              <w:rPr>
                <w:rFonts w:ascii="Times New Roman" w:eastAsia="Times New Roman" w:hAnsi="Times New Roman" w:cs="Times New Roman"/>
                <w:sz w:val="27"/>
                <w:szCs w:val="27"/>
                <w:lang w:val="uk-UA"/>
              </w:rPr>
              <w:t>а</w:t>
            </w:r>
            <w:r>
              <w:rPr>
                <w:rFonts w:ascii="Times New Roman" w:eastAsia="Times New Roman" w:hAnsi="Times New Roman" w:cs="Times New Roman"/>
                <w:sz w:val="27"/>
                <w:szCs w:val="27"/>
                <w:lang w:val="uk-UA"/>
              </w:rPr>
              <w:t xml:space="preserve"> Директивою</w:t>
            </w:r>
            <w:r w:rsidRPr="006B7B80">
              <w:rPr>
                <w:rFonts w:ascii="Times New Roman" w:eastAsia="Times New Roman" w:hAnsi="Times New Roman" w:cs="Times New Roman"/>
                <w:sz w:val="27"/>
                <w:szCs w:val="27"/>
                <w:lang w:val="uk-UA"/>
              </w:rPr>
              <w:t xml:space="preserve"> 2005/68/</w:t>
            </w:r>
            <w:r w:rsidRPr="006279CF">
              <w:rPr>
                <w:rFonts w:ascii="Times New Roman" w:eastAsia="Times New Roman" w:hAnsi="Times New Roman" w:cs="Times New Roman"/>
                <w:sz w:val="27"/>
                <w:szCs w:val="27"/>
              </w:rPr>
              <w:t>EC</w:t>
            </w:r>
            <w:r w:rsidR="0051736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UCITS</w:t>
            </w:r>
            <w:r>
              <w:rPr>
                <w:rFonts w:ascii="Times New Roman" w:eastAsia="Times New Roman" w:hAnsi="Times New Roman" w:cs="Times New Roman"/>
                <w:sz w:val="27"/>
                <w:szCs w:val="27"/>
                <w:lang w:val="uk-UA"/>
              </w:rPr>
              <w:t xml:space="preserve"> та, у доречних випадках, ї</w:t>
            </w:r>
            <w:r w:rsidR="00517367">
              <w:rPr>
                <w:rFonts w:ascii="Times New Roman" w:eastAsia="Times New Roman" w:hAnsi="Times New Roman" w:cs="Times New Roman"/>
                <w:sz w:val="27"/>
                <w:szCs w:val="27"/>
                <w:lang w:val="uk-UA"/>
              </w:rPr>
              <w:t>ї</w:t>
            </w:r>
            <w:r>
              <w:rPr>
                <w:rFonts w:ascii="Times New Roman" w:eastAsia="Times New Roman" w:hAnsi="Times New Roman" w:cs="Times New Roman"/>
                <w:sz w:val="27"/>
                <w:szCs w:val="27"/>
                <w:lang w:val="uk-UA"/>
              </w:rPr>
              <w:t xml:space="preserve"> управляюч</w:t>
            </w:r>
            <w:r w:rsidR="00517367">
              <w:rPr>
                <w:rFonts w:ascii="Times New Roman" w:eastAsia="Times New Roman" w:hAnsi="Times New Roman" w:cs="Times New Roman"/>
                <w:sz w:val="27"/>
                <w:szCs w:val="27"/>
                <w:lang w:val="uk-UA"/>
              </w:rPr>
              <w:t>а</w:t>
            </w:r>
            <w:r>
              <w:rPr>
                <w:rFonts w:ascii="Times New Roman" w:eastAsia="Times New Roman" w:hAnsi="Times New Roman" w:cs="Times New Roman"/>
                <w:sz w:val="27"/>
                <w:szCs w:val="27"/>
                <w:lang w:val="uk-UA"/>
              </w:rPr>
              <w:t xml:space="preserve"> компані</w:t>
            </w:r>
            <w:r w:rsidR="00517367">
              <w:rPr>
                <w:rFonts w:ascii="Times New Roman" w:eastAsia="Times New Roman" w:hAnsi="Times New Roman" w:cs="Times New Roman"/>
                <w:sz w:val="27"/>
                <w:szCs w:val="27"/>
                <w:lang w:val="uk-UA"/>
              </w:rPr>
              <w:t>я</w:t>
            </w:r>
            <w:r>
              <w:rPr>
                <w:rFonts w:ascii="Times New Roman" w:eastAsia="Times New Roman" w:hAnsi="Times New Roman" w:cs="Times New Roman"/>
                <w:sz w:val="27"/>
                <w:szCs w:val="27"/>
                <w:lang w:val="uk-UA"/>
              </w:rPr>
              <w:t>, уповноважен</w:t>
            </w:r>
            <w:r w:rsidR="00517367">
              <w:rPr>
                <w:rFonts w:ascii="Times New Roman" w:eastAsia="Times New Roman" w:hAnsi="Times New Roman" w:cs="Times New Roman"/>
                <w:sz w:val="27"/>
                <w:szCs w:val="27"/>
                <w:lang w:val="uk-UA"/>
              </w:rPr>
              <w:t>і</w:t>
            </w:r>
            <w:r>
              <w:rPr>
                <w:rFonts w:ascii="Times New Roman" w:eastAsia="Times New Roman" w:hAnsi="Times New Roman" w:cs="Times New Roman"/>
                <w:sz w:val="27"/>
                <w:szCs w:val="27"/>
                <w:lang w:val="uk-UA"/>
              </w:rPr>
              <w:t xml:space="preserve"> Директивою</w:t>
            </w:r>
            <w:r w:rsidRPr="00B2021F">
              <w:rPr>
                <w:rFonts w:ascii="Times New Roman" w:eastAsia="Times New Roman" w:hAnsi="Times New Roman" w:cs="Times New Roman"/>
                <w:sz w:val="27"/>
                <w:szCs w:val="27"/>
                <w:lang w:val="uk-UA"/>
              </w:rPr>
              <w:t xml:space="preserve"> 2009/65/</w:t>
            </w:r>
            <w:r w:rsidRPr="006279CF">
              <w:rPr>
                <w:rFonts w:ascii="Times New Roman" w:eastAsia="Times New Roman" w:hAnsi="Times New Roman" w:cs="Times New Roman"/>
                <w:sz w:val="27"/>
                <w:szCs w:val="27"/>
              </w:rPr>
              <w:t>EC</w:t>
            </w:r>
            <w:r w:rsidRPr="00B2021F">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установ</w:t>
            </w:r>
            <w:r w:rsidR="00517367">
              <w:rPr>
                <w:rFonts w:ascii="Times New Roman" w:eastAsia="Times New Roman" w:hAnsi="Times New Roman" w:cs="Times New Roman"/>
                <w:sz w:val="27"/>
                <w:szCs w:val="27"/>
                <w:lang w:val="uk-UA"/>
              </w:rPr>
              <w:t>а</w:t>
            </w:r>
            <w:r>
              <w:rPr>
                <w:rFonts w:ascii="Times New Roman" w:eastAsia="Times New Roman" w:hAnsi="Times New Roman" w:cs="Times New Roman"/>
                <w:sz w:val="27"/>
                <w:szCs w:val="27"/>
                <w:lang w:val="uk-UA"/>
              </w:rPr>
              <w:t xml:space="preserve"> недержавного пенсійного забезпечення, визначен</w:t>
            </w:r>
            <w:r w:rsidR="00517367">
              <w:rPr>
                <w:rFonts w:ascii="Times New Roman" w:eastAsia="Times New Roman" w:hAnsi="Times New Roman" w:cs="Times New Roman"/>
                <w:sz w:val="27"/>
                <w:szCs w:val="27"/>
                <w:lang w:val="uk-UA"/>
              </w:rPr>
              <w:t>а</w:t>
            </w:r>
            <w:r>
              <w:rPr>
                <w:rFonts w:ascii="Times New Roman" w:eastAsia="Times New Roman" w:hAnsi="Times New Roman" w:cs="Times New Roman"/>
                <w:sz w:val="27"/>
                <w:szCs w:val="27"/>
                <w:lang w:val="uk-UA"/>
              </w:rPr>
              <w:t xml:space="preserve"> у </w:t>
            </w:r>
            <w:r w:rsidR="00517367">
              <w:rPr>
                <w:rFonts w:ascii="Times New Roman" w:eastAsia="Times New Roman" w:hAnsi="Times New Roman" w:cs="Times New Roman"/>
                <w:sz w:val="27"/>
                <w:szCs w:val="27"/>
                <w:lang w:val="uk-UA"/>
              </w:rPr>
              <w:t>ст</w:t>
            </w:r>
            <w:r w:rsidR="00412A5C">
              <w:rPr>
                <w:rFonts w:ascii="Times New Roman" w:eastAsia="Times New Roman" w:hAnsi="Times New Roman" w:cs="Times New Roman"/>
                <w:sz w:val="27"/>
                <w:szCs w:val="27"/>
                <w:lang w:val="uk-UA"/>
              </w:rPr>
              <w:t>атті</w:t>
            </w:r>
            <w:r w:rsidR="00517367">
              <w:rPr>
                <w:rFonts w:ascii="Times New Roman" w:eastAsia="Times New Roman" w:hAnsi="Times New Roman" w:cs="Times New Roman"/>
                <w:sz w:val="27"/>
                <w:szCs w:val="27"/>
                <w:lang w:val="uk-UA"/>
              </w:rPr>
              <w:t xml:space="preserve"> </w:t>
            </w:r>
            <w:r w:rsidR="00DE6A4C">
              <w:rPr>
                <w:rFonts w:ascii="Times New Roman" w:eastAsia="Times New Roman" w:hAnsi="Times New Roman" w:cs="Times New Roman"/>
                <w:sz w:val="27"/>
                <w:szCs w:val="27"/>
                <w:lang w:val="uk-UA"/>
              </w:rPr>
              <w:t xml:space="preserve">6(а) </w:t>
            </w:r>
            <w:r>
              <w:rPr>
                <w:rFonts w:ascii="Times New Roman" w:eastAsia="Times New Roman" w:hAnsi="Times New Roman" w:cs="Times New Roman"/>
                <w:sz w:val="27"/>
                <w:szCs w:val="27"/>
                <w:lang w:val="uk-UA"/>
              </w:rPr>
              <w:t>Директив</w:t>
            </w:r>
            <w:r w:rsidR="00DE6A4C">
              <w:rPr>
                <w:rFonts w:ascii="Times New Roman" w:eastAsia="Times New Roman" w:hAnsi="Times New Roman" w:cs="Times New Roman"/>
                <w:sz w:val="27"/>
                <w:szCs w:val="27"/>
                <w:lang w:val="uk-UA"/>
              </w:rPr>
              <w:t>и</w:t>
            </w:r>
            <w:r w:rsidRPr="001D795B">
              <w:rPr>
                <w:rFonts w:ascii="Times New Roman" w:eastAsia="Times New Roman" w:hAnsi="Times New Roman" w:cs="Times New Roman"/>
                <w:sz w:val="27"/>
                <w:szCs w:val="27"/>
                <w:lang w:val="uk-UA"/>
              </w:rPr>
              <w:t xml:space="preserve"> 2003/41/</w:t>
            </w:r>
            <w:r w:rsidRPr="006279CF">
              <w:rPr>
                <w:rFonts w:ascii="Times New Roman" w:eastAsia="Times New Roman" w:hAnsi="Times New Roman" w:cs="Times New Roman"/>
                <w:sz w:val="27"/>
                <w:szCs w:val="27"/>
              </w:rPr>
              <w:t>EC</w:t>
            </w:r>
            <w:r w:rsidR="00DE6A4C">
              <w:rPr>
                <w:rFonts w:ascii="Times New Roman" w:eastAsia="Times New Roman" w:hAnsi="Times New Roman" w:cs="Times New Roman"/>
                <w:sz w:val="27"/>
                <w:szCs w:val="27"/>
                <w:bdr w:val="none" w:sz="0" w:space="0" w:color="auto" w:frame="1"/>
                <w:lang w:val="uk-UA"/>
              </w:rPr>
              <w:t>, і альтернативний</w:t>
            </w:r>
            <w:r>
              <w:rPr>
                <w:rFonts w:ascii="Times New Roman" w:eastAsia="Times New Roman" w:hAnsi="Times New Roman" w:cs="Times New Roman"/>
                <w:sz w:val="27"/>
                <w:szCs w:val="27"/>
                <w:bdr w:val="none" w:sz="0" w:space="0" w:color="auto" w:frame="1"/>
                <w:lang w:val="uk-UA"/>
              </w:rPr>
              <w:t xml:space="preserve"> інвестиційн</w:t>
            </w:r>
            <w:r w:rsidR="00DE6A4C">
              <w:rPr>
                <w:rFonts w:ascii="Times New Roman" w:eastAsia="Times New Roman" w:hAnsi="Times New Roman" w:cs="Times New Roman"/>
                <w:sz w:val="27"/>
                <w:szCs w:val="27"/>
                <w:bdr w:val="none" w:sz="0" w:space="0" w:color="auto" w:frame="1"/>
                <w:lang w:val="uk-UA"/>
              </w:rPr>
              <w:t>ий</w:t>
            </w:r>
            <w:r>
              <w:rPr>
                <w:rFonts w:ascii="Times New Roman" w:eastAsia="Times New Roman" w:hAnsi="Times New Roman" w:cs="Times New Roman"/>
                <w:sz w:val="27"/>
                <w:szCs w:val="27"/>
                <w:bdr w:val="none" w:sz="0" w:space="0" w:color="auto" w:frame="1"/>
                <w:lang w:val="uk-UA"/>
              </w:rPr>
              <w:t xml:space="preserve"> фонд, керован</w:t>
            </w:r>
            <w:r w:rsidR="00DE6A4C">
              <w:rPr>
                <w:rFonts w:ascii="Times New Roman" w:eastAsia="Times New Roman" w:hAnsi="Times New Roman" w:cs="Times New Roman"/>
                <w:sz w:val="27"/>
                <w:szCs w:val="27"/>
                <w:bdr w:val="none" w:sz="0" w:space="0" w:color="auto" w:frame="1"/>
                <w:lang w:val="uk-UA"/>
              </w:rPr>
              <w:t xml:space="preserve">ий </w:t>
            </w:r>
            <w:r w:rsidRPr="006279CF">
              <w:rPr>
                <w:rFonts w:ascii="Times New Roman" w:eastAsia="Times New Roman" w:hAnsi="Times New Roman" w:cs="Times New Roman"/>
                <w:sz w:val="27"/>
                <w:szCs w:val="27"/>
              </w:rPr>
              <w:t>AIFM</w:t>
            </w:r>
            <w:r w:rsidRPr="00DE6A4C">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уповноважен</w:t>
            </w:r>
            <w:r w:rsidR="00DE6A4C">
              <w:rPr>
                <w:rFonts w:ascii="Times New Roman" w:eastAsia="Times New Roman" w:hAnsi="Times New Roman" w:cs="Times New Roman"/>
                <w:sz w:val="27"/>
                <w:szCs w:val="27"/>
                <w:lang w:val="uk-UA"/>
              </w:rPr>
              <w:t>ий</w:t>
            </w:r>
            <w:r>
              <w:rPr>
                <w:rFonts w:ascii="Times New Roman" w:eastAsia="Times New Roman" w:hAnsi="Times New Roman" w:cs="Times New Roman"/>
                <w:sz w:val="27"/>
                <w:szCs w:val="27"/>
                <w:lang w:val="uk-UA"/>
              </w:rPr>
              <w:t xml:space="preserve"> або зареєстрован</w:t>
            </w:r>
            <w:r w:rsidR="00DE6A4C">
              <w:rPr>
                <w:rFonts w:ascii="Times New Roman" w:eastAsia="Times New Roman" w:hAnsi="Times New Roman" w:cs="Times New Roman"/>
                <w:sz w:val="27"/>
                <w:szCs w:val="27"/>
                <w:lang w:val="uk-UA"/>
              </w:rPr>
              <w:t>ий</w:t>
            </w:r>
            <w:r>
              <w:rPr>
                <w:rFonts w:ascii="Times New Roman" w:eastAsia="Times New Roman" w:hAnsi="Times New Roman" w:cs="Times New Roman"/>
                <w:sz w:val="27"/>
                <w:szCs w:val="27"/>
                <w:lang w:val="uk-UA"/>
              </w:rPr>
              <w:t xml:space="preserve"> згідно з Директивою</w:t>
            </w:r>
            <w:r w:rsidRPr="00DE6A4C">
              <w:rPr>
                <w:rFonts w:ascii="Times New Roman" w:eastAsia="Times New Roman" w:hAnsi="Times New Roman" w:cs="Times New Roman"/>
                <w:sz w:val="27"/>
                <w:szCs w:val="27"/>
                <w:lang w:val="uk-UA"/>
              </w:rPr>
              <w:t xml:space="preserve"> </w:t>
            </w:r>
            <w:r w:rsidRPr="00F853B2">
              <w:rPr>
                <w:rFonts w:ascii="Times New Roman" w:eastAsia="Times New Roman" w:hAnsi="Times New Roman" w:cs="Times New Roman"/>
                <w:sz w:val="27"/>
                <w:szCs w:val="27"/>
                <w:lang w:val="ru-RU"/>
              </w:rPr>
              <w:t>2011/61/</w:t>
            </w:r>
            <w:r>
              <w:rPr>
                <w:rFonts w:ascii="Times New Roman" w:eastAsia="Times New Roman" w:hAnsi="Times New Roman" w:cs="Times New Roman"/>
                <w:sz w:val="27"/>
                <w:szCs w:val="27"/>
              </w:rPr>
              <w:t>EU</w:t>
            </w:r>
            <w:r w:rsidR="00DE77B0" w:rsidRPr="006279CF">
              <w:rPr>
                <w:rFonts w:ascii="Times New Roman" w:eastAsia="Times New Roman" w:hAnsi="Times New Roman" w:cs="Times New Roman"/>
                <w:sz w:val="27"/>
                <w:szCs w:val="27"/>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76122C" w:rsidRDefault="0076122C" w:rsidP="0076122C">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«нефінансовий контрагент» - підприємство, створене у Союзі, інше ніж суб’єкти, зазначені у </w:t>
            </w:r>
            <w:proofErr w:type="spellStart"/>
            <w:r>
              <w:rPr>
                <w:rFonts w:ascii="Times New Roman" w:eastAsia="Times New Roman" w:hAnsi="Times New Roman" w:cs="Times New Roman"/>
                <w:sz w:val="27"/>
                <w:szCs w:val="27"/>
                <w:lang w:val="uk-UA"/>
              </w:rPr>
              <w:t>пп</w:t>
            </w:r>
            <w:proofErr w:type="spellEnd"/>
            <w:r>
              <w:rPr>
                <w:rFonts w:ascii="Times New Roman" w:eastAsia="Times New Roman" w:hAnsi="Times New Roman" w:cs="Times New Roman"/>
                <w:sz w:val="27"/>
                <w:szCs w:val="27"/>
                <w:lang w:val="uk-UA"/>
              </w:rPr>
              <w:t>. (1)-(8)</w:t>
            </w:r>
            <w:r w:rsidR="00DE77B0" w:rsidRPr="006279CF">
              <w:rPr>
                <w:rFonts w:ascii="Times New Roman" w:eastAsia="Times New Roman" w:hAnsi="Times New Roman" w:cs="Times New Roman"/>
                <w:sz w:val="27"/>
                <w:szCs w:val="27"/>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6122C" w:rsidP="0018707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«механізм пенсійного забезпечення»</w:t>
            </w:r>
            <w:r w:rsidR="00DE77B0" w:rsidRPr="006279CF">
              <w:rPr>
                <w:rFonts w:ascii="Times New Roman" w:eastAsia="Times New Roman" w:hAnsi="Times New Roman" w:cs="Times New Roman"/>
                <w:sz w:val="27"/>
                <w:szCs w:val="27"/>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763E3E" w:rsidRP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412A5C" w:rsidRDefault="0076122C" w:rsidP="00412A5C">
                  <w:pPr>
                    <w:spacing w:before="120" w:after="0" w:line="240" w:lineRule="auto"/>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установи недержавного пенсійного забезпечення у значенні ст</w:t>
                  </w:r>
                  <w:r w:rsidR="00412A5C">
                    <w:rPr>
                      <w:rFonts w:ascii="Times New Roman" w:eastAsia="Times New Roman" w:hAnsi="Times New Roman" w:cs="Times New Roman"/>
                      <w:sz w:val="24"/>
                      <w:szCs w:val="24"/>
                      <w:lang w:val="uk-UA"/>
                    </w:rPr>
                    <w:t>атті</w:t>
                  </w:r>
                  <w:r>
                    <w:rPr>
                      <w:rFonts w:ascii="Times New Roman" w:eastAsia="Times New Roman" w:hAnsi="Times New Roman" w:cs="Times New Roman"/>
                      <w:sz w:val="24"/>
                      <w:szCs w:val="24"/>
                      <w:lang w:val="uk-UA"/>
                    </w:rPr>
                    <w:t xml:space="preserve"> 6(а) Директиви</w:t>
                  </w:r>
                  <w:r w:rsidR="00DE77B0" w:rsidRPr="0076122C">
                    <w:rPr>
                      <w:rFonts w:ascii="Times New Roman" w:eastAsia="Times New Roman" w:hAnsi="Times New Roman" w:cs="Times New Roman"/>
                      <w:sz w:val="24"/>
                      <w:szCs w:val="24"/>
                    </w:rPr>
                    <w:t xml:space="preserve"> 2003/41/</w:t>
                  </w:r>
                  <w:r w:rsidR="00DE77B0" w:rsidRPr="006279CF">
                    <w:rPr>
                      <w:rFonts w:ascii="Times New Roman" w:eastAsia="Times New Roman" w:hAnsi="Times New Roman" w:cs="Times New Roman"/>
                      <w:sz w:val="24"/>
                      <w:szCs w:val="24"/>
                    </w:rPr>
                    <w:t>EC</w:t>
                  </w:r>
                  <w:r w:rsidR="00DE77B0" w:rsidRPr="007612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зокрема будь-який уповноважений суб’єкт, відповідальний за управління такою установою та діючий від її імені згідно зі ст</w:t>
                  </w:r>
                  <w:r w:rsidR="00412A5C">
                    <w:rPr>
                      <w:rFonts w:ascii="Times New Roman" w:eastAsia="Times New Roman" w:hAnsi="Times New Roman" w:cs="Times New Roman"/>
                      <w:sz w:val="24"/>
                      <w:szCs w:val="24"/>
                      <w:lang w:val="uk-UA"/>
                    </w:rPr>
                    <w:t>аттею</w:t>
                  </w:r>
                  <w:r>
                    <w:rPr>
                      <w:rFonts w:ascii="Times New Roman" w:eastAsia="Times New Roman" w:hAnsi="Times New Roman" w:cs="Times New Roman"/>
                      <w:sz w:val="24"/>
                      <w:szCs w:val="24"/>
                      <w:lang w:val="uk-UA"/>
                    </w:rPr>
                    <w:t xml:space="preserve"> 2(1) цієї директиви, та будь-яка юридична особа, створена в цілях інвестування т</w:t>
                  </w:r>
                  <w:r w:rsidR="00DA0BC4">
                    <w:rPr>
                      <w:rFonts w:ascii="Times New Roman" w:eastAsia="Times New Roman" w:hAnsi="Times New Roman" w:cs="Times New Roman"/>
                      <w:sz w:val="24"/>
                      <w:szCs w:val="24"/>
                      <w:lang w:val="uk-UA"/>
                    </w:rPr>
                    <w:t>аких установ, діюча виключно в їхніх інтересах;</w:t>
                  </w:r>
                </w:p>
              </w:tc>
            </w:tr>
          </w:tbl>
          <w:p w:rsidR="00DE77B0" w:rsidRPr="006279CF" w:rsidRDefault="00DE77B0" w:rsidP="00187079">
            <w:pPr>
              <w:spacing w:after="0" w:line="240" w:lineRule="auto"/>
              <w:rPr>
                <w:rFonts w:ascii="Times New Roman" w:eastAsia="Times New Roman" w:hAnsi="Times New Roman" w:cs="Times New Roman"/>
                <w:vanish/>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04"/>
            </w:tblGrid>
            <w:tr w:rsidR="00763E3E" w:rsidRP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4D4EFE" w:rsidRDefault="004D4EFE" w:rsidP="004D4EFE">
                  <w:pPr>
                    <w:spacing w:before="120" w:after="0" w:line="240" w:lineRule="auto"/>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підрозділи недержавного пенсійного забезпечення установ, згаданих у ст. 3 Директиви</w:t>
                  </w:r>
                  <w:r w:rsidR="00DE77B0" w:rsidRPr="004D4EFE">
                    <w:rPr>
                      <w:rFonts w:ascii="Times New Roman" w:eastAsia="Times New Roman" w:hAnsi="Times New Roman" w:cs="Times New Roman"/>
                      <w:sz w:val="24"/>
                      <w:szCs w:val="24"/>
                      <w:lang w:val="ru-RU"/>
                    </w:rPr>
                    <w:t xml:space="preserve"> 2003/41/</w:t>
                  </w:r>
                  <w:r w:rsidR="00DE77B0" w:rsidRPr="006279CF">
                    <w:rPr>
                      <w:rFonts w:ascii="Times New Roman" w:eastAsia="Times New Roman" w:hAnsi="Times New Roman" w:cs="Times New Roman"/>
                      <w:sz w:val="24"/>
                      <w:szCs w:val="24"/>
                    </w:rPr>
                    <w:t>EC</w:t>
                  </w:r>
                  <w:r w:rsidR="00DE77B0" w:rsidRPr="004D4EFE">
                    <w:rPr>
                      <w:rFonts w:ascii="Times New Roman" w:eastAsia="Times New Roman" w:hAnsi="Times New Roman" w:cs="Times New Roman"/>
                      <w:sz w:val="24"/>
                      <w:szCs w:val="24"/>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763E3E" w:rsidRP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C52A17" w:rsidRDefault="00FA74BF" w:rsidP="00FA74BF">
                  <w:pPr>
                    <w:spacing w:before="120"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підрозділи недержавного пенсійного забезпечення організацій страхування життя, охоплених Директивою 2002/83/ЕС, за умови, що всі активи і пасиви, що відповідають такому підрозділу, захищаються, управляються і організовані окремо, без будь-якої можливості передачі;</w:t>
                  </w:r>
                </w:p>
              </w:tc>
            </w:tr>
          </w:tbl>
          <w:p w:rsidR="00DE77B0" w:rsidRPr="006279CF" w:rsidRDefault="00DE77B0" w:rsidP="00187079">
            <w:pPr>
              <w:spacing w:after="0" w:line="240" w:lineRule="auto"/>
              <w:rPr>
                <w:rFonts w:ascii="Times New Roman" w:eastAsia="Times New Roman" w:hAnsi="Times New Roman" w:cs="Times New Roman"/>
                <w:vanish/>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04"/>
            </w:tblGrid>
            <w:tr w:rsidR="00763E3E" w:rsidRP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C52A17" w:rsidRDefault="00EA536B" w:rsidP="00EB2D4E">
                  <w:pPr>
                    <w:spacing w:before="120" w:after="0" w:line="240" w:lineRule="auto"/>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 xml:space="preserve">інші </w:t>
                  </w:r>
                  <w:r w:rsidR="00EB2D4E">
                    <w:rPr>
                      <w:rFonts w:ascii="Times New Roman" w:eastAsia="Times New Roman" w:hAnsi="Times New Roman" w:cs="Times New Roman"/>
                      <w:sz w:val="24"/>
                      <w:szCs w:val="24"/>
                      <w:lang w:val="uk-UA"/>
                    </w:rPr>
                    <w:t>уповноважені та контрольовані суб’єкти або механізми, діючі у національному масштабі, за умови, що: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4"/>
                    <w:gridCol w:w="7759"/>
                  </w:tblGrid>
                  <w:tr w:rsidR="00763E3E" w:rsidRP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w:t>
                        </w:r>
                        <w:proofErr w:type="spellStart"/>
                        <w:r w:rsidRPr="006279CF">
                          <w:rPr>
                            <w:rFonts w:ascii="Times New Roman" w:eastAsia="Times New Roman" w:hAnsi="Times New Roman" w:cs="Times New Roman"/>
                            <w:sz w:val="24"/>
                            <w:szCs w:val="24"/>
                          </w:rPr>
                          <w:t>i</w:t>
                        </w:r>
                        <w:proofErr w:type="spellEnd"/>
                        <w:r w:rsidRPr="006279CF">
                          <w:rPr>
                            <w:rFonts w:ascii="Times New Roman" w:eastAsia="Times New Roman" w:hAnsi="Times New Roman"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C52A17" w:rsidRDefault="00EB2D4E" w:rsidP="00EB2D4E">
                        <w:pPr>
                          <w:spacing w:before="120" w:after="0" w:line="240" w:lineRule="auto"/>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вони визнані за національним законодавством;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4"/>
                    <w:gridCol w:w="7879"/>
                  </w:tblGrid>
                  <w:tr w:rsidR="00EB2D4E" w:rsidRP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EB2D4E" w:rsidRDefault="00EB2D4E" w:rsidP="00187079">
                        <w:pPr>
                          <w:spacing w:before="120"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ru-RU"/>
                          </w:rPr>
                          <w:t>ї</w:t>
                        </w:r>
                        <w:proofErr w:type="spellStart"/>
                        <w:r>
                          <w:rPr>
                            <w:rFonts w:ascii="Times New Roman" w:eastAsia="Times New Roman" w:hAnsi="Times New Roman" w:cs="Times New Roman"/>
                            <w:sz w:val="24"/>
                            <w:szCs w:val="24"/>
                            <w:lang w:val="uk-UA"/>
                          </w:rPr>
                          <w:t>хнє</w:t>
                        </w:r>
                        <w:proofErr w:type="spellEnd"/>
                        <w:r>
                          <w:rPr>
                            <w:rFonts w:ascii="Times New Roman" w:eastAsia="Times New Roman" w:hAnsi="Times New Roman" w:cs="Times New Roman"/>
                            <w:sz w:val="24"/>
                            <w:szCs w:val="24"/>
                            <w:lang w:val="uk-UA"/>
                          </w:rPr>
                          <w:t xml:space="preserve"> головне призначення – забезпечити допомогу після виходу на пенсію;</w:t>
                        </w:r>
                      </w:p>
                      <w:p w:rsidR="00EA536B" w:rsidRPr="00EA536B" w:rsidRDefault="00EA536B" w:rsidP="00187079">
                        <w:pPr>
                          <w:spacing w:before="120" w:after="0" w:line="240" w:lineRule="auto"/>
                          <w:jc w:val="both"/>
                          <w:textAlignment w:val="baseline"/>
                          <w:rPr>
                            <w:rFonts w:ascii="Times New Roman" w:eastAsia="Times New Roman" w:hAnsi="Times New Roman" w:cs="Times New Roman"/>
                            <w:sz w:val="24"/>
                            <w:szCs w:val="24"/>
                            <w:lang w:val="uk-UA"/>
                          </w:rPr>
                        </w:pPr>
                      </w:p>
                    </w:tc>
                  </w:tr>
                </w:tbl>
                <w:p w:rsidR="00DE77B0" w:rsidRPr="00EB2D4E" w:rsidRDefault="00DE77B0" w:rsidP="00187079">
                  <w:pPr>
                    <w:spacing w:after="0" w:line="240" w:lineRule="auto"/>
                    <w:rPr>
                      <w:rFonts w:ascii="Times New Roman" w:eastAsia="Times New Roman" w:hAnsi="Times New Roman" w:cs="Times New Roman"/>
                      <w:sz w:val="24"/>
                      <w:szCs w:val="24"/>
                      <w:lang w:val="ru-RU"/>
                    </w:rPr>
                  </w:pPr>
                </w:p>
              </w:tc>
            </w:tr>
          </w:tbl>
          <w:p w:rsidR="00DE77B0" w:rsidRPr="00EB2D4E" w:rsidRDefault="00DE77B0" w:rsidP="00187079">
            <w:pPr>
              <w:spacing w:after="0" w:line="240" w:lineRule="auto"/>
              <w:rPr>
                <w:rFonts w:ascii="Times New Roman" w:eastAsia="Times New Roman" w:hAnsi="Times New Roman" w:cs="Times New Roman"/>
                <w:sz w:val="27"/>
                <w:szCs w:val="27"/>
                <w:lang w:val="ru-RU"/>
              </w:rPr>
            </w:pP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lastRenderedPageBreak/>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D07437" w:rsidRDefault="00C52A17" w:rsidP="00D07437">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«кредитний ризик контрагента» - ризик того, що контрагент угоди не виконає зобов’язання до </w:t>
            </w:r>
            <w:r w:rsidR="00D07437">
              <w:rPr>
                <w:rFonts w:ascii="Times New Roman" w:eastAsia="Times New Roman" w:hAnsi="Times New Roman" w:cs="Times New Roman"/>
                <w:sz w:val="27"/>
                <w:szCs w:val="27"/>
                <w:lang w:val="uk-UA"/>
              </w:rPr>
              <w:t>здійснення остаточного розрахунку за грошовими потоками за угодою;</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2F5EBA" w:rsidRDefault="00FF0354" w:rsidP="00D811C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«угода про сумісність» - угода між двома або більше ЦКА, яка передбачає</w:t>
            </w:r>
            <w:r w:rsidR="00B854E6">
              <w:rPr>
                <w:rFonts w:ascii="Times New Roman" w:eastAsia="Times New Roman" w:hAnsi="Times New Roman" w:cs="Times New Roman"/>
                <w:sz w:val="27"/>
                <w:szCs w:val="27"/>
                <w:lang w:val="uk-UA"/>
              </w:rPr>
              <w:t xml:space="preserve"> між</w:t>
            </w:r>
            <w:r w:rsidR="00D811C1">
              <w:rPr>
                <w:rFonts w:ascii="Times New Roman" w:eastAsia="Times New Roman" w:hAnsi="Times New Roman" w:cs="Times New Roman"/>
                <w:sz w:val="27"/>
                <w:szCs w:val="27"/>
                <w:lang w:val="uk-UA"/>
              </w:rPr>
              <w:t>системне виконання угод;</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2F5EBA" w:rsidRDefault="00D811C1" w:rsidP="005F47D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«компетентний орган» - компетентний орган, зазначений у законодавстві, згаданому в п. (8) цієї статті, компетентний орган, зазначений у ст</w:t>
            </w:r>
            <w:r w:rsidR="005F47D9">
              <w:rPr>
                <w:rFonts w:ascii="Times New Roman" w:eastAsia="Times New Roman" w:hAnsi="Times New Roman" w:cs="Times New Roman"/>
                <w:sz w:val="27"/>
                <w:szCs w:val="27"/>
                <w:lang w:val="uk-UA"/>
              </w:rPr>
              <w:t>атті</w:t>
            </w:r>
            <w:r>
              <w:rPr>
                <w:rFonts w:ascii="Times New Roman" w:eastAsia="Times New Roman" w:hAnsi="Times New Roman" w:cs="Times New Roman"/>
                <w:sz w:val="27"/>
                <w:szCs w:val="27"/>
                <w:lang w:val="uk-UA"/>
              </w:rPr>
              <w:t xml:space="preserve"> 10(5), або орган, призначений кожною державою-членом </w:t>
            </w:r>
            <w:r w:rsidR="003D6B58">
              <w:rPr>
                <w:rFonts w:ascii="Times New Roman" w:eastAsia="Times New Roman" w:hAnsi="Times New Roman" w:cs="Times New Roman"/>
                <w:sz w:val="27"/>
                <w:szCs w:val="27"/>
                <w:lang w:val="uk-UA"/>
              </w:rPr>
              <w:t xml:space="preserve">Союзу </w:t>
            </w:r>
            <w:r>
              <w:rPr>
                <w:rFonts w:ascii="Times New Roman" w:eastAsia="Times New Roman" w:hAnsi="Times New Roman" w:cs="Times New Roman"/>
                <w:sz w:val="27"/>
                <w:szCs w:val="27"/>
                <w:lang w:val="uk-UA"/>
              </w:rPr>
              <w:t>відповідно до ст</w:t>
            </w:r>
            <w:r w:rsidR="005F47D9">
              <w:rPr>
                <w:rFonts w:ascii="Times New Roman" w:eastAsia="Times New Roman" w:hAnsi="Times New Roman" w:cs="Times New Roman"/>
                <w:sz w:val="27"/>
                <w:szCs w:val="27"/>
                <w:lang w:val="uk-UA"/>
              </w:rPr>
              <w:t>атті</w:t>
            </w:r>
            <w:r>
              <w:rPr>
                <w:rFonts w:ascii="Times New Roman" w:eastAsia="Times New Roman" w:hAnsi="Times New Roman" w:cs="Times New Roman"/>
                <w:sz w:val="27"/>
                <w:szCs w:val="27"/>
                <w:lang w:val="uk-UA"/>
              </w:rPr>
              <w:t xml:space="preserve"> 22;</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811C1" w:rsidP="007A520D">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«учасник клірингу</w:t>
            </w:r>
            <w:r w:rsidR="007A520D">
              <w:rPr>
                <w:rFonts w:ascii="Times New Roman" w:eastAsia="Times New Roman" w:hAnsi="Times New Roman" w:cs="Times New Roman"/>
                <w:sz w:val="27"/>
                <w:szCs w:val="27"/>
                <w:lang w:val="uk-UA"/>
              </w:rPr>
              <w:t>» - суб’єкт</w:t>
            </w:r>
            <w:r w:rsidR="00923029">
              <w:rPr>
                <w:rFonts w:ascii="Times New Roman" w:eastAsia="Times New Roman" w:hAnsi="Times New Roman" w:cs="Times New Roman"/>
                <w:sz w:val="27"/>
                <w:szCs w:val="27"/>
                <w:lang w:val="uk-UA"/>
              </w:rPr>
              <w:t>, я</w:t>
            </w:r>
            <w:r w:rsidR="007A520D">
              <w:rPr>
                <w:rFonts w:ascii="Times New Roman" w:eastAsia="Times New Roman" w:hAnsi="Times New Roman" w:cs="Times New Roman"/>
                <w:sz w:val="27"/>
                <w:szCs w:val="27"/>
                <w:lang w:val="uk-UA"/>
              </w:rPr>
              <w:t>кий</w:t>
            </w:r>
            <w:r w:rsidR="00923029">
              <w:rPr>
                <w:rFonts w:ascii="Times New Roman" w:eastAsia="Times New Roman" w:hAnsi="Times New Roman" w:cs="Times New Roman"/>
                <w:sz w:val="27"/>
                <w:szCs w:val="27"/>
                <w:lang w:val="uk-UA"/>
              </w:rPr>
              <w:t xml:space="preserve"> бере участь у ЦКА і як</w:t>
            </w:r>
            <w:r w:rsidR="007A520D">
              <w:rPr>
                <w:rFonts w:ascii="Times New Roman" w:eastAsia="Times New Roman" w:hAnsi="Times New Roman" w:cs="Times New Roman"/>
                <w:sz w:val="27"/>
                <w:szCs w:val="27"/>
                <w:lang w:val="uk-UA"/>
              </w:rPr>
              <w:t>ий</w:t>
            </w:r>
            <w:r w:rsidR="00923029">
              <w:rPr>
                <w:rFonts w:ascii="Times New Roman" w:eastAsia="Times New Roman" w:hAnsi="Times New Roman" w:cs="Times New Roman"/>
                <w:sz w:val="27"/>
                <w:szCs w:val="27"/>
                <w:lang w:val="uk-UA"/>
              </w:rPr>
              <w:t xml:space="preserve"> відповідає за виконання фінансових зобов’язань, що випли</w:t>
            </w:r>
            <w:r w:rsidR="00391620">
              <w:rPr>
                <w:rFonts w:ascii="Times New Roman" w:eastAsia="Times New Roman" w:hAnsi="Times New Roman" w:cs="Times New Roman"/>
                <w:sz w:val="27"/>
                <w:szCs w:val="27"/>
                <w:lang w:val="uk-UA"/>
              </w:rPr>
              <w:t>вають</w:t>
            </w:r>
            <w:r w:rsidR="006348EC" w:rsidRPr="006348EC">
              <w:rPr>
                <w:rFonts w:ascii="Times New Roman" w:eastAsia="Times New Roman" w:hAnsi="Times New Roman" w:cs="Times New Roman"/>
                <w:sz w:val="27"/>
                <w:szCs w:val="27"/>
              </w:rPr>
              <w:t xml:space="preserve"> </w:t>
            </w:r>
            <w:r w:rsidR="006348EC">
              <w:rPr>
                <w:rFonts w:ascii="Times New Roman" w:eastAsia="Times New Roman" w:hAnsi="Times New Roman" w:cs="Times New Roman"/>
                <w:sz w:val="27"/>
                <w:szCs w:val="27"/>
                <w:lang w:val="uk-UA"/>
              </w:rPr>
              <w:t>із цієї участі;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6348EC" w:rsidP="007A520D">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«клієнт» - </w:t>
            </w:r>
            <w:r w:rsidR="007A520D">
              <w:rPr>
                <w:rFonts w:ascii="Times New Roman" w:eastAsia="Times New Roman" w:hAnsi="Times New Roman" w:cs="Times New Roman"/>
                <w:sz w:val="27"/>
                <w:szCs w:val="27"/>
                <w:lang w:val="uk-UA"/>
              </w:rPr>
              <w:t>суб’єкт</w:t>
            </w:r>
            <w:r>
              <w:rPr>
                <w:rFonts w:ascii="Times New Roman" w:eastAsia="Times New Roman" w:hAnsi="Times New Roman" w:cs="Times New Roman"/>
                <w:sz w:val="27"/>
                <w:szCs w:val="27"/>
                <w:lang w:val="uk-UA"/>
              </w:rPr>
              <w:t>, як</w:t>
            </w:r>
            <w:r w:rsidR="007A520D">
              <w:rPr>
                <w:rFonts w:ascii="Times New Roman" w:eastAsia="Times New Roman" w:hAnsi="Times New Roman" w:cs="Times New Roman"/>
                <w:sz w:val="27"/>
                <w:szCs w:val="27"/>
                <w:lang w:val="uk-UA"/>
              </w:rPr>
              <w:t>ий</w:t>
            </w:r>
            <w:r>
              <w:rPr>
                <w:rFonts w:ascii="Times New Roman" w:eastAsia="Times New Roman" w:hAnsi="Times New Roman" w:cs="Times New Roman"/>
                <w:sz w:val="27"/>
                <w:szCs w:val="27"/>
                <w:lang w:val="uk-UA"/>
              </w:rPr>
              <w:t xml:space="preserve"> має договірні відносини з учасником клірингу ЦКА, що</w:t>
            </w:r>
            <w:r w:rsidR="003D4102">
              <w:rPr>
                <w:rFonts w:ascii="Times New Roman" w:eastAsia="Times New Roman" w:hAnsi="Times New Roman" w:cs="Times New Roman"/>
                <w:sz w:val="27"/>
                <w:szCs w:val="27"/>
                <w:lang w:val="uk-UA"/>
              </w:rPr>
              <w:t xml:space="preserve"> дозволяє ц</w:t>
            </w:r>
            <w:r w:rsidR="00B36824">
              <w:rPr>
                <w:rFonts w:ascii="Times New Roman" w:eastAsia="Times New Roman" w:hAnsi="Times New Roman" w:cs="Times New Roman"/>
                <w:sz w:val="27"/>
                <w:szCs w:val="27"/>
                <w:lang w:val="uk-UA"/>
              </w:rPr>
              <w:t xml:space="preserve">ьому </w:t>
            </w:r>
            <w:r w:rsidR="007A520D">
              <w:rPr>
                <w:rFonts w:ascii="Times New Roman" w:eastAsia="Times New Roman" w:hAnsi="Times New Roman" w:cs="Times New Roman"/>
                <w:sz w:val="27"/>
                <w:szCs w:val="27"/>
                <w:lang w:val="uk-UA"/>
              </w:rPr>
              <w:t>суб’єктові</w:t>
            </w:r>
            <w:r w:rsidR="003D4102">
              <w:rPr>
                <w:rFonts w:ascii="Times New Roman" w:eastAsia="Times New Roman" w:hAnsi="Times New Roman" w:cs="Times New Roman"/>
                <w:sz w:val="27"/>
                <w:szCs w:val="27"/>
                <w:lang w:val="uk-UA"/>
              </w:rPr>
              <w:t xml:space="preserve"> проводити кліринг своїх угод із цим ЦКА;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EA29EE" w:rsidP="005F47D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«група» - група </w:t>
            </w:r>
            <w:r w:rsidR="0035102D">
              <w:rPr>
                <w:rFonts w:ascii="Times New Roman" w:eastAsia="Times New Roman" w:hAnsi="Times New Roman" w:cs="Times New Roman"/>
                <w:sz w:val="27"/>
                <w:szCs w:val="27"/>
                <w:lang w:val="uk-UA"/>
              </w:rPr>
              <w:t>підприємств, що складається з материнського підприємства та його дочірніх підприємств у значенні ст. 1 і 2 Директиви</w:t>
            </w:r>
            <w:r w:rsidR="00E32A1A">
              <w:rPr>
                <w:rFonts w:ascii="Times New Roman" w:eastAsia="Times New Roman" w:hAnsi="Times New Roman" w:cs="Times New Roman"/>
                <w:sz w:val="27"/>
                <w:szCs w:val="27"/>
              </w:rPr>
              <w:t xml:space="preserve"> 83/349/EEC</w:t>
            </w:r>
            <w:r w:rsidR="00E32A1A">
              <w:rPr>
                <w:rFonts w:ascii="Times New Roman" w:eastAsia="Times New Roman" w:hAnsi="Times New Roman" w:cs="Times New Roman"/>
                <w:sz w:val="27"/>
                <w:szCs w:val="27"/>
                <w:lang w:val="uk-UA"/>
              </w:rPr>
              <w:t>, або група підприємств, згаданих у ст</w:t>
            </w:r>
            <w:r w:rsidR="005F47D9">
              <w:rPr>
                <w:rFonts w:ascii="Times New Roman" w:eastAsia="Times New Roman" w:hAnsi="Times New Roman" w:cs="Times New Roman"/>
                <w:sz w:val="27"/>
                <w:szCs w:val="27"/>
                <w:lang w:val="uk-UA"/>
              </w:rPr>
              <w:t>аттях</w:t>
            </w:r>
            <w:r w:rsidR="00DE77B0" w:rsidRPr="006279CF">
              <w:rPr>
                <w:rFonts w:ascii="Times New Roman" w:eastAsia="Times New Roman" w:hAnsi="Times New Roman" w:cs="Times New Roman"/>
                <w:sz w:val="27"/>
                <w:szCs w:val="27"/>
              </w:rPr>
              <w:t xml:space="preserve"> 3(1)</w:t>
            </w:r>
            <w:r w:rsidR="00E32A1A">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 xml:space="preserve"> 80(7) </w:t>
            </w:r>
            <w:r w:rsidR="00E32A1A">
              <w:rPr>
                <w:rFonts w:ascii="Times New Roman" w:eastAsia="Times New Roman" w:hAnsi="Times New Roman" w:cs="Times New Roman"/>
                <w:sz w:val="27"/>
                <w:szCs w:val="27"/>
                <w:lang w:val="uk-UA"/>
              </w:rPr>
              <w:t>та</w:t>
            </w:r>
            <w:r w:rsidR="00DE77B0" w:rsidRPr="006279CF">
              <w:rPr>
                <w:rFonts w:ascii="Times New Roman" w:eastAsia="Times New Roman" w:hAnsi="Times New Roman" w:cs="Times New Roman"/>
                <w:sz w:val="27"/>
                <w:szCs w:val="27"/>
              </w:rPr>
              <w:t xml:space="preserve"> (8) </w:t>
            </w:r>
            <w:r w:rsidR="00E32A1A">
              <w:rPr>
                <w:rFonts w:ascii="Times New Roman" w:eastAsia="Times New Roman" w:hAnsi="Times New Roman" w:cs="Times New Roman"/>
                <w:sz w:val="27"/>
                <w:szCs w:val="27"/>
                <w:lang w:val="uk-UA"/>
              </w:rPr>
              <w:t xml:space="preserve">Директиви </w:t>
            </w:r>
            <w:r w:rsidR="00DE77B0" w:rsidRPr="006279CF">
              <w:rPr>
                <w:rFonts w:ascii="Times New Roman" w:eastAsia="Times New Roman" w:hAnsi="Times New Roman" w:cs="Times New Roman"/>
                <w:sz w:val="27"/>
                <w:szCs w:val="27"/>
              </w:rPr>
              <w:t>2006/48/EC;</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E32A1A" w:rsidP="007A520D">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«фі</w:t>
            </w:r>
            <w:r w:rsidR="000B7766">
              <w:rPr>
                <w:rFonts w:ascii="Times New Roman" w:eastAsia="Times New Roman" w:hAnsi="Times New Roman" w:cs="Times New Roman"/>
                <w:sz w:val="27"/>
                <w:szCs w:val="27"/>
                <w:lang w:val="uk-UA"/>
              </w:rPr>
              <w:t>нансова установа»</w:t>
            </w:r>
            <w:r w:rsidR="00615F77">
              <w:rPr>
                <w:rFonts w:ascii="Times New Roman" w:eastAsia="Times New Roman" w:hAnsi="Times New Roman" w:cs="Times New Roman"/>
                <w:sz w:val="27"/>
                <w:szCs w:val="27"/>
                <w:lang w:val="uk-UA"/>
              </w:rPr>
              <w:t xml:space="preserve"> - </w:t>
            </w:r>
            <w:r w:rsidR="007A520D">
              <w:rPr>
                <w:rFonts w:ascii="Times New Roman" w:eastAsia="Times New Roman" w:hAnsi="Times New Roman" w:cs="Times New Roman"/>
                <w:sz w:val="27"/>
                <w:szCs w:val="27"/>
                <w:lang w:val="uk-UA"/>
              </w:rPr>
              <w:t>суб’єкт</w:t>
            </w:r>
            <w:r w:rsidR="00615F77">
              <w:rPr>
                <w:rFonts w:ascii="Times New Roman" w:eastAsia="Times New Roman" w:hAnsi="Times New Roman" w:cs="Times New Roman"/>
                <w:sz w:val="27"/>
                <w:szCs w:val="27"/>
                <w:lang w:val="uk-UA"/>
              </w:rPr>
              <w:t>, інш</w:t>
            </w:r>
            <w:r w:rsidR="007A520D">
              <w:rPr>
                <w:rFonts w:ascii="Times New Roman" w:eastAsia="Times New Roman" w:hAnsi="Times New Roman" w:cs="Times New Roman"/>
                <w:sz w:val="27"/>
                <w:szCs w:val="27"/>
                <w:lang w:val="uk-UA"/>
              </w:rPr>
              <w:t>ий</w:t>
            </w:r>
            <w:r w:rsidR="00615F77">
              <w:rPr>
                <w:rFonts w:ascii="Times New Roman" w:eastAsia="Times New Roman" w:hAnsi="Times New Roman" w:cs="Times New Roman"/>
                <w:sz w:val="27"/>
                <w:szCs w:val="27"/>
                <w:lang w:val="uk-UA"/>
              </w:rPr>
              <w:t xml:space="preserve"> ніж кредитна установа, головним видом діяльності якого є придбання пакетів акцій або ведення</w:t>
            </w:r>
            <w:r w:rsidR="007A520D">
              <w:rPr>
                <w:rFonts w:ascii="Times New Roman" w:eastAsia="Times New Roman" w:hAnsi="Times New Roman" w:cs="Times New Roman"/>
                <w:sz w:val="27"/>
                <w:szCs w:val="27"/>
                <w:lang w:val="uk-UA"/>
              </w:rPr>
              <w:t xml:space="preserve"> одного чи декількох видів діяльності, зазначених у </w:t>
            </w:r>
            <w:proofErr w:type="spellStart"/>
            <w:r w:rsidR="007A520D">
              <w:rPr>
                <w:rFonts w:ascii="Times New Roman" w:eastAsia="Times New Roman" w:hAnsi="Times New Roman" w:cs="Times New Roman"/>
                <w:sz w:val="27"/>
                <w:szCs w:val="27"/>
                <w:lang w:val="uk-UA"/>
              </w:rPr>
              <w:t>пп</w:t>
            </w:r>
            <w:proofErr w:type="spellEnd"/>
            <w:r w:rsidR="007A520D">
              <w:rPr>
                <w:rFonts w:ascii="Times New Roman" w:eastAsia="Times New Roman" w:hAnsi="Times New Roman" w:cs="Times New Roman"/>
                <w:sz w:val="27"/>
                <w:szCs w:val="27"/>
                <w:lang w:val="uk-UA"/>
              </w:rPr>
              <w:t>. (2)-(12) Додатку І до Директиви</w:t>
            </w:r>
            <w:r w:rsidR="00DE77B0" w:rsidRPr="006279CF">
              <w:rPr>
                <w:rFonts w:ascii="Times New Roman" w:eastAsia="Times New Roman" w:hAnsi="Times New Roman" w:cs="Times New Roman"/>
                <w:sz w:val="27"/>
                <w:szCs w:val="27"/>
              </w:rPr>
              <w:t xml:space="preserve"> 2006/48/EC;</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2F5EBA" w:rsidP="005F47D9">
            <w:pPr>
              <w:spacing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«фінансова холдингова компанія» - фінансова установа, дочірні суб’єкти якої є виключно або переважно кредитними або фінансовими установами</w:t>
            </w:r>
            <w:r w:rsidR="00D817EC">
              <w:rPr>
                <w:rFonts w:ascii="Times New Roman" w:eastAsia="Times New Roman" w:hAnsi="Times New Roman" w:cs="Times New Roman"/>
                <w:sz w:val="27"/>
                <w:szCs w:val="27"/>
                <w:lang w:val="uk-UA"/>
              </w:rPr>
              <w:t xml:space="preserve">, причому принаймні один із таких дочірніх суб’єктів є кредитною установою, </w:t>
            </w:r>
            <w:r w:rsidR="00E50FA6">
              <w:rPr>
                <w:rFonts w:ascii="Times New Roman" w:eastAsia="Times New Roman" w:hAnsi="Times New Roman" w:cs="Times New Roman"/>
                <w:sz w:val="27"/>
                <w:szCs w:val="27"/>
                <w:lang w:val="uk-UA"/>
              </w:rPr>
              <w:t>і яка не є змішаною фінансовою холдинговою компанією в значенні ст</w:t>
            </w:r>
            <w:r w:rsidR="005F47D9">
              <w:rPr>
                <w:rFonts w:ascii="Times New Roman" w:eastAsia="Times New Roman" w:hAnsi="Times New Roman" w:cs="Times New Roman"/>
                <w:sz w:val="27"/>
                <w:szCs w:val="27"/>
                <w:lang w:val="uk-UA"/>
              </w:rPr>
              <w:t>атті</w:t>
            </w:r>
            <w:r w:rsidR="00E50FA6">
              <w:rPr>
                <w:rFonts w:ascii="Times New Roman" w:eastAsia="Times New Roman" w:hAnsi="Times New Roman" w:cs="Times New Roman"/>
                <w:sz w:val="27"/>
                <w:szCs w:val="27"/>
                <w:lang w:val="uk-UA"/>
              </w:rPr>
              <w:t xml:space="preserve"> 2(15) Директиви</w:t>
            </w:r>
            <w:r w:rsidR="00DE77B0" w:rsidRPr="006279CF">
              <w:rPr>
                <w:rFonts w:ascii="Times New Roman" w:eastAsia="Times New Roman" w:hAnsi="Times New Roman" w:cs="Times New Roman"/>
                <w:sz w:val="27"/>
                <w:szCs w:val="27"/>
              </w:rPr>
              <w:t xml:space="preserve"> 2002/87/EC </w:t>
            </w:r>
            <w:proofErr w:type="spellStart"/>
            <w:r w:rsidR="00B46108">
              <w:rPr>
                <w:rFonts w:ascii="Times New Roman" w:eastAsia="Times New Roman" w:hAnsi="Times New Roman" w:cs="Times New Roman"/>
                <w:sz w:val="27"/>
                <w:szCs w:val="27"/>
              </w:rPr>
              <w:t>Європейського</w:t>
            </w:r>
            <w:proofErr w:type="spellEnd"/>
            <w:r w:rsidR="00B46108">
              <w:rPr>
                <w:rFonts w:ascii="Times New Roman" w:eastAsia="Times New Roman" w:hAnsi="Times New Roman" w:cs="Times New Roman"/>
                <w:sz w:val="27"/>
                <w:szCs w:val="27"/>
              </w:rPr>
              <w:t xml:space="preserve"> </w:t>
            </w:r>
            <w:proofErr w:type="spellStart"/>
            <w:r w:rsidR="00B46108">
              <w:rPr>
                <w:rFonts w:ascii="Times New Roman" w:eastAsia="Times New Roman" w:hAnsi="Times New Roman" w:cs="Times New Roman"/>
                <w:sz w:val="27"/>
                <w:szCs w:val="27"/>
              </w:rPr>
              <w:t>Парламенту</w:t>
            </w:r>
            <w:proofErr w:type="spellEnd"/>
            <w:r w:rsidR="00B46108">
              <w:rPr>
                <w:rFonts w:ascii="Times New Roman" w:eastAsia="Times New Roman" w:hAnsi="Times New Roman" w:cs="Times New Roman"/>
                <w:sz w:val="27"/>
                <w:szCs w:val="27"/>
              </w:rPr>
              <w:t xml:space="preserve"> </w:t>
            </w:r>
            <w:proofErr w:type="spellStart"/>
            <w:r w:rsidR="00B46108">
              <w:rPr>
                <w:rFonts w:ascii="Times New Roman" w:eastAsia="Times New Roman" w:hAnsi="Times New Roman" w:cs="Times New Roman"/>
                <w:sz w:val="27"/>
                <w:szCs w:val="27"/>
              </w:rPr>
              <w:t>та</w:t>
            </w:r>
            <w:proofErr w:type="spellEnd"/>
            <w:r w:rsidR="00B46108">
              <w:rPr>
                <w:rFonts w:ascii="Times New Roman" w:eastAsia="Times New Roman" w:hAnsi="Times New Roman" w:cs="Times New Roman"/>
                <w:sz w:val="27"/>
                <w:szCs w:val="27"/>
              </w:rPr>
              <w:t xml:space="preserve"> </w:t>
            </w:r>
            <w:proofErr w:type="spellStart"/>
            <w:r w:rsidR="00B46108">
              <w:rPr>
                <w:rFonts w:ascii="Times New Roman" w:eastAsia="Times New Roman" w:hAnsi="Times New Roman" w:cs="Times New Roman"/>
                <w:sz w:val="27"/>
                <w:szCs w:val="27"/>
              </w:rPr>
              <w:t>Ради</w:t>
            </w:r>
            <w:proofErr w:type="spellEnd"/>
            <w:r w:rsidR="00DE77B0" w:rsidRPr="006279CF">
              <w:rPr>
                <w:rFonts w:ascii="Times New Roman" w:eastAsia="Times New Roman" w:hAnsi="Times New Roman" w:cs="Times New Roman"/>
                <w:sz w:val="27"/>
                <w:szCs w:val="27"/>
              </w:rPr>
              <w:t xml:space="preserve"> </w:t>
            </w:r>
            <w:r w:rsidR="00E50FA6">
              <w:rPr>
                <w:rFonts w:ascii="Times New Roman" w:eastAsia="Times New Roman" w:hAnsi="Times New Roman" w:cs="Times New Roman"/>
                <w:sz w:val="27"/>
                <w:szCs w:val="27"/>
                <w:lang w:val="uk-UA"/>
              </w:rPr>
              <w:t xml:space="preserve">від 16 грудня 2002 р. про додатковий нагляд за кредитними установами, </w:t>
            </w:r>
            <w:r w:rsidR="0023699C">
              <w:rPr>
                <w:rFonts w:ascii="Times New Roman" w:eastAsia="Times New Roman" w:hAnsi="Times New Roman" w:cs="Times New Roman"/>
                <w:sz w:val="27"/>
                <w:szCs w:val="27"/>
                <w:lang w:val="uk-UA"/>
              </w:rPr>
              <w:t>страховими компаніями та інвестиційними фірмами у фінансовому конгломераті</w:t>
            </w:r>
            <w:hyperlink r:id="rId29" w:anchor="ntr25-L_2012201EN.01000101-E0025" w:history="1">
              <w:r w:rsidR="00DE77B0" w:rsidRPr="006279CF">
                <w:rPr>
                  <w:rFonts w:ascii="Times New Roman" w:eastAsia="Times New Roman" w:hAnsi="Times New Roman" w:cs="Times New Roman"/>
                  <w:sz w:val="27"/>
                  <w:szCs w:val="27"/>
                  <w:bdr w:val="none" w:sz="0" w:space="0" w:color="auto" w:frame="1"/>
                </w:rPr>
                <w:t> (</w:t>
              </w:r>
              <w:r w:rsidR="00DE77B0" w:rsidRPr="006279CF">
                <w:rPr>
                  <w:rFonts w:ascii="Times New Roman" w:eastAsia="Times New Roman" w:hAnsi="Times New Roman" w:cs="Times New Roman"/>
                  <w:sz w:val="19"/>
                  <w:szCs w:val="19"/>
                  <w:bdr w:val="none" w:sz="0" w:space="0" w:color="auto" w:frame="1"/>
                  <w:vertAlign w:val="superscript"/>
                </w:rPr>
                <w:t>25</w:t>
              </w:r>
              <w:r w:rsidR="00DE77B0" w:rsidRPr="006279CF">
                <w:rPr>
                  <w:rFonts w:ascii="Times New Roman" w:eastAsia="Times New Roman" w:hAnsi="Times New Roman" w:cs="Times New Roman"/>
                  <w:sz w:val="27"/>
                  <w:szCs w:val="27"/>
                  <w:bdr w:val="none" w:sz="0" w:space="0" w:color="auto" w:frame="1"/>
                </w:rPr>
                <w:t>)</w:t>
              </w:r>
            </w:hyperlink>
            <w:r w:rsidR="00DE77B0" w:rsidRPr="006279CF">
              <w:rPr>
                <w:rFonts w:ascii="Times New Roman" w:eastAsia="Times New Roman" w:hAnsi="Times New Roman" w:cs="Times New Roman"/>
                <w:sz w:val="27"/>
                <w:szCs w:val="27"/>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23699C" w:rsidP="00770967">
            <w:pPr>
              <w:spacing w:before="120" w:after="0" w:line="240" w:lineRule="auto"/>
              <w:jc w:val="both"/>
              <w:textAlignment w:val="baseline"/>
              <w:rPr>
                <w:rFonts w:ascii="Times New Roman" w:eastAsia="Times New Roman" w:hAnsi="Times New Roman" w:cs="Times New Roman"/>
                <w:sz w:val="27"/>
                <w:szCs w:val="27"/>
              </w:rPr>
            </w:pPr>
            <w:r w:rsidRPr="00770967">
              <w:rPr>
                <w:rFonts w:ascii="Times New Roman" w:eastAsia="Times New Roman" w:hAnsi="Times New Roman" w:cs="Times New Roman"/>
                <w:sz w:val="27"/>
                <w:szCs w:val="27"/>
              </w:rPr>
              <w:t>«</w:t>
            </w:r>
            <w:r w:rsidR="00770967">
              <w:rPr>
                <w:rFonts w:ascii="Times New Roman" w:eastAsia="Times New Roman" w:hAnsi="Times New Roman" w:cs="Times New Roman"/>
                <w:sz w:val="27"/>
                <w:szCs w:val="27"/>
                <w:lang w:val="uk-UA"/>
              </w:rPr>
              <w:t>підприємство з надання допоміжних послуг» - суб’єкт, основний вид діяльності якого полягає у володінні або управлінні майном, управлінні послугами з обробки даних або аналогічній діяльності, що має характер допоміжної для основної діяльності однієї чи декількох кредитних установ;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70967" w:rsidP="005F47D9">
            <w:pPr>
              <w:spacing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«кваліфікована частка участі»</w:t>
            </w:r>
            <w:r w:rsidR="009A1441" w:rsidRPr="009A1441">
              <w:rPr>
                <w:rFonts w:ascii="Times New Roman" w:eastAsia="Times New Roman" w:hAnsi="Times New Roman" w:cs="Times New Roman"/>
                <w:sz w:val="27"/>
                <w:szCs w:val="27"/>
              </w:rPr>
              <w:t xml:space="preserve"> </w:t>
            </w:r>
            <w:r w:rsidR="009A1441">
              <w:rPr>
                <w:rFonts w:ascii="Times New Roman" w:eastAsia="Times New Roman" w:hAnsi="Times New Roman" w:cs="Times New Roman"/>
                <w:sz w:val="27"/>
                <w:szCs w:val="27"/>
                <w:lang w:val="uk-UA"/>
              </w:rPr>
              <w:t xml:space="preserve">- будь-яка пряма чи непряма частка участі у </w:t>
            </w:r>
            <w:r w:rsidR="009A1441">
              <w:rPr>
                <w:rFonts w:ascii="Times New Roman" w:eastAsia="Times New Roman" w:hAnsi="Times New Roman" w:cs="Times New Roman"/>
                <w:sz w:val="27"/>
                <w:szCs w:val="27"/>
                <w:lang w:val="uk-UA"/>
              </w:rPr>
              <w:lastRenderedPageBreak/>
              <w:t xml:space="preserve">ЦКА або торговому </w:t>
            </w:r>
            <w:proofErr w:type="spellStart"/>
            <w:r w:rsidR="009A1441">
              <w:rPr>
                <w:rFonts w:ascii="Times New Roman" w:eastAsia="Times New Roman" w:hAnsi="Times New Roman" w:cs="Times New Roman"/>
                <w:sz w:val="27"/>
                <w:szCs w:val="27"/>
                <w:lang w:val="uk-UA"/>
              </w:rPr>
              <w:t>репозитарії</w:t>
            </w:r>
            <w:proofErr w:type="spellEnd"/>
            <w:r w:rsidR="009A1441">
              <w:rPr>
                <w:rFonts w:ascii="Times New Roman" w:eastAsia="Times New Roman" w:hAnsi="Times New Roman" w:cs="Times New Roman"/>
                <w:sz w:val="27"/>
                <w:szCs w:val="27"/>
                <w:lang w:val="uk-UA"/>
              </w:rPr>
              <w:t>, яка становить принаймні 10% капіталу чи прав голосу, згідно зі ст</w:t>
            </w:r>
            <w:r w:rsidR="005F47D9">
              <w:rPr>
                <w:rFonts w:ascii="Times New Roman" w:eastAsia="Times New Roman" w:hAnsi="Times New Roman" w:cs="Times New Roman"/>
                <w:sz w:val="27"/>
                <w:szCs w:val="27"/>
                <w:lang w:val="uk-UA"/>
              </w:rPr>
              <w:t>аттями</w:t>
            </w:r>
            <w:r w:rsidR="009A1441">
              <w:rPr>
                <w:rFonts w:ascii="Times New Roman" w:eastAsia="Times New Roman" w:hAnsi="Times New Roman" w:cs="Times New Roman"/>
                <w:sz w:val="27"/>
                <w:szCs w:val="27"/>
                <w:lang w:val="uk-UA"/>
              </w:rPr>
              <w:t xml:space="preserve"> 9 та 10 Директиви</w:t>
            </w:r>
            <w:r w:rsidR="00DE77B0" w:rsidRPr="009A1441">
              <w:rPr>
                <w:rFonts w:ascii="Times New Roman" w:eastAsia="Times New Roman" w:hAnsi="Times New Roman" w:cs="Times New Roman"/>
                <w:sz w:val="27"/>
                <w:szCs w:val="27"/>
              </w:rPr>
              <w:t xml:space="preserve"> 2004/109/</w:t>
            </w:r>
            <w:r w:rsidR="00DE77B0" w:rsidRPr="006279CF">
              <w:rPr>
                <w:rFonts w:ascii="Times New Roman" w:eastAsia="Times New Roman" w:hAnsi="Times New Roman" w:cs="Times New Roman"/>
                <w:sz w:val="27"/>
                <w:szCs w:val="27"/>
              </w:rPr>
              <w:t>EC</w:t>
            </w:r>
            <w:r w:rsidR="00DE77B0" w:rsidRPr="009A1441">
              <w:rPr>
                <w:rFonts w:ascii="Times New Roman" w:eastAsia="Times New Roman" w:hAnsi="Times New Roman" w:cs="Times New Roman"/>
                <w:sz w:val="27"/>
                <w:szCs w:val="27"/>
              </w:rPr>
              <w:t xml:space="preserve"> </w:t>
            </w:r>
            <w:proofErr w:type="spellStart"/>
            <w:r w:rsidR="00B46108" w:rsidRPr="009A1441">
              <w:rPr>
                <w:rFonts w:ascii="Times New Roman" w:eastAsia="Times New Roman" w:hAnsi="Times New Roman" w:cs="Times New Roman"/>
                <w:sz w:val="27"/>
                <w:szCs w:val="27"/>
                <w:lang w:val="ru-RU"/>
              </w:rPr>
              <w:t>Європейського</w:t>
            </w:r>
            <w:proofErr w:type="spellEnd"/>
            <w:r w:rsidR="00B46108" w:rsidRPr="009A1441">
              <w:rPr>
                <w:rFonts w:ascii="Times New Roman" w:eastAsia="Times New Roman" w:hAnsi="Times New Roman" w:cs="Times New Roman"/>
                <w:sz w:val="27"/>
                <w:szCs w:val="27"/>
              </w:rPr>
              <w:t xml:space="preserve"> </w:t>
            </w:r>
            <w:r w:rsidR="00B46108" w:rsidRPr="009A1441">
              <w:rPr>
                <w:rFonts w:ascii="Times New Roman" w:eastAsia="Times New Roman" w:hAnsi="Times New Roman" w:cs="Times New Roman"/>
                <w:sz w:val="27"/>
                <w:szCs w:val="27"/>
                <w:lang w:val="ru-RU"/>
              </w:rPr>
              <w:t>Парламенту</w:t>
            </w:r>
            <w:r w:rsidR="00B46108" w:rsidRPr="009A1441">
              <w:rPr>
                <w:rFonts w:ascii="Times New Roman" w:eastAsia="Times New Roman" w:hAnsi="Times New Roman" w:cs="Times New Roman"/>
                <w:sz w:val="27"/>
                <w:szCs w:val="27"/>
              </w:rPr>
              <w:t xml:space="preserve"> </w:t>
            </w:r>
            <w:r w:rsidR="00B46108" w:rsidRPr="009A1441">
              <w:rPr>
                <w:rFonts w:ascii="Times New Roman" w:eastAsia="Times New Roman" w:hAnsi="Times New Roman" w:cs="Times New Roman"/>
                <w:sz w:val="27"/>
                <w:szCs w:val="27"/>
                <w:lang w:val="ru-RU"/>
              </w:rPr>
              <w:t>та</w:t>
            </w:r>
            <w:r w:rsidR="00B46108" w:rsidRPr="009A1441">
              <w:rPr>
                <w:rFonts w:ascii="Times New Roman" w:eastAsia="Times New Roman" w:hAnsi="Times New Roman" w:cs="Times New Roman"/>
                <w:sz w:val="27"/>
                <w:szCs w:val="27"/>
              </w:rPr>
              <w:t xml:space="preserve"> </w:t>
            </w:r>
            <w:r w:rsidR="00B46108" w:rsidRPr="009A1441">
              <w:rPr>
                <w:rFonts w:ascii="Times New Roman" w:eastAsia="Times New Roman" w:hAnsi="Times New Roman" w:cs="Times New Roman"/>
                <w:sz w:val="27"/>
                <w:szCs w:val="27"/>
                <w:lang w:val="ru-RU"/>
              </w:rPr>
              <w:t>Ради</w:t>
            </w:r>
            <w:r w:rsidR="00DE77B0" w:rsidRPr="009A1441">
              <w:rPr>
                <w:rFonts w:ascii="Times New Roman" w:eastAsia="Times New Roman" w:hAnsi="Times New Roman" w:cs="Times New Roman"/>
                <w:sz w:val="27"/>
                <w:szCs w:val="27"/>
              </w:rPr>
              <w:t xml:space="preserve"> </w:t>
            </w:r>
            <w:proofErr w:type="spellStart"/>
            <w:r w:rsidR="009A1441">
              <w:rPr>
                <w:rFonts w:ascii="Times New Roman" w:eastAsia="Times New Roman" w:hAnsi="Times New Roman" w:cs="Times New Roman"/>
                <w:sz w:val="27"/>
                <w:szCs w:val="27"/>
                <w:lang w:val="ru-RU"/>
              </w:rPr>
              <w:t>від</w:t>
            </w:r>
            <w:proofErr w:type="spellEnd"/>
            <w:r w:rsidR="009A1441" w:rsidRPr="009A1441">
              <w:rPr>
                <w:rFonts w:ascii="Times New Roman" w:eastAsia="Times New Roman" w:hAnsi="Times New Roman" w:cs="Times New Roman"/>
                <w:sz w:val="27"/>
                <w:szCs w:val="27"/>
              </w:rPr>
              <w:t xml:space="preserve"> 15 </w:t>
            </w:r>
            <w:r w:rsidR="009A1441">
              <w:rPr>
                <w:rFonts w:ascii="Times New Roman" w:eastAsia="Times New Roman" w:hAnsi="Times New Roman" w:cs="Times New Roman"/>
                <w:sz w:val="27"/>
                <w:szCs w:val="27"/>
                <w:lang w:val="uk-UA"/>
              </w:rPr>
              <w:t>грудня 2004 р. про гармонізацію вимог щодо прозорості стосовно інформації про емітентів, чиї цінні папери допущені до торгівлі на регульованому ринку</w:t>
            </w:r>
            <w:hyperlink r:id="rId30" w:anchor="ntr26-L_2012201EN.01000101-E0026" w:history="1">
              <w:r w:rsidR="00DE77B0" w:rsidRPr="006279CF">
                <w:rPr>
                  <w:rFonts w:ascii="Times New Roman" w:eastAsia="Times New Roman" w:hAnsi="Times New Roman" w:cs="Times New Roman"/>
                  <w:sz w:val="27"/>
                  <w:szCs w:val="27"/>
                  <w:bdr w:val="none" w:sz="0" w:space="0" w:color="auto" w:frame="1"/>
                </w:rPr>
                <w:t> (</w:t>
              </w:r>
              <w:r w:rsidR="00DE77B0" w:rsidRPr="006279CF">
                <w:rPr>
                  <w:rFonts w:ascii="Times New Roman" w:eastAsia="Times New Roman" w:hAnsi="Times New Roman" w:cs="Times New Roman"/>
                  <w:sz w:val="19"/>
                  <w:szCs w:val="19"/>
                  <w:bdr w:val="none" w:sz="0" w:space="0" w:color="auto" w:frame="1"/>
                  <w:vertAlign w:val="superscript"/>
                </w:rPr>
                <w:t>26</w:t>
              </w:r>
              <w:r w:rsidR="00DE77B0" w:rsidRPr="006279CF">
                <w:rPr>
                  <w:rFonts w:ascii="Times New Roman" w:eastAsia="Times New Roman" w:hAnsi="Times New Roman" w:cs="Times New Roman"/>
                  <w:sz w:val="27"/>
                  <w:szCs w:val="27"/>
                  <w:bdr w:val="none" w:sz="0" w:space="0" w:color="auto" w:frame="1"/>
                </w:rPr>
                <w:t>)</w:t>
              </w:r>
            </w:hyperlink>
            <w:r w:rsidR="00DE77B0" w:rsidRPr="006279CF">
              <w:rPr>
                <w:rFonts w:ascii="Times New Roman" w:eastAsia="Times New Roman" w:hAnsi="Times New Roman" w:cs="Times New Roman"/>
                <w:sz w:val="27"/>
                <w:szCs w:val="27"/>
              </w:rPr>
              <w:t xml:space="preserve">, </w:t>
            </w:r>
            <w:r w:rsidR="00AC6E34">
              <w:rPr>
                <w:rFonts w:ascii="Times New Roman" w:eastAsia="Times New Roman" w:hAnsi="Times New Roman" w:cs="Times New Roman"/>
                <w:sz w:val="27"/>
                <w:szCs w:val="27"/>
                <w:lang w:val="uk-UA"/>
              </w:rPr>
              <w:t>з урахуванням умов щодо їхнього агрегування, викладених у ст</w:t>
            </w:r>
            <w:r w:rsidR="005F47D9">
              <w:rPr>
                <w:rFonts w:ascii="Times New Roman" w:eastAsia="Times New Roman" w:hAnsi="Times New Roman" w:cs="Times New Roman"/>
                <w:sz w:val="27"/>
                <w:szCs w:val="27"/>
                <w:lang w:val="uk-UA"/>
              </w:rPr>
              <w:t>аттях</w:t>
            </w:r>
            <w:r w:rsidR="00AC6E34">
              <w:rPr>
                <w:rFonts w:ascii="Times New Roman" w:eastAsia="Times New Roman" w:hAnsi="Times New Roman" w:cs="Times New Roman"/>
                <w:sz w:val="27"/>
                <w:szCs w:val="27"/>
                <w:lang w:val="uk-UA"/>
              </w:rPr>
              <w:t xml:space="preserve"> 12(4) та (5) цієї директиви, або яка уможливлює здійснення значного впливу на управл</w:t>
            </w:r>
            <w:r w:rsidR="007273E6">
              <w:rPr>
                <w:rFonts w:ascii="Times New Roman" w:eastAsia="Times New Roman" w:hAnsi="Times New Roman" w:cs="Times New Roman"/>
                <w:sz w:val="27"/>
                <w:szCs w:val="27"/>
                <w:lang w:val="uk-UA"/>
              </w:rPr>
              <w:t xml:space="preserve">іння ЦКА або торговим </w:t>
            </w:r>
            <w:proofErr w:type="spellStart"/>
            <w:r w:rsidR="007273E6">
              <w:rPr>
                <w:rFonts w:ascii="Times New Roman" w:eastAsia="Times New Roman" w:hAnsi="Times New Roman" w:cs="Times New Roman"/>
                <w:sz w:val="27"/>
                <w:szCs w:val="27"/>
                <w:lang w:val="uk-UA"/>
              </w:rPr>
              <w:t>репозитарієм</w:t>
            </w:r>
            <w:proofErr w:type="spellEnd"/>
            <w:r w:rsidR="007273E6">
              <w:rPr>
                <w:rFonts w:ascii="Times New Roman" w:eastAsia="Times New Roman" w:hAnsi="Times New Roman" w:cs="Times New Roman"/>
                <w:sz w:val="27"/>
                <w:szCs w:val="27"/>
                <w:lang w:val="uk-UA"/>
              </w:rPr>
              <w:t>, у якому існує ця частка;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7273E6" w:rsidRDefault="007273E6" w:rsidP="005F47D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«материнське підприємство» - материнське підприємство згідно з описом, наведеним у ст</w:t>
            </w:r>
            <w:r w:rsidR="005F47D9">
              <w:rPr>
                <w:rFonts w:ascii="Times New Roman" w:eastAsia="Times New Roman" w:hAnsi="Times New Roman" w:cs="Times New Roman"/>
                <w:sz w:val="27"/>
                <w:szCs w:val="27"/>
                <w:lang w:val="uk-UA"/>
              </w:rPr>
              <w:t>аттях</w:t>
            </w:r>
            <w:r>
              <w:rPr>
                <w:rFonts w:ascii="Times New Roman" w:eastAsia="Times New Roman" w:hAnsi="Times New Roman" w:cs="Times New Roman"/>
                <w:sz w:val="27"/>
                <w:szCs w:val="27"/>
                <w:lang w:val="uk-UA"/>
              </w:rPr>
              <w:t xml:space="preserve"> 1 та 2 Директиви</w:t>
            </w:r>
            <w:r w:rsidR="00DE77B0" w:rsidRPr="007273E6">
              <w:rPr>
                <w:rFonts w:ascii="Times New Roman" w:eastAsia="Times New Roman" w:hAnsi="Times New Roman" w:cs="Times New Roman"/>
                <w:sz w:val="27"/>
                <w:szCs w:val="27"/>
                <w:lang w:val="ru-RU"/>
              </w:rPr>
              <w:t xml:space="preserve"> 83/349/</w:t>
            </w:r>
            <w:r w:rsidR="00DE77B0" w:rsidRPr="006279CF">
              <w:rPr>
                <w:rFonts w:ascii="Times New Roman" w:eastAsia="Times New Roman" w:hAnsi="Times New Roman" w:cs="Times New Roman"/>
                <w:sz w:val="27"/>
                <w:szCs w:val="27"/>
              </w:rPr>
              <w:t>EEC</w:t>
            </w:r>
            <w:r w:rsidR="00DE77B0" w:rsidRPr="007273E6">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221A8" w:rsidRDefault="007273E6" w:rsidP="005F47D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w:t>
            </w:r>
            <w:r w:rsidR="004A1AF6">
              <w:rPr>
                <w:rFonts w:ascii="Times New Roman" w:eastAsia="Times New Roman" w:hAnsi="Times New Roman" w:cs="Times New Roman"/>
                <w:sz w:val="27"/>
                <w:szCs w:val="27"/>
                <w:lang w:val="uk-UA"/>
              </w:rPr>
              <w:t>дочірнє підприємство» - дочірнє підприємство згідно з описом, наведеним у ст</w:t>
            </w:r>
            <w:r w:rsidR="005F47D9">
              <w:rPr>
                <w:rFonts w:ascii="Times New Roman" w:eastAsia="Times New Roman" w:hAnsi="Times New Roman" w:cs="Times New Roman"/>
                <w:sz w:val="27"/>
                <w:szCs w:val="27"/>
                <w:lang w:val="uk-UA"/>
              </w:rPr>
              <w:t>аттях</w:t>
            </w:r>
            <w:r w:rsidR="004A1AF6">
              <w:rPr>
                <w:rFonts w:ascii="Times New Roman" w:eastAsia="Times New Roman" w:hAnsi="Times New Roman" w:cs="Times New Roman"/>
                <w:sz w:val="27"/>
                <w:szCs w:val="27"/>
                <w:lang w:val="uk-UA"/>
              </w:rPr>
              <w:t xml:space="preserve"> 1 та 2 Директиви 83/349/ЕЕС, у тому числі дочірнє підприємство головного материнського підприємства;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540C93" w:rsidRDefault="00540C93" w:rsidP="005F47D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«контроль» - відносини між материнським підприємством і дочірнім підприємством згідно з описом, наведеним у ст</w:t>
            </w:r>
            <w:r w:rsidR="005F47D9">
              <w:rPr>
                <w:rFonts w:ascii="Times New Roman" w:eastAsia="Times New Roman" w:hAnsi="Times New Roman" w:cs="Times New Roman"/>
                <w:sz w:val="27"/>
                <w:szCs w:val="27"/>
                <w:lang w:val="uk-UA"/>
              </w:rPr>
              <w:t>атті</w:t>
            </w:r>
            <w:r>
              <w:rPr>
                <w:rFonts w:ascii="Times New Roman" w:eastAsia="Times New Roman" w:hAnsi="Times New Roman" w:cs="Times New Roman"/>
                <w:sz w:val="27"/>
                <w:szCs w:val="27"/>
                <w:lang w:val="uk-UA"/>
              </w:rPr>
              <w:t xml:space="preserve"> 1 Директиви</w:t>
            </w:r>
            <w:r w:rsidR="00DE77B0" w:rsidRPr="00540C93">
              <w:rPr>
                <w:rFonts w:ascii="Times New Roman" w:eastAsia="Times New Roman" w:hAnsi="Times New Roman" w:cs="Times New Roman"/>
                <w:sz w:val="27"/>
                <w:szCs w:val="27"/>
                <w:lang w:val="ru-RU"/>
              </w:rPr>
              <w:t xml:space="preserve"> 83/349/</w:t>
            </w:r>
            <w:r w:rsidR="00DE77B0" w:rsidRPr="006279CF">
              <w:rPr>
                <w:rFonts w:ascii="Times New Roman" w:eastAsia="Times New Roman" w:hAnsi="Times New Roman" w:cs="Times New Roman"/>
                <w:sz w:val="27"/>
                <w:szCs w:val="27"/>
              </w:rPr>
              <w:t>EEC</w:t>
            </w:r>
            <w:r w:rsidR="00DE77B0" w:rsidRPr="00540C93">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66D73" w:rsidP="00D66D73">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«тісні зв'язки» - ситуація, в якій дві чи більше фізичних або юридичних осіб зв'язані:</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763E3E" w:rsidRP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B221A8" w:rsidRDefault="00FD61ED" w:rsidP="00FD61ED">
                  <w:pPr>
                    <w:spacing w:before="120" w:after="0" w:line="240" w:lineRule="auto"/>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 xml:space="preserve">часткою </w:t>
                  </w:r>
                  <w:r w:rsidR="00D66D73">
                    <w:rPr>
                      <w:rFonts w:ascii="Times New Roman" w:eastAsia="Times New Roman" w:hAnsi="Times New Roman" w:cs="Times New Roman"/>
                      <w:sz w:val="24"/>
                      <w:szCs w:val="24"/>
                      <w:lang w:val="uk-UA"/>
                    </w:rPr>
                    <w:t>участ</w:t>
                  </w:r>
                  <w:r>
                    <w:rPr>
                      <w:rFonts w:ascii="Times New Roman" w:eastAsia="Times New Roman" w:hAnsi="Times New Roman" w:cs="Times New Roman"/>
                      <w:sz w:val="24"/>
                      <w:szCs w:val="24"/>
                      <w:lang w:val="uk-UA"/>
                    </w:rPr>
                    <w:t>і</w:t>
                  </w:r>
                  <w:r w:rsidR="00D66D73">
                    <w:rPr>
                      <w:rFonts w:ascii="Times New Roman" w:eastAsia="Times New Roman" w:hAnsi="Times New Roman" w:cs="Times New Roman"/>
                      <w:sz w:val="24"/>
                      <w:szCs w:val="24"/>
                      <w:lang w:val="uk-UA"/>
                    </w:rPr>
                    <w:t xml:space="preserve">, через безпосереднє володіння або контроль, </w:t>
                  </w:r>
                  <w:r>
                    <w:rPr>
                      <w:rFonts w:ascii="Times New Roman" w:eastAsia="Times New Roman" w:hAnsi="Times New Roman" w:cs="Times New Roman"/>
                      <w:sz w:val="24"/>
                      <w:szCs w:val="24"/>
                      <w:lang w:val="uk-UA"/>
                    </w:rPr>
                    <w:t>в розмірі 20% або більше прав голосу чи капіталу підприємства; або</w:t>
                  </w:r>
                </w:p>
              </w:tc>
            </w:tr>
          </w:tbl>
          <w:p w:rsidR="00DE77B0" w:rsidRPr="006279CF" w:rsidRDefault="00DE77B0" w:rsidP="00187079">
            <w:pPr>
              <w:spacing w:after="0" w:line="240" w:lineRule="auto"/>
              <w:rPr>
                <w:rFonts w:ascii="Times New Roman" w:eastAsia="Times New Roman" w:hAnsi="Times New Roman" w:cs="Times New Roman"/>
                <w:vanish/>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04"/>
            </w:tblGrid>
            <w:tr w:rsidR="00763E3E" w:rsidRPr="006279C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FD61ED" w:rsidP="00685F5D">
                  <w:pPr>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контролем або аналогічними відносинами між </w:t>
                  </w:r>
                  <w:r w:rsidR="002A799D">
                    <w:rPr>
                      <w:rFonts w:ascii="Times New Roman" w:eastAsia="Times New Roman" w:hAnsi="Times New Roman" w:cs="Times New Roman"/>
                      <w:sz w:val="24"/>
                      <w:szCs w:val="24"/>
                      <w:lang w:val="uk-UA"/>
                    </w:rPr>
                    <w:t>фізичною чи юридичною особою та підприємством або дочірнім підприємством дочірнього підприємства, яке також вважається дочірнім підприємством материнського підприємства, що очолює ці п</w:t>
                  </w:r>
                  <w:r w:rsidR="00685F5D">
                    <w:rPr>
                      <w:rFonts w:ascii="Times New Roman" w:eastAsia="Times New Roman" w:hAnsi="Times New Roman" w:cs="Times New Roman"/>
                      <w:sz w:val="24"/>
                      <w:szCs w:val="24"/>
                      <w:lang w:val="uk-UA"/>
                    </w:rPr>
                    <w:t>ідприємства.</w:t>
                  </w:r>
                </w:p>
              </w:tc>
            </w:tr>
          </w:tbl>
          <w:p w:rsidR="00DE77B0" w:rsidRPr="00685F5D" w:rsidRDefault="00685F5D" w:rsidP="00685F5D">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Ситуація, в якій дві або більше фізичних або юридичних осіб постійно зв'язані з однією й тією самою особою відносинами контролю, також вважається тісним зв'язком між такими особами.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F3406"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F3406" w:rsidRPr="001F3406" w:rsidRDefault="00496D68" w:rsidP="005F47D9">
            <w:pPr>
              <w:spacing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«капітал» - випущений капітал у значенні ст</w:t>
            </w:r>
            <w:r w:rsidR="005F47D9">
              <w:rPr>
                <w:rFonts w:ascii="Times New Roman" w:eastAsia="Times New Roman" w:hAnsi="Times New Roman" w:cs="Times New Roman"/>
                <w:sz w:val="27"/>
                <w:szCs w:val="27"/>
                <w:lang w:val="uk-UA"/>
              </w:rPr>
              <w:t>атті</w:t>
            </w:r>
            <w:r>
              <w:rPr>
                <w:rFonts w:ascii="Times New Roman" w:eastAsia="Times New Roman" w:hAnsi="Times New Roman" w:cs="Times New Roman"/>
                <w:sz w:val="27"/>
                <w:szCs w:val="27"/>
                <w:lang w:val="uk-UA"/>
              </w:rPr>
              <w:t xml:space="preserve"> 22 Директиви Ради</w:t>
            </w:r>
            <w:r w:rsidR="00DE77B0" w:rsidRPr="00496D68">
              <w:rPr>
                <w:rFonts w:ascii="Times New Roman" w:eastAsia="Times New Roman" w:hAnsi="Times New Roman" w:cs="Times New Roman"/>
                <w:sz w:val="27"/>
                <w:szCs w:val="27"/>
              </w:rPr>
              <w:t xml:space="preserve"> 86/635/</w:t>
            </w:r>
            <w:r w:rsidR="00DE77B0" w:rsidRPr="006279CF">
              <w:rPr>
                <w:rFonts w:ascii="Times New Roman" w:eastAsia="Times New Roman" w:hAnsi="Times New Roman" w:cs="Times New Roman"/>
                <w:sz w:val="27"/>
                <w:szCs w:val="27"/>
              </w:rPr>
              <w:t>EEC</w:t>
            </w:r>
            <w:r w:rsidR="00DE77B0" w:rsidRPr="00496D68">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lang w:val="uk-UA"/>
              </w:rPr>
              <w:t>від 8 грудня 1986 р. про річну звітність і консолідовану звітність банків та інших фінансових установ</w:t>
            </w:r>
            <w:hyperlink r:id="rId31" w:anchor="ntr27-L_2012201EN.01000101-E0027" w:history="1">
              <w:r w:rsidR="00DE77B0" w:rsidRPr="006279CF">
                <w:rPr>
                  <w:rFonts w:ascii="Times New Roman" w:eastAsia="Times New Roman" w:hAnsi="Times New Roman" w:cs="Times New Roman"/>
                  <w:sz w:val="27"/>
                  <w:szCs w:val="27"/>
                  <w:bdr w:val="none" w:sz="0" w:space="0" w:color="auto" w:frame="1"/>
                </w:rPr>
                <w:t> (</w:t>
              </w:r>
              <w:r w:rsidR="00DE77B0" w:rsidRPr="006279CF">
                <w:rPr>
                  <w:rFonts w:ascii="Times New Roman" w:eastAsia="Times New Roman" w:hAnsi="Times New Roman" w:cs="Times New Roman"/>
                  <w:sz w:val="19"/>
                  <w:szCs w:val="19"/>
                  <w:bdr w:val="none" w:sz="0" w:space="0" w:color="auto" w:frame="1"/>
                  <w:vertAlign w:val="superscript"/>
                </w:rPr>
                <w:t>27</w:t>
              </w:r>
              <w:r w:rsidR="00DE77B0" w:rsidRPr="006279CF">
                <w:rPr>
                  <w:rFonts w:ascii="Times New Roman" w:eastAsia="Times New Roman" w:hAnsi="Times New Roman" w:cs="Times New Roman"/>
                  <w:sz w:val="27"/>
                  <w:szCs w:val="27"/>
                  <w:bdr w:val="none" w:sz="0" w:space="0" w:color="auto" w:frame="1"/>
                </w:rPr>
                <w:t>)</w:t>
              </w:r>
            </w:hyperlink>
            <w:r w:rsidR="001F3406">
              <w:rPr>
                <w:rFonts w:ascii="Times New Roman" w:eastAsia="Times New Roman" w:hAnsi="Times New Roman" w:cs="Times New Roman"/>
                <w:sz w:val="27"/>
                <w:szCs w:val="27"/>
                <w:lang w:val="uk-UA"/>
              </w:rPr>
              <w:t>, якщо він оплачений, плюс</w:t>
            </w:r>
            <w:r w:rsidR="001F3406" w:rsidRPr="001F3406">
              <w:rPr>
                <w:rFonts w:ascii="Times New Roman" w:eastAsia="Times New Roman" w:hAnsi="Times New Roman" w:cs="Times New Roman"/>
                <w:sz w:val="27"/>
                <w:szCs w:val="27"/>
              </w:rPr>
              <w:t xml:space="preserve"> </w:t>
            </w:r>
            <w:r w:rsidR="001F3406">
              <w:rPr>
                <w:rFonts w:ascii="Times New Roman" w:eastAsia="Times New Roman" w:hAnsi="Times New Roman" w:cs="Times New Roman"/>
                <w:sz w:val="27"/>
                <w:szCs w:val="27"/>
                <w:lang w:val="uk-UA"/>
              </w:rPr>
              <w:t>відповідний капітал понад номінал, повністю покриває збитки у ситуаціях із безперервно діючими підприємствами та, у випадку банкрутства чи ліквідації, має черговість погашення після всіх інших вимог;</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221A8" w:rsidRDefault="004B47D8" w:rsidP="00D5296B">
            <w:pPr>
              <w:spacing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«резерви» - резерви згідно зі ст. 9 Четвертої директиви Ради</w:t>
            </w:r>
            <w:r w:rsidR="00DE77B0" w:rsidRPr="004B47D8">
              <w:rPr>
                <w:rFonts w:ascii="Times New Roman" w:eastAsia="Times New Roman" w:hAnsi="Times New Roman" w:cs="Times New Roman"/>
                <w:sz w:val="27"/>
                <w:szCs w:val="27"/>
                <w:lang w:val="ru-RU"/>
              </w:rPr>
              <w:t xml:space="preserve"> 78/660/</w:t>
            </w:r>
            <w:r w:rsidR="00DE77B0" w:rsidRPr="006279CF">
              <w:rPr>
                <w:rFonts w:ascii="Times New Roman" w:eastAsia="Times New Roman" w:hAnsi="Times New Roman" w:cs="Times New Roman"/>
                <w:sz w:val="27"/>
                <w:szCs w:val="27"/>
              </w:rPr>
              <w:t>EEC</w:t>
            </w:r>
            <w:r w:rsidR="00DE77B0" w:rsidRPr="004B47D8">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від</w:t>
            </w:r>
            <w:r w:rsidR="00DE77B0" w:rsidRPr="004B47D8">
              <w:rPr>
                <w:rFonts w:ascii="Times New Roman" w:eastAsia="Times New Roman" w:hAnsi="Times New Roman" w:cs="Times New Roman"/>
                <w:sz w:val="27"/>
                <w:szCs w:val="27"/>
                <w:lang w:val="ru-RU"/>
              </w:rPr>
              <w:t xml:space="preserve"> 25 </w:t>
            </w:r>
            <w:r>
              <w:rPr>
                <w:rFonts w:ascii="Times New Roman" w:eastAsia="Times New Roman" w:hAnsi="Times New Roman" w:cs="Times New Roman"/>
                <w:sz w:val="27"/>
                <w:szCs w:val="27"/>
                <w:lang w:val="uk-UA"/>
              </w:rPr>
              <w:t>липня 1978 р. на основі ст</w:t>
            </w:r>
            <w:r w:rsidR="00D5296B">
              <w:rPr>
                <w:rFonts w:ascii="Times New Roman" w:eastAsia="Times New Roman" w:hAnsi="Times New Roman" w:cs="Times New Roman"/>
                <w:sz w:val="27"/>
                <w:szCs w:val="27"/>
                <w:lang w:val="uk-UA"/>
              </w:rPr>
              <w:t>атті</w:t>
            </w:r>
            <w:r w:rsidR="00DE77B0" w:rsidRPr="004B47D8">
              <w:rPr>
                <w:rFonts w:ascii="Times New Roman" w:eastAsia="Times New Roman" w:hAnsi="Times New Roman" w:cs="Times New Roman"/>
                <w:sz w:val="27"/>
                <w:szCs w:val="27"/>
                <w:lang w:val="ru-RU"/>
              </w:rPr>
              <w:t xml:space="preserve"> 54(3)(</w:t>
            </w:r>
            <w:r w:rsidR="00DE77B0" w:rsidRPr="006279CF">
              <w:rPr>
                <w:rFonts w:ascii="Times New Roman" w:eastAsia="Times New Roman" w:hAnsi="Times New Roman" w:cs="Times New Roman"/>
                <w:sz w:val="27"/>
                <w:szCs w:val="27"/>
              </w:rPr>
              <w:t>g</w:t>
            </w:r>
            <w:r w:rsidR="00DE77B0" w:rsidRPr="004B47D8">
              <w:rPr>
                <w:rFonts w:ascii="Times New Roman" w:eastAsia="Times New Roman" w:hAnsi="Times New Roman" w:cs="Times New Roman"/>
                <w:sz w:val="27"/>
                <w:szCs w:val="27"/>
                <w:lang w:val="ru-RU"/>
              </w:rPr>
              <w:t xml:space="preserve">) </w:t>
            </w:r>
            <w:r w:rsidR="00976A96">
              <w:rPr>
                <w:rFonts w:ascii="Times New Roman" w:eastAsia="Times New Roman" w:hAnsi="Times New Roman" w:cs="Times New Roman"/>
                <w:sz w:val="27"/>
                <w:szCs w:val="27"/>
                <w:lang w:val="uk-UA"/>
              </w:rPr>
              <w:t>Договору про річну звітність певних типів компаній</w:t>
            </w:r>
            <w:hyperlink r:id="rId32" w:anchor="ntr28-L_2012201EN.01000101-E0028" w:history="1">
              <w:r w:rsidR="00DE77B0" w:rsidRPr="006279CF">
                <w:rPr>
                  <w:rFonts w:ascii="Times New Roman" w:eastAsia="Times New Roman" w:hAnsi="Times New Roman" w:cs="Times New Roman"/>
                  <w:sz w:val="27"/>
                  <w:szCs w:val="27"/>
                  <w:bdr w:val="none" w:sz="0" w:space="0" w:color="auto" w:frame="1"/>
                </w:rPr>
                <w:t> </w:t>
              </w:r>
              <w:r w:rsidR="00DE77B0" w:rsidRPr="00976A96">
                <w:rPr>
                  <w:rFonts w:ascii="Times New Roman" w:eastAsia="Times New Roman" w:hAnsi="Times New Roman" w:cs="Times New Roman"/>
                  <w:sz w:val="27"/>
                  <w:szCs w:val="27"/>
                  <w:bdr w:val="none" w:sz="0" w:space="0" w:color="auto" w:frame="1"/>
                  <w:lang w:val="ru-RU"/>
                </w:rPr>
                <w:t>(</w:t>
              </w:r>
              <w:r w:rsidR="00DE77B0" w:rsidRPr="00976A96">
                <w:rPr>
                  <w:rFonts w:ascii="Times New Roman" w:eastAsia="Times New Roman" w:hAnsi="Times New Roman" w:cs="Times New Roman"/>
                  <w:sz w:val="19"/>
                  <w:szCs w:val="19"/>
                  <w:bdr w:val="none" w:sz="0" w:space="0" w:color="auto" w:frame="1"/>
                  <w:vertAlign w:val="superscript"/>
                  <w:lang w:val="ru-RU"/>
                </w:rPr>
                <w:t>28</w:t>
              </w:r>
              <w:r w:rsidR="00DE77B0" w:rsidRPr="00976A96">
                <w:rPr>
                  <w:rFonts w:ascii="Times New Roman" w:eastAsia="Times New Roman" w:hAnsi="Times New Roman" w:cs="Times New Roman"/>
                  <w:sz w:val="27"/>
                  <w:szCs w:val="27"/>
                  <w:bdr w:val="none" w:sz="0" w:space="0" w:color="auto" w:frame="1"/>
                  <w:lang w:val="ru-RU"/>
                </w:rPr>
                <w:t>)</w:t>
              </w:r>
            </w:hyperlink>
            <w:r w:rsidR="00976A96">
              <w:rPr>
                <w:rFonts w:ascii="Times New Roman" w:eastAsia="Times New Roman" w:hAnsi="Times New Roman" w:cs="Times New Roman"/>
                <w:sz w:val="27"/>
                <w:szCs w:val="27"/>
                <w:lang w:val="uk-UA"/>
              </w:rPr>
              <w:t xml:space="preserve">, а також </w:t>
            </w:r>
            <w:r w:rsidR="008D22E1">
              <w:rPr>
                <w:rFonts w:ascii="Times New Roman" w:eastAsia="Times New Roman" w:hAnsi="Times New Roman" w:cs="Times New Roman"/>
                <w:sz w:val="27"/>
                <w:szCs w:val="27"/>
                <w:lang w:val="uk-UA"/>
              </w:rPr>
              <w:t>прибутки та збитки</w:t>
            </w:r>
            <w:r w:rsidR="008D22E1">
              <w:rPr>
                <w:rFonts w:ascii="Times New Roman" w:eastAsia="Times New Roman" w:hAnsi="Times New Roman" w:cs="Times New Roman"/>
                <w:sz w:val="27"/>
                <w:szCs w:val="27"/>
                <w:lang w:val="ru-RU"/>
              </w:rPr>
              <w:t xml:space="preserve">, </w:t>
            </w:r>
            <w:r w:rsidR="008D22E1">
              <w:rPr>
                <w:rFonts w:ascii="Times New Roman" w:eastAsia="Times New Roman" w:hAnsi="Times New Roman" w:cs="Times New Roman"/>
                <w:sz w:val="27"/>
                <w:szCs w:val="27"/>
                <w:lang w:val="uk-UA"/>
              </w:rPr>
              <w:t>перенесені в результаті використання остаточного прибутку чи збитку;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lastRenderedPageBreak/>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221A8" w:rsidRDefault="00A55A39" w:rsidP="0004543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«рада» - адміністративна чи </w:t>
            </w:r>
            <w:r w:rsidR="00045439">
              <w:rPr>
                <w:rFonts w:ascii="Times New Roman" w:eastAsia="Times New Roman" w:hAnsi="Times New Roman" w:cs="Times New Roman"/>
                <w:sz w:val="27"/>
                <w:szCs w:val="27"/>
                <w:lang w:val="uk-UA"/>
              </w:rPr>
              <w:t>спостережна</w:t>
            </w:r>
            <w:r>
              <w:rPr>
                <w:rFonts w:ascii="Times New Roman" w:eastAsia="Times New Roman" w:hAnsi="Times New Roman" w:cs="Times New Roman"/>
                <w:sz w:val="27"/>
                <w:szCs w:val="27"/>
                <w:lang w:val="uk-UA"/>
              </w:rPr>
              <w:t xml:space="preserve"> рада</w:t>
            </w:r>
            <w:r w:rsidR="00045439">
              <w:rPr>
                <w:rFonts w:ascii="Times New Roman" w:eastAsia="Times New Roman" w:hAnsi="Times New Roman" w:cs="Times New Roman"/>
                <w:sz w:val="27"/>
                <w:szCs w:val="27"/>
                <w:lang w:val="uk-UA"/>
              </w:rPr>
              <w:t xml:space="preserve"> або й те, й інше, згідно з національним законодавством про компанії;</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045439" w:rsidP="00322B3F">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«незалежний член» ради – член ради, який не має ділових, сімейних або інших стосунків, що спричиняють конфлікт інтересів ст</w:t>
            </w:r>
            <w:r w:rsidR="00322B3F">
              <w:rPr>
                <w:rFonts w:ascii="Times New Roman" w:eastAsia="Times New Roman" w:hAnsi="Times New Roman" w:cs="Times New Roman"/>
                <w:sz w:val="27"/>
                <w:szCs w:val="27"/>
                <w:lang w:val="uk-UA"/>
              </w:rPr>
              <w:t xml:space="preserve">осовно відповідного ЦКА чи власників його контрольного пакету акцій, його керівництва чи учасників клірингу, і який не мав таких стосунків упродовж </w:t>
            </w:r>
            <w:r w:rsidR="00A117CB">
              <w:rPr>
                <w:rFonts w:ascii="Times New Roman" w:eastAsia="Times New Roman" w:hAnsi="Times New Roman" w:cs="Times New Roman"/>
                <w:sz w:val="27"/>
                <w:szCs w:val="27"/>
                <w:lang w:val="uk-UA"/>
              </w:rPr>
              <w:t>п’яти</w:t>
            </w:r>
            <w:r w:rsidR="00322B3F">
              <w:rPr>
                <w:rFonts w:ascii="Times New Roman" w:eastAsia="Times New Roman" w:hAnsi="Times New Roman" w:cs="Times New Roman"/>
                <w:sz w:val="27"/>
                <w:szCs w:val="27"/>
                <w:lang w:val="uk-UA"/>
              </w:rPr>
              <w:t xml:space="preserve"> років до обрання його членом ради;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221A8" w:rsidRDefault="00A117CB" w:rsidP="00A117CB">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«вище керівництво» - особа чи особи, що фактично керують діяльністю ЦКА чи торгового </w:t>
            </w:r>
            <w:proofErr w:type="spellStart"/>
            <w:r>
              <w:rPr>
                <w:rFonts w:ascii="Times New Roman" w:eastAsia="Times New Roman" w:hAnsi="Times New Roman" w:cs="Times New Roman"/>
                <w:sz w:val="27"/>
                <w:szCs w:val="27"/>
                <w:lang w:val="uk-UA"/>
              </w:rPr>
              <w:t>репозитарія</w:t>
            </w:r>
            <w:proofErr w:type="spellEnd"/>
            <w:r>
              <w:rPr>
                <w:rFonts w:ascii="Times New Roman" w:eastAsia="Times New Roman" w:hAnsi="Times New Roman" w:cs="Times New Roman"/>
                <w:sz w:val="27"/>
                <w:szCs w:val="27"/>
                <w:lang w:val="uk-UA"/>
              </w:rPr>
              <w:t>, та виконавчий член або члени ради.</w:t>
            </w:r>
          </w:p>
        </w:tc>
      </w:tr>
    </w:tbl>
    <w:p w:rsidR="00DE77B0" w:rsidRPr="00B221A8"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B221A8">
        <w:rPr>
          <w:rFonts w:ascii="Times New Roman" w:eastAsia="Times New Roman" w:hAnsi="Times New Roman" w:cs="Times New Roman"/>
          <w:i/>
          <w:iCs/>
          <w:sz w:val="27"/>
          <w:szCs w:val="27"/>
          <w:lang w:val="ru-RU"/>
        </w:rPr>
        <w:t>Стаття</w:t>
      </w:r>
      <w:proofErr w:type="spellEnd"/>
      <w:r w:rsidR="00DE77B0" w:rsidRPr="00B221A8">
        <w:rPr>
          <w:rFonts w:ascii="Times New Roman" w:eastAsia="Times New Roman" w:hAnsi="Times New Roman" w:cs="Times New Roman"/>
          <w:i/>
          <w:iCs/>
          <w:sz w:val="27"/>
          <w:szCs w:val="27"/>
          <w:lang w:val="ru-RU"/>
        </w:rPr>
        <w:t xml:space="preserve"> 3</w:t>
      </w:r>
    </w:p>
    <w:p w:rsidR="00DE77B0" w:rsidRPr="005D607F" w:rsidRDefault="005D607F"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proofErr w:type="spellStart"/>
      <w:r>
        <w:rPr>
          <w:rFonts w:ascii="Times New Roman" w:eastAsia="Times New Roman" w:hAnsi="Times New Roman" w:cs="Times New Roman"/>
          <w:b/>
          <w:bCs/>
          <w:sz w:val="27"/>
          <w:szCs w:val="27"/>
          <w:lang w:val="uk-UA"/>
        </w:rPr>
        <w:t>Внутрішньогрупові</w:t>
      </w:r>
      <w:proofErr w:type="spellEnd"/>
      <w:r>
        <w:rPr>
          <w:rFonts w:ascii="Times New Roman" w:eastAsia="Times New Roman" w:hAnsi="Times New Roman" w:cs="Times New Roman"/>
          <w:b/>
          <w:bCs/>
          <w:sz w:val="27"/>
          <w:szCs w:val="27"/>
          <w:lang w:val="uk-UA"/>
        </w:rPr>
        <w:t xml:space="preserve"> угоди</w:t>
      </w:r>
    </w:p>
    <w:p w:rsidR="00DE77B0" w:rsidRPr="00B221A8" w:rsidRDefault="00DE77B0" w:rsidP="002B5EF0">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432E56">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B221A8">
        <w:rPr>
          <w:rFonts w:ascii="Times New Roman" w:eastAsia="Times New Roman" w:hAnsi="Times New Roman" w:cs="Times New Roman"/>
          <w:sz w:val="27"/>
          <w:szCs w:val="27"/>
          <w:lang w:val="uk-UA"/>
        </w:rPr>
        <w:t xml:space="preserve">По відношенню до нефінансового контрагента </w:t>
      </w:r>
      <w:proofErr w:type="spellStart"/>
      <w:r w:rsidR="00B221A8">
        <w:rPr>
          <w:rFonts w:ascii="Times New Roman" w:eastAsia="Times New Roman" w:hAnsi="Times New Roman" w:cs="Times New Roman"/>
          <w:sz w:val="27"/>
          <w:szCs w:val="27"/>
          <w:lang w:val="uk-UA"/>
        </w:rPr>
        <w:t>внутрішньогрупова</w:t>
      </w:r>
      <w:proofErr w:type="spellEnd"/>
      <w:r w:rsidR="00B221A8">
        <w:rPr>
          <w:rFonts w:ascii="Times New Roman" w:eastAsia="Times New Roman" w:hAnsi="Times New Roman" w:cs="Times New Roman"/>
          <w:sz w:val="27"/>
          <w:szCs w:val="27"/>
          <w:lang w:val="uk-UA"/>
        </w:rPr>
        <w:t xml:space="preserve"> угода – це</w:t>
      </w:r>
      <w:r w:rsidR="00432E56">
        <w:rPr>
          <w:rFonts w:ascii="Times New Roman" w:eastAsia="Times New Roman" w:hAnsi="Times New Roman" w:cs="Times New Roman"/>
          <w:sz w:val="27"/>
          <w:szCs w:val="27"/>
          <w:lang w:val="uk-UA"/>
        </w:rPr>
        <w:t xml:space="preserve"> контракт на позабіржовий дериватив, укладений з іншим контрагентом, що входить до цієї самої групи, за умови, що обидва контрагенти включені до одного й того самого зведення у повному обсязі </w:t>
      </w:r>
      <w:r w:rsidR="00585E48">
        <w:rPr>
          <w:rFonts w:ascii="Times New Roman" w:eastAsia="Times New Roman" w:hAnsi="Times New Roman" w:cs="Times New Roman"/>
          <w:sz w:val="27"/>
          <w:szCs w:val="27"/>
          <w:lang w:val="uk-UA"/>
        </w:rPr>
        <w:t xml:space="preserve">та повинні дотримуватися відповідних процедур централізованої оцінки, вимірювання і контролю ризиків, </w:t>
      </w:r>
      <w:r w:rsidR="007F4ED3">
        <w:rPr>
          <w:rFonts w:ascii="Times New Roman" w:eastAsia="Times New Roman" w:hAnsi="Times New Roman" w:cs="Times New Roman"/>
          <w:sz w:val="27"/>
          <w:szCs w:val="27"/>
          <w:lang w:val="uk-UA"/>
        </w:rPr>
        <w:t>і що цей контрагент створений у Союзі або, якщо він створений у третій країні, Комісія прийняла виконавчий акт згідно зі ст</w:t>
      </w:r>
      <w:r w:rsidR="00D5296B">
        <w:rPr>
          <w:rFonts w:ascii="Times New Roman" w:eastAsia="Times New Roman" w:hAnsi="Times New Roman" w:cs="Times New Roman"/>
          <w:sz w:val="27"/>
          <w:szCs w:val="27"/>
          <w:lang w:val="uk-UA"/>
        </w:rPr>
        <w:t>аттею</w:t>
      </w:r>
      <w:r w:rsidR="007F4ED3">
        <w:rPr>
          <w:rFonts w:ascii="Times New Roman" w:eastAsia="Times New Roman" w:hAnsi="Times New Roman" w:cs="Times New Roman"/>
          <w:sz w:val="27"/>
          <w:szCs w:val="27"/>
          <w:lang w:val="uk-UA"/>
        </w:rPr>
        <w:t xml:space="preserve"> 13(2)</w:t>
      </w:r>
      <w:r w:rsidR="007F4ED3" w:rsidRPr="002B5EF0">
        <w:rPr>
          <w:rFonts w:ascii="Times New Roman" w:eastAsia="Times New Roman" w:hAnsi="Times New Roman" w:cs="Times New Roman"/>
          <w:sz w:val="27"/>
          <w:szCs w:val="27"/>
          <w:lang w:val="ru-RU"/>
        </w:rPr>
        <w:t xml:space="preserve"> </w:t>
      </w:r>
      <w:r w:rsidR="007F4ED3">
        <w:rPr>
          <w:rFonts w:ascii="Times New Roman" w:eastAsia="Times New Roman" w:hAnsi="Times New Roman" w:cs="Times New Roman"/>
          <w:sz w:val="27"/>
          <w:szCs w:val="27"/>
          <w:lang w:val="uk-UA"/>
        </w:rPr>
        <w:t>по відношенню до цієї третьої країни.</w:t>
      </w:r>
    </w:p>
    <w:p w:rsidR="00B221A8"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E17681">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B221A8">
        <w:rPr>
          <w:rFonts w:ascii="Times New Roman" w:eastAsia="Times New Roman" w:hAnsi="Times New Roman" w:cs="Times New Roman"/>
          <w:sz w:val="27"/>
          <w:szCs w:val="27"/>
          <w:lang w:val="uk-UA"/>
        </w:rPr>
        <w:t xml:space="preserve">По відношенню до фінансового контрагента </w:t>
      </w:r>
      <w:proofErr w:type="spellStart"/>
      <w:r w:rsidR="00B221A8">
        <w:rPr>
          <w:rFonts w:ascii="Times New Roman" w:eastAsia="Times New Roman" w:hAnsi="Times New Roman" w:cs="Times New Roman"/>
          <w:sz w:val="27"/>
          <w:szCs w:val="27"/>
          <w:lang w:val="uk-UA"/>
        </w:rPr>
        <w:t>внутрішньогрупова</w:t>
      </w:r>
      <w:proofErr w:type="spellEnd"/>
      <w:r w:rsidR="00B221A8">
        <w:rPr>
          <w:rFonts w:ascii="Times New Roman" w:eastAsia="Times New Roman" w:hAnsi="Times New Roman" w:cs="Times New Roman"/>
          <w:sz w:val="27"/>
          <w:szCs w:val="27"/>
          <w:lang w:val="uk-UA"/>
        </w:rPr>
        <w:t xml:space="preserve"> угода – це будь-що з нижченаведеного:</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17681" w:rsidRDefault="00B221A8" w:rsidP="00B221A8">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контракт на позабіржовий дериватив, укладений з іншим контрагентом, що входить до тієї самої групи, за умови дотримання наступних умов: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607"/>
            </w:tblGrid>
            <w:tr w:rsidR="00763E3E" w:rsidRPr="00E1768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w:t>
                  </w:r>
                  <w:proofErr w:type="spellStart"/>
                  <w:r w:rsidRPr="006279CF">
                    <w:rPr>
                      <w:rFonts w:ascii="Times New Roman" w:eastAsia="Times New Roman" w:hAnsi="Times New Roman" w:cs="Times New Roman"/>
                      <w:sz w:val="24"/>
                      <w:szCs w:val="24"/>
                    </w:rPr>
                    <w:t>i</w:t>
                  </w:r>
                  <w:proofErr w:type="spellEnd"/>
                  <w:r w:rsidRPr="006279CF">
                    <w:rPr>
                      <w:rFonts w:ascii="Times New Roman" w:eastAsia="Times New Roman" w:hAnsi="Times New Roman"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E17681" w:rsidRDefault="00137079" w:rsidP="00D5296B">
                  <w:pPr>
                    <w:spacing w:before="120" w:after="0" w:line="240" w:lineRule="auto"/>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 xml:space="preserve">фінансовий контрагент створений у Союзі або, якщо він створений у третій країні, то Комісія прийняла виконавчий акт </w:t>
                  </w:r>
                  <w:r w:rsidR="00C43FE0">
                    <w:rPr>
                      <w:rFonts w:ascii="Times New Roman" w:eastAsia="Times New Roman" w:hAnsi="Times New Roman" w:cs="Times New Roman"/>
                      <w:sz w:val="24"/>
                      <w:szCs w:val="24"/>
                      <w:lang w:val="uk-UA"/>
                    </w:rPr>
                    <w:t>згідно зі ст</w:t>
                  </w:r>
                  <w:r w:rsidR="00D5296B">
                    <w:rPr>
                      <w:rFonts w:ascii="Times New Roman" w:eastAsia="Times New Roman" w:hAnsi="Times New Roman" w:cs="Times New Roman"/>
                      <w:sz w:val="24"/>
                      <w:szCs w:val="24"/>
                      <w:lang w:val="uk-UA"/>
                    </w:rPr>
                    <w:t>аттею</w:t>
                  </w:r>
                  <w:r w:rsidR="00C43FE0">
                    <w:rPr>
                      <w:rFonts w:ascii="Times New Roman" w:eastAsia="Times New Roman" w:hAnsi="Times New Roman" w:cs="Times New Roman"/>
                      <w:sz w:val="24"/>
                      <w:szCs w:val="24"/>
                      <w:lang w:val="uk-UA"/>
                    </w:rPr>
                    <w:t xml:space="preserve"> 13(2) по відношенню до цієї третьої країни;</w:t>
                  </w:r>
                </w:p>
              </w:tc>
            </w:tr>
          </w:tbl>
          <w:p w:rsidR="00DE77B0" w:rsidRPr="006279CF" w:rsidRDefault="00DE77B0" w:rsidP="00187079">
            <w:pPr>
              <w:spacing w:after="0" w:line="240" w:lineRule="auto"/>
              <w:rPr>
                <w:rFonts w:ascii="Times New Roman" w:eastAsia="Times New Roman" w:hAnsi="Times New Roman" w:cs="Times New Roman"/>
                <w:vanish/>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40"/>
            </w:tblGrid>
            <w:tr w:rsidR="00763E3E" w:rsidRPr="006279C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C43FE0" w:rsidP="00B65D5A">
                  <w:pPr>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іншим контрагентом є фінансовий контрагент, фінансова холдингова компанія, фінансова установа або </w:t>
                  </w:r>
                  <w:r w:rsidR="00EE710B">
                    <w:rPr>
                      <w:rFonts w:ascii="Times New Roman" w:eastAsia="Times New Roman" w:hAnsi="Times New Roman" w:cs="Times New Roman"/>
                      <w:sz w:val="24"/>
                      <w:szCs w:val="24"/>
                      <w:lang w:val="uk-UA"/>
                    </w:rPr>
                    <w:t xml:space="preserve">підприємство з надання допоміжних послуг, що підпадає під відповідні </w:t>
                  </w:r>
                  <w:proofErr w:type="spellStart"/>
                  <w:r w:rsidR="00EE710B">
                    <w:rPr>
                      <w:rFonts w:ascii="Times New Roman" w:eastAsia="Times New Roman" w:hAnsi="Times New Roman" w:cs="Times New Roman"/>
                      <w:sz w:val="24"/>
                      <w:szCs w:val="24"/>
                      <w:lang w:val="uk-UA"/>
                    </w:rPr>
                    <w:t>пруденційні</w:t>
                  </w:r>
                  <w:proofErr w:type="spellEnd"/>
                  <w:r w:rsidR="00EE710B">
                    <w:rPr>
                      <w:rFonts w:ascii="Times New Roman" w:eastAsia="Times New Roman" w:hAnsi="Times New Roman" w:cs="Times New Roman"/>
                      <w:sz w:val="24"/>
                      <w:szCs w:val="24"/>
                      <w:lang w:val="uk-UA"/>
                    </w:rPr>
                    <w:t xml:space="preserve"> вимоги;</w:t>
                  </w:r>
                </w:p>
              </w:tc>
            </w:tr>
          </w:tbl>
          <w:p w:rsidR="00DE77B0" w:rsidRPr="006279CF" w:rsidRDefault="00DE77B0" w:rsidP="00187079">
            <w:pPr>
              <w:spacing w:after="0" w:line="240" w:lineRule="auto"/>
              <w:rPr>
                <w:rFonts w:ascii="Times New Roman" w:eastAsia="Times New Roman" w:hAnsi="Times New Roman" w:cs="Times New Roman"/>
                <w:vanish/>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474"/>
            </w:tblGrid>
            <w:tr w:rsidR="00763E3E" w:rsidRP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E17681" w:rsidRDefault="00B65D5A" w:rsidP="00B65D5A">
                  <w:pPr>
                    <w:spacing w:before="120" w:after="0" w:line="240" w:lineRule="auto"/>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обидва контрагенти включені до одного й того самого зведення у повному обсязі;</w:t>
                  </w:r>
                </w:p>
              </w:tc>
            </w:tr>
          </w:tbl>
          <w:p w:rsidR="00DE77B0" w:rsidRPr="006279CF" w:rsidRDefault="00DE77B0" w:rsidP="00187079">
            <w:pPr>
              <w:spacing w:after="0" w:line="240" w:lineRule="auto"/>
              <w:rPr>
                <w:rFonts w:ascii="Times New Roman" w:eastAsia="Times New Roman" w:hAnsi="Times New Roman" w:cs="Times New Roman"/>
                <w:vanish/>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487"/>
            </w:tblGrid>
            <w:tr w:rsidR="00763E3E" w:rsidRPr="006279C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B65D5A" w:rsidP="00B65D5A">
                  <w:pPr>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обидва контрагенти повинні дотримуватися відповідних процедур централізованої оцінки, вимірювання і контролю ризиків;</w:t>
                  </w:r>
                </w:p>
              </w:tc>
            </w:tr>
          </w:tbl>
          <w:p w:rsidR="00DE77B0" w:rsidRPr="006279CF" w:rsidRDefault="00DE77B0" w:rsidP="00187079">
            <w:pPr>
              <w:spacing w:after="0" w:line="240" w:lineRule="auto"/>
              <w:rPr>
                <w:rFonts w:ascii="Times New Roman" w:eastAsia="Times New Roman" w:hAnsi="Times New Roman" w:cs="Times New Roman"/>
                <w:sz w:val="27"/>
                <w:szCs w:val="27"/>
              </w:rPr>
            </w:pP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17681" w:rsidRDefault="00B65D5A" w:rsidP="00D5296B">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контракт на позабіржовий </w:t>
            </w:r>
            <w:r w:rsidR="003C153D">
              <w:rPr>
                <w:rFonts w:ascii="Times New Roman" w:eastAsia="Times New Roman" w:hAnsi="Times New Roman" w:cs="Times New Roman"/>
                <w:sz w:val="27"/>
                <w:szCs w:val="27"/>
                <w:lang w:val="uk-UA"/>
              </w:rPr>
              <w:t xml:space="preserve">дериватив, укладений з іншим контрагентом, </w:t>
            </w:r>
            <w:r w:rsidR="003C153D">
              <w:rPr>
                <w:rFonts w:ascii="Times New Roman" w:eastAsia="Times New Roman" w:hAnsi="Times New Roman" w:cs="Times New Roman"/>
                <w:sz w:val="27"/>
                <w:szCs w:val="27"/>
                <w:lang w:val="uk-UA"/>
              </w:rPr>
              <w:lastRenderedPageBreak/>
              <w:t>якщо обидва контрагенти входять до однієї схеми інституційного захисту, зазначеної у ст</w:t>
            </w:r>
            <w:r w:rsidR="00D5296B">
              <w:rPr>
                <w:rFonts w:ascii="Times New Roman" w:eastAsia="Times New Roman" w:hAnsi="Times New Roman" w:cs="Times New Roman"/>
                <w:sz w:val="27"/>
                <w:szCs w:val="27"/>
                <w:lang w:val="uk-UA"/>
              </w:rPr>
              <w:t>атті</w:t>
            </w:r>
            <w:r w:rsidR="003C153D">
              <w:rPr>
                <w:rFonts w:ascii="Times New Roman" w:eastAsia="Times New Roman" w:hAnsi="Times New Roman" w:cs="Times New Roman"/>
                <w:sz w:val="27"/>
                <w:szCs w:val="27"/>
                <w:lang w:val="uk-UA"/>
              </w:rPr>
              <w:t xml:space="preserve"> 80(8) Директиви 2006/48/ЕС</w:t>
            </w:r>
            <w:r w:rsidR="00CF5D6B">
              <w:rPr>
                <w:rFonts w:ascii="Times New Roman" w:eastAsia="Times New Roman" w:hAnsi="Times New Roman" w:cs="Times New Roman"/>
                <w:sz w:val="27"/>
                <w:szCs w:val="27"/>
                <w:lang w:val="uk-UA"/>
              </w:rPr>
              <w:t xml:space="preserve">, з дотриманням умови, </w:t>
            </w:r>
            <w:r w:rsidR="00635AC9">
              <w:rPr>
                <w:rFonts w:ascii="Times New Roman" w:eastAsia="Times New Roman" w:hAnsi="Times New Roman" w:cs="Times New Roman"/>
                <w:sz w:val="27"/>
                <w:szCs w:val="27"/>
                <w:lang w:val="uk-UA"/>
              </w:rPr>
              <w:t>встановленої у п. (а)(</w:t>
            </w:r>
            <w:proofErr w:type="spellStart"/>
            <w:r w:rsidR="00635AC9">
              <w:rPr>
                <w:rFonts w:ascii="Times New Roman" w:eastAsia="Times New Roman" w:hAnsi="Times New Roman" w:cs="Times New Roman"/>
                <w:sz w:val="27"/>
                <w:szCs w:val="27"/>
                <w:lang w:val="uk-UA"/>
              </w:rPr>
              <w:t>іі</w:t>
            </w:r>
            <w:proofErr w:type="spellEnd"/>
            <w:r w:rsidR="00635AC9">
              <w:rPr>
                <w:rFonts w:ascii="Times New Roman" w:eastAsia="Times New Roman" w:hAnsi="Times New Roman" w:cs="Times New Roman"/>
                <w:sz w:val="27"/>
                <w:szCs w:val="27"/>
                <w:lang w:val="uk-UA"/>
              </w:rPr>
              <w:t>) цього пункту;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26575F" w:rsidRDefault="0026575F" w:rsidP="00D5296B">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контракт на позабіржовий дериватив, укладений між кредитними установами, афілійованими з одним центральним органом або між такими кредитними установами та центральним органом, як зазначено у ст</w:t>
            </w:r>
            <w:r w:rsidR="00D5296B">
              <w:rPr>
                <w:rFonts w:ascii="Times New Roman" w:eastAsia="Times New Roman" w:hAnsi="Times New Roman" w:cs="Times New Roman"/>
                <w:sz w:val="27"/>
                <w:szCs w:val="27"/>
                <w:lang w:val="uk-UA"/>
              </w:rPr>
              <w:t>атті</w:t>
            </w:r>
            <w:r>
              <w:rPr>
                <w:rFonts w:ascii="Times New Roman" w:eastAsia="Times New Roman" w:hAnsi="Times New Roman" w:cs="Times New Roman"/>
                <w:sz w:val="27"/>
                <w:szCs w:val="27"/>
                <w:lang w:val="uk-UA"/>
              </w:rPr>
              <w:t xml:space="preserve"> 3(1) Директиви</w:t>
            </w:r>
            <w:r w:rsidR="00DE77B0" w:rsidRPr="0026575F">
              <w:rPr>
                <w:rFonts w:ascii="Times New Roman" w:eastAsia="Times New Roman" w:hAnsi="Times New Roman" w:cs="Times New Roman"/>
                <w:sz w:val="27"/>
                <w:szCs w:val="27"/>
                <w:lang w:val="ru-RU"/>
              </w:rPr>
              <w:t xml:space="preserve"> 2006/48/</w:t>
            </w:r>
            <w:r w:rsidR="00DE77B0" w:rsidRPr="006279CF">
              <w:rPr>
                <w:rFonts w:ascii="Times New Roman" w:eastAsia="Times New Roman" w:hAnsi="Times New Roman" w:cs="Times New Roman"/>
                <w:sz w:val="27"/>
                <w:szCs w:val="27"/>
              </w:rPr>
              <w:t>EC</w:t>
            </w:r>
            <w:r w:rsidR="00DE77B0" w:rsidRPr="0026575F">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A56A9C" w:rsidP="00D5296B">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контракт на позабіржовий дериватив, укладений з нефінансовим контрагентом</w:t>
            </w:r>
            <w:r w:rsidR="007F4ED3">
              <w:rPr>
                <w:rFonts w:ascii="Times New Roman" w:eastAsia="Times New Roman" w:hAnsi="Times New Roman" w:cs="Times New Roman"/>
                <w:sz w:val="27"/>
                <w:szCs w:val="27"/>
                <w:lang w:val="uk-UA"/>
              </w:rPr>
              <w:t>, який входить до цієї самої групи, за умови, що обидва контрагенти</w:t>
            </w:r>
            <w:r>
              <w:rPr>
                <w:rFonts w:ascii="Times New Roman" w:eastAsia="Times New Roman" w:hAnsi="Times New Roman" w:cs="Times New Roman"/>
                <w:sz w:val="27"/>
                <w:szCs w:val="27"/>
                <w:lang w:val="uk-UA"/>
              </w:rPr>
              <w:t xml:space="preserve"> включені до одного й того самого зведення у повному обсязі та повинні дотримуватися відповідних процедур централізованої оцінки,</w:t>
            </w:r>
            <w:r w:rsidR="007F4ED3">
              <w:rPr>
                <w:rFonts w:ascii="Times New Roman" w:eastAsia="Times New Roman" w:hAnsi="Times New Roman" w:cs="Times New Roman"/>
                <w:sz w:val="27"/>
                <w:szCs w:val="27"/>
                <w:lang w:val="uk-UA"/>
              </w:rPr>
              <w:t xml:space="preserve"> вимірювання і контролю ризиків, і що цей контрагент створений у Союзі або</w:t>
            </w:r>
            <w:r w:rsidR="00B86301">
              <w:rPr>
                <w:rFonts w:ascii="Times New Roman" w:eastAsia="Times New Roman" w:hAnsi="Times New Roman" w:cs="Times New Roman"/>
                <w:sz w:val="27"/>
                <w:szCs w:val="27"/>
                <w:lang w:val="uk-UA"/>
              </w:rPr>
              <w:t xml:space="preserve"> у третій країні, щодо якої </w:t>
            </w:r>
            <w:r w:rsidR="007F4ED3">
              <w:rPr>
                <w:rFonts w:ascii="Times New Roman" w:eastAsia="Times New Roman" w:hAnsi="Times New Roman" w:cs="Times New Roman"/>
                <w:sz w:val="27"/>
                <w:szCs w:val="27"/>
                <w:lang w:val="uk-UA"/>
              </w:rPr>
              <w:t>Комісія прийняла виконавчий акт</w:t>
            </w:r>
            <w:r w:rsidR="00B86301">
              <w:rPr>
                <w:rFonts w:ascii="Times New Roman" w:eastAsia="Times New Roman" w:hAnsi="Times New Roman" w:cs="Times New Roman"/>
                <w:sz w:val="27"/>
                <w:szCs w:val="27"/>
                <w:lang w:val="uk-UA"/>
              </w:rPr>
              <w:t xml:space="preserve"> згідно зі ст</w:t>
            </w:r>
            <w:r w:rsidR="00D5296B">
              <w:rPr>
                <w:rFonts w:ascii="Times New Roman" w:eastAsia="Times New Roman" w:hAnsi="Times New Roman" w:cs="Times New Roman"/>
                <w:sz w:val="27"/>
                <w:szCs w:val="27"/>
                <w:lang w:val="uk-UA"/>
              </w:rPr>
              <w:t>аттею</w:t>
            </w:r>
            <w:r w:rsidR="00B86301">
              <w:rPr>
                <w:rFonts w:ascii="Times New Roman" w:eastAsia="Times New Roman" w:hAnsi="Times New Roman" w:cs="Times New Roman"/>
                <w:sz w:val="27"/>
                <w:szCs w:val="27"/>
                <w:lang w:val="uk-UA"/>
              </w:rPr>
              <w:t xml:space="preserve"> 13(2) </w:t>
            </w:r>
            <w:r w:rsidR="007F4ED3">
              <w:rPr>
                <w:rFonts w:ascii="Times New Roman" w:eastAsia="Times New Roman" w:hAnsi="Times New Roman" w:cs="Times New Roman"/>
                <w:sz w:val="27"/>
                <w:szCs w:val="27"/>
                <w:lang w:val="uk-UA"/>
              </w:rPr>
              <w:t>по відношенню до цієї третьої країни.</w:t>
            </w:r>
          </w:p>
        </w:tc>
      </w:tr>
    </w:tbl>
    <w:p w:rsidR="00DE77B0" w:rsidRPr="00E1768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17681">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473D7D">
        <w:rPr>
          <w:rFonts w:ascii="Times New Roman" w:eastAsia="Times New Roman" w:hAnsi="Times New Roman" w:cs="Times New Roman"/>
          <w:sz w:val="27"/>
          <w:szCs w:val="27"/>
          <w:lang w:val="uk-UA"/>
        </w:rPr>
        <w:t>Для цілей цієї статті контрагенти вважаються включеними до одного й того самого зведення, якщо обидва вони:</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E17681"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17681" w:rsidRDefault="006D27F8" w:rsidP="00D5296B">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або включені у це зведення згідно з Директивою Ради</w:t>
            </w:r>
            <w:r w:rsidRPr="006A7A37">
              <w:rPr>
                <w:rFonts w:ascii="Times New Roman" w:eastAsia="Times New Roman" w:hAnsi="Times New Roman" w:cs="Times New Roman"/>
                <w:sz w:val="27"/>
                <w:szCs w:val="27"/>
                <w:lang w:val="uk-UA"/>
              </w:rPr>
              <w:t xml:space="preserve"> 83/349/</w:t>
            </w:r>
            <w:r w:rsidRPr="006279CF">
              <w:rPr>
                <w:rFonts w:ascii="Times New Roman" w:eastAsia="Times New Roman" w:hAnsi="Times New Roman" w:cs="Times New Roman"/>
                <w:sz w:val="27"/>
                <w:szCs w:val="27"/>
              </w:rPr>
              <w:t>EEC </w:t>
            </w:r>
            <w:r>
              <w:rPr>
                <w:rFonts w:ascii="Times New Roman" w:eastAsia="Times New Roman" w:hAnsi="Times New Roman" w:cs="Times New Roman"/>
                <w:sz w:val="27"/>
                <w:szCs w:val="27"/>
                <w:lang w:val="uk-UA"/>
              </w:rPr>
              <w:t>або з Міжнародними стандартами фінансової звітності (МСФЗ), прийнятими на виконання Регламенту (ЕС) № 1606/2002</w:t>
            </w:r>
            <w:r>
              <w:rPr>
                <w:rFonts w:ascii="Times New Roman" w:eastAsia="Times New Roman" w:hAnsi="Times New Roman" w:cs="Times New Roman"/>
                <w:sz w:val="27"/>
                <w:szCs w:val="27"/>
                <w:bdr w:val="none" w:sz="0" w:space="0" w:color="auto" w:frame="1"/>
                <w:lang w:val="uk-UA"/>
              </w:rPr>
              <w:t>, або, по відношенню до групи, материнська компанія якої має головну контору в третій країні, згідно з загальноприйнятими принципами бухгалтерського обліку третьої країни, визначеними як еквівалентні МСФЗ згідно з Регламентом Комісії (ЕС) №</w:t>
            </w:r>
            <w:r w:rsidRPr="00E371A1">
              <w:rPr>
                <w:rFonts w:ascii="Times New Roman" w:eastAsia="Times New Roman" w:hAnsi="Times New Roman" w:cs="Times New Roman"/>
                <w:sz w:val="27"/>
                <w:szCs w:val="27"/>
                <w:lang w:val="uk-UA"/>
              </w:rPr>
              <w:t>1569/2007</w:t>
            </w:r>
            <w:r w:rsidRPr="006279CF">
              <w:rPr>
                <w:rFonts w:ascii="Times New Roman" w:eastAsia="Times New Roman" w:hAnsi="Times New Roman" w:cs="Times New Roman"/>
                <w:sz w:val="27"/>
                <w:szCs w:val="27"/>
              </w:rPr>
              <w:t> </w:t>
            </w:r>
            <w:r w:rsidRPr="00E371A1">
              <w:rPr>
                <w:rFonts w:ascii="Times New Roman" w:eastAsia="Times New Roman" w:hAnsi="Times New Roman" w:cs="Times New Roman"/>
                <w:sz w:val="27"/>
                <w:szCs w:val="27"/>
                <w:lang w:val="uk-UA"/>
              </w:rPr>
              <w:t>(</w:t>
            </w:r>
            <w:r>
              <w:rPr>
                <w:rFonts w:ascii="Times New Roman" w:eastAsia="Times New Roman" w:hAnsi="Times New Roman" w:cs="Times New Roman"/>
                <w:sz w:val="27"/>
                <w:szCs w:val="27"/>
                <w:lang w:val="uk-UA"/>
              </w:rPr>
              <w:t>або стандартами бухгалтерського обліку третьої країни, застосування яких дозволено згідно зі ст</w:t>
            </w:r>
            <w:r w:rsidR="00D5296B">
              <w:rPr>
                <w:rFonts w:ascii="Times New Roman" w:eastAsia="Times New Roman" w:hAnsi="Times New Roman" w:cs="Times New Roman"/>
                <w:sz w:val="27"/>
                <w:szCs w:val="27"/>
                <w:lang w:val="uk-UA"/>
              </w:rPr>
              <w:t>аттею</w:t>
            </w:r>
            <w:r>
              <w:rPr>
                <w:rFonts w:ascii="Times New Roman" w:eastAsia="Times New Roman" w:hAnsi="Times New Roman" w:cs="Times New Roman"/>
                <w:sz w:val="27"/>
                <w:szCs w:val="27"/>
                <w:lang w:val="uk-UA"/>
              </w:rPr>
              <w:t xml:space="preserve"> 4 </w:t>
            </w:r>
            <w:r w:rsidR="00CA3507">
              <w:rPr>
                <w:rFonts w:ascii="Times New Roman" w:eastAsia="Times New Roman" w:hAnsi="Times New Roman" w:cs="Times New Roman"/>
                <w:sz w:val="27"/>
                <w:szCs w:val="27"/>
                <w:lang w:val="uk-UA"/>
              </w:rPr>
              <w:t xml:space="preserve">цього </w:t>
            </w:r>
            <w:r>
              <w:rPr>
                <w:rFonts w:ascii="Times New Roman" w:eastAsia="Times New Roman" w:hAnsi="Times New Roman" w:cs="Times New Roman"/>
                <w:sz w:val="27"/>
                <w:szCs w:val="27"/>
                <w:lang w:val="uk-UA"/>
              </w:rPr>
              <w:t>Регламенту</w:t>
            </w:r>
            <w:r w:rsidR="00CA3507">
              <w:rPr>
                <w:rFonts w:ascii="Times New Roman" w:eastAsia="Times New Roman" w:hAnsi="Times New Roman" w:cs="Times New Roman"/>
                <w:sz w:val="27"/>
                <w:szCs w:val="27"/>
                <w:lang w:val="uk-UA"/>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Default="00811618" w:rsidP="00C32DD2">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або охоплені одним і тим самим консолідованим наглядом згідно з Директивою</w:t>
            </w:r>
            <w:r w:rsidRPr="0024262D">
              <w:rPr>
                <w:rFonts w:ascii="Times New Roman" w:eastAsia="Times New Roman" w:hAnsi="Times New Roman" w:cs="Times New Roman"/>
                <w:sz w:val="27"/>
                <w:szCs w:val="27"/>
                <w:lang w:val="uk-UA"/>
              </w:rPr>
              <w:t xml:space="preserve"> 2006/48/</w:t>
            </w:r>
            <w:r w:rsidRPr="006279CF">
              <w:rPr>
                <w:rFonts w:ascii="Times New Roman" w:eastAsia="Times New Roman" w:hAnsi="Times New Roman" w:cs="Times New Roman"/>
                <w:sz w:val="27"/>
                <w:szCs w:val="27"/>
              </w:rPr>
              <w:t>EC</w:t>
            </w:r>
            <w:r w:rsidRPr="0024262D">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або Директивою</w:t>
            </w:r>
            <w:r w:rsidRPr="0024262D">
              <w:rPr>
                <w:rFonts w:ascii="Times New Roman" w:eastAsia="Times New Roman" w:hAnsi="Times New Roman" w:cs="Times New Roman"/>
                <w:sz w:val="27"/>
                <w:szCs w:val="27"/>
                <w:lang w:val="uk-UA"/>
              </w:rPr>
              <w:t xml:space="preserve"> 2006/49/</w:t>
            </w:r>
            <w:r w:rsidRPr="006279CF">
              <w:rPr>
                <w:rFonts w:ascii="Times New Roman" w:eastAsia="Times New Roman" w:hAnsi="Times New Roman" w:cs="Times New Roman"/>
                <w:sz w:val="27"/>
                <w:szCs w:val="27"/>
              </w:rPr>
              <w:t>EC</w:t>
            </w:r>
            <w:r>
              <w:rPr>
                <w:rFonts w:ascii="Times New Roman" w:eastAsia="Times New Roman" w:hAnsi="Times New Roman" w:cs="Times New Roman"/>
                <w:sz w:val="27"/>
                <w:szCs w:val="27"/>
                <w:bdr w:val="none" w:sz="0" w:space="0" w:color="auto" w:frame="1"/>
                <w:lang w:val="uk-UA"/>
              </w:rPr>
              <w:t xml:space="preserve"> або, по відношенню до групи, материнська компанія якої має головну контору в третій країні, цим самим консолідованим наглядом з боку компетентного органу третьої країни, визначеним як еквівалентний наглядові, регульованому принципами, викладеними у ст</w:t>
            </w:r>
            <w:r w:rsidR="00297FB0">
              <w:rPr>
                <w:rFonts w:ascii="Times New Roman" w:eastAsia="Times New Roman" w:hAnsi="Times New Roman" w:cs="Times New Roman"/>
                <w:sz w:val="27"/>
                <w:szCs w:val="27"/>
                <w:bdr w:val="none" w:sz="0" w:space="0" w:color="auto" w:frame="1"/>
                <w:lang w:val="uk-UA"/>
              </w:rPr>
              <w:t>атті</w:t>
            </w:r>
            <w:r>
              <w:rPr>
                <w:rFonts w:ascii="Times New Roman" w:eastAsia="Times New Roman" w:hAnsi="Times New Roman" w:cs="Times New Roman"/>
                <w:sz w:val="27"/>
                <w:szCs w:val="27"/>
                <w:bdr w:val="none" w:sz="0" w:space="0" w:color="auto" w:frame="1"/>
                <w:lang w:val="uk-UA"/>
              </w:rPr>
              <w:t xml:space="preserve"> 143 Директиви</w:t>
            </w:r>
            <w:r w:rsidRPr="0024262D">
              <w:rPr>
                <w:rFonts w:ascii="Times New Roman" w:eastAsia="Times New Roman" w:hAnsi="Times New Roman" w:cs="Times New Roman"/>
                <w:sz w:val="27"/>
                <w:szCs w:val="27"/>
                <w:lang w:val="uk-UA"/>
              </w:rPr>
              <w:t xml:space="preserve"> 2006/48/</w:t>
            </w:r>
            <w:r w:rsidRPr="006279CF">
              <w:rPr>
                <w:rFonts w:ascii="Times New Roman" w:eastAsia="Times New Roman" w:hAnsi="Times New Roman" w:cs="Times New Roman"/>
                <w:sz w:val="27"/>
                <w:szCs w:val="27"/>
              </w:rPr>
              <w:t>EC</w:t>
            </w:r>
            <w:r w:rsidRPr="0024262D">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або у ст</w:t>
            </w:r>
            <w:r w:rsidR="00297FB0">
              <w:rPr>
                <w:rFonts w:ascii="Times New Roman" w:eastAsia="Times New Roman" w:hAnsi="Times New Roman" w:cs="Times New Roman"/>
                <w:sz w:val="27"/>
                <w:szCs w:val="27"/>
                <w:lang w:val="uk-UA"/>
              </w:rPr>
              <w:t>атті</w:t>
            </w:r>
            <w:r>
              <w:rPr>
                <w:rFonts w:ascii="Times New Roman" w:eastAsia="Times New Roman" w:hAnsi="Times New Roman" w:cs="Times New Roman"/>
                <w:sz w:val="27"/>
                <w:szCs w:val="27"/>
                <w:lang w:val="uk-UA"/>
              </w:rPr>
              <w:t xml:space="preserve"> 2 Директиви</w:t>
            </w:r>
            <w:r w:rsidRPr="0024262D">
              <w:rPr>
                <w:rFonts w:ascii="Times New Roman" w:eastAsia="Times New Roman" w:hAnsi="Times New Roman" w:cs="Times New Roman"/>
                <w:sz w:val="27"/>
                <w:szCs w:val="27"/>
                <w:lang w:val="uk-UA"/>
              </w:rPr>
              <w:t xml:space="preserve"> 2006/49/</w:t>
            </w:r>
            <w:r w:rsidRPr="006279CF">
              <w:rPr>
                <w:rFonts w:ascii="Times New Roman" w:eastAsia="Times New Roman" w:hAnsi="Times New Roman" w:cs="Times New Roman"/>
                <w:sz w:val="27"/>
                <w:szCs w:val="27"/>
              </w:rPr>
              <w:t>EC</w:t>
            </w:r>
            <w:r w:rsidRPr="0024262D">
              <w:rPr>
                <w:rFonts w:ascii="Times New Roman" w:eastAsia="Times New Roman" w:hAnsi="Times New Roman" w:cs="Times New Roman"/>
                <w:sz w:val="27"/>
                <w:szCs w:val="27"/>
                <w:lang w:val="uk-UA"/>
              </w:rPr>
              <w:t>.</w:t>
            </w:r>
          </w:p>
          <w:p w:rsidR="00C32DD2" w:rsidRDefault="00C32DD2" w:rsidP="00C32DD2">
            <w:pPr>
              <w:spacing w:before="120" w:after="0" w:line="240" w:lineRule="auto"/>
              <w:jc w:val="both"/>
              <w:textAlignment w:val="baseline"/>
              <w:rPr>
                <w:rFonts w:ascii="Times New Roman" w:eastAsia="Times New Roman" w:hAnsi="Times New Roman" w:cs="Times New Roman"/>
                <w:sz w:val="27"/>
                <w:szCs w:val="27"/>
                <w:lang w:val="uk-UA"/>
              </w:rPr>
            </w:pPr>
          </w:p>
          <w:p w:rsidR="00C32DD2" w:rsidRDefault="00C32DD2" w:rsidP="00C32DD2">
            <w:pPr>
              <w:spacing w:before="120" w:after="0" w:line="240" w:lineRule="auto"/>
              <w:jc w:val="both"/>
              <w:textAlignment w:val="baseline"/>
              <w:rPr>
                <w:rFonts w:ascii="Times New Roman" w:eastAsia="Times New Roman" w:hAnsi="Times New Roman" w:cs="Times New Roman"/>
                <w:sz w:val="27"/>
                <w:szCs w:val="27"/>
                <w:lang w:val="uk-UA"/>
              </w:rPr>
            </w:pPr>
          </w:p>
          <w:p w:rsidR="00C32DD2" w:rsidRDefault="00C32DD2" w:rsidP="00C32DD2">
            <w:pPr>
              <w:spacing w:before="120" w:after="0" w:line="240" w:lineRule="auto"/>
              <w:jc w:val="both"/>
              <w:textAlignment w:val="baseline"/>
              <w:rPr>
                <w:rFonts w:ascii="Times New Roman" w:eastAsia="Times New Roman" w:hAnsi="Times New Roman" w:cs="Times New Roman"/>
                <w:sz w:val="27"/>
                <w:szCs w:val="27"/>
                <w:lang w:val="uk-UA"/>
              </w:rPr>
            </w:pPr>
          </w:p>
          <w:p w:rsidR="00C32DD2" w:rsidRDefault="00C32DD2" w:rsidP="00C32DD2">
            <w:pPr>
              <w:spacing w:before="120" w:after="0" w:line="240" w:lineRule="auto"/>
              <w:jc w:val="both"/>
              <w:textAlignment w:val="baseline"/>
              <w:rPr>
                <w:rFonts w:ascii="Times New Roman" w:eastAsia="Times New Roman" w:hAnsi="Times New Roman" w:cs="Times New Roman"/>
                <w:sz w:val="27"/>
                <w:szCs w:val="27"/>
                <w:lang w:val="uk-UA"/>
              </w:rPr>
            </w:pPr>
          </w:p>
          <w:p w:rsidR="00C32DD2" w:rsidRPr="00E17681" w:rsidRDefault="00C32DD2" w:rsidP="00C32DD2">
            <w:pPr>
              <w:spacing w:before="120" w:after="0" w:line="240" w:lineRule="auto"/>
              <w:jc w:val="both"/>
              <w:textAlignment w:val="baseline"/>
              <w:rPr>
                <w:rFonts w:ascii="Times New Roman" w:eastAsia="Times New Roman" w:hAnsi="Times New Roman" w:cs="Times New Roman"/>
                <w:sz w:val="27"/>
                <w:szCs w:val="27"/>
                <w:lang w:val="ru-RU"/>
              </w:rPr>
            </w:pPr>
          </w:p>
        </w:tc>
      </w:tr>
    </w:tbl>
    <w:p w:rsidR="00DE77B0" w:rsidRPr="005D607F" w:rsidRDefault="005D607F" w:rsidP="00187079">
      <w:pPr>
        <w:shd w:val="clear" w:color="auto" w:fill="FFFFFF"/>
        <w:spacing w:before="480"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lastRenderedPageBreak/>
        <w:t>РОЗДІЛ</w:t>
      </w:r>
      <w:r w:rsidR="00DE77B0" w:rsidRPr="005D607F">
        <w:rPr>
          <w:rFonts w:ascii="Times New Roman" w:eastAsia="Times New Roman" w:hAnsi="Times New Roman" w:cs="Times New Roman"/>
          <w:b/>
          <w:bCs/>
          <w:sz w:val="27"/>
          <w:szCs w:val="27"/>
          <w:lang w:val="ru-RU"/>
        </w:rPr>
        <w:t xml:space="preserve"> </w:t>
      </w:r>
      <w:r w:rsidR="00DE77B0" w:rsidRPr="006279CF">
        <w:rPr>
          <w:rFonts w:ascii="Times New Roman" w:eastAsia="Times New Roman" w:hAnsi="Times New Roman" w:cs="Times New Roman"/>
          <w:b/>
          <w:bCs/>
          <w:sz w:val="27"/>
          <w:szCs w:val="27"/>
        </w:rPr>
        <w:t>II</w:t>
      </w:r>
    </w:p>
    <w:p w:rsidR="00DE77B0" w:rsidRPr="00B221A8" w:rsidRDefault="005D607F" w:rsidP="005D607F">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bdr w:val="none" w:sz="0" w:space="0" w:color="auto" w:frame="1"/>
          <w:lang w:val="uk-UA"/>
        </w:rPr>
        <w:t>КЛІРИНГ ПОЗАБІРЖОВИХ ДЕРИВАТИВІВ, ЗВІТУВАННЯ ПРО НИХ ТА ЗМЕНШЕННЯ РИЗИКІВ ЩОДО НИХ</w:t>
      </w:r>
    </w:p>
    <w:p w:rsidR="00DE77B0" w:rsidRPr="00E17681"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E17681">
        <w:rPr>
          <w:rFonts w:ascii="Times New Roman" w:eastAsia="Times New Roman" w:hAnsi="Times New Roman" w:cs="Times New Roman"/>
          <w:i/>
          <w:iCs/>
          <w:sz w:val="27"/>
          <w:szCs w:val="27"/>
          <w:lang w:val="ru-RU"/>
        </w:rPr>
        <w:t>Стаття</w:t>
      </w:r>
      <w:proofErr w:type="spellEnd"/>
      <w:r w:rsidR="00DE77B0" w:rsidRPr="00E17681">
        <w:rPr>
          <w:rFonts w:ascii="Times New Roman" w:eastAsia="Times New Roman" w:hAnsi="Times New Roman" w:cs="Times New Roman"/>
          <w:i/>
          <w:iCs/>
          <w:sz w:val="27"/>
          <w:szCs w:val="27"/>
          <w:lang w:val="ru-RU"/>
        </w:rPr>
        <w:t xml:space="preserve"> 4</w:t>
      </w:r>
    </w:p>
    <w:p w:rsidR="00DE77B0" w:rsidRPr="006A7775" w:rsidRDefault="006A7775"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Зобов’язання щодо клірингу</w:t>
      </w:r>
    </w:p>
    <w:p w:rsidR="00DC3A26"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E17681">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DC3A26">
        <w:rPr>
          <w:rFonts w:ascii="Times New Roman" w:eastAsia="Times New Roman" w:hAnsi="Times New Roman" w:cs="Times New Roman"/>
          <w:sz w:val="27"/>
          <w:szCs w:val="27"/>
          <w:lang w:val="uk-UA"/>
        </w:rPr>
        <w:t>Контрагенти проводять кліринг усіх контрактів на позабіржові деривативи, що відносяться до певного класу позабіржових деривативів, який оголошено таким, що підпадає під дію зобов’язання щодо клірингу згідно зі ст</w:t>
      </w:r>
      <w:r w:rsidR="00297FB0">
        <w:rPr>
          <w:rFonts w:ascii="Times New Roman" w:eastAsia="Times New Roman" w:hAnsi="Times New Roman" w:cs="Times New Roman"/>
          <w:sz w:val="27"/>
          <w:szCs w:val="27"/>
          <w:lang w:val="uk-UA"/>
        </w:rPr>
        <w:t>аттею</w:t>
      </w:r>
      <w:r w:rsidR="00DC3A26">
        <w:rPr>
          <w:rFonts w:ascii="Times New Roman" w:eastAsia="Times New Roman" w:hAnsi="Times New Roman" w:cs="Times New Roman"/>
          <w:sz w:val="27"/>
          <w:szCs w:val="27"/>
          <w:lang w:val="uk-UA"/>
        </w:rPr>
        <w:t xml:space="preserve"> 5(2), якщо ці контракти відповідають обом нижченаведеним умовам:</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DC3A26" w:rsidRDefault="00DC3A26" w:rsidP="0018707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вони укладені одним із наступних способів: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8"/>
              <w:gridCol w:w="8501"/>
            </w:tblGrid>
            <w:tr w:rsidR="00763E3E" w:rsidRPr="006279CF" w:rsidTr="00E40538">
              <w:tc>
                <w:tcPr>
                  <w:tcW w:w="24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w:t>
                  </w:r>
                  <w:proofErr w:type="spellStart"/>
                  <w:r w:rsidRPr="006279CF">
                    <w:rPr>
                      <w:rFonts w:ascii="Times New Roman" w:eastAsia="Times New Roman" w:hAnsi="Times New Roman" w:cs="Times New Roman"/>
                      <w:sz w:val="24"/>
                      <w:szCs w:val="24"/>
                    </w:rPr>
                    <w:t>i</w:t>
                  </w:r>
                  <w:proofErr w:type="spellEnd"/>
                  <w:r w:rsidRPr="006279CF">
                    <w:rPr>
                      <w:rFonts w:ascii="Times New Roman" w:eastAsia="Times New Roman" w:hAnsi="Times New Roman" w:cs="Times New Roman"/>
                      <w:sz w:val="24"/>
                      <w:szCs w:val="24"/>
                    </w:rPr>
                    <w:t>)</w:t>
                  </w:r>
                </w:p>
              </w:tc>
              <w:tc>
                <w:tcPr>
                  <w:tcW w:w="475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A854F3" w:rsidP="00A854F3">
                  <w:pPr>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між двома фінансовими контрагентами;</w:t>
                  </w:r>
                </w:p>
              </w:tc>
            </w:tr>
          </w:tbl>
          <w:p w:rsidR="00DE77B0" w:rsidRPr="006279CF" w:rsidRDefault="00DE77B0" w:rsidP="00187079">
            <w:pPr>
              <w:spacing w:after="0" w:line="240" w:lineRule="auto"/>
              <w:rPr>
                <w:rFonts w:ascii="Times New Roman" w:eastAsia="Times New Roman" w:hAnsi="Times New Roman" w:cs="Times New Roman"/>
                <w:vanish/>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40"/>
            </w:tblGrid>
            <w:tr w:rsidR="00763E3E" w:rsidRP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E145ED" w:rsidRDefault="00A854F3" w:rsidP="00297FB0">
                  <w:pPr>
                    <w:spacing w:before="120" w:after="0" w:line="240" w:lineRule="auto"/>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 xml:space="preserve">між </w:t>
                  </w:r>
                  <w:r w:rsidR="00E145ED">
                    <w:rPr>
                      <w:rFonts w:ascii="Times New Roman" w:eastAsia="Times New Roman" w:hAnsi="Times New Roman" w:cs="Times New Roman"/>
                      <w:sz w:val="24"/>
                      <w:szCs w:val="24"/>
                      <w:lang w:val="uk-UA"/>
                    </w:rPr>
                    <w:t>фінансовим контрагентом і нефінансовим контрагентом, який відповідає умовам, зазначеним у ст</w:t>
                  </w:r>
                  <w:r w:rsidR="00297FB0">
                    <w:rPr>
                      <w:rFonts w:ascii="Times New Roman" w:eastAsia="Times New Roman" w:hAnsi="Times New Roman" w:cs="Times New Roman"/>
                      <w:sz w:val="24"/>
                      <w:szCs w:val="24"/>
                      <w:lang w:val="uk-UA"/>
                    </w:rPr>
                    <w:t>атті</w:t>
                  </w:r>
                  <w:r w:rsidR="00DE77B0" w:rsidRPr="00E145ED">
                    <w:rPr>
                      <w:rFonts w:ascii="Times New Roman" w:eastAsia="Times New Roman" w:hAnsi="Times New Roman" w:cs="Times New Roman"/>
                      <w:sz w:val="24"/>
                      <w:szCs w:val="24"/>
                      <w:lang w:val="ru-RU"/>
                    </w:rPr>
                    <w:t xml:space="preserve"> 10(1)(</w:t>
                  </w:r>
                  <w:r w:rsidR="00DE77B0" w:rsidRPr="006279CF">
                    <w:rPr>
                      <w:rFonts w:ascii="Times New Roman" w:eastAsia="Times New Roman" w:hAnsi="Times New Roman" w:cs="Times New Roman"/>
                      <w:sz w:val="24"/>
                      <w:szCs w:val="24"/>
                    </w:rPr>
                    <w:t>b</w:t>
                  </w:r>
                  <w:r w:rsidR="00DE77B0" w:rsidRPr="00E145ED">
                    <w:rPr>
                      <w:rFonts w:ascii="Times New Roman" w:eastAsia="Times New Roman" w:hAnsi="Times New Roman" w:cs="Times New Roman"/>
                      <w:sz w:val="24"/>
                      <w:szCs w:val="24"/>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474"/>
            </w:tblGrid>
            <w:tr w:rsidR="00763E3E" w:rsidRP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E145ED" w:rsidRDefault="00E145ED" w:rsidP="00297FB0">
                  <w:pPr>
                    <w:spacing w:before="120" w:after="0" w:line="240" w:lineRule="auto"/>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між двома нефінансовими контрагентами, які відповідають умовам, зазначеним у ст</w:t>
                  </w:r>
                  <w:r w:rsidR="00297FB0">
                    <w:rPr>
                      <w:rFonts w:ascii="Times New Roman" w:eastAsia="Times New Roman" w:hAnsi="Times New Roman" w:cs="Times New Roman"/>
                      <w:sz w:val="24"/>
                      <w:szCs w:val="24"/>
                      <w:lang w:val="uk-UA"/>
                    </w:rPr>
                    <w:t>атті</w:t>
                  </w:r>
                  <w:r w:rsidR="00DE77B0" w:rsidRPr="00E145ED">
                    <w:rPr>
                      <w:rFonts w:ascii="Times New Roman" w:eastAsia="Times New Roman" w:hAnsi="Times New Roman" w:cs="Times New Roman"/>
                      <w:sz w:val="24"/>
                      <w:szCs w:val="24"/>
                      <w:lang w:val="ru-RU"/>
                    </w:rPr>
                    <w:t xml:space="preserve"> 10(1)(</w:t>
                  </w:r>
                  <w:r w:rsidR="00DE77B0" w:rsidRPr="006279CF">
                    <w:rPr>
                      <w:rFonts w:ascii="Times New Roman" w:eastAsia="Times New Roman" w:hAnsi="Times New Roman" w:cs="Times New Roman"/>
                      <w:sz w:val="24"/>
                      <w:szCs w:val="24"/>
                    </w:rPr>
                    <w:t>b</w:t>
                  </w:r>
                  <w:r w:rsidR="00DE77B0" w:rsidRPr="00E145ED">
                    <w:rPr>
                      <w:rFonts w:ascii="Times New Roman" w:eastAsia="Times New Roman" w:hAnsi="Times New Roman" w:cs="Times New Roman"/>
                      <w:sz w:val="24"/>
                      <w:szCs w:val="24"/>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487"/>
            </w:tblGrid>
            <w:tr w:rsidR="00763E3E" w:rsidRPr="006279C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E145ED" w:rsidP="00297FB0">
                  <w:pPr>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між фінансовим контрагентом або нефінансовим контрагентом, що відповідає умовам, зазначеним у ст</w:t>
                  </w:r>
                  <w:r w:rsidR="00297FB0">
                    <w:rPr>
                      <w:rFonts w:ascii="Times New Roman" w:eastAsia="Times New Roman" w:hAnsi="Times New Roman" w:cs="Times New Roman"/>
                      <w:sz w:val="24"/>
                      <w:szCs w:val="24"/>
                      <w:lang w:val="uk-UA"/>
                    </w:rPr>
                    <w:t>атті</w:t>
                  </w:r>
                  <w:r w:rsidR="00DE77B0" w:rsidRPr="00E145ED">
                    <w:rPr>
                      <w:rFonts w:ascii="Times New Roman" w:eastAsia="Times New Roman" w:hAnsi="Times New Roman" w:cs="Times New Roman"/>
                      <w:sz w:val="24"/>
                      <w:szCs w:val="24"/>
                    </w:rPr>
                    <w:t xml:space="preserve"> 10(1)(</w:t>
                  </w:r>
                  <w:r w:rsidR="00DE77B0" w:rsidRPr="006279CF">
                    <w:rPr>
                      <w:rFonts w:ascii="Times New Roman" w:eastAsia="Times New Roman" w:hAnsi="Times New Roman" w:cs="Times New Roman"/>
                      <w:sz w:val="24"/>
                      <w:szCs w:val="24"/>
                    </w:rPr>
                    <w:t>b</w:t>
                  </w:r>
                  <w:r w:rsidR="00DE77B0" w:rsidRPr="00E145ED">
                    <w:rPr>
                      <w:rFonts w:ascii="Times New Roman" w:eastAsia="Times New Roman" w:hAnsi="Times New Roman" w:cs="Times New Roman"/>
                      <w:sz w:val="24"/>
                      <w:szCs w:val="24"/>
                    </w:rPr>
                    <w:t>)</w:t>
                  </w:r>
                  <w:r w:rsidRPr="00E145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та</w:t>
                  </w:r>
                  <w:r w:rsidRPr="00E145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суб’єктом, створеним у третій країні, який у разі його створення в Союзі підпадав би під дію зобов’язання щодо клірингу; або</w:t>
                  </w:r>
                </w:p>
              </w:tc>
            </w:tr>
          </w:tbl>
          <w:p w:rsidR="00DE77B0" w:rsidRPr="006279CF" w:rsidRDefault="00DE77B0" w:rsidP="00187079">
            <w:pPr>
              <w:spacing w:after="0" w:line="240" w:lineRule="auto"/>
              <w:rPr>
                <w:rFonts w:ascii="Times New Roman" w:eastAsia="Times New Roman" w:hAnsi="Times New Roman" w:cs="Times New Roman"/>
                <w:vanish/>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54"/>
            </w:tblGrid>
            <w:tr w:rsidR="00763E3E" w:rsidRPr="006279C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076A0A" w:rsidP="00A7507A">
                  <w:pPr>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між двома суб’єктами, створеними в одній або декількох третіх країнах, які у разі їх створення в Союзі підпадали б під дію зобов’язання щодо клірингу, за умови, що контракт має</w:t>
                  </w:r>
                  <w:r w:rsidR="006D1914">
                    <w:rPr>
                      <w:rFonts w:ascii="Times New Roman" w:eastAsia="Times New Roman" w:hAnsi="Times New Roman" w:cs="Times New Roman"/>
                      <w:sz w:val="24"/>
                      <w:szCs w:val="24"/>
                      <w:lang w:val="uk-UA"/>
                    </w:rPr>
                    <w:t xml:space="preserve"> безпосередній, істотний та передбачуваний вплив в Союзі, або якщо таке зобов’язання є необхідним або доречним для запобігання ухиленню від</w:t>
                  </w:r>
                  <w:r w:rsidR="00A7507A">
                    <w:rPr>
                      <w:rFonts w:ascii="Times New Roman" w:eastAsia="Times New Roman" w:hAnsi="Times New Roman" w:cs="Times New Roman"/>
                      <w:sz w:val="24"/>
                      <w:szCs w:val="24"/>
                      <w:lang w:val="uk-UA"/>
                    </w:rPr>
                    <w:t xml:space="preserve"> будь-яких положень цього регламенту; та</w:t>
                  </w:r>
                  <w:r w:rsidR="006D1914">
                    <w:rPr>
                      <w:rFonts w:ascii="Times New Roman" w:eastAsia="Times New Roman" w:hAnsi="Times New Roman" w:cs="Times New Roman"/>
                      <w:sz w:val="24"/>
                      <w:szCs w:val="24"/>
                      <w:lang w:val="uk-UA"/>
                    </w:rPr>
                    <w:t xml:space="preserve"> </w:t>
                  </w:r>
                </w:p>
              </w:tc>
            </w:tr>
          </w:tbl>
          <w:p w:rsidR="00DE77B0" w:rsidRPr="006279CF" w:rsidRDefault="00DE77B0" w:rsidP="00187079">
            <w:pPr>
              <w:spacing w:after="0" w:line="240" w:lineRule="auto"/>
              <w:rPr>
                <w:rFonts w:ascii="Times New Roman" w:eastAsia="Times New Roman" w:hAnsi="Times New Roman" w:cs="Times New Roman"/>
                <w:sz w:val="27"/>
                <w:szCs w:val="27"/>
              </w:rPr>
            </w:pP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Default="00A7507A" w:rsidP="00187079">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вони укладені або переоформлені:</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6"/>
              <w:gridCol w:w="8548"/>
            </w:tblGrid>
            <w:tr w:rsidR="00763E3E" w:rsidRP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w:t>
                  </w:r>
                  <w:proofErr w:type="spellStart"/>
                  <w:r w:rsidRPr="006279CF">
                    <w:rPr>
                      <w:rFonts w:ascii="Times New Roman" w:eastAsia="Times New Roman" w:hAnsi="Times New Roman" w:cs="Times New Roman"/>
                      <w:sz w:val="24"/>
                      <w:szCs w:val="24"/>
                    </w:rPr>
                    <w:t>i</w:t>
                  </w:r>
                  <w:proofErr w:type="spellEnd"/>
                  <w:r w:rsidRPr="006279CF">
                    <w:rPr>
                      <w:rFonts w:ascii="Times New Roman" w:eastAsia="Times New Roman" w:hAnsi="Times New Roman"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C7563" w:rsidRDefault="00A7507A" w:rsidP="00A7507A">
                  <w:pPr>
                    <w:spacing w:before="120" w:after="0" w:line="240" w:lineRule="auto"/>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або у дату набрання чинності зобов’язанням щодо клірингу чи після неї;</w:t>
                  </w:r>
                </w:p>
              </w:tc>
            </w:tr>
          </w:tbl>
          <w:p w:rsidR="00DE77B0" w:rsidRPr="006279CF" w:rsidRDefault="00DE77B0" w:rsidP="00187079">
            <w:pPr>
              <w:spacing w:after="0" w:line="240" w:lineRule="auto"/>
              <w:rPr>
                <w:rFonts w:ascii="Times New Roman" w:eastAsia="Times New Roman" w:hAnsi="Times New Roman" w:cs="Times New Roman"/>
                <w:vanish/>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25"/>
            </w:tblGrid>
            <w:tr w:rsidR="00763E3E" w:rsidRPr="006279C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31323A" w:rsidP="00297FB0">
                  <w:pPr>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або у момент повідомлення, згаданого у ст</w:t>
                  </w:r>
                  <w:r w:rsidR="00297FB0">
                    <w:rPr>
                      <w:rFonts w:ascii="Times New Roman" w:eastAsia="Times New Roman" w:hAnsi="Times New Roman" w:cs="Times New Roman"/>
                      <w:sz w:val="24"/>
                      <w:szCs w:val="24"/>
                      <w:lang w:val="uk-UA"/>
                    </w:rPr>
                    <w:t>атті</w:t>
                  </w:r>
                  <w:r>
                    <w:rPr>
                      <w:rFonts w:ascii="Times New Roman" w:eastAsia="Times New Roman" w:hAnsi="Times New Roman" w:cs="Times New Roman"/>
                      <w:sz w:val="24"/>
                      <w:szCs w:val="24"/>
                      <w:lang w:val="uk-UA"/>
                    </w:rPr>
                    <w:t xml:space="preserve"> 5(1), чи після нього, але до дати набрання чинності зобов’язанням щодо клірингу</w:t>
                  </w:r>
                  <w:r w:rsidR="003644D4">
                    <w:rPr>
                      <w:rFonts w:ascii="Times New Roman" w:eastAsia="Times New Roman" w:hAnsi="Times New Roman" w:cs="Times New Roman"/>
                      <w:sz w:val="24"/>
                      <w:szCs w:val="24"/>
                      <w:lang w:val="uk-UA"/>
                    </w:rPr>
                    <w:t xml:space="preserve">, якщо </w:t>
                  </w:r>
                  <w:proofErr w:type="spellStart"/>
                  <w:r w:rsidR="003644D4">
                    <w:rPr>
                      <w:rFonts w:ascii="Times New Roman" w:eastAsia="Times New Roman" w:hAnsi="Times New Roman" w:cs="Times New Roman"/>
                      <w:sz w:val="24"/>
                      <w:szCs w:val="24"/>
                      <w:lang w:val="uk-UA"/>
                    </w:rPr>
                    <w:t>залишкови</w:t>
                  </w:r>
                  <w:proofErr w:type="spellEnd"/>
                  <w:r w:rsidR="003644D4">
                    <w:rPr>
                      <w:rFonts w:ascii="Times New Roman" w:eastAsia="Times New Roman" w:hAnsi="Times New Roman" w:cs="Times New Roman"/>
                      <w:sz w:val="24"/>
                      <w:szCs w:val="24"/>
                      <w:lang w:val="uk-UA"/>
                    </w:rPr>
                    <w:t xml:space="preserve"> термін погашення цих контрактів перевищує мінімальний залишковий термін погашення, визначений Комісією згідно зі ст</w:t>
                  </w:r>
                  <w:r w:rsidR="00297FB0">
                    <w:rPr>
                      <w:rFonts w:ascii="Times New Roman" w:eastAsia="Times New Roman" w:hAnsi="Times New Roman" w:cs="Times New Roman"/>
                      <w:sz w:val="24"/>
                      <w:szCs w:val="24"/>
                      <w:lang w:val="uk-UA"/>
                    </w:rPr>
                    <w:t>аттею</w:t>
                  </w:r>
                  <w:r w:rsidR="003644D4">
                    <w:rPr>
                      <w:rFonts w:ascii="Times New Roman" w:eastAsia="Times New Roman" w:hAnsi="Times New Roman" w:cs="Times New Roman"/>
                      <w:sz w:val="24"/>
                      <w:szCs w:val="24"/>
                      <w:lang w:val="uk-UA"/>
                    </w:rPr>
                    <w:t xml:space="preserve"> 5(2)(с).</w:t>
                  </w:r>
                </w:p>
              </w:tc>
            </w:tr>
          </w:tbl>
          <w:p w:rsidR="00DE77B0" w:rsidRPr="006279CF" w:rsidRDefault="00DE77B0" w:rsidP="00187079">
            <w:pPr>
              <w:spacing w:after="0" w:line="240" w:lineRule="auto"/>
              <w:rPr>
                <w:rFonts w:ascii="Times New Roman" w:eastAsia="Times New Roman" w:hAnsi="Times New Roman" w:cs="Times New Roman"/>
                <w:sz w:val="27"/>
                <w:szCs w:val="27"/>
              </w:rPr>
            </w:pPr>
          </w:p>
        </w:tc>
      </w:tr>
    </w:tbl>
    <w:p w:rsidR="008C59C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8C59C1">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8C59C1">
        <w:rPr>
          <w:rFonts w:ascii="Times New Roman" w:eastAsia="Times New Roman" w:hAnsi="Times New Roman" w:cs="Times New Roman"/>
          <w:sz w:val="27"/>
          <w:szCs w:val="27"/>
          <w:lang w:val="uk-UA"/>
        </w:rPr>
        <w:t xml:space="preserve">Без шкоди для методів зменшення ризиків </w:t>
      </w:r>
      <w:r w:rsidR="000D2EFA">
        <w:rPr>
          <w:rFonts w:ascii="Times New Roman" w:eastAsia="Times New Roman" w:hAnsi="Times New Roman" w:cs="Times New Roman"/>
          <w:sz w:val="27"/>
          <w:szCs w:val="27"/>
          <w:lang w:val="uk-UA"/>
        </w:rPr>
        <w:t xml:space="preserve">за ст. 11 контракти на позабіржові деривативи, що є </w:t>
      </w:r>
      <w:proofErr w:type="spellStart"/>
      <w:r w:rsidR="000D2EFA">
        <w:rPr>
          <w:rFonts w:ascii="Times New Roman" w:eastAsia="Times New Roman" w:hAnsi="Times New Roman" w:cs="Times New Roman"/>
          <w:sz w:val="27"/>
          <w:szCs w:val="27"/>
          <w:lang w:val="uk-UA"/>
        </w:rPr>
        <w:t>внутрішньогруповими</w:t>
      </w:r>
      <w:proofErr w:type="spellEnd"/>
      <w:r w:rsidR="000D2EFA">
        <w:rPr>
          <w:rFonts w:ascii="Times New Roman" w:eastAsia="Times New Roman" w:hAnsi="Times New Roman" w:cs="Times New Roman"/>
          <w:sz w:val="27"/>
          <w:szCs w:val="27"/>
          <w:lang w:val="uk-UA"/>
        </w:rPr>
        <w:t xml:space="preserve"> угодами, описаними у ст</w:t>
      </w:r>
      <w:r w:rsidR="00297FB0">
        <w:rPr>
          <w:rFonts w:ascii="Times New Roman" w:eastAsia="Times New Roman" w:hAnsi="Times New Roman" w:cs="Times New Roman"/>
          <w:sz w:val="27"/>
          <w:szCs w:val="27"/>
          <w:lang w:val="uk-UA"/>
        </w:rPr>
        <w:t>атті</w:t>
      </w:r>
      <w:r w:rsidR="000D2EFA">
        <w:rPr>
          <w:rFonts w:ascii="Times New Roman" w:eastAsia="Times New Roman" w:hAnsi="Times New Roman" w:cs="Times New Roman"/>
          <w:sz w:val="27"/>
          <w:szCs w:val="27"/>
          <w:lang w:val="uk-UA"/>
        </w:rPr>
        <w:t xml:space="preserve"> 3, не підпадають під дію зобов’язання щодо клірингу.</w:t>
      </w:r>
    </w:p>
    <w:p w:rsidR="00DE77B0" w:rsidRPr="006C7563" w:rsidRDefault="000D2EFA" w:rsidP="000D2EFA">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Звільнення, передбачене у першому абзаці цього пункту, поширюється тільки на наступні випадки:</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297FB0"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297FB0" w:rsidRDefault="00D725BA" w:rsidP="00297FB0">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якщо два контрагенти, що створені у Союзі та належать до однієї групи, вперше письмово повідомили свої відповідні компетентні органи про свій намір скористатися цим звільненням щодо контрактів на позабіржові деривативи, укладені між ними.</w:t>
            </w:r>
            <w:r w:rsidR="00834095">
              <w:rPr>
                <w:rFonts w:ascii="Times New Roman" w:eastAsia="Times New Roman" w:hAnsi="Times New Roman" w:cs="Times New Roman"/>
                <w:sz w:val="27"/>
                <w:szCs w:val="27"/>
                <w:lang w:val="uk-UA"/>
              </w:rPr>
              <w:t xml:space="preserve"> Повідомлення надсилається не менш ніж за 30 календарних днів до застосування звільнення. Протягом 30 календарних днів після отримання повідомлення компетентні органи можуть висунути заперечення проти застосування звільнення, якщо угоди між контрагентами не відповідають умовам, викладеним у ст</w:t>
            </w:r>
            <w:r w:rsidR="00297FB0">
              <w:rPr>
                <w:rFonts w:ascii="Times New Roman" w:eastAsia="Times New Roman" w:hAnsi="Times New Roman" w:cs="Times New Roman"/>
                <w:sz w:val="27"/>
                <w:szCs w:val="27"/>
                <w:lang w:val="uk-UA"/>
              </w:rPr>
              <w:t>атті</w:t>
            </w:r>
            <w:r w:rsidR="00834095">
              <w:rPr>
                <w:rFonts w:ascii="Times New Roman" w:eastAsia="Times New Roman" w:hAnsi="Times New Roman" w:cs="Times New Roman"/>
                <w:sz w:val="27"/>
                <w:szCs w:val="27"/>
                <w:lang w:val="uk-UA"/>
              </w:rPr>
              <w:t xml:space="preserve"> 3, </w:t>
            </w:r>
            <w:r w:rsidR="009C7472">
              <w:rPr>
                <w:rFonts w:ascii="Times New Roman" w:eastAsia="Times New Roman" w:hAnsi="Times New Roman" w:cs="Times New Roman"/>
                <w:sz w:val="27"/>
                <w:szCs w:val="27"/>
                <w:lang w:val="uk-UA"/>
              </w:rPr>
              <w:t xml:space="preserve">при цьому компетентні органи все одне мають право висунути заперечення після закінчення вищезгаданого строку, якщо ці умови більше не виконуються. У випадку незгоди між компетентними органами </w:t>
            </w:r>
            <w:r w:rsidR="009C7472">
              <w:rPr>
                <w:rFonts w:ascii="Times New Roman" w:eastAsia="Times New Roman" w:hAnsi="Times New Roman" w:cs="Times New Roman"/>
                <w:sz w:val="27"/>
                <w:szCs w:val="27"/>
              </w:rPr>
              <w:t>ESMA</w:t>
            </w:r>
            <w:r w:rsidR="009C7472">
              <w:rPr>
                <w:rFonts w:ascii="Times New Roman" w:eastAsia="Times New Roman" w:hAnsi="Times New Roman" w:cs="Times New Roman"/>
                <w:sz w:val="27"/>
                <w:szCs w:val="27"/>
                <w:lang w:val="uk-UA"/>
              </w:rPr>
              <w:t xml:space="preserve"> може надати їм допомогу в досягнені згоди згідно зі своїми повноваженнями за ст</w:t>
            </w:r>
            <w:r w:rsidR="00297FB0">
              <w:rPr>
                <w:rFonts w:ascii="Times New Roman" w:eastAsia="Times New Roman" w:hAnsi="Times New Roman" w:cs="Times New Roman"/>
                <w:sz w:val="27"/>
                <w:szCs w:val="27"/>
                <w:lang w:val="uk-UA"/>
              </w:rPr>
              <w:t>аттею</w:t>
            </w:r>
            <w:r w:rsidR="009C7472">
              <w:rPr>
                <w:rFonts w:ascii="Times New Roman" w:eastAsia="Times New Roman" w:hAnsi="Times New Roman" w:cs="Times New Roman"/>
                <w:sz w:val="27"/>
                <w:szCs w:val="27"/>
                <w:lang w:val="uk-UA"/>
              </w:rPr>
              <w:t xml:space="preserve"> 19 Регламенту</w:t>
            </w:r>
            <w:r w:rsidR="00DE77B0" w:rsidRPr="00297FB0">
              <w:rPr>
                <w:rFonts w:ascii="Times New Roman" w:eastAsia="Times New Roman" w:hAnsi="Times New Roman" w:cs="Times New Roman"/>
                <w:sz w:val="27"/>
                <w:szCs w:val="27"/>
                <w:lang w:val="uk-UA"/>
              </w:rPr>
              <w:t xml:space="preserve"> (</w:t>
            </w:r>
            <w:r w:rsidR="00DE77B0" w:rsidRPr="006279CF">
              <w:rPr>
                <w:rFonts w:ascii="Times New Roman" w:eastAsia="Times New Roman" w:hAnsi="Times New Roman" w:cs="Times New Roman"/>
                <w:sz w:val="27"/>
                <w:szCs w:val="27"/>
              </w:rPr>
              <w:t>EU</w:t>
            </w:r>
            <w:r w:rsidR="00DE77B0" w:rsidRPr="00297FB0">
              <w:rPr>
                <w:rFonts w:ascii="Times New Roman" w:eastAsia="Times New Roman" w:hAnsi="Times New Roman" w:cs="Times New Roman"/>
                <w:sz w:val="27"/>
                <w:szCs w:val="27"/>
                <w:lang w:val="uk-UA"/>
              </w:rPr>
              <w:t xml:space="preserve">) </w:t>
            </w:r>
            <w:r w:rsidR="009C7472">
              <w:rPr>
                <w:rFonts w:ascii="Times New Roman" w:eastAsia="Times New Roman" w:hAnsi="Times New Roman" w:cs="Times New Roman"/>
                <w:sz w:val="27"/>
                <w:szCs w:val="27"/>
                <w:lang w:val="uk-UA"/>
              </w:rPr>
              <w:t>№</w:t>
            </w:r>
            <w:r w:rsidR="00DE77B0" w:rsidRPr="006279CF">
              <w:rPr>
                <w:rFonts w:ascii="Times New Roman" w:eastAsia="Times New Roman" w:hAnsi="Times New Roman" w:cs="Times New Roman"/>
                <w:sz w:val="27"/>
                <w:szCs w:val="27"/>
              </w:rPr>
              <w:t> </w:t>
            </w:r>
            <w:r w:rsidR="00DE77B0" w:rsidRPr="00297FB0">
              <w:rPr>
                <w:rFonts w:ascii="Times New Roman" w:eastAsia="Times New Roman" w:hAnsi="Times New Roman" w:cs="Times New Roman"/>
                <w:sz w:val="27"/>
                <w:szCs w:val="27"/>
                <w:lang w:val="uk-UA"/>
              </w:rPr>
              <w:t>1095/2010;</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9C7472" w:rsidP="00297FB0">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на контракти на позабіржові деривативи між двома контрагентами, що належать до однієї групи </w:t>
            </w:r>
            <w:r w:rsidR="00F24CA5">
              <w:rPr>
                <w:rFonts w:ascii="Times New Roman" w:eastAsia="Times New Roman" w:hAnsi="Times New Roman" w:cs="Times New Roman"/>
                <w:sz w:val="27"/>
                <w:szCs w:val="27"/>
                <w:lang w:val="uk-UA"/>
              </w:rPr>
              <w:t>та створені у державі-члені Союзу та у третій країні, якщо контрагент, створений у Союзі, уповноважений застосовувати вищезгадане звільнення, надане компетентним органом цієї країні, впродовж 30 календарних днів після отримання ним повідомлення з боку контрагента, створеного в Союзі, з дотримання умов, викладених у ст</w:t>
            </w:r>
            <w:r w:rsidR="00297FB0">
              <w:rPr>
                <w:rFonts w:ascii="Times New Roman" w:eastAsia="Times New Roman" w:hAnsi="Times New Roman" w:cs="Times New Roman"/>
                <w:sz w:val="27"/>
                <w:szCs w:val="27"/>
                <w:lang w:val="uk-UA"/>
              </w:rPr>
              <w:t>атті</w:t>
            </w:r>
            <w:r w:rsidR="00F24CA5">
              <w:rPr>
                <w:rFonts w:ascii="Times New Roman" w:eastAsia="Times New Roman" w:hAnsi="Times New Roman" w:cs="Times New Roman"/>
                <w:sz w:val="27"/>
                <w:szCs w:val="27"/>
                <w:lang w:val="uk-UA"/>
              </w:rPr>
              <w:t xml:space="preserve"> 3. Компетентний орган повідомляє ESMA про це рішення.</w:t>
            </w:r>
          </w:p>
        </w:tc>
      </w:tr>
    </w:tbl>
    <w:p w:rsidR="00DE77B0" w:rsidRPr="00297FB0" w:rsidRDefault="00DE77B0" w:rsidP="00277A7A">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271C2E">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271C2E">
        <w:rPr>
          <w:rFonts w:ascii="Times New Roman" w:eastAsia="Times New Roman" w:hAnsi="Times New Roman" w:cs="Times New Roman"/>
          <w:sz w:val="27"/>
          <w:szCs w:val="27"/>
          <w:lang w:val="uk-UA"/>
        </w:rPr>
        <w:t xml:space="preserve">Кліринг тих контрактів на позабіржові деривативи, </w:t>
      </w:r>
      <w:r w:rsidR="009B18E8">
        <w:rPr>
          <w:rFonts w:ascii="Times New Roman" w:eastAsia="Times New Roman" w:hAnsi="Times New Roman" w:cs="Times New Roman"/>
          <w:sz w:val="27"/>
          <w:szCs w:val="27"/>
          <w:lang w:val="uk-UA"/>
        </w:rPr>
        <w:t xml:space="preserve">що підпадають під дію зобов’язання щодо клірингу на виконання п. 1, </w:t>
      </w:r>
      <w:r w:rsidR="00271C2E">
        <w:rPr>
          <w:rFonts w:ascii="Times New Roman" w:eastAsia="Times New Roman" w:hAnsi="Times New Roman" w:cs="Times New Roman"/>
          <w:sz w:val="27"/>
          <w:szCs w:val="27"/>
          <w:lang w:val="uk-UA"/>
        </w:rPr>
        <w:t>проводиться у ЦКА, уповноваженому за ст</w:t>
      </w:r>
      <w:r w:rsidR="00297FB0">
        <w:rPr>
          <w:rFonts w:ascii="Times New Roman" w:eastAsia="Times New Roman" w:hAnsi="Times New Roman" w:cs="Times New Roman"/>
          <w:sz w:val="27"/>
          <w:szCs w:val="27"/>
          <w:lang w:val="uk-UA"/>
        </w:rPr>
        <w:t>аттею</w:t>
      </w:r>
      <w:r w:rsidR="00271C2E">
        <w:rPr>
          <w:rFonts w:ascii="Times New Roman" w:eastAsia="Times New Roman" w:hAnsi="Times New Roman" w:cs="Times New Roman"/>
          <w:sz w:val="27"/>
          <w:szCs w:val="27"/>
          <w:lang w:val="uk-UA"/>
        </w:rPr>
        <w:t xml:space="preserve"> 14 або визнаному за ст</w:t>
      </w:r>
      <w:r w:rsidR="00297FB0">
        <w:rPr>
          <w:rFonts w:ascii="Times New Roman" w:eastAsia="Times New Roman" w:hAnsi="Times New Roman" w:cs="Times New Roman"/>
          <w:sz w:val="27"/>
          <w:szCs w:val="27"/>
          <w:lang w:val="uk-UA"/>
        </w:rPr>
        <w:t>аттею</w:t>
      </w:r>
      <w:r w:rsidR="00271C2E">
        <w:rPr>
          <w:rFonts w:ascii="Times New Roman" w:eastAsia="Times New Roman" w:hAnsi="Times New Roman" w:cs="Times New Roman"/>
          <w:sz w:val="27"/>
          <w:szCs w:val="27"/>
          <w:lang w:val="uk-UA"/>
        </w:rPr>
        <w:t xml:space="preserve"> 25 як такий, що може проводити кліринг цього класу позабіржових дериватив</w:t>
      </w:r>
      <w:r w:rsidR="00277A7A">
        <w:rPr>
          <w:rFonts w:ascii="Times New Roman" w:eastAsia="Times New Roman" w:hAnsi="Times New Roman" w:cs="Times New Roman"/>
          <w:sz w:val="27"/>
          <w:szCs w:val="27"/>
          <w:lang w:val="uk-UA"/>
        </w:rPr>
        <w:t>ів, і зазначеному в реєстрі згідно з ст</w:t>
      </w:r>
      <w:r w:rsidR="00297FB0">
        <w:rPr>
          <w:rFonts w:ascii="Times New Roman" w:eastAsia="Times New Roman" w:hAnsi="Times New Roman" w:cs="Times New Roman"/>
          <w:sz w:val="27"/>
          <w:szCs w:val="27"/>
          <w:lang w:val="uk-UA"/>
        </w:rPr>
        <w:t>аттею</w:t>
      </w:r>
      <w:r w:rsidRPr="00297FB0">
        <w:rPr>
          <w:rFonts w:ascii="Times New Roman" w:eastAsia="Times New Roman" w:hAnsi="Times New Roman" w:cs="Times New Roman"/>
          <w:sz w:val="27"/>
          <w:szCs w:val="27"/>
          <w:lang w:val="ru-RU"/>
        </w:rPr>
        <w:t xml:space="preserve"> 6(2)(</w:t>
      </w:r>
      <w:r w:rsidRPr="006279CF">
        <w:rPr>
          <w:rFonts w:ascii="Times New Roman" w:eastAsia="Times New Roman" w:hAnsi="Times New Roman" w:cs="Times New Roman"/>
          <w:sz w:val="27"/>
          <w:szCs w:val="27"/>
        </w:rPr>
        <w:t>b</w:t>
      </w:r>
      <w:r w:rsidRPr="00297FB0">
        <w:rPr>
          <w:rFonts w:ascii="Times New Roman" w:eastAsia="Times New Roman" w:hAnsi="Times New Roman" w:cs="Times New Roman"/>
          <w:sz w:val="27"/>
          <w:szCs w:val="27"/>
          <w:lang w:val="ru-RU"/>
        </w:rPr>
        <w:t>).</w:t>
      </w:r>
    </w:p>
    <w:p w:rsidR="00DE77B0" w:rsidRPr="00A50840" w:rsidRDefault="00277A7A"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З цією метою контрагент стає учасником клірингу, клієнтом або досягає непрямих домовленостей щодо клірингу з учасником клірингу, за умови, що ці домовленості не </w:t>
      </w:r>
      <w:r w:rsidR="00D740BC">
        <w:rPr>
          <w:rFonts w:ascii="Times New Roman" w:eastAsia="Times New Roman" w:hAnsi="Times New Roman" w:cs="Times New Roman"/>
          <w:sz w:val="27"/>
          <w:szCs w:val="27"/>
          <w:lang w:val="uk-UA"/>
        </w:rPr>
        <w:t>підвищують ризик контрагента і забезпечують, щоб активи та позиції цього контрагента користувалися захистом з ефектом, еквівалентним захисту, зазначеному в ст</w:t>
      </w:r>
      <w:r w:rsidR="00297FB0">
        <w:rPr>
          <w:rFonts w:ascii="Times New Roman" w:eastAsia="Times New Roman" w:hAnsi="Times New Roman" w:cs="Times New Roman"/>
          <w:sz w:val="27"/>
          <w:szCs w:val="27"/>
          <w:lang w:val="uk-UA"/>
        </w:rPr>
        <w:t>аттях</w:t>
      </w:r>
      <w:r w:rsidR="00D740BC">
        <w:rPr>
          <w:rFonts w:ascii="Times New Roman" w:eastAsia="Times New Roman" w:hAnsi="Times New Roman" w:cs="Times New Roman"/>
          <w:sz w:val="27"/>
          <w:szCs w:val="27"/>
          <w:lang w:val="uk-UA"/>
        </w:rPr>
        <w:t xml:space="preserve"> 39 та 48.</w:t>
      </w:r>
    </w:p>
    <w:p w:rsidR="00DE77B0" w:rsidRPr="003968DF" w:rsidRDefault="00DE77B0" w:rsidP="0009777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DF7C7D">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DF7C7D">
        <w:rPr>
          <w:rFonts w:ascii="Times New Roman" w:eastAsia="Times New Roman" w:hAnsi="Times New Roman" w:cs="Times New Roman"/>
          <w:sz w:val="27"/>
          <w:szCs w:val="27"/>
          <w:lang w:val="uk-UA"/>
        </w:rPr>
        <w:t xml:space="preserve">Щоб забезпечити послідовне застосування цієї статті, </w:t>
      </w:r>
      <w:r w:rsidR="00DF7C7D">
        <w:rPr>
          <w:rFonts w:ascii="Times New Roman" w:eastAsia="Times New Roman" w:hAnsi="Times New Roman" w:cs="Times New Roman"/>
          <w:sz w:val="27"/>
          <w:szCs w:val="27"/>
        </w:rPr>
        <w:t>ESMA</w:t>
      </w:r>
      <w:r w:rsidR="00DF7C7D">
        <w:rPr>
          <w:rFonts w:ascii="Times New Roman" w:eastAsia="Times New Roman" w:hAnsi="Times New Roman" w:cs="Times New Roman"/>
          <w:sz w:val="27"/>
          <w:szCs w:val="27"/>
          <w:lang w:val="uk-UA"/>
        </w:rPr>
        <w:t xml:space="preserve"> розробляє проекти регуляторних технічних станд</w:t>
      </w:r>
      <w:r w:rsidR="004405C4">
        <w:rPr>
          <w:rFonts w:ascii="Times New Roman" w:eastAsia="Times New Roman" w:hAnsi="Times New Roman" w:cs="Times New Roman"/>
          <w:sz w:val="27"/>
          <w:szCs w:val="27"/>
          <w:lang w:val="uk-UA"/>
        </w:rPr>
        <w:t xml:space="preserve">артів із зазначенням контрактів, які вважаються такими, </w:t>
      </w:r>
      <w:r w:rsidR="009E16C4">
        <w:rPr>
          <w:rFonts w:ascii="Times New Roman" w:eastAsia="Times New Roman" w:hAnsi="Times New Roman" w:cs="Times New Roman"/>
          <w:sz w:val="27"/>
          <w:szCs w:val="27"/>
          <w:lang w:val="uk-UA"/>
        </w:rPr>
        <w:t>що мають безпосередній, істотний та передбачуваний ефект у Союзі, або випадків, де необхідно або доречно запобігти ухиленню від виконання того чи іншого положення цього регламенту згідно з п.</w:t>
      </w:r>
      <w:r w:rsidR="009E16C4" w:rsidRPr="003968DF">
        <w:rPr>
          <w:rFonts w:ascii="Times New Roman" w:eastAsia="Times New Roman" w:hAnsi="Times New Roman" w:cs="Times New Roman"/>
          <w:sz w:val="27"/>
          <w:szCs w:val="27"/>
          <w:lang w:val="ru-RU"/>
        </w:rPr>
        <w:t xml:space="preserve"> 1(</w:t>
      </w:r>
      <w:r w:rsidR="009E16C4" w:rsidRPr="006279CF">
        <w:rPr>
          <w:rFonts w:ascii="Times New Roman" w:eastAsia="Times New Roman" w:hAnsi="Times New Roman" w:cs="Times New Roman"/>
          <w:sz w:val="27"/>
          <w:szCs w:val="27"/>
        </w:rPr>
        <w:t>a</w:t>
      </w:r>
      <w:r w:rsidR="009E16C4" w:rsidRPr="003968DF">
        <w:rPr>
          <w:rFonts w:ascii="Times New Roman" w:eastAsia="Times New Roman" w:hAnsi="Times New Roman" w:cs="Times New Roman"/>
          <w:sz w:val="27"/>
          <w:szCs w:val="27"/>
          <w:lang w:val="ru-RU"/>
        </w:rPr>
        <w:t>)(</w:t>
      </w:r>
      <w:r w:rsidR="009E16C4" w:rsidRPr="006279CF">
        <w:rPr>
          <w:rFonts w:ascii="Times New Roman" w:eastAsia="Times New Roman" w:hAnsi="Times New Roman" w:cs="Times New Roman"/>
          <w:sz w:val="27"/>
          <w:szCs w:val="27"/>
        </w:rPr>
        <w:t>v</w:t>
      </w:r>
      <w:r w:rsidR="009E16C4" w:rsidRPr="003968DF">
        <w:rPr>
          <w:rFonts w:ascii="Times New Roman" w:eastAsia="Times New Roman" w:hAnsi="Times New Roman" w:cs="Times New Roman"/>
          <w:sz w:val="27"/>
          <w:szCs w:val="27"/>
          <w:lang w:val="ru-RU"/>
        </w:rPr>
        <w:t xml:space="preserve">), </w:t>
      </w:r>
      <w:r w:rsidR="009E16C4">
        <w:rPr>
          <w:rFonts w:ascii="Times New Roman" w:eastAsia="Times New Roman" w:hAnsi="Times New Roman" w:cs="Times New Roman"/>
          <w:sz w:val="27"/>
          <w:szCs w:val="27"/>
          <w:lang w:val="uk-UA"/>
        </w:rPr>
        <w:t>і видів непрямих договірних домовленостей, які відповідають умовам, згаданим у другому абзаці п. 3.</w:t>
      </w:r>
    </w:p>
    <w:p w:rsidR="00A64037" w:rsidRPr="00A23C88" w:rsidRDefault="00A64037" w:rsidP="00A6403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lastRenderedPageBreak/>
        <w:t>ESMA</w:t>
      </w:r>
      <w:r w:rsidRPr="00097775">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подає ці проекти регуляторних технічних стандартів Комісії до 30 вересня 2012 р.</w:t>
      </w:r>
    </w:p>
    <w:p w:rsidR="00DE77B0" w:rsidRPr="00A33588" w:rsidRDefault="00A64037" w:rsidP="00A6403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першому абзаці, згідно зі статтями 10-14 Регламенту</w:t>
      </w:r>
      <w:r w:rsidRPr="00A33588">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EU</w:t>
      </w:r>
      <w:r w:rsidRPr="00A33588">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33588">
        <w:rPr>
          <w:rFonts w:ascii="Times New Roman" w:eastAsia="Times New Roman" w:hAnsi="Times New Roman" w:cs="Times New Roman"/>
          <w:sz w:val="27"/>
          <w:szCs w:val="27"/>
          <w:lang w:val="ru-RU"/>
        </w:rPr>
        <w:t>1095/2010.</w:t>
      </w:r>
    </w:p>
    <w:p w:rsidR="00DE77B0" w:rsidRPr="00B221A8"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B221A8">
        <w:rPr>
          <w:rFonts w:ascii="Times New Roman" w:eastAsia="Times New Roman" w:hAnsi="Times New Roman" w:cs="Times New Roman"/>
          <w:i/>
          <w:iCs/>
          <w:sz w:val="27"/>
          <w:szCs w:val="27"/>
          <w:lang w:val="ru-RU"/>
        </w:rPr>
        <w:t>Стаття</w:t>
      </w:r>
      <w:proofErr w:type="spellEnd"/>
      <w:r w:rsidR="00DE77B0" w:rsidRPr="00B221A8">
        <w:rPr>
          <w:rFonts w:ascii="Times New Roman" w:eastAsia="Times New Roman" w:hAnsi="Times New Roman" w:cs="Times New Roman"/>
          <w:i/>
          <w:iCs/>
          <w:sz w:val="27"/>
          <w:szCs w:val="27"/>
          <w:lang w:val="ru-RU"/>
        </w:rPr>
        <w:t xml:space="preserve"> 5</w:t>
      </w:r>
    </w:p>
    <w:p w:rsidR="00DE77B0" w:rsidRPr="00B221A8" w:rsidRDefault="006A7775"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Порядок виконання зобов’язання щодо клірингу</w:t>
      </w:r>
    </w:p>
    <w:p w:rsidR="00DE77B0" w:rsidRPr="006C7563" w:rsidRDefault="00DE77B0" w:rsidP="004D49F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C756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435D91">
        <w:rPr>
          <w:rFonts w:ascii="Times New Roman" w:eastAsia="Times New Roman" w:hAnsi="Times New Roman" w:cs="Times New Roman"/>
          <w:sz w:val="27"/>
          <w:szCs w:val="27"/>
          <w:lang w:val="uk-UA"/>
        </w:rPr>
        <w:t xml:space="preserve">Якщо компетентний орган уповноважує ЦКА на кліринг певного класу </w:t>
      </w:r>
      <w:r w:rsidR="004D49FE">
        <w:rPr>
          <w:rFonts w:ascii="Times New Roman" w:eastAsia="Times New Roman" w:hAnsi="Times New Roman" w:cs="Times New Roman"/>
          <w:sz w:val="27"/>
          <w:szCs w:val="27"/>
          <w:lang w:val="uk-UA"/>
        </w:rPr>
        <w:t xml:space="preserve">позабіржових деривативів відповідно до статті 14 або 15, то він невідкладно повідомляє </w:t>
      </w:r>
      <w:r w:rsidR="004D49FE">
        <w:rPr>
          <w:rFonts w:ascii="Times New Roman" w:eastAsia="Times New Roman" w:hAnsi="Times New Roman" w:cs="Times New Roman"/>
          <w:sz w:val="27"/>
          <w:szCs w:val="27"/>
        </w:rPr>
        <w:t>ESMA</w:t>
      </w:r>
      <w:r w:rsidR="004D49FE">
        <w:rPr>
          <w:rFonts w:ascii="Times New Roman" w:eastAsia="Times New Roman" w:hAnsi="Times New Roman" w:cs="Times New Roman"/>
          <w:sz w:val="27"/>
          <w:szCs w:val="27"/>
          <w:lang w:val="uk-UA"/>
        </w:rPr>
        <w:t xml:space="preserve"> про надання таких повноважень.</w:t>
      </w:r>
    </w:p>
    <w:p w:rsidR="00DE77B0" w:rsidRPr="006C7563" w:rsidRDefault="004D49FE" w:rsidP="00A23C88">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розробляє проекти регуляторних технічних стандартів</w:t>
      </w:r>
      <w:r w:rsidR="00A23C88">
        <w:rPr>
          <w:rFonts w:ascii="Times New Roman" w:eastAsia="Times New Roman" w:hAnsi="Times New Roman" w:cs="Times New Roman"/>
          <w:sz w:val="27"/>
          <w:szCs w:val="27"/>
          <w:lang w:val="uk-UA"/>
        </w:rPr>
        <w:t xml:space="preserve"> із зазначенням відомостей, які повинні включатися у повідомлення, згадані у першому абзаці цієї статті.</w:t>
      </w:r>
    </w:p>
    <w:p w:rsidR="00A23C88" w:rsidRPr="00A23C88" w:rsidRDefault="00A23C88"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rPr>
        <w:t>ESMA</w:t>
      </w:r>
      <w:r w:rsidRPr="00097775">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подає ці проекти регуляторних технічних стандартів Комісії до 30 вересня 2012 р.</w:t>
      </w:r>
    </w:p>
    <w:p w:rsidR="00A23C88" w:rsidRDefault="00A5084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другому абзаці цього пункту, згідно зі статтями 10-14 Регламенту</w:t>
      </w:r>
      <w:r w:rsidRPr="00A23C88">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A23C88">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23C88">
        <w:rPr>
          <w:rFonts w:ascii="Times New Roman" w:eastAsia="Times New Roman" w:hAnsi="Times New Roman" w:cs="Times New Roman"/>
          <w:sz w:val="27"/>
          <w:szCs w:val="27"/>
          <w:lang w:val="uk-UA"/>
        </w:rPr>
        <w:t>1095/2010.</w:t>
      </w:r>
    </w:p>
    <w:p w:rsidR="009A7C50" w:rsidRPr="00471A8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3876EE">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9A7C50">
        <w:rPr>
          <w:rFonts w:ascii="Times New Roman" w:eastAsia="Times New Roman" w:hAnsi="Times New Roman" w:cs="Times New Roman"/>
          <w:sz w:val="27"/>
          <w:szCs w:val="27"/>
          <w:lang w:val="uk-UA"/>
        </w:rPr>
        <w:t>Упродовж шести місяців із моменту отримання по</w:t>
      </w:r>
      <w:r w:rsidR="00471A83">
        <w:rPr>
          <w:rFonts w:ascii="Times New Roman" w:eastAsia="Times New Roman" w:hAnsi="Times New Roman" w:cs="Times New Roman"/>
          <w:sz w:val="27"/>
          <w:szCs w:val="27"/>
          <w:lang w:val="uk-UA"/>
        </w:rPr>
        <w:t xml:space="preserve">відомлення відповідно до п. 1 цієї статті або виконання процедури визнання, передбаченої у статті 25, </w:t>
      </w:r>
      <w:r w:rsidR="00471A83">
        <w:rPr>
          <w:rFonts w:ascii="Times New Roman" w:eastAsia="Times New Roman" w:hAnsi="Times New Roman" w:cs="Times New Roman"/>
          <w:sz w:val="27"/>
          <w:szCs w:val="27"/>
        </w:rPr>
        <w:t>ESMA</w:t>
      </w:r>
      <w:r w:rsidR="00471A83">
        <w:rPr>
          <w:rFonts w:ascii="Times New Roman" w:eastAsia="Times New Roman" w:hAnsi="Times New Roman" w:cs="Times New Roman"/>
          <w:sz w:val="27"/>
          <w:szCs w:val="27"/>
          <w:lang w:val="uk-UA"/>
        </w:rPr>
        <w:t xml:space="preserve"> після </w:t>
      </w:r>
      <w:r w:rsidR="003876EE">
        <w:rPr>
          <w:rFonts w:ascii="Times New Roman" w:eastAsia="Times New Roman" w:hAnsi="Times New Roman" w:cs="Times New Roman"/>
          <w:sz w:val="27"/>
          <w:szCs w:val="27"/>
          <w:lang w:val="uk-UA"/>
        </w:rPr>
        <w:t xml:space="preserve">проведення відкритих консультацій та після обговорення з </w:t>
      </w:r>
      <w:r w:rsidR="004E7873">
        <w:rPr>
          <w:rFonts w:ascii="Times New Roman" w:eastAsia="Times New Roman" w:hAnsi="Times New Roman" w:cs="Times New Roman"/>
          <w:sz w:val="27"/>
          <w:szCs w:val="27"/>
          <w:lang w:val="uk-UA"/>
        </w:rPr>
        <w:t>ESRB</w:t>
      </w:r>
      <w:r w:rsidR="003876EE">
        <w:rPr>
          <w:rFonts w:ascii="Times New Roman" w:eastAsia="Times New Roman" w:hAnsi="Times New Roman" w:cs="Times New Roman"/>
          <w:sz w:val="27"/>
          <w:szCs w:val="27"/>
          <w:lang w:val="uk-UA"/>
        </w:rPr>
        <w:t>, а також, у доречних випадках, із компетентними органами третіх країн розробляє та подає Комісії на затвердження проекти регуляторних технічних стандартів із зазначенням наступного:</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E4A5A" w:rsidP="007E4A5A">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класу позабіржових деривативів, які повинні підпадати під дію зобов’язання щодо клірингу, згаданого у статті 4;</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FF6B5A" w:rsidP="00B275D0">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дати або дат</w:t>
            </w:r>
            <w:r w:rsidR="00C02C54">
              <w:rPr>
                <w:rFonts w:ascii="Times New Roman" w:eastAsia="Times New Roman" w:hAnsi="Times New Roman" w:cs="Times New Roman"/>
                <w:sz w:val="27"/>
                <w:szCs w:val="27"/>
                <w:lang w:val="uk-UA"/>
              </w:rPr>
              <w:t xml:space="preserve"> набрання чинності зобов’язання щодо клірингу, включаючи</w:t>
            </w:r>
            <w:r w:rsidR="00B275D0">
              <w:rPr>
                <w:rFonts w:ascii="Times New Roman" w:eastAsia="Times New Roman" w:hAnsi="Times New Roman" w:cs="Times New Roman"/>
                <w:sz w:val="27"/>
                <w:szCs w:val="27"/>
                <w:lang w:val="uk-UA"/>
              </w:rPr>
              <w:t xml:space="preserve"> можливе </w:t>
            </w:r>
            <w:r w:rsidR="00C02C54">
              <w:rPr>
                <w:rFonts w:ascii="Times New Roman" w:eastAsia="Times New Roman" w:hAnsi="Times New Roman" w:cs="Times New Roman"/>
                <w:sz w:val="27"/>
                <w:szCs w:val="27"/>
                <w:lang w:val="uk-UA"/>
              </w:rPr>
              <w:t>поетапне</w:t>
            </w:r>
            <w:r w:rsidR="00C02C54" w:rsidRPr="00A86373">
              <w:rPr>
                <w:rFonts w:ascii="Times New Roman" w:eastAsia="Times New Roman" w:hAnsi="Times New Roman" w:cs="Times New Roman"/>
                <w:sz w:val="27"/>
                <w:szCs w:val="27"/>
                <w:lang w:val="uk-UA"/>
              </w:rPr>
              <w:t xml:space="preserve"> </w:t>
            </w:r>
            <w:r w:rsidR="00C02C54">
              <w:rPr>
                <w:rFonts w:ascii="Times New Roman" w:eastAsia="Times New Roman" w:hAnsi="Times New Roman" w:cs="Times New Roman"/>
                <w:sz w:val="27"/>
                <w:szCs w:val="27"/>
                <w:lang w:val="uk-UA"/>
              </w:rPr>
              <w:t>запровадження</w:t>
            </w:r>
            <w:r w:rsidR="00B275D0">
              <w:rPr>
                <w:rFonts w:ascii="Times New Roman" w:eastAsia="Times New Roman" w:hAnsi="Times New Roman" w:cs="Times New Roman"/>
                <w:sz w:val="27"/>
                <w:szCs w:val="27"/>
                <w:lang w:val="uk-UA"/>
              </w:rPr>
              <w:t>, і категорій контрагентів, на яких поширюється це зобов’язання;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275D0" w:rsidRDefault="00B275D0" w:rsidP="00B275D0">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мінімального залишкового терміну погашення контрактів на позабіржові деривативи, згаданих у статті</w:t>
            </w:r>
            <w:r w:rsidR="00DE77B0" w:rsidRPr="00B275D0">
              <w:rPr>
                <w:rFonts w:ascii="Times New Roman" w:eastAsia="Times New Roman" w:hAnsi="Times New Roman" w:cs="Times New Roman"/>
                <w:sz w:val="27"/>
                <w:szCs w:val="27"/>
                <w:lang w:val="ru-RU"/>
              </w:rPr>
              <w:t xml:space="preserve"> 4(1)(</w:t>
            </w:r>
            <w:r w:rsidR="00DE77B0" w:rsidRPr="006279CF">
              <w:rPr>
                <w:rFonts w:ascii="Times New Roman" w:eastAsia="Times New Roman" w:hAnsi="Times New Roman" w:cs="Times New Roman"/>
                <w:sz w:val="27"/>
                <w:szCs w:val="27"/>
              </w:rPr>
              <w:t>b</w:t>
            </w:r>
            <w:r w:rsidR="00DE77B0" w:rsidRPr="00B275D0">
              <w:rPr>
                <w:rFonts w:ascii="Times New Roman" w:eastAsia="Times New Roman" w:hAnsi="Times New Roman" w:cs="Times New Roman"/>
                <w:sz w:val="27"/>
                <w:szCs w:val="27"/>
                <w:lang w:val="ru-RU"/>
              </w:rPr>
              <w:t>)(</w:t>
            </w:r>
            <w:r w:rsidR="00DE77B0" w:rsidRPr="006279CF">
              <w:rPr>
                <w:rFonts w:ascii="Times New Roman" w:eastAsia="Times New Roman" w:hAnsi="Times New Roman" w:cs="Times New Roman"/>
                <w:sz w:val="27"/>
                <w:szCs w:val="27"/>
              </w:rPr>
              <w:t>ii</w:t>
            </w:r>
            <w:r w:rsidR="00DE77B0" w:rsidRPr="00B275D0">
              <w:rPr>
                <w:rFonts w:ascii="Times New Roman" w:eastAsia="Times New Roman" w:hAnsi="Times New Roman" w:cs="Times New Roman"/>
                <w:sz w:val="27"/>
                <w:szCs w:val="27"/>
                <w:lang w:val="ru-RU"/>
              </w:rPr>
              <w:t>).</w:t>
            </w:r>
          </w:p>
        </w:tc>
      </w:tr>
    </w:tbl>
    <w:p w:rsidR="00A50840" w:rsidRDefault="00A5084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першому абзаці цього пункту, згідно зі статтями 10-14 Регламенту</w:t>
      </w:r>
      <w:r w:rsidRPr="00A23C88">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A23C88">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23C88">
        <w:rPr>
          <w:rFonts w:ascii="Times New Roman" w:eastAsia="Times New Roman" w:hAnsi="Times New Roman" w:cs="Times New Roman"/>
          <w:sz w:val="27"/>
          <w:szCs w:val="27"/>
          <w:lang w:val="uk-UA"/>
        </w:rPr>
        <w:t>1095/2010.</w:t>
      </w:r>
    </w:p>
    <w:p w:rsidR="009B18E8" w:rsidRDefault="00DE77B0" w:rsidP="009B18E8">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3876EE">
        <w:rPr>
          <w:rFonts w:ascii="Times New Roman" w:eastAsia="Times New Roman" w:hAnsi="Times New Roman" w:cs="Times New Roman"/>
          <w:sz w:val="27"/>
          <w:szCs w:val="27"/>
          <w:lang w:val="ru-RU"/>
        </w:rPr>
        <w:lastRenderedPageBreak/>
        <w:t>3.</w:t>
      </w:r>
      <w:r w:rsidRPr="006279CF">
        <w:rPr>
          <w:rFonts w:ascii="Times New Roman" w:eastAsia="Times New Roman" w:hAnsi="Times New Roman" w:cs="Times New Roman"/>
          <w:sz w:val="27"/>
          <w:szCs w:val="27"/>
        </w:rPr>
        <w:t>   ESMA</w:t>
      </w:r>
      <w:r w:rsidRPr="00A5692D">
        <w:rPr>
          <w:rFonts w:ascii="Times New Roman" w:eastAsia="Times New Roman" w:hAnsi="Times New Roman" w:cs="Times New Roman"/>
          <w:sz w:val="27"/>
          <w:szCs w:val="27"/>
          <w:lang w:val="ru-RU"/>
        </w:rPr>
        <w:t xml:space="preserve"> </w:t>
      </w:r>
      <w:r w:rsidR="003876EE">
        <w:rPr>
          <w:rFonts w:ascii="Times New Roman" w:eastAsia="Times New Roman" w:hAnsi="Times New Roman" w:cs="Times New Roman"/>
          <w:sz w:val="27"/>
          <w:szCs w:val="27"/>
          <w:lang w:val="uk-UA"/>
        </w:rPr>
        <w:t xml:space="preserve">за власною ініціативою, після проведення відкритих консультацій та після обговорення з </w:t>
      </w:r>
      <w:r w:rsidR="004E7873">
        <w:rPr>
          <w:rFonts w:ascii="Times New Roman" w:eastAsia="Times New Roman" w:hAnsi="Times New Roman" w:cs="Times New Roman"/>
          <w:sz w:val="27"/>
          <w:szCs w:val="27"/>
          <w:lang w:val="ru-RU"/>
        </w:rPr>
        <w:t>ESRB</w:t>
      </w:r>
      <w:r w:rsidR="003876EE">
        <w:rPr>
          <w:rFonts w:ascii="Times New Roman" w:eastAsia="Times New Roman" w:hAnsi="Times New Roman" w:cs="Times New Roman"/>
          <w:sz w:val="27"/>
          <w:szCs w:val="27"/>
          <w:lang w:val="uk-UA"/>
        </w:rPr>
        <w:t xml:space="preserve">, а також, у доречних випадках, із компетентними органами третіх країн </w:t>
      </w:r>
      <w:r w:rsidR="00A5692D">
        <w:rPr>
          <w:rFonts w:ascii="Times New Roman" w:eastAsia="Times New Roman" w:hAnsi="Times New Roman" w:cs="Times New Roman"/>
          <w:sz w:val="27"/>
          <w:szCs w:val="27"/>
          <w:lang w:val="uk-UA"/>
        </w:rPr>
        <w:t xml:space="preserve">визначає, відповідно до критеріїв, установлених у </w:t>
      </w:r>
      <w:proofErr w:type="spellStart"/>
      <w:r w:rsidR="00A5692D">
        <w:rPr>
          <w:rFonts w:ascii="Times New Roman" w:eastAsia="Times New Roman" w:hAnsi="Times New Roman" w:cs="Times New Roman"/>
          <w:sz w:val="27"/>
          <w:szCs w:val="27"/>
          <w:lang w:val="uk-UA"/>
        </w:rPr>
        <w:t>пп</w:t>
      </w:r>
      <w:proofErr w:type="spellEnd"/>
      <w:r w:rsidR="00A5692D">
        <w:rPr>
          <w:rFonts w:ascii="Times New Roman" w:eastAsia="Times New Roman" w:hAnsi="Times New Roman" w:cs="Times New Roman"/>
          <w:sz w:val="27"/>
          <w:szCs w:val="27"/>
          <w:lang w:val="uk-UA"/>
        </w:rPr>
        <w:t xml:space="preserve">. </w:t>
      </w:r>
      <w:r w:rsidR="00A5692D" w:rsidRPr="00A5692D">
        <w:rPr>
          <w:rFonts w:ascii="Times New Roman" w:eastAsia="Times New Roman" w:hAnsi="Times New Roman" w:cs="Times New Roman"/>
          <w:sz w:val="27"/>
          <w:szCs w:val="27"/>
          <w:lang w:val="uk-UA"/>
        </w:rPr>
        <w:t>(</w:t>
      </w:r>
      <w:r w:rsidR="00A5692D" w:rsidRPr="006279CF">
        <w:rPr>
          <w:rFonts w:ascii="Times New Roman" w:eastAsia="Times New Roman" w:hAnsi="Times New Roman" w:cs="Times New Roman"/>
          <w:sz w:val="27"/>
          <w:szCs w:val="27"/>
        </w:rPr>
        <w:t>a</w:t>
      </w:r>
      <w:r w:rsidR="00A5692D" w:rsidRPr="00A5692D">
        <w:rPr>
          <w:rFonts w:ascii="Times New Roman" w:eastAsia="Times New Roman" w:hAnsi="Times New Roman" w:cs="Times New Roman"/>
          <w:sz w:val="27"/>
          <w:szCs w:val="27"/>
          <w:lang w:val="uk-UA"/>
        </w:rPr>
        <w:t>), (</w:t>
      </w:r>
      <w:r w:rsidR="00A5692D" w:rsidRPr="006279CF">
        <w:rPr>
          <w:rFonts w:ascii="Times New Roman" w:eastAsia="Times New Roman" w:hAnsi="Times New Roman" w:cs="Times New Roman"/>
          <w:sz w:val="27"/>
          <w:szCs w:val="27"/>
        </w:rPr>
        <w:t>b</w:t>
      </w:r>
      <w:r w:rsidR="00A5692D" w:rsidRPr="00A5692D">
        <w:rPr>
          <w:rFonts w:ascii="Times New Roman" w:eastAsia="Times New Roman" w:hAnsi="Times New Roman" w:cs="Times New Roman"/>
          <w:sz w:val="27"/>
          <w:szCs w:val="27"/>
          <w:lang w:val="uk-UA"/>
        </w:rPr>
        <w:t xml:space="preserve">) </w:t>
      </w:r>
      <w:r w:rsidR="00A5692D">
        <w:rPr>
          <w:rFonts w:ascii="Times New Roman" w:eastAsia="Times New Roman" w:hAnsi="Times New Roman" w:cs="Times New Roman"/>
          <w:sz w:val="27"/>
          <w:szCs w:val="27"/>
          <w:lang w:val="uk-UA"/>
        </w:rPr>
        <w:t>і</w:t>
      </w:r>
      <w:r w:rsidR="00A5692D" w:rsidRPr="00A5692D">
        <w:rPr>
          <w:rFonts w:ascii="Times New Roman" w:eastAsia="Times New Roman" w:hAnsi="Times New Roman" w:cs="Times New Roman"/>
          <w:sz w:val="27"/>
          <w:szCs w:val="27"/>
          <w:lang w:val="uk-UA"/>
        </w:rPr>
        <w:t xml:space="preserve"> (</w:t>
      </w:r>
      <w:r w:rsidR="00A5692D" w:rsidRPr="006279CF">
        <w:rPr>
          <w:rFonts w:ascii="Times New Roman" w:eastAsia="Times New Roman" w:hAnsi="Times New Roman" w:cs="Times New Roman"/>
          <w:sz w:val="27"/>
          <w:szCs w:val="27"/>
        </w:rPr>
        <w:t>c</w:t>
      </w:r>
      <w:r w:rsidR="00A5692D" w:rsidRPr="00A5692D">
        <w:rPr>
          <w:rFonts w:ascii="Times New Roman" w:eastAsia="Times New Roman" w:hAnsi="Times New Roman" w:cs="Times New Roman"/>
          <w:sz w:val="27"/>
          <w:szCs w:val="27"/>
          <w:lang w:val="uk-UA"/>
        </w:rPr>
        <w:t xml:space="preserve">) </w:t>
      </w:r>
      <w:r w:rsidR="00A5692D">
        <w:rPr>
          <w:rFonts w:ascii="Times New Roman" w:eastAsia="Times New Roman" w:hAnsi="Times New Roman" w:cs="Times New Roman"/>
          <w:sz w:val="27"/>
          <w:szCs w:val="27"/>
          <w:lang w:val="uk-UA"/>
        </w:rPr>
        <w:t>п.</w:t>
      </w:r>
      <w:r w:rsidR="00A5692D" w:rsidRPr="00A5692D">
        <w:rPr>
          <w:rFonts w:ascii="Times New Roman" w:eastAsia="Times New Roman" w:hAnsi="Times New Roman" w:cs="Times New Roman"/>
          <w:sz w:val="27"/>
          <w:szCs w:val="27"/>
          <w:lang w:val="uk-UA"/>
        </w:rPr>
        <w:t xml:space="preserve"> 4</w:t>
      </w:r>
      <w:r w:rsidR="00A5692D">
        <w:rPr>
          <w:rFonts w:ascii="Times New Roman" w:eastAsia="Times New Roman" w:hAnsi="Times New Roman" w:cs="Times New Roman"/>
          <w:sz w:val="27"/>
          <w:szCs w:val="27"/>
          <w:lang w:val="uk-UA"/>
        </w:rPr>
        <w:t xml:space="preserve">, і повідомляє Комісії класи деривативів, які </w:t>
      </w:r>
      <w:r w:rsidR="009B18E8">
        <w:rPr>
          <w:rFonts w:ascii="Times New Roman" w:eastAsia="Times New Roman" w:hAnsi="Times New Roman" w:cs="Times New Roman"/>
          <w:sz w:val="27"/>
          <w:szCs w:val="27"/>
          <w:lang w:val="uk-UA"/>
        </w:rPr>
        <w:t>повинні підпадати під дію зобов’язання щодо клірингу, передбаченого у статті 4, але щодо яких жоден ЦКА ще не отримав повноваження.</w:t>
      </w:r>
    </w:p>
    <w:p w:rsidR="00DE77B0" w:rsidRPr="006C7563" w:rsidRDefault="009B18E8" w:rsidP="009B18E8">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Після цього повідомлення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публікує оголошення про конкурс на розробку пропозицій щодо клірингу цих класів деривативів.</w:t>
      </w:r>
    </w:p>
    <w:p w:rsidR="00DE77B0" w:rsidRPr="006C7563" w:rsidRDefault="00DE77B0" w:rsidP="00D1526C">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D6710">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CD6710">
        <w:rPr>
          <w:rFonts w:ascii="Times New Roman" w:eastAsia="Times New Roman" w:hAnsi="Times New Roman" w:cs="Times New Roman"/>
          <w:sz w:val="27"/>
          <w:szCs w:val="27"/>
          <w:lang w:val="uk-UA"/>
        </w:rPr>
        <w:t xml:space="preserve">Із всезагальною метою знизити системний ризик проекти регуляторних технічних стандартів у частині, згаданій у п. 2(а), </w:t>
      </w:r>
      <w:r w:rsidR="00D1526C">
        <w:rPr>
          <w:rFonts w:ascii="Times New Roman" w:eastAsia="Times New Roman" w:hAnsi="Times New Roman" w:cs="Times New Roman"/>
          <w:sz w:val="27"/>
          <w:szCs w:val="27"/>
          <w:lang w:val="uk-UA"/>
        </w:rPr>
        <w:t>враховують наступні критерії:</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C7563" w:rsidRDefault="00D1526C" w:rsidP="00D1526C">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ступінь стандартизації договірних умов і оперативних процесів відповідного класу позабіржових деривативів;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4"/>
        <w:gridCol w:w="8971"/>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1526C" w:rsidP="00D1526C">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обсяг і ліквідність відповідного класу позабіржових деривативів;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C7563" w:rsidRDefault="001528F9" w:rsidP="001528F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наявність об’єктивної, достовірної та загальноприйнятої інформації про ціни на відповідний клас контрактів на позабіржові деривативи.</w:t>
            </w:r>
          </w:p>
        </w:tc>
      </w:tr>
    </w:tbl>
    <w:p w:rsidR="002E3BDE" w:rsidRPr="002E3BDE" w:rsidRDefault="002E3BDE"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У процесі підготовки цих проектів регуляторних технічних стандартів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може ураховувати </w:t>
      </w:r>
      <w:r w:rsidR="002B5C68">
        <w:rPr>
          <w:rFonts w:ascii="Times New Roman" w:eastAsia="Times New Roman" w:hAnsi="Times New Roman" w:cs="Times New Roman"/>
          <w:sz w:val="27"/>
          <w:szCs w:val="27"/>
          <w:lang w:val="uk-UA"/>
        </w:rPr>
        <w:t>взаємозв’язок між контрагентами, які використовують відповідні класи позабіржових деривативів, і очікуваний вплив на рівні кредитного ризику контрагентів між контрагентами, а також вплив на конкуренцію в Союзі.</w:t>
      </w:r>
    </w:p>
    <w:p w:rsidR="00BD5941" w:rsidRPr="00A64037" w:rsidRDefault="00BD5941" w:rsidP="00BD5941">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розробляє проекти регуляторних технічних стандартів, де уточнює критерії, згадані у </w:t>
      </w:r>
      <w:proofErr w:type="spellStart"/>
      <w:r>
        <w:rPr>
          <w:rFonts w:ascii="Times New Roman" w:eastAsia="Times New Roman" w:hAnsi="Times New Roman" w:cs="Times New Roman"/>
          <w:sz w:val="27"/>
          <w:szCs w:val="27"/>
          <w:lang w:val="uk-UA"/>
        </w:rPr>
        <w:t>пп</w:t>
      </w:r>
      <w:proofErr w:type="spellEnd"/>
      <w:r>
        <w:rPr>
          <w:rFonts w:ascii="Times New Roman" w:eastAsia="Times New Roman" w:hAnsi="Times New Roman" w:cs="Times New Roman"/>
          <w:sz w:val="27"/>
          <w:szCs w:val="27"/>
          <w:lang w:val="uk-UA"/>
        </w:rPr>
        <w:t>.</w:t>
      </w:r>
      <w:r w:rsidRPr="00A6403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a</w:t>
      </w:r>
      <w:r w:rsidRPr="00A64037">
        <w:rPr>
          <w:rFonts w:ascii="Times New Roman" w:eastAsia="Times New Roman" w:hAnsi="Times New Roman" w:cs="Times New Roman"/>
          <w:sz w:val="27"/>
          <w:szCs w:val="27"/>
          <w:lang w:val="uk-UA"/>
        </w:rPr>
        <w:t>), (</w:t>
      </w:r>
      <w:r w:rsidRPr="006279CF">
        <w:rPr>
          <w:rFonts w:ascii="Times New Roman" w:eastAsia="Times New Roman" w:hAnsi="Times New Roman" w:cs="Times New Roman"/>
          <w:sz w:val="27"/>
          <w:szCs w:val="27"/>
        </w:rPr>
        <w:t>b</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і</w:t>
      </w:r>
      <w:r w:rsidRPr="00A6403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c</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першого абзацу цього пункту</w:t>
      </w:r>
      <w:r w:rsidRPr="00A64037">
        <w:rPr>
          <w:rFonts w:ascii="Times New Roman" w:eastAsia="Times New Roman" w:hAnsi="Times New Roman" w:cs="Times New Roman"/>
          <w:sz w:val="27"/>
          <w:szCs w:val="27"/>
          <w:lang w:val="uk-UA"/>
        </w:rPr>
        <w:t>.</w:t>
      </w:r>
    </w:p>
    <w:p w:rsidR="00BD5941" w:rsidRPr="00A64037" w:rsidRDefault="00BD5941" w:rsidP="00BD5941">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rPr>
        <w:t>ESMA</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подає ці проекти регуляторних технічних стандартів Комісії до 30 вересня 2012 р.</w:t>
      </w:r>
    </w:p>
    <w:p w:rsidR="00A64037" w:rsidRPr="00A64037" w:rsidRDefault="00BD5941" w:rsidP="00BD5941">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третьому абзаці цього пункту, згідно зі статтями 10-14 Регламенту</w:t>
      </w:r>
      <w:r w:rsidRPr="00A6403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64037">
        <w:rPr>
          <w:rFonts w:ascii="Times New Roman" w:eastAsia="Times New Roman" w:hAnsi="Times New Roman" w:cs="Times New Roman"/>
          <w:sz w:val="27"/>
          <w:szCs w:val="27"/>
          <w:lang w:val="uk-UA"/>
        </w:rPr>
        <w:t>1095/2010.</w:t>
      </w:r>
    </w:p>
    <w:p w:rsidR="00DE77B0" w:rsidRPr="006C7563" w:rsidRDefault="00DE77B0" w:rsidP="004353E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4353EB">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4353EB">
        <w:rPr>
          <w:rFonts w:ascii="Times New Roman" w:eastAsia="Times New Roman" w:hAnsi="Times New Roman" w:cs="Times New Roman"/>
          <w:sz w:val="27"/>
          <w:szCs w:val="27"/>
          <w:lang w:val="uk-UA"/>
        </w:rPr>
        <w:t>Проекти регуляторних технічних стандартів у частині, зазначеній у п.</w:t>
      </w:r>
      <w:r w:rsidRPr="004353EB">
        <w:rPr>
          <w:rFonts w:ascii="Times New Roman" w:eastAsia="Times New Roman" w:hAnsi="Times New Roman" w:cs="Times New Roman"/>
          <w:sz w:val="27"/>
          <w:szCs w:val="27"/>
          <w:lang w:val="ru-RU"/>
        </w:rPr>
        <w:t xml:space="preserve"> 2(</w:t>
      </w:r>
      <w:r w:rsidRPr="006279CF">
        <w:rPr>
          <w:rFonts w:ascii="Times New Roman" w:eastAsia="Times New Roman" w:hAnsi="Times New Roman" w:cs="Times New Roman"/>
          <w:sz w:val="27"/>
          <w:szCs w:val="27"/>
        </w:rPr>
        <w:t>b</w:t>
      </w:r>
      <w:r w:rsidRPr="004353EB">
        <w:rPr>
          <w:rFonts w:ascii="Times New Roman" w:eastAsia="Times New Roman" w:hAnsi="Times New Roman" w:cs="Times New Roman"/>
          <w:sz w:val="27"/>
          <w:szCs w:val="27"/>
          <w:lang w:val="ru-RU"/>
        </w:rPr>
        <w:t>)</w:t>
      </w:r>
      <w:r w:rsidR="004353EB">
        <w:rPr>
          <w:rFonts w:ascii="Times New Roman" w:eastAsia="Times New Roman" w:hAnsi="Times New Roman" w:cs="Times New Roman"/>
          <w:sz w:val="27"/>
          <w:szCs w:val="27"/>
          <w:lang w:val="ru-RU"/>
        </w:rPr>
        <w:t xml:space="preserve">, </w:t>
      </w:r>
      <w:r w:rsidR="004353EB">
        <w:rPr>
          <w:rFonts w:ascii="Times New Roman" w:eastAsia="Times New Roman" w:hAnsi="Times New Roman" w:cs="Times New Roman"/>
          <w:sz w:val="27"/>
          <w:szCs w:val="27"/>
          <w:lang w:val="uk-UA"/>
        </w:rPr>
        <w:t>ураховують наступні критерії:</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4"/>
        <w:gridCol w:w="8981"/>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6AF7" w:rsidRDefault="006C7563" w:rsidP="006C7563">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очікуваний обсяг відповідного класу позабіржових деривативів;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6AF7" w:rsidRDefault="006C7563" w:rsidP="006C7563">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те, чи вже проводять кліринг цього ж класу позабіржових деривативів більше одного ЦКА;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6C7563" w:rsidP="006C7563">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здатність відповідних ЦКА обробляти очікуваний обсяг і управляти ризик, </w:t>
            </w:r>
            <w:r>
              <w:rPr>
                <w:rFonts w:ascii="Times New Roman" w:eastAsia="Times New Roman" w:hAnsi="Times New Roman" w:cs="Times New Roman"/>
                <w:sz w:val="27"/>
                <w:szCs w:val="27"/>
                <w:lang w:val="uk-UA"/>
              </w:rPr>
              <w:lastRenderedPageBreak/>
              <w:t>що випливає з клірингу відповідного класу позабіржових деривативів;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8B3F47" w:rsidP="008B3F47">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тип і кількість контрагентів, що діють або, як очікується, діятимуть на ринку відповідного класу позабіржових деривативів;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8B3F47" w:rsidP="008B3F47">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строк, за який контрагент, що підпадає під дію зобов’язання щодо клірингу, має запровадити механізми для клірингу своїх контрактів на позабіржові деривативи через ЦКА;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E655D8" w:rsidP="00E655D8">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управління ризиками та юридична і оперативна спроможність ряду контрагентів, які діють на ринку відповідного класу позабіржових деривативів і на яких була поширена дія зобов’язання щодо клірингу відповідно до статті 4(1).</w:t>
            </w:r>
          </w:p>
        </w:tc>
      </w:tr>
    </w:tbl>
    <w:p w:rsidR="00DE77B0" w:rsidRPr="006279CF" w:rsidRDefault="00DE77B0" w:rsidP="00E655D8">
      <w:pPr>
        <w:shd w:val="clear" w:color="auto" w:fill="FFFFFF"/>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6.  </w:t>
      </w:r>
      <w:r w:rsidR="00E655D8">
        <w:rPr>
          <w:rFonts w:ascii="Times New Roman" w:eastAsia="Times New Roman" w:hAnsi="Times New Roman" w:cs="Times New Roman"/>
          <w:sz w:val="27"/>
          <w:szCs w:val="27"/>
          <w:lang w:val="uk-UA"/>
        </w:rPr>
        <w:t>Якщо певний клас контрактів на позабіржові деривативи вже не має ЦКА, уповноваженого або визнаного для клірингу цих контрактів за цим регламентом, то цей клас більше не підпадає під дію зобов’язання щодо клірингу, згаданого у статті 4, і в цьому випадку застосовується п. 3 цієї статті.</w:t>
      </w:r>
    </w:p>
    <w:p w:rsidR="00DE77B0" w:rsidRPr="006279CF"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rPr>
      </w:pPr>
      <w:proofErr w:type="spellStart"/>
      <w:r w:rsidRPr="006279CF">
        <w:rPr>
          <w:rFonts w:ascii="Times New Roman" w:eastAsia="Times New Roman" w:hAnsi="Times New Roman" w:cs="Times New Roman"/>
          <w:i/>
          <w:iCs/>
          <w:sz w:val="27"/>
          <w:szCs w:val="27"/>
        </w:rPr>
        <w:t>Стаття</w:t>
      </w:r>
      <w:proofErr w:type="spellEnd"/>
      <w:r w:rsidR="00DE77B0" w:rsidRPr="006279CF">
        <w:rPr>
          <w:rFonts w:ascii="Times New Roman" w:eastAsia="Times New Roman" w:hAnsi="Times New Roman" w:cs="Times New Roman"/>
          <w:i/>
          <w:iCs/>
          <w:sz w:val="27"/>
          <w:szCs w:val="27"/>
        </w:rPr>
        <w:t xml:space="preserve"> 6</w:t>
      </w:r>
    </w:p>
    <w:p w:rsidR="00DE77B0" w:rsidRPr="00E655D8" w:rsidRDefault="00E655D8"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Відкритий реєстр</w:t>
      </w:r>
    </w:p>
    <w:p w:rsidR="00DE77B0" w:rsidRPr="00B86AF7" w:rsidRDefault="00DE77B0" w:rsidP="0031232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t xml:space="preserve">1.   ESMA </w:t>
      </w:r>
      <w:r w:rsidR="00A3166A">
        <w:rPr>
          <w:rFonts w:ascii="Times New Roman" w:eastAsia="Times New Roman" w:hAnsi="Times New Roman" w:cs="Times New Roman"/>
          <w:sz w:val="27"/>
          <w:szCs w:val="27"/>
          <w:lang w:val="uk-UA"/>
        </w:rPr>
        <w:t xml:space="preserve">створює, веде і оновлює </w:t>
      </w:r>
      <w:r w:rsidR="00312322">
        <w:rPr>
          <w:rFonts w:ascii="Times New Roman" w:eastAsia="Times New Roman" w:hAnsi="Times New Roman" w:cs="Times New Roman"/>
          <w:sz w:val="27"/>
          <w:szCs w:val="27"/>
          <w:lang w:val="uk-UA"/>
        </w:rPr>
        <w:t>відкритий реєстр із метою правильного і чіткого визначення класів позабіржових деривативів, що підпадають під дію зобов’язання щодо клірингу. Відкритий реєстр доступний на веб-сайті</w:t>
      </w:r>
      <w:r w:rsidRPr="00B86AF7">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ESMA</w:t>
      </w:r>
      <w:r w:rsidRPr="00B86AF7">
        <w:rPr>
          <w:rFonts w:ascii="Times New Roman" w:eastAsia="Times New Roman" w:hAnsi="Times New Roman" w:cs="Times New Roman"/>
          <w:sz w:val="27"/>
          <w:szCs w:val="27"/>
          <w:lang w:val="ru-RU"/>
        </w:rPr>
        <w:t>.</w:t>
      </w:r>
    </w:p>
    <w:p w:rsidR="00DE77B0" w:rsidRPr="00240679"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B86AF7">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240679">
        <w:rPr>
          <w:rFonts w:ascii="Times New Roman" w:eastAsia="Times New Roman" w:hAnsi="Times New Roman" w:cs="Times New Roman"/>
          <w:sz w:val="27"/>
          <w:szCs w:val="27"/>
          <w:lang w:val="uk-UA"/>
        </w:rPr>
        <w:t>Реєстр містить наступні дані:</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240679" w:rsidP="0024067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класи позабіржових деривативів, які підпадають під дію зобов’язання щодо клірингу відповідно до статті 4;</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6AF7" w:rsidRDefault="00240679" w:rsidP="0024067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ЦКА, які уповноважені або визнані в цілях виконання зобов’язання щодо клірингу;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6AF7" w:rsidRDefault="00240679" w:rsidP="0024067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дати, з яких зобов’язання щодо клірингу</w:t>
            </w:r>
            <w:r w:rsidRPr="00240679">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набирає чинності, включаючи поетапне запровадження, якщо воно передбачено;</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7"/>
        <w:gridCol w:w="9038"/>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601A" w:rsidRDefault="0062601A" w:rsidP="0062601A">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класи позабіржових деривативів, визначені</w:t>
            </w:r>
            <w:r w:rsidR="00DE77B0" w:rsidRPr="0062601A">
              <w:rPr>
                <w:rFonts w:ascii="Times New Roman" w:eastAsia="Times New Roman" w:hAnsi="Times New Roman" w:cs="Times New Roman"/>
                <w:sz w:val="27"/>
                <w:szCs w:val="27"/>
                <w:lang w:val="ru-RU"/>
              </w:rPr>
              <w:t xml:space="preserve"> </w:t>
            </w:r>
            <w:r w:rsidR="00DE77B0" w:rsidRPr="006279CF">
              <w:rPr>
                <w:rFonts w:ascii="Times New Roman" w:eastAsia="Times New Roman" w:hAnsi="Times New Roman" w:cs="Times New Roman"/>
                <w:sz w:val="27"/>
                <w:szCs w:val="27"/>
              </w:rPr>
              <w:t>ESMA</w:t>
            </w:r>
            <w:r w:rsidR="00DE77B0" w:rsidRPr="0062601A">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відповідно до статті</w:t>
            </w:r>
            <w:r w:rsidR="00DE77B0" w:rsidRPr="0062601A">
              <w:rPr>
                <w:rFonts w:ascii="Times New Roman" w:eastAsia="Times New Roman" w:hAnsi="Times New Roman" w:cs="Times New Roman"/>
                <w:sz w:val="27"/>
                <w:szCs w:val="27"/>
                <w:lang w:val="ru-RU"/>
              </w:rPr>
              <w:t xml:space="preserve"> 5(3);</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601A" w:rsidRDefault="0062601A" w:rsidP="0062601A">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мінімальний залишковий термін погашення контрактів на деривативи, зазначених у статті</w:t>
            </w:r>
            <w:r w:rsidR="00DE77B0" w:rsidRPr="0062601A">
              <w:rPr>
                <w:rFonts w:ascii="Times New Roman" w:eastAsia="Times New Roman" w:hAnsi="Times New Roman" w:cs="Times New Roman"/>
                <w:sz w:val="27"/>
                <w:szCs w:val="27"/>
                <w:lang w:val="ru-RU"/>
              </w:rPr>
              <w:t xml:space="preserve"> 4(1)(</w:t>
            </w:r>
            <w:r w:rsidR="00DE77B0" w:rsidRPr="006279CF">
              <w:rPr>
                <w:rFonts w:ascii="Times New Roman" w:eastAsia="Times New Roman" w:hAnsi="Times New Roman" w:cs="Times New Roman"/>
                <w:sz w:val="27"/>
                <w:szCs w:val="27"/>
              </w:rPr>
              <w:t>b</w:t>
            </w:r>
            <w:r w:rsidR="00DE77B0" w:rsidRPr="0062601A">
              <w:rPr>
                <w:rFonts w:ascii="Times New Roman" w:eastAsia="Times New Roman" w:hAnsi="Times New Roman" w:cs="Times New Roman"/>
                <w:sz w:val="27"/>
                <w:szCs w:val="27"/>
                <w:lang w:val="ru-RU"/>
              </w:rPr>
              <w:t>)(</w:t>
            </w:r>
            <w:r w:rsidR="00DE77B0" w:rsidRPr="006279CF">
              <w:rPr>
                <w:rFonts w:ascii="Times New Roman" w:eastAsia="Times New Roman" w:hAnsi="Times New Roman" w:cs="Times New Roman"/>
                <w:sz w:val="27"/>
                <w:szCs w:val="27"/>
              </w:rPr>
              <w:t>ii</w:t>
            </w:r>
            <w:r w:rsidR="00DE77B0" w:rsidRPr="0062601A">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6AF7" w:rsidRDefault="006251F5" w:rsidP="006251F5">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ЦКА, про які компетентний орган повідомив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в цілях виконання зобов’язання щодо клірингу, і дати повідомлення про кожного з них.</w:t>
            </w:r>
          </w:p>
        </w:tc>
      </w:tr>
    </w:tbl>
    <w:p w:rsidR="00DE77B0" w:rsidRPr="00B86AF7" w:rsidRDefault="00DE77B0" w:rsidP="00BD5941">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B86AF7">
        <w:rPr>
          <w:rFonts w:ascii="Times New Roman" w:eastAsia="Times New Roman" w:hAnsi="Times New Roman" w:cs="Times New Roman"/>
          <w:sz w:val="27"/>
          <w:szCs w:val="27"/>
          <w:lang w:val="ru-RU"/>
        </w:rPr>
        <w:lastRenderedPageBreak/>
        <w:t>3.</w:t>
      </w:r>
      <w:r w:rsidRPr="006279CF">
        <w:rPr>
          <w:rFonts w:ascii="Times New Roman" w:eastAsia="Times New Roman" w:hAnsi="Times New Roman" w:cs="Times New Roman"/>
          <w:sz w:val="27"/>
          <w:szCs w:val="27"/>
        </w:rPr>
        <w:t>   </w:t>
      </w:r>
      <w:r w:rsidR="006251F5">
        <w:rPr>
          <w:rFonts w:ascii="Times New Roman" w:eastAsia="Times New Roman" w:hAnsi="Times New Roman" w:cs="Times New Roman"/>
          <w:sz w:val="27"/>
          <w:szCs w:val="27"/>
          <w:lang w:val="uk-UA"/>
        </w:rPr>
        <w:t xml:space="preserve">Якщо ЦКА більше не </w:t>
      </w:r>
      <w:r w:rsidR="00BD5941">
        <w:rPr>
          <w:rFonts w:ascii="Times New Roman" w:eastAsia="Times New Roman" w:hAnsi="Times New Roman" w:cs="Times New Roman"/>
          <w:sz w:val="27"/>
          <w:szCs w:val="27"/>
          <w:lang w:val="uk-UA"/>
        </w:rPr>
        <w:t xml:space="preserve">уповноважений і не визнаний згідно з цим регламенту для клірингу даного класу деривативів, то </w:t>
      </w:r>
      <w:r w:rsidR="00BD5941">
        <w:rPr>
          <w:rFonts w:ascii="Times New Roman" w:eastAsia="Times New Roman" w:hAnsi="Times New Roman" w:cs="Times New Roman"/>
          <w:sz w:val="27"/>
          <w:szCs w:val="27"/>
        </w:rPr>
        <w:t>ESMA</w:t>
      </w:r>
      <w:r w:rsidR="00BD5941">
        <w:rPr>
          <w:rFonts w:ascii="Times New Roman" w:eastAsia="Times New Roman" w:hAnsi="Times New Roman" w:cs="Times New Roman"/>
          <w:sz w:val="27"/>
          <w:szCs w:val="27"/>
          <w:lang w:val="uk-UA"/>
        </w:rPr>
        <w:t xml:space="preserve"> негайно вилучає його з відкритого реєстру щодо цього класу позабіржових деривативів.</w:t>
      </w:r>
    </w:p>
    <w:p w:rsidR="00BF52E6" w:rsidRDefault="00BF52E6" w:rsidP="00BF52E6">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B86AF7">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розробляє проекти регуляторних технічних стандартів, де зазначаються відомості, що мають бути включені до відкритого реєстру, згаданого у п. 1.</w:t>
      </w:r>
    </w:p>
    <w:p w:rsidR="00BF52E6" w:rsidRPr="00A64037" w:rsidRDefault="00BF52E6" w:rsidP="00BF52E6">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rPr>
        <w:t>ESMA</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подає ці проекти регуляторних технічних стандартів Комісії до 30 вересня 2012 р.</w:t>
      </w:r>
    </w:p>
    <w:p w:rsidR="00BF52E6" w:rsidRPr="00BD5941" w:rsidRDefault="00BF52E6" w:rsidP="00BF52E6">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першому абзаці цього пункту, згідно зі статтями 10-14 Регламенту</w:t>
      </w:r>
      <w:r w:rsidRPr="00A6403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64037">
        <w:rPr>
          <w:rFonts w:ascii="Times New Roman" w:eastAsia="Times New Roman" w:hAnsi="Times New Roman" w:cs="Times New Roman"/>
          <w:sz w:val="27"/>
          <w:szCs w:val="27"/>
          <w:lang w:val="uk-UA"/>
        </w:rPr>
        <w:t>1095/2010.</w:t>
      </w:r>
    </w:p>
    <w:p w:rsidR="00DE77B0" w:rsidRPr="00B86AF7"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B86AF7">
        <w:rPr>
          <w:rFonts w:ascii="Times New Roman" w:eastAsia="Times New Roman" w:hAnsi="Times New Roman" w:cs="Times New Roman"/>
          <w:i/>
          <w:iCs/>
          <w:sz w:val="27"/>
          <w:szCs w:val="27"/>
          <w:lang w:val="uk-UA"/>
        </w:rPr>
        <w:t>Стаття</w:t>
      </w:r>
      <w:r w:rsidR="00DE77B0" w:rsidRPr="00B86AF7">
        <w:rPr>
          <w:rFonts w:ascii="Times New Roman" w:eastAsia="Times New Roman" w:hAnsi="Times New Roman" w:cs="Times New Roman"/>
          <w:i/>
          <w:iCs/>
          <w:sz w:val="27"/>
          <w:szCs w:val="27"/>
          <w:lang w:val="uk-UA"/>
        </w:rPr>
        <w:t xml:space="preserve"> 7</w:t>
      </w:r>
    </w:p>
    <w:p w:rsidR="00DE77B0" w:rsidRPr="004D4F6E" w:rsidRDefault="004D4F6E"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Доступ до ЦКА</w:t>
      </w:r>
    </w:p>
    <w:p w:rsidR="00DE77B0" w:rsidRPr="00B86AF7" w:rsidRDefault="00DE77B0" w:rsidP="000D676A">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B86AF7">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0D676A">
        <w:rPr>
          <w:rFonts w:ascii="Times New Roman" w:eastAsia="Times New Roman" w:hAnsi="Times New Roman" w:cs="Times New Roman"/>
          <w:sz w:val="27"/>
          <w:szCs w:val="27"/>
          <w:lang w:val="uk-UA"/>
        </w:rPr>
        <w:t>ЦКА, уповноважений здійснювати кліринг контрактів на позабіржові деривативи, зобов’язується здійснювати кліринг таких контрактів на недискримінаційних і прозорих засадах незалежно від торговельного майданчика.</w:t>
      </w:r>
    </w:p>
    <w:p w:rsidR="00DE77B0" w:rsidRPr="00B86AF7" w:rsidRDefault="000D676A" w:rsidP="000D676A">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ЦКА може зажадати, що торговельний майданчик відповідав операційним і технічним вимогам, установленим ЦКА, включаючи вимоги щодо управління ризиками.</w:t>
      </w:r>
    </w:p>
    <w:p w:rsidR="000D676A"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B86AF7">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0D676A">
        <w:rPr>
          <w:rFonts w:ascii="Times New Roman" w:eastAsia="Times New Roman" w:hAnsi="Times New Roman" w:cs="Times New Roman"/>
          <w:sz w:val="27"/>
          <w:szCs w:val="27"/>
          <w:lang w:val="uk-UA"/>
        </w:rPr>
        <w:t>ЦКА задовольняє або відхиляє офіційний запит на доступ торговельного майданчика</w:t>
      </w:r>
      <w:r w:rsidR="00A37ABA">
        <w:rPr>
          <w:rFonts w:ascii="Times New Roman" w:eastAsia="Times New Roman" w:hAnsi="Times New Roman" w:cs="Times New Roman"/>
          <w:sz w:val="27"/>
          <w:szCs w:val="27"/>
          <w:lang w:val="uk-UA"/>
        </w:rPr>
        <w:t xml:space="preserve"> у тримісячний строк з дня подання такого запиту.</w:t>
      </w:r>
    </w:p>
    <w:p w:rsidR="00DE77B0" w:rsidRPr="00B86AF7" w:rsidRDefault="00DE77B0" w:rsidP="00A37ABA">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B86AF7">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A37ABA">
        <w:rPr>
          <w:rFonts w:ascii="Times New Roman" w:eastAsia="Times New Roman" w:hAnsi="Times New Roman" w:cs="Times New Roman"/>
          <w:sz w:val="27"/>
          <w:szCs w:val="27"/>
          <w:lang w:val="uk-UA"/>
        </w:rPr>
        <w:t>Якщо ЦКА відмовив у доступі згідно з п. 2, він указує торговельному майданчику вичерпні причини такої відмови.</w:t>
      </w:r>
    </w:p>
    <w:p w:rsidR="00A37ABA"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A37ABA">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A37ABA">
        <w:rPr>
          <w:rFonts w:ascii="Times New Roman" w:eastAsia="Times New Roman" w:hAnsi="Times New Roman" w:cs="Times New Roman"/>
          <w:sz w:val="27"/>
          <w:szCs w:val="27"/>
          <w:lang w:val="uk-UA"/>
        </w:rPr>
        <w:t>За винятком випадків, де</w:t>
      </w:r>
      <w:r w:rsidR="002D4F95" w:rsidRPr="002D4F95">
        <w:rPr>
          <w:rFonts w:ascii="Times New Roman" w:eastAsia="Times New Roman" w:hAnsi="Times New Roman" w:cs="Times New Roman"/>
          <w:sz w:val="27"/>
          <w:szCs w:val="27"/>
          <w:lang w:val="uk-UA"/>
        </w:rPr>
        <w:t xml:space="preserve"> </w:t>
      </w:r>
      <w:r w:rsidR="002D4F95">
        <w:rPr>
          <w:rFonts w:ascii="Times New Roman" w:eastAsia="Times New Roman" w:hAnsi="Times New Roman" w:cs="Times New Roman"/>
          <w:sz w:val="27"/>
          <w:szCs w:val="27"/>
          <w:lang w:val="uk-UA"/>
        </w:rPr>
        <w:t>компетентний орган торговельного майданчика і компетентний орган ЦКА відмовляють у доступі</w:t>
      </w:r>
      <w:r w:rsidR="002665B5">
        <w:rPr>
          <w:rFonts w:ascii="Times New Roman" w:eastAsia="Times New Roman" w:hAnsi="Times New Roman" w:cs="Times New Roman"/>
          <w:sz w:val="27"/>
          <w:szCs w:val="27"/>
          <w:lang w:val="uk-UA"/>
        </w:rPr>
        <w:t>, ЦКА надає доступ, з урахуванням другого абзацу цього пункту</w:t>
      </w:r>
      <w:r w:rsidR="002D4F95">
        <w:rPr>
          <w:rFonts w:ascii="Times New Roman" w:eastAsia="Times New Roman" w:hAnsi="Times New Roman" w:cs="Times New Roman"/>
          <w:sz w:val="27"/>
          <w:szCs w:val="27"/>
          <w:lang w:val="uk-UA"/>
        </w:rPr>
        <w:t>, у тримісячний строк з дня прийняття рішення про задоволення офіційного запиту торговельного майданчика відповідно до п. 2.</w:t>
      </w:r>
    </w:p>
    <w:p w:rsidR="00DE77B0" w:rsidRPr="002D4F95" w:rsidRDefault="002D4F95" w:rsidP="002D4F9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Компетентний орган торговельного майданчика і компетентний орган ЦКА можуть відмовити у доступі до ЦКА після отримання офіційного запиту торговельного майданчика лише у випадку, якщо такий доступ загрожував би безперебійному і впорядкованому функціонуванню ринків або несприятливо вплинув би на системний ризик.</w:t>
      </w:r>
    </w:p>
    <w:p w:rsidR="00DE77B0" w:rsidRPr="00B86AF7" w:rsidRDefault="00DE77B0" w:rsidP="006C20E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C20E4">
        <w:rPr>
          <w:rFonts w:ascii="Times New Roman" w:eastAsia="Times New Roman" w:hAnsi="Times New Roman" w:cs="Times New Roman"/>
          <w:sz w:val="27"/>
          <w:szCs w:val="27"/>
          <w:lang w:val="ru-RU"/>
        </w:rPr>
        <w:lastRenderedPageBreak/>
        <w:t>5.</w:t>
      </w:r>
      <w:r w:rsidRPr="006279CF">
        <w:rPr>
          <w:rFonts w:ascii="Times New Roman" w:eastAsia="Times New Roman" w:hAnsi="Times New Roman" w:cs="Times New Roman"/>
          <w:sz w:val="27"/>
          <w:szCs w:val="27"/>
        </w:rPr>
        <w:t>   ESMA</w:t>
      </w:r>
      <w:r w:rsidRPr="006C20E4">
        <w:rPr>
          <w:rFonts w:ascii="Times New Roman" w:eastAsia="Times New Roman" w:hAnsi="Times New Roman" w:cs="Times New Roman"/>
          <w:sz w:val="27"/>
          <w:szCs w:val="27"/>
          <w:lang w:val="ru-RU"/>
        </w:rPr>
        <w:t xml:space="preserve"> </w:t>
      </w:r>
      <w:r w:rsidR="006C20E4">
        <w:rPr>
          <w:rFonts w:ascii="Times New Roman" w:eastAsia="Times New Roman" w:hAnsi="Times New Roman" w:cs="Times New Roman"/>
          <w:sz w:val="27"/>
          <w:szCs w:val="27"/>
          <w:lang w:val="uk-UA"/>
        </w:rPr>
        <w:t>врегульовує спори, що виникають через незгоду між компетентними органами, відповідно до своїх повноважень за статтею 19 Регламенту</w:t>
      </w:r>
      <w:r w:rsidRPr="00B86AF7">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EU</w:t>
      </w:r>
      <w:r w:rsidRPr="00B86AF7">
        <w:rPr>
          <w:rFonts w:ascii="Times New Roman" w:eastAsia="Times New Roman" w:hAnsi="Times New Roman" w:cs="Times New Roman"/>
          <w:sz w:val="27"/>
          <w:szCs w:val="27"/>
          <w:lang w:val="ru-RU"/>
        </w:rPr>
        <w:t xml:space="preserve">) </w:t>
      </w:r>
      <w:r w:rsidR="006C20E4">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B86AF7">
        <w:rPr>
          <w:rFonts w:ascii="Times New Roman" w:eastAsia="Times New Roman" w:hAnsi="Times New Roman" w:cs="Times New Roman"/>
          <w:sz w:val="27"/>
          <w:szCs w:val="27"/>
          <w:lang w:val="ru-RU"/>
        </w:rPr>
        <w:t>1095/2010.</w:t>
      </w:r>
    </w:p>
    <w:p w:rsidR="00DE77B0" w:rsidRPr="00B86AF7"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B86AF7">
        <w:rPr>
          <w:rFonts w:ascii="Times New Roman" w:eastAsia="Times New Roman" w:hAnsi="Times New Roman" w:cs="Times New Roman"/>
          <w:i/>
          <w:iCs/>
          <w:sz w:val="27"/>
          <w:szCs w:val="27"/>
          <w:lang w:val="ru-RU"/>
        </w:rPr>
        <w:t>Стаття</w:t>
      </w:r>
      <w:proofErr w:type="spellEnd"/>
      <w:r w:rsidR="00DE77B0" w:rsidRPr="00B86AF7">
        <w:rPr>
          <w:rFonts w:ascii="Times New Roman" w:eastAsia="Times New Roman" w:hAnsi="Times New Roman" w:cs="Times New Roman"/>
          <w:i/>
          <w:iCs/>
          <w:sz w:val="27"/>
          <w:szCs w:val="27"/>
          <w:lang w:val="ru-RU"/>
        </w:rPr>
        <w:t xml:space="preserve"> 8</w:t>
      </w:r>
    </w:p>
    <w:p w:rsidR="00DE77B0" w:rsidRPr="00B86AF7" w:rsidRDefault="004D4F6E"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Доступ до торговельного майданчику</w:t>
      </w:r>
    </w:p>
    <w:p w:rsidR="00206FFA" w:rsidRPr="00206FFA"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B86AF7">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206FFA">
        <w:rPr>
          <w:rFonts w:ascii="Times New Roman" w:eastAsia="Times New Roman" w:hAnsi="Times New Roman" w:cs="Times New Roman"/>
          <w:sz w:val="27"/>
          <w:szCs w:val="27"/>
          <w:lang w:val="uk-UA"/>
        </w:rPr>
        <w:t>Торговельний майданчик надає</w:t>
      </w:r>
      <w:r w:rsidR="00206FFA" w:rsidRPr="00206FFA">
        <w:rPr>
          <w:rFonts w:ascii="Times New Roman" w:eastAsia="Times New Roman" w:hAnsi="Times New Roman" w:cs="Times New Roman"/>
          <w:sz w:val="27"/>
          <w:szCs w:val="27"/>
          <w:lang w:val="ru-RU"/>
        </w:rPr>
        <w:t xml:space="preserve"> </w:t>
      </w:r>
      <w:r w:rsidR="00206FFA">
        <w:rPr>
          <w:rFonts w:ascii="Times New Roman" w:eastAsia="Times New Roman" w:hAnsi="Times New Roman" w:cs="Times New Roman"/>
          <w:sz w:val="27"/>
          <w:szCs w:val="27"/>
          <w:lang w:val="uk-UA"/>
        </w:rPr>
        <w:t>торговельні потоки на прозорих і недискримінаційних умовах</w:t>
      </w:r>
      <w:r w:rsidR="00206FFA" w:rsidRPr="00206FFA">
        <w:rPr>
          <w:rFonts w:ascii="Times New Roman" w:eastAsia="Times New Roman" w:hAnsi="Times New Roman" w:cs="Times New Roman"/>
          <w:sz w:val="27"/>
          <w:szCs w:val="27"/>
          <w:lang w:val="ru-RU"/>
        </w:rPr>
        <w:t xml:space="preserve"> </w:t>
      </w:r>
      <w:r w:rsidR="00206FFA">
        <w:rPr>
          <w:rFonts w:ascii="Times New Roman" w:eastAsia="Times New Roman" w:hAnsi="Times New Roman" w:cs="Times New Roman"/>
          <w:sz w:val="27"/>
          <w:szCs w:val="27"/>
          <w:lang w:val="uk-UA"/>
        </w:rPr>
        <w:t>будь-якому ЦКА, який уповноважений здійснювати кліринг контрактів на позабіржові деривативи, що торгуют</w:t>
      </w:r>
      <w:r w:rsidR="00F81E23">
        <w:rPr>
          <w:rFonts w:ascii="Times New Roman" w:eastAsia="Times New Roman" w:hAnsi="Times New Roman" w:cs="Times New Roman"/>
          <w:sz w:val="27"/>
          <w:szCs w:val="27"/>
          <w:lang w:val="uk-UA"/>
        </w:rPr>
        <w:t>ься на цьому майданчику, на запит ЦКА.</w:t>
      </w:r>
    </w:p>
    <w:p w:rsidR="00DE77B0" w:rsidRPr="00B86AF7" w:rsidRDefault="00DE77B0" w:rsidP="00F81E2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B86AF7">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F81E23">
        <w:rPr>
          <w:rFonts w:ascii="Times New Roman" w:eastAsia="Times New Roman" w:hAnsi="Times New Roman" w:cs="Times New Roman"/>
          <w:sz w:val="27"/>
          <w:szCs w:val="27"/>
          <w:lang w:val="uk-UA"/>
        </w:rPr>
        <w:t>Якщо запит на доступ до торговельного майданчику офіційно поданий ЦКА цьому майданчику, то останній надає ЦКА відповідь у тримісячний строк.</w:t>
      </w:r>
    </w:p>
    <w:p w:rsidR="00F81E2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F81E23">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F81E23">
        <w:rPr>
          <w:rFonts w:ascii="Times New Roman" w:eastAsia="Times New Roman" w:hAnsi="Times New Roman" w:cs="Times New Roman"/>
          <w:sz w:val="27"/>
          <w:szCs w:val="27"/>
          <w:lang w:val="uk-UA"/>
        </w:rPr>
        <w:t>Якщо торговельний майданчик відмовляє у доступі, то он відповідним чином повідомляє про це ЦКА з наведенням вичерпних причин.</w:t>
      </w:r>
    </w:p>
    <w:p w:rsidR="00F81E2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F81E23">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F81E23">
        <w:rPr>
          <w:rFonts w:ascii="Times New Roman" w:eastAsia="Times New Roman" w:hAnsi="Times New Roman" w:cs="Times New Roman"/>
          <w:sz w:val="27"/>
          <w:szCs w:val="27"/>
          <w:lang w:val="uk-UA"/>
        </w:rPr>
        <w:t>Без шкоди для рішення компетентних органів торговельного майданчика і ЦКА торговельний майданчик надає доступ у тримісячний строк з дня надання позитивної відповіді на запит доступу.</w:t>
      </w:r>
    </w:p>
    <w:p w:rsidR="00F81E23" w:rsidRDefault="00F81E23"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Доступ ЦКА до торговельного майданчика надається лише за умови, що такий доступ не вимагатиме сумісності й не загрожуватиме безперебійному та впорядкованому функціонуванню ринків, зокрема</w:t>
      </w:r>
      <w:r w:rsidR="00BF52E6">
        <w:rPr>
          <w:rFonts w:ascii="Times New Roman" w:eastAsia="Times New Roman" w:hAnsi="Times New Roman" w:cs="Times New Roman"/>
          <w:sz w:val="27"/>
          <w:szCs w:val="27"/>
          <w:lang w:val="uk-UA"/>
        </w:rPr>
        <w:t xml:space="preserve"> через фрагментацію ліквідності, а торговельний майданчик запровадив належні механізми запобігання такої фрагментації.</w:t>
      </w:r>
    </w:p>
    <w:p w:rsidR="003968DF" w:rsidRDefault="003968DF" w:rsidP="003968DF">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5</w:t>
      </w:r>
      <w:r w:rsidRPr="00BF52E6">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розробляє проекти регуляторних технічних стандартів, де наводиться поняття фрагментації ліквідності.</w:t>
      </w:r>
    </w:p>
    <w:p w:rsidR="003968DF" w:rsidRPr="00A64037" w:rsidRDefault="003968DF" w:rsidP="003968DF">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rPr>
        <w:t>ESMA</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подає ці проекти регуляторних технічних стандартів Комісії до 30 вересня 2012 р.</w:t>
      </w:r>
    </w:p>
    <w:p w:rsidR="003968DF" w:rsidRPr="00BD5941" w:rsidRDefault="003968DF" w:rsidP="003968DF">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першому абзаці цього пункту, згідно зі статтями 10-14 Регламенту</w:t>
      </w:r>
      <w:r w:rsidRPr="00A6403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64037">
        <w:rPr>
          <w:rFonts w:ascii="Times New Roman" w:eastAsia="Times New Roman" w:hAnsi="Times New Roman" w:cs="Times New Roman"/>
          <w:sz w:val="27"/>
          <w:szCs w:val="27"/>
          <w:lang w:val="uk-UA"/>
        </w:rPr>
        <w:t>1095/2010.</w:t>
      </w:r>
    </w:p>
    <w:p w:rsidR="00DE77B0" w:rsidRPr="00B86AF7"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B86AF7">
        <w:rPr>
          <w:rFonts w:ascii="Times New Roman" w:eastAsia="Times New Roman" w:hAnsi="Times New Roman" w:cs="Times New Roman"/>
          <w:i/>
          <w:iCs/>
          <w:sz w:val="27"/>
          <w:szCs w:val="27"/>
          <w:lang w:val="ru-RU"/>
        </w:rPr>
        <w:t>Стаття</w:t>
      </w:r>
      <w:proofErr w:type="spellEnd"/>
      <w:r w:rsidR="00DE77B0" w:rsidRPr="00B86AF7">
        <w:rPr>
          <w:rFonts w:ascii="Times New Roman" w:eastAsia="Times New Roman" w:hAnsi="Times New Roman" w:cs="Times New Roman"/>
          <w:i/>
          <w:iCs/>
          <w:sz w:val="27"/>
          <w:szCs w:val="27"/>
          <w:lang w:val="ru-RU"/>
        </w:rPr>
        <w:t xml:space="preserve"> 9</w:t>
      </w:r>
    </w:p>
    <w:p w:rsidR="00DE77B0" w:rsidRPr="004D4F6E" w:rsidRDefault="004D4F6E"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Зобов’язання щодо звітування</w:t>
      </w:r>
    </w:p>
    <w:p w:rsidR="00D86AB8"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B86AF7">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D86AB8">
        <w:rPr>
          <w:rFonts w:ascii="Times New Roman" w:eastAsia="Times New Roman" w:hAnsi="Times New Roman" w:cs="Times New Roman"/>
          <w:sz w:val="27"/>
          <w:szCs w:val="27"/>
          <w:lang w:val="uk-UA"/>
        </w:rPr>
        <w:t xml:space="preserve">Контрагенти та ЦКА забезпечують, щоб детальні дані про всі укладені ними контракти на деривативи, а також про всі зміни у цих контрактах та про розірвання цих контрактів, повідомлялися торговельному </w:t>
      </w:r>
      <w:proofErr w:type="spellStart"/>
      <w:r w:rsidR="00D86AB8">
        <w:rPr>
          <w:rFonts w:ascii="Times New Roman" w:eastAsia="Times New Roman" w:hAnsi="Times New Roman" w:cs="Times New Roman"/>
          <w:sz w:val="27"/>
          <w:szCs w:val="27"/>
          <w:lang w:val="uk-UA"/>
        </w:rPr>
        <w:t>репозитарію</w:t>
      </w:r>
      <w:proofErr w:type="spellEnd"/>
      <w:r w:rsidR="00D86AB8">
        <w:rPr>
          <w:rFonts w:ascii="Times New Roman" w:eastAsia="Times New Roman" w:hAnsi="Times New Roman" w:cs="Times New Roman"/>
          <w:sz w:val="27"/>
          <w:szCs w:val="27"/>
          <w:lang w:val="uk-UA"/>
        </w:rPr>
        <w:t xml:space="preserve">, зареєстрованому відповідно до статті 55 або визнаному відповідно до статті 77. </w:t>
      </w:r>
      <w:r w:rsidR="00D86AB8">
        <w:rPr>
          <w:rFonts w:ascii="Times New Roman" w:eastAsia="Times New Roman" w:hAnsi="Times New Roman" w:cs="Times New Roman"/>
          <w:sz w:val="27"/>
          <w:szCs w:val="27"/>
          <w:lang w:val="uk-UA"/>
        </w:rPr>
        <w:lastRenderedPageBreak/>
        <w:t>Ці детальні дані повідомляються не пізніше, ніж на наступний робочий день після укладення контракту</w:t>
      </w:r>
      <w:r w:rsidR="00727600">
        <w:rPr>
          <w:rFonts w:ascii="Times New Roman" w:eastAsia="Times New Roman" w:hAnsi="Times New Roman" w:cs="Times New Roman"/>
          <w:sz w:val="27"/>
          <w:szCs w:val="27"/>
          <w:lang w:val="uk-UA"/>
        </w:rPr>
        <w:t>, внесення до нього змін або його розірвання.</w:t>
      </w:r>
    </w:p>
    <w:p w:rsidR="00DE77B0" w:rsidRPr="00602CCE" w:rsidRDefault="00727600" w:rsidP="0010678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Це </w:t>
      </w:r>
      <w:r w:rsidR="00602CCE">
        <w:rPr>
          <w:rFonts w:ascii="Times New Roman" w:eastAsia="Times New Roman" w:hAnsi="Times New Roman" w:cs="Times New Roman"/>
          <w:sz w:val="27"/>
          <w:szCs w:val="27"/>
          <w:lang w:val="uk-UA"/>
        </w:rPr>
        <w:t xml:space="preserve">зобов’язання щодо звітування </w:t>
      </w:r>
      <w:r>
        <w:rPr>
          <w:rFonts w:ascii="Times New Roman" w:eastAsia="Times New Roman" w:hAnsi="Times New Roman" w:cs="Times New Roman"/>
          <w:sz w:val="27"/>
          <w:szCs w:val="27"/>
          <w:lang w:val="uk-UA"/>
        </w:rPr>
        <w:t xml:space="preserve">поширюється на </w:t>
      </w:r>
      <w:r w:rsidR="00106789">
        <w:rPr>
          <w:rFonts w:ascii="Times New Roman" w:eastAsia="Times New Roman" w:hAnsi="Times New Roman" w:cs="Times New Roman"/>
          <w:sz w:val="27"/>
          <w:szCs w:val="27"/>
          <w:lang w:val="uk-UA"/>
        </w:rPr>
        <w:t>контракти на деривативи, які:</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6AF7" w:rsidRDefault="00106789" w:rsidP="0010678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були укладені до 16 серпня 2012 р. і залишаються невиконаними станом на цю дату;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8963"/>
      </w:tblGrid>
      <w:tr w:rsidR="00763E3E" w:rsidRPr="00113714" w:rsidTr="00106789">
        <w:tc>
          <w:tcPr>
            <w:tcW w:w="26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47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6AF7" w:rsidRDefault="00106789" w:rsidP="0010678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укладені 16 серпня 2012 р. або пізніше.</w:t>
            </w:r>
          </w:p>
        </w:tc>
      </w:tr>
    </w:tbl>
    <w:p w:rsidR="00DE77B0" w:rsidRPr="00B86AF7" w:rsidRDefault="00106789" w:rsidP="00602CC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Контрагент або ЦКА, що підпадає під дію </w:t>
      </w:r>
      <w:r w:rsidR="00602CCE">
        <w:rPr>
          <w:rFonts w:ascii="Times New Roman" w:eastAsia="Times New Roman" w:hAnsi="Times New Roman" w:cs="Times New Roman"/>
          <w:sz w:val="27"/>
          <w:szCs w:val="27"/>
          <w:lang w:val="uk-UA"/>
        </w:rPr>
        <w:t>зобов’язання щодо звітування, може доручити іншому суб’єктові повідомити детальні дані про контракт на дериватив.</w:t>
      </w:r>
    </w:p>
    <w:p w:rsidR="00DE77B0" w:rsidRPr="00B86AF7" w:rsidRDefault="00602CCE" w:rsidP="00602CC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Контрагенти та ЦКА забезпечують, щоб детальні дані про їхні контракти на деривативи повідомлялися без дублювання.</w:t>
      </w:r>
    </w:p>
    <w:p w:rsidR="00602CCE"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02CCE">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602CCE">
        <w:rPr>
          <w:rFonts w:ascii="Times New Roman" w:eastAsia="Times New Roman" w:hAnsi="Times New Roman" w:cs="Times New Roman"/>
          <w:sz w:val="27"/>
          <w:szCs w:val="27"/>
          <w:lang w:val="uk-UA"/>
        </w:rPr>
        <w:t xml:space="preserve">Контрагенти ведуть облік усіх укладених ними контрактів на деривативи та внесених до них змін протягом щонайменше </w:t>
      </w:r>
      <w:r w:rsidR="009D0491">
        <w:rPr>
          <w:rFonts w:ascii="Times New Roman" w:eastAsia="Times New Roman" w:hAnsi="Times New Roman" w:cs="Times New Roman"/>
          <w:sz w:val="27"/>
          <w:szCs w:val="27"/>
          <w:lang w:val="uk-UA"/>
        </w:rPr>
        <w:t>п’яти</w:t>
      </w:r>
      <w:r w:rsidR="00602CCE">
        <w:rPr>
          <w:rFonts w:ascii="Times New Roman" w:eastAsia="Times New Roman" w:hAnsi="Times New Roman" w:cs="Times New Roman"/>
          <w:sz w:val="27"/>
          <w:szCs w:val="27"/>
          <w:lang w:val="uk-UA"/>
        </w:rPr>
        <w:t xml:space="preserve"> років з дня </w:t>
      </w:r>
      <w:r w:rsidR="009D0491">
        <w:rPr>
          <w:rFonts w:ascii="Times New Roman" w:eastAsia="Times New Roman" w:hAnsi="Times New Roman" w:cs="Times New Roman"/>
          <w:sz w:val="27"/>
          <w:szCs w:val="27"/>
          <w:lang w:val="uk-UA"/>
        </w:rPr>
        <w:t xml:space="preserve">припинення дії </w:t>
      </w:r>
      <w:r w:rsidR="00602CCE">
        <w:rPr>
          <w:rFonts w:ascii="Times New Roman" w:eastAsia="Times New Roman" w:hAnsi="Times New Roman" w:cs="Times New Roman"/>
          <w:sz w:val="27"/>
          <w:szCs w:val="27"/>
          <w:lang w:val="uk-UA"/>
        </w:rPr>
        <w:t>контрактів.</w:t>
      </w:r>
    </w:p>
    <w:p w:rsidR="009D0491" w:rsidRPr="009D049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9D0491">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9D0491">
        <w:rPr>
          <w:rFonts w:ascii="Times New Roman" w:eastAsia="Times New Roman" w:hAnsi="Times New Roman" w:cs="Times New Roman"/>
          <w:sz w:val="27"/>
          <w:szCs w:val="27"/>
          <w:lang w:val="uk-UA"/>
        </w:rPr>
        <w:t xml:space="preserve">Якщо торгового </w:t>
      </w:r>
      <w:proofErr w:type="spellStart"/>
      <w:r w:rsidR="009D0491">
        <w:rPr>
          <w:rFonts w:ascii="Times New Roman" w:eastAsia="Times New Roman" w:hAnsi="Times New Roman" w:cs="Times New Roman"/>
          <w:sz w:val="27"/>
          <w:szCs w:val="27"/>
          <w:lang w:val="uk-UA"/>
        </w:rPr>
        <w:t>репозитарія</w:t>
      </w:r>
      <w:proofErr w:type="spellEnd"/>
      <w:r w:rsidR="009D0491">
        <w:rPr>
          <w:rFonts w:ascii="Times New Roman" w:eastAsia="Times New Roman" w:hAnsi="Times New Roman" w:cs="Times New Roman"/>
          <w:sz w:val="27"/>
          <w:szCs w:val="27"/>
          <w:lang w:val="uk-UA"/>
        </w:rPr>
        <w:t xml:space="preserve"> для реєстрації детальних даних про контракт на дериватив немає, то контрагенти та ЦКА забезпечують повідомлення цих даних </w:t>
      </w:r>
      <w:r w:rsidR="009D0491">
        <w:rPr>
          <w:rFonts w:ascii="Times New Roman" w:eastAsia="Times New Roman" w:hAnsi="Times New Roman" w:cs="Times New Roman"/>
          <w:sz w:val="27"/>
          <w:szCs w:val="27"/>
        </w:rPr>
        <w:t>ESMA</w:t>
      </w:r>
      <w:r w:rsidR="009D0491" w:rsidRPr="009D0491">
        <w:rPr>
          <w:rFonts w:ascii="Times New Roman" w:eastAsia="Times New Roman" w:hAnsi="Times New Roman" w:cs="Times New Roman"/>
          <w:sz w:val="27"/>
          <w:szCs w:val="27"/>
          <w:lang w:val="ru-RU"/>
        </w:rPr>
        <w:t>.</w:t>
      </w:r>
    </w:p>
    <w:p w:rsidR="00DE77B0" w:rsidRPr="009D0491" w:rsidRDefault="009D0491" w:rsidP="009D0491">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У цьому випадку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забезпечує, щоб усі відповідні суб’єкти, згадані у статті 81(3), мали доступ до всіх детальних даних про контракти на контрагенти, потрібних цим суб’єктам для виконання своїх обов’язків і повноважень.</w:t>
      </w:r>
    </w:p>
    <w:p w:rsidR="00DE77B0" w:rsidRPr="00B86AF7" w:rsidRDefault="00DE77B0" w:rsidP="008B756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8B7563">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8B7563">
        <w:rPr>
          <w:rFonts w:ascii="Times New Roman" w:eastAsia="Times New Roman" w:hAnsi="Times New Roman" w:cs="Times New Roman"/>
          <w:sz w:val="27"/>
          <w:szCs w:val="27"/>
          <w:lang w:val="uk-UA"/>
        </w:rPr>
        <w:t xml:space="preserve">Контрагент або ЦКА, який повідомляє детальні дані про контракт на дериватив торговому </w:t>
      </w:r>
      <w:proofErr w:type="spellStart"/>
      <w:r w:rsidR="008B7563">
        <w:rPr>
          <w:rFonts w:ascii="Times New Roman" w:eastAsia="Times New Roman" w:hAnsi="Times New Roman" w:cs="Times New Roman"/>
          <w:sz w:val="27"/>
          <w:szCs w:val="27"/>
          <w:lang w:val="uk-UA"/>
        </w:rPr>
        <w:t>репозитарію</w:t>
      </w:r>
      <w:proofErr w:type="spellEnd"/>
      <w:r w:rsidR="008B7563">
        <w:rPr>
          <w:rFonts w:ascii="Times New Roman" w:eastAsia="Times New Roman" w:hAnsi="Times New Roman" w:cs="Times New Roman"/>
          <w:sz w:val="27"/>
          <w:szCs w:val="27"/>
          <w:lang w:val="uk-UA"/>
        </w:rPr>
        <w:t xml:space="preserve"> чи </w:t>
      </w:r>
      <w:r w:rsidR="008B7563">
        <w:rPr>
          <w:rFonts w:ascii="Times New Roman" w:eastAsia="Times New Roman" w:hAnsi="Times New Roman" w:cs="Times New Roman"/>
          <w:sz w:val="27"/>
          <w:szCs w:val="27"/>
        </w:rPr>
        <w:t>ESMA</w:t>
      </w:r>
      <w:r w:rsidR="008B7563">
        <w:rPr>
          <w:rFonts w:ascii="Times New Roman" w:eastAsia="Times New Roman" w:hAnsi="Times New Roman" w:cs="Times New Roman"/>
          <w:sz w:val="27"/>
          <w:szCs w:val="27"/>
          <w:lang w:val="uk-UA"/>
        </w:rPr>
        <w:t>, або суб’єкт, який повідомляє ці дані від імені контрагента чи ЦКА, не вважається таким, що порушив обмеження на розголошення інформації, встановлене цим контрактом або будь-яким законодавчим, нормативним або адміністративним положенням.</w:t>
      </w:r>
    </w:p>
    <w:p w:rsidR="008B7563" w:rsidRDefault="00CD5BCF"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Суб’єкт, що повідомляє дані, його директори та працівники не несуть ніякої відповідальності внаслідок такого розголошення інформації.</w:t>
      </w:r>
    </w:p>
    <w:p w:rsidR="006377E6" w:rsidRDefault="00CD5BCF" w:rsidP="00CD5BCF">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5</w:t>
      </w:r>
      <w:r w:rsidRPr="00BF52E6">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009D361E">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sidR="009D361E">
        <w:rPr>
          <w:rFonts w:ascii="Times New Roman" w:eastAsia="Times New Roman" w:hAnsi="Times New Roman" w:cs="Times New Roman"/>
          <w:sz w:val="27"/>
          <w:szCs w:val="27"/>
        </w:rPr>
        <w:t>ESMA</w:t>
      </w:r>
      <w:r w:rsidR="009D361E">
        <w:rPr>
          <w:rFonts w:ascii="Times New Roman" w:eastAsia="Times New Roman" w:hAnsi="Times New Roman" w:cs="Times New Roman"/>
          <w:sz w:val="27"/>
          <w:szCs w:val="27"/>
          <w:lang w:val="uk-UA"/>
        </w:rPr>
        <w:t xml:space="preserve"> розробляє проекти регуляторних технічних стандартів, де зазначаються детальні дані та вид звітів, згаданих у </w:t>
      </w:r>
      <w:proofErr w:type="spellStart"/>
      <w:r w:rsidR="009D361E">
        <w:rPr>
          <w:rFonts w:ascii="Times New Roman" w:eastAsia="Times New Roman" w:hAnsi="Times New Roman" w:cs="Times New Roman"/>
          <w:sz w:val="27"/>
          <w:szCs w:val="27"/>
          <w:lang w:val="uk-UA"/>
        </w:rPr>
        <w:t>пп</w:t>
      </w:r>
      <w:proofErr w:type="spellEnd"/>
      <w:r w:rsidR="009D361E">
        <w:rPr>
          <w:rFonts w:ascii="Times New Roman" w:eastAsia="Times New Roman" w:hAnsi="Times New Roman" w:cs="Times New Roman"/>
          <w:sz w:val="27"/>
          <w:szCs w:val="27"/>
          <w:lang w:val="uk-UA"/>
        </w:rPr>
        <w:t>. 1 і 3, для різних класів деривативів.</w:t>
      </w:r>
    </w:p>
    <w:p w:rsidR="00DE77B0" w:rsidRPr="00C87621" w:rsidRDefault="006377E6" w:rsidP="006377E6">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Звіти, згадані у </w:t>
      </w:r>
      <w:proofErr w:type="spellStart"/>
      <w:r>
        <w:rPr>
          <w:rFonts w:ascii="Times New Roman" w:eastAsia="Times New Roman" w:hAnsi="Times New Roman" w:cs="Times New Roman"/>
          <w:sz w:val="27"/>
          <w:szCs w:val="27"/>
          <w:lang w:val="uk-UA"/>
        </w:rPr>
        <w:t>пп</w:t>
      </w:r>
      <w:proofErr w:type="spellEnd"/>
      <w:r>
        <w:rPr>
          <w:rFonts w:ascii="Times New Roman" w:eastAsia="Times New Roman" w:hAnsi="Times New Roman" w:cs="Times New Roman"/>
          <w:sz w:val="27"/>
          <w:szCs w:val="27"/>
          <w:lang w:val="uk-UA"/>
        </w:rPr>
        <w:t>. 1 і 3, повинні містити як мінімум наступну інформацію:</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6AF7" w:rsidRDefault="006377E6" w:rsidP="008A67D8">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сторони контракту на дериватив</w:t>
            </w:r>
            <w:r w:rsidR="008A67D8">
              <w:rPr>
                <w:rFonts w:ascii="Times New Roman" w:eastAsia="Times New Roman" w:hAnsi="Times New Roman" w:cs="Times New Roman"/>
                <w:sz w:val="27"/>
                <w:szCs w:val="27"/>
                <w:lang w:val="uk-UA"/>
              </w:rPr>
              <w:t xml:space="preserve"> і </w:t>
            </w:r>
            <w:proofErr w:type="spellStart"/>
            <w:r w:rsidR="008A67D8">
              <w:rPr>
                <w:rFonts w:ascii="Times New Roman" w:eastAsia="Times New Roman" w:hAnsi="Times New Roman" w:cs="Times New Roman"/>
                <w:sz w:val="27"/>
                <w:szCs w:val="27"/>
                <w:lang w:val="uk-UA"/>
              </w:rPr>
              <w:t>бенефіціар</w:t>
            </w:r>
            <w:proofErr w:type="spellEnd"/>
            <w:r w:rsidR="008A67D8">
              <w:rPr>
                <w:rFonts w:ascii="Times New Roman" w:eastAsia="Times New Roman" w:hAnsi="Times New Roman" w:cs="Times New Roman"/>
                <w:sz w:val="27"/>
                <w:szCs w:val="27"/>
                <w:lang w:val="uk-UA"/>
              </w:rPr>
              <w:t xml:space="preserve"> прав і обов’язків, що випливають з нього, якщо це не сторона контракту;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6AF7" w:rsidRDefault="008A67D8" w:rsidP="00C66B86">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основні характеристики контрактів на деривативи, зокрема їхній тип, </w:t>
            </w:r>
            <w:r w:rsidR="00C66B86">
              <w:rPr>
                <w:rFonts w:ascii="Times New Roman" w:eastAsia="Times New Roman" w:hAnsi="Times New Roman" w:cs="Times New Roman"/>
                <w:sz w:val="27"/>
                <w:szCs w:val="27"/>
                <w:lang w:val="uk-UA"/>
              </w:rPr>
              <w:t>базовий термін погашення, номінальна сума, ціна, дата розрахунку.</w:t>
            </w:r>
          </w:p>
        </w:tc>
      </w:tr>
    </w:tbl>
    <w:p w:rsidR="009D361E" w:rsidRPr="00A64037" w:rsidRDefault="009D361E" w:rsidP="009D361E">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rPr>
        <w:lastRenderedPageBreak/>
        <w:t>ESMA</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подає ці проекти регуляторних технічних стандартів Комісії до 30 вересня 2012 р.</w:t>
      </w:r>
    </w:p>
    <w:p w:rsidR="00CD5BCF" w:rsidRDefault="009D361E" w:rsidP="009D361E">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першому абзаці цього пункту, згідно зі статтями 10-14 Регламенту</w:t>
      </w:r>
      <w:r w:rsidRPr="00A6403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64037">
        <w:rPr>
          <w:rFonts w:ascii="Times New Roman" w:eastAsia="Times New Roman" w:hAnsi="Times New Roman" w:cs="Times New Roman"/>
          <w:sz w:val="27"/>
          <w:szCs w:val="27"/>
          <w:lang w:val="uk-UA"/>
        </w:rPr>
        <w:t>1095/2010.</w:t>
      </w:r>
    </w:p>
    <w:p w:rsidR="00DE77B0" w:rsidRPr="00C8762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87621">
        <w:rPr>
          <w:rFonts w:ascii="Times New Roman" w:eastAsia="Times New Roman" w:hAnsi="Times New Roman" w:cs="Times New Roman"/>
          <w:sz w:val="27"/>
          <w:szCs w:val="27"/>
          <w:lang w:val="uk-UA"/>
        </w:rPr>
        <w:t>6.</w:t>
      </w:r>
      <w:r w:rsidRPr="006279CF">
        <w:rPr>
          <w:rFonts w:ascii="Times New Roman" w:eastAsia="Times New Roman" w:hAnsi="Times New Roman" w:cs="Times New Roman"/>
          <w:sz w:val="27"/>
          <w:szCs w:val="27"/>
        </w:rPr>
        <w:t>   </w:t>
      </w:r>
      <w:r w:rsidR="00B7679B">
        <w:rPr>
          <w:rFonts w:ascii="Times New Roman" w:eastAsia="Times New Roman" w:hAnsi="Times New Roman" w:cs="Times New Roman"/>
          <w:sz w:val="27"/>
          <w:szCs w:val="27"/>
          <w:lang w:val="uk-UA"/>
        </w:rPr>
        <w:t xml:space="preserve">Для того, щоб забезпечити єдині умови застосування </w:t>
      </w:r>
      <w:proofErr w:type="spellStart"/>
      <w:r w:rsidR="00B7679B">
        <w:rPr>
          <w:rFonts w:ascii="Times New Roman" w:eastAsia="Times New Roman" w:hAnsi="Times New Roman" w:cs="Times New Roman"/>
          <w:sz w:val="27"/>
          <w:szCs w:val="27"/>
          <w:lang w:val="uk-UA"/>
        </w:rPr>
        <w:t>пп</w:t>
      </w:r>
      <w:proofErr w:type="spellEnd"/>
      <w:r w:rsidR="00B7679B">
        <w:rPr>
          <w:rFonts w:ascii="Times New Roman" w:eastAsia="Times New Roman" w:hAnsi="Times New Roman" w:cs="Times New Roman"/>
          <w:sz w:val="27"/>
          <w:szCs w:val="27"/>
          <w:lang w:val="uk-UA"/>
        </w:rPr>
        <w:t xml:space="preserve">. 1 і 3, </w:t>
      </w:r>
      <w:r w:rsidR="00B7679B">
        <w:rPr>
          <w:rFonts w:ascii="Times New Roman" w:eastAsia="Times New Roman" w:hAnsi="Times New Roman" w:cs="Times New Roman"/>
          <w:sz w:val="27"/>
          <w:szCs w:val="27"/>
        </w:rPr>
        <w:t>ESMA</w:t>
      </w:r>
      <w:r w:rsidR="00B7679B">
        <w:rPr>
          <w:rFonts w:ascii="Times New Roman" w:eastAsia="Times New Roman" w:hAnsi="Times New Roman" w:cs="Times New Roman"/>
          <w:sz w:val="27"/>
          <w:szCs w:val="27"/>
          <w:lang w:val="uk-UA"/>
        </w:rPr>
        <w:t xml:space="preserve"> розробляє проекти регуляторних технічних стандартів, де зазначаються</w:t>
      </w:r>
      <w:r w:rsidR="00B7679B" w:rsidRPr="00C87621">
        <w:rPr>
          <w:rFonts w:ascii="Times New Roman" w:eastAsia="Times New Roman" w:hAnsi="Times New Roman" w:cs="Times New Roman"/>
          <w:sz w:val="27"/>
          <w:szCs w:val="27"/>
          <w:lang w:val="uk-UA"/>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87621" w:rsidRDefault="00C87621" w:rsidP="00C8762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формат і періодичність звітів, згаданих у </w:t>
            </w:r>
            <w:proofErr w:type="spellStart"/>
            <w:r>
              <w:rPr>
                <w:rFonts w:ascii="Times New Roman" w:eastAsia="Times New Roman" w:hAnsi="Times New Roman" w:cs="Times New Roman"/>
                <w:sz w:val="27"/>
                <w:szCs w:val="27"/>
                <w:lang w:val="uk-UA"/>
              </w:rPr>
              <w:t>пп</w:t>
            </w:r>
            <w:proofErr w:type="spellEnd"/>
            <w:r>
              <w:rPr>
                <w:rFonts w:ascii="Times New Roman" w:eastAsia="Times New Roman" w:hAnsi="Times New Roman" w:cs="Times New Roman"/>
                <w:sz w:val="27"/>
                <w:szCs w:val="27"/>
                <w:lang w:val="uk-UA"/>
              </w:rPr>
              <w:t>. 1 і 3, для різних класів деривативів;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6AF7" w:rsidRDefault="00C87621" w:rsidP="00C8762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дата, до якої слід повідомити про контракти на деривативи, зокрема поетапне запровадження для контрактів, укладених до дати набрання чинності зобов’язанням щодо звітування.</w:t>
            </w:r>
          </w:p>
        </w:tc>
      </w:tr>
    </w:tbl>
    <w:p w:rsidR="009659D4" w:rsidRPr="00A64037" w:rsidRDefault="009659D4" w:rsidP="009659D4">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rPr>
        <w:t>ESMA</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подає ці проекти регуляторних технічних стандартів Комісії до 30 вересня 2012 р.</w:t>
      </w:r>
    </w:p>
    <w:p w:rsidR="00DE77B0" w:rsidRPr="00B86AF7" w:rsidRDefault="009659D4" w:rsidP="009659D4">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першому абзаці цього пункту, згідно зі статтею 15 Регламенту</w:t>
      </w:r>
      <w:r w:rsidRPr="00A6403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64037">
        <w:rPr>
          <w:rFonts w:ascii="Times New Roman" w:eastAsia="Times New Roman" w:hAnsi="Times New Roman" w:cs="Times New Roman"/>
          <w:sz w:val="27"/>
          <w:szCs w:val="27"/>
          <w:lang w:val="uk-UA"/>
        </w:rPr>
        <w:t>1095/2010.</w:t>
      </w:r>
    </w:p>
    <w:p w:rsidR="00DE77B0" w:rsidRPr="00B86AF7"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B86AF7">
        <w:rPr>
          <w:rFonts w:ascii="Times New Roman" w:eastAsia="Times New Roman" w:hAnsi="Times New Roman" w:cs="Times New Roman"/>
          <w:i/>
          <w:iCs/>
          <w:sz w:val="27"/>
          <w:szCs w:val="27"/>
          <w:lang w:val="uk-UA"/>
        </w:rPr>
        <w:t>Стаття</w:t>
      </w:r>
      <w:r w:rsidR="00DE77B0" w:rsidRPr="00B86AF7">
        <w:rPr>
          <w:rFonts w:ascii="Times New Roman" w:eastAsia="Times New Roman" w:hAnsi="Times New Roman" w:cs="Times New Roman"/>
          <w:i/>
          <w:iCs/>
          <w:sz w:val="27"/>
          <w:szCs w:val="27"/>
          <w:lang w:val="uk-UA"/>
        </w:rPr>
        <w:t xml:space="preserve"> 10</w:t>
      </w:r>
    </w:p>
    <w:p w:rsidR="00DE77B0" w:rsidRPr="006D3CF8" w:rsidRDefault="006D3CF8"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Нефінансові контрагенти</w:t>
      </w:r>
    </w:p>
    <w:p w:rsidR="005C1D8F" w:rsidRPr="005C1D8F"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B86AF7">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5C1D8F">
        <w:rPr>
          <w:rFonts w:ascii="Times New Roman" w:eastAsia="Times New Roman" w:hAnsi="Times New Roman" w:cs="Times New Roman"/>
          <w:sz w:val="27"/>
          <w:szCs w:val="27"/>
          <w:lang w:val="uk-UA"/>
        </w:rPr>
        <w:t xml:space="preserve">Якщо нефінансовий контрагент відкриває позиції у контрактах на позабіржові деривативи, й ці позиції перевищують </w:t>
      </w:r>
      <w:r w:rsidR="00D652A6">
        <w:rPr>
          <w:rFonts w:ascii="Times New Roman" w:eastAsia="Times New Roman" w:hAnsi="Times New Roman" w:cs="Times New Roman"/>
          <w:sz w:val="27"/>
          <w:szCs w:val="27"/>
          <w:lang w:val="uk-UA"/>
        </w:rPr>
        <w:t>кліринговий поріг, зазначений у п. 3, то цей нефінансовий контрагент:</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0"/>
        <w:gridCol w:w="903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6AF7" w:rsidRDefault="008008E2" w:rsidP="008008E2">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негайно повідомляє про це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і компетентний орган, згаданий у п. 5;</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294500" w:rsidP="00294500">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підпадає під дію зобов’язання щодо клірингу майбутніх контрактів відповідно до статті 4, якщо змінна середня позиція за 30 робочих днів перевищує поріг;</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294500" w:rsidP="00FF15A0">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здійснює кліринг</w:t>
            </w:r>
            <w:r w:rsidR="00FF15A0">
              <w:rPr>
                <w:rFonts w:ascii="Times New Roman" w:eastAsia="Times New Roman" w:hAnsi="Times New Roman" w:cs="Times New Roman"/>
                <w:sz w:val="27"/>
                <w:szCs w:val="27"/>
              </w:rPr>
              <w:t xml:space="preserve"> </w:t>
            </w:r>
            <w:r w:rsidR="00FF15A0">
              <w:rPr>
                <w:rFonts w:ascii="Times New Roman" w:eastAsia="Times New Roman" w:hAnsi="Times New Roman" w:cs="Times New Roman"/>
                <w:sz w:val="27"/>
                <w:szCs w:val="27"/>
                <w:lang w:val="uk-UA"/>
              </w:rPr>
              <w:t>усіх відповідних майбутніх контрактів у чотиримісячний термін з моменту поширення на нього дії зобов’язання щодо клірингу.</w:t>
            </w:r>
          </w:p>
        </w:tc>
      </w:tr>
    </w:tbl>
    <w:p w:rsidR="007E1B40" w:rsidRPr="007E1B40" w:rsidRDefault="00DE77B0" w:rsidP="007E1B40">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rPr>
        <w:t>2.   </w:t>
      </w:r>
      <w:r w:rsidR="007E1B40">
        <w:rPr>
          <w:rFonts w:ascii="Times New Roman" w:eastAsia="Times New Roman" w:hAnsi="Times New Roman" w:cs="Times New Roman"/>
          <w:sz w:val="27"/>
          <w:szCs w:val="27"/>
          <w:lang w:val="uk-UA"/>
        </w:rPr>
        <w:t>Нефінансовий контрагент, що підпадає під дію зобов’язання щодо клірингу згідно з п. 1</w:t>
      </w:r>
      <w:r w:rsidRPr="006279CF">
        <w:rPr>
          <w:rFonts w:ascii="Times New Roman" w:eastAsia="Times New Roman" w:hAnsi="Times New Roman" w:cs="Times New Roman"/>
          <w:sz w:val="27"/>
          <w:szCs w:val="27"/>
        </w:rPr>
        <w:t xml:space="preserve">(b) </w:t>
      </w:r>
      <w:r w:rsidR="007E1B40">
        <w:rPr>
          <w:rFonts w:ascii="Times New Roman" w:eastAsia="Times New Roman" w:hAnsi="Times New Roman" w:cs="Times New Roman"/>
          <w:sz w:val="27"/>
          <w:szCs w:val="27"/>
          <w:lang w:val="uk-UA"/>
        </w:rPr>
        <w:t xml:space="preserve">і після цього демонструє органові, призначеному відповідно до п. 5, що його змінна середня позиція за 30 робочих днів не перевищує кліринговий поріг, </w:t>
      </w:r>
      <w:r w:rsidR="00B7679B">
        <w:rPr>
          <w:rFonts w:ascii="Times New Roman" w:eastAsia="Times New Roman" w:hAnsi="Times New Roman" w:cs="Times New Roman"/>
          <w:sz w:val="27"/>
          <w:szCs w:val="27"/>
          <w:lang w:val="uk-UA"/>
        </w:rPr>
        <w:t>більше не підпадає під дію зобов’язання щодо клірингу, встановленого у статті 4.</w:t>
      </w:r>
    </w:p>
    <w:p w:rsidR="009659D4"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B86AF7">
        <w:rPr>
          <w:rFonts w:ascii="Times New Roman" w:eastAsia="Times New Roman" w:hAnsi="Times New Roman" w:cs="Times New Roman"/>
          <w:sz w:val="27"/>
          <w:szCs w:val="27"/>
          <w:lang w:val="uk-UA"/>
        </w:rPr>
        <w:lastRenderedPageBreak/>
        <w:t>3.</w:t>
      </w:r>
      <w:r w:rsidRPr="006279CF">
        <w:rPr>
          <w:rFonts w:ascii="Times New Roman" w:eastAsia="Times New Roman" w:hAnsi="Times New Roman" w:cs="Times New Roman"/>
          <w:sz w:val="27"/>
          <w:szCs w:val="27"/>
        </w:rPr>
        <w:t>   </w:t>
      </w:r>
      <w:r w:rsidR="009659D4">
        <w:rPr>
          <w:rFonts w:ascii="Times New Roman" w:eastAsia="Times New Roman" w:hAnsi="Times New Roman" w:cs="Times New Roman"/>
          <w:sz w:val="27"/>
          <w:szCs w:val="27"/>
          <w:lang w:val="uk-UA"/>
        </w:rPr>
        <w:t>Розраховуючи позиції, згадані у пункті 1</w:t>
      </w:r>
      <w:r w:rsidR="003F06CA" w:rsidRPr="003F06CA">
        <w:rPr>
          <w:rFonts w:ascii="Times New Roman" w:eastAsia="Times New Roman" w:hAnsi="Times New Roman" w:cs="Times New Roman"/>
          <w:sz w:val="27"/>
          <w:szCs w:val="27"/>
          <w:lang w:val="uk-UA"/>
        </w:rPr>
        <w:t xml:space="preserve"> </w:t>
      </w:r>
      <w:r w:rsidR="003F06CA">
        <w:rPr>
          <w:rFonts w:ascii="Times New Roman" w:eastAsia="Times New Roman" w:hAnsi="Times New Roman" w:cs="Times New Roman"/>
          <w:sz w:val="27"/>
          <w:szCs w:val="27"/>
          <w:lang w:val="uk-UA"/>
        </w:rPr>
        <w:t>цієї статті</w:t>
      </w:r>
      <w:r w:rsidR="009659D4">
        <w:rPr>
          <w:rFonts w:ascii="Times New Roman" w:eastAsia="Times New Roman" w:hAnsi="Times New Roman" w:cs="Times New Roman"/>
          <w:sz w:val="27"/>
          <w:szCs w:val="27"/>
          <w:lang w:val="uk-UA"/>
        </w:rPr>
        <w:t xml:space="preserve">, нефінансовий контрагент включає всі контракти на позабіржові деривативи, укладені цим нефінансовим контрагентом або іншими нефінансовими суб’єктами у групі, до якої відноситься цей нефінансовий контрагент, </w:t>
      </w:r>
      <w:r w:rsidR="005452ED">
        <w:rPr>
          <w:rFonts w:ascii="Times New Roman" w:eastAsia="Times New Roman" w:hAnsi="Times New Roman" w:cs="Times New Roman"/>
          <w:sz w:val="27"/>
          <w:szCs w:val="27"/>
          <w:lang w:val="uk-UA"/>
        </w:rPr>
        <w:t xml:space="preserve">які не є об’єктивно вимірними як такі, що зменшують ризики, безпосередньо пов'язані з комерційною діяльністю або </w:t>
      </w:r>
      <w:proofErr w:type="spellStart"/>
      <w:r w:rsidR="005452ED">
        <w:rPr>
          <w:rFonts w:ascii="Times New Roman" w:eastAsia="Times New Roman" w:hAnsi="Times New Roman" w:cs="Times New Roman"/>
          <w:sz w:val="27"/>
          <w:szCs w:val="27"/>
          <w:lang w:val="uk-UA"/>
        </w:rPr>
        <w:t>казначейсько</w:t>
      </w:r>
      <w:proofErr w:type="spellEnd"/>
      <w:r w:rsidR="005452ED">
        <w:rPr>
          <w:rFonts w:ascii="Times New Roman" w:eastAsia="Times New Roman" w:hAnsi="Times New Roman" w:cs="Times New Roman"/>
          <w:sz w:val="27"/>
          <w:szCs w:val="27"/>
          <w:lang w:val="uk-UA"/>
        </w:rPr>
        <w:t>-фінансовою діяльністю нефінансового контрагента або цієї групи.</w:t>
      </w:r>
    </w:p>
    <w:p w:rsidR="00DE77B0" w:rsidRPr="000F3B3D"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0F3B3D">
        <w:rPr>
          <w:rFonts w:ascii="Times New Roman" w:eastAsia="Times New Roman" w:hAnsi="Times New Roman" w:cs="Times New Roman"/>
          <w:sz w:val="27"/>
          <w:szCs w:val="27"/>
          <w:lang w:val="uk-UA"/>
        </w:rPr>
        <w:t>4.</w:t>
      </w:r>
      <w:r w:rsidRPr="006279CF">
        <w:rPr>
          <w:rFonts w:ascii="Times New Roman" w:eastAsia="Times New Roman" w:hAnsi="Times New Roman" w:cs="Times New Roman"/>
          <w:sz w:val="27"/>
          <w:szCs w:val="27"/>
        </w:rPr>
        <w:t>   </w:t>
      </w:r>
      <w:r w:rsidR="00B7679B">
        <w:rPr>
          <w:rFonts w:ascii="Times New Roman" w:eastAsia="Times New Roman" w:hAnsi="Times New Roman" w:cs="Times New Roman"/>
          <w:sz w:val="27"/>
          <w:szCs w:val="27"/>
          <w:lang w:val="uk-UA"/>
        </w:rPr>
        <w:t xml:space="preserve">Для того, щоб забезпечити єдині умови застосування </w:t>
      </w:r>
      <w:r w:rsidR="000F3B3D">
        <w:rPr>
          <w:rFonts w:ascii="Times New Roman" w:eastAsia="Times New Roman" w:hAnsi="Times New Roman" w:cs="Times New Roman"/>
          <w:sz w:val="27"/>
          <w:szCs w:val="27"/>
          <w:lang w:val="uk-UA"/>
        </w:rPr>
        <w:t>цієї статті</w:t>
      </w:r>
      <w:r w:rsidR="00B7679B">
        <w:rPr>
          <w:rFonts w:ascii="Times New Roman" w:eastAsia="Times New Roman" w:hAnsi="Times New Roman" w:cs="Times New Roman"/>
          <w:sz w:val="27"/>
          <w:szCs w:val="27"/>
          <w:lang w:val="uk-UA"/>
        </w:rPr>
        <w:t xml:space="preserve">, </w:t>
      </w:r>
      <w:r w:rsidR="00B7679B">
        <w:rPr>
          <w:rFonts w:ascii="Times New Roman" w:eastAsia="Times New Roman" w:hAnsi="Times New Roman" w:cs="Times New Roman"/>
          <w:sz w:val="27"/>
          <w:szCs w:val="27"/>
        </w:rPr>
        <w:t>ESMA</w:t>
      </w:r>
      <w:r w:rsidR="00B7679B">
        <w:rPr>
          <w:rFonts w:ascii="Times New Roman" w:eastAsia="Times New Roman" w:hAnsi="Times New Roman" w:cs="Times New Roman"/>
          <w:sz w:val="27"/>
          <w:szCs w:val="27"/>
          <w:lang w:val="uk-UA"/>
        </w:rPr>
        <w:t xml:space="preserve"> розробляє</w:t>
      </w:r>
      <w:r w:rsidR="000F3B3D">
        <w:rPr>
          <w:rFonts w:ascii="Times New Roman" w:eastAsia="Times New Roman" w:hAnsi="Times New Roman" w:cs="Times New Roman"/>
          <w:sz w:val="27"/>
          <w:szCs w:val="27"/>
          <w:lang w:val="uk-UA"/>
        </w:rPr>
        <w:t>, на основі консультаці</w:t>
      </w:r>
      <w:r w:rsidR="000A5EF4">
        <w:rPr>
          <w:rFonts w:ascii="Times New Roman" w:eastAsia="Times New Roman" w:hAnsi="Times New Roman" w:cs="Times New Roman"/>
          <w:sz w:val="27"/>
          <w:szCs w:val="27"/>
          <w:lang w:val="uk-UA"/>
        </w:rPr>
        <w:t>й</w:t>
      </w:r>
      <w:r w:rsidR="000F3B3D">
        <w:rPr>
          <w:rFonts w:ascii="Times New Roman" w:eastAsia="Times New Roman" w:hAnsi="Times New Roman" w:cs="Times New Roman"/>
          <w:sz w:val="27"/>
          <w:szCs w:val="27"/>
          <w:lang w:val="uk-UA"/>
        </w:rPr>
        <w:t xml:space="preserve"> з </w:t>
      </w:r>
      <w:r w:rsidR="004E7873">
        <w:rPr>
          <w:rFonts w:ascii="Times New Roman" w:eastAsia="Times New Roman" w:hAnsi="Times New Roman" w:cs="Times New Roman"/>
          <w:sz w:val="27"/>
          <w:szCs w:val="27"/>
          <w:lang w:val="uk-UA"/>
        </w:rPr>
        <w:t>ESRB</w:t>
      </w:r>
      <w:r w:rsidR="000F3B3D">
        <w:rPr>
          <w:rFonts w:ascii="Times New Roman" w:eastAsia="Times New Roman" w:hAnsi="Times New Roman" w:cs="Times New Roman"/>
          <w:sz w:val="27"/>
          <w:szCs w:val="27"/>
          <w:lang w:val="uk-UA"/>
        </w:rPr>
        <w:t xml:space="preserve"> та іншими відповідними органами, </w:t>
      </w:r>
      <w:r w:rsidR="00B7679B">
        <w:rPr>
          <w:rFonts w:ascii="Times New Roman" w:eastAsia="Times New Roman" w:hAnsi="Times New Roman" w:cs="Times New Roman"/>
          <w:sz w:val="27"/>
          <w:szCs w:val="27"/>
          <w:lang w:val="uk-UA"/>
        </w:rPr>
        <w:t>проекти регуляторних технічних стандартів, де зазначаються</w:t>
      </w:r>
      <w:r w:rsidR="00B7679B" w:rsidRPr="00C87621">
        <w:rPr>
          <w:rFonts w:ascii="Times New Roman" w:eastAsia="Times New Roman" w:hAnsi="Times New Roman" w:cs="Times New Roman"/>
          <w:sz w:val="27"/>
          <w:szCs w:val="27"/>
          <w:lang w:val="uk-UA"/>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5452ED" w:rsidP="005452ED">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критерії визначення того, які контракти на позабіржові деривативи є об’єктивно вимірними як такі, що зменшують ризики, безпосередньо пов'язані з комерційною діяльністю або </w:t>
            </w:r>
            <w:proofErr w:type="spellStart"/>
            <w:r>
              <w:rPr>
                <w:rFonts w:ascii="Times New Roman" w:eastAsia="Times New Roman" w:hAnsi="Times New Roman" w:cs="Times New Roman"/>
                <w:sz w:val="27"/>
                <w:szCs w:val="27"/>
                <w:lang w:val="uk-UA"/>
              </w:rPr>
              <w:t>казначейсько</w:t>
            </w:r>
            <w:proofErr w:type="spellEnd"/>
            <w:r>
              <w:rPr>
                <w:rFonts w:ascii="Times New Roman" w:eastAsia="Times New Roman" w:hAnsi="Times New Roman" w:cs="Times New Roman"/>
                <w:sz w:val="27"/>
                <w:szCs w:val="27"/>
                <w:lang w:val="uk-UA"/>
              </w:rPr>
              <w:t>-фінансовою діяльністю, згаданою у пункті 3</w:t>
            </w:r>
            <w:r w:rsidR="003F06CA">
              <w:rPr>
                <w:rFonts w:ascii="Times New Roman" w:eastAsia="Times New Roman" w:hAnsi="Times New Roman" w:cs="Times New Roman"/>
                <w:sz w:val="27"/>
                <w:szCs w:val="27"/>
                <w:lang w:val="uk-UA"/>
              </w:rPr>
              <w:t xml:space="preserve"> цієї статті</w:t>
            </w:r>
            <w:r>
              <w:rPr>
                <w:rFonts w:ascii="Times New Roman" w:eastAsia="Times New Roman" w:hAnsi="Times New Roman" w:cs="Times New Roman"/>
                <w:sz w:val="27"/>
                <w:szCs w:val="27"/>
                <w:lang w:val="uk-UA"/>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5452ED" w:rsidRDefault="005452ED" w:rsidP="000A5EF4">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величини клірингових порогів, які визначаються з урахуванням системної значущості суми чистих позицій та </w:t>
            </w:r>
            <w:proofErr w:type="spellStart"/>
            <w:r>
              <w:rPr>
                <w:rFonts w:ascii="Times New Roman" w:eastAsia="Times New Roman" w:hAnsi="Times New Roman" w:cs="Times New Roman"/>
                <w:sz w:val="27"/>
                <w:szCs w:val="27"/>
                <w:lang w:val="ru-RU"/>
              </w:rPr>
              <w:t>чистої</w:t>
            </w:r>
            <w:proofErr w:type="spellEnd"/>
            <w:r w:rsidRPr="00B86AF7">
              <w:rPr>
                <w:rFonts w:ascii="Times New Roman" w:eastAsia="Times New Roman" w:hAnsi="Times New Roman" w:cs="Times New Roman"/>
                <w:sz w:val="27"/>
                <w:szCs w:val="27"/>
                <w:lang w:val="ru-RU"/>
              </w:rPr>
              <w:t xml:space="preserve"> </w:t>
            </w:r>
            <w:proofErr w:type="spellStart"/>
            <w:r>
              <w:rPr>
                <w:rFonts w:ascii="Times New Roman" w:eastAsia="Times New Roman" w:hAnsi="Times New Roman" w:cs="Times New Roman"/>
                <w:sz w:val="27"/>
                <w:szCs w:val="27"/>
                <w:lang w:val="ru-RU"/>
              </w:rPr>
              <w:t>схильності</w:t>
            </w:r>
            <w:proofErr w:type="spellEnd"/>
            <w:r w:rsidRPr="00B86AF7">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до</w:t>
            </w:r>
            <w:r w:rsidRPr="00B86AF7">
              <w:rPr>
                <w:rFonts w:ascii="Times New Roman" w:eastAsia="Times New Roman" w:hAnsi="Times New Roman" w:cs="Times New Roman"/>
                <w:sz w:val="27"/>
                <w:szCs w:val="27"/>
                <w:lang w:val="ru-RU"/>
              </w:rPr>
              <w:t xml:space="preserve"> </w:t>
            </w:r>
            <w:proofErr w:type="spellStart"/>
            <w:r>
              <w:rPr>
                <w:rFonts w:ascii="Times New Roman" w:eastAsia="Times New Roman" w:hAnsi="Times New Roman" w:cs="Times New Roman"/>
                <w:sz w:val="27"/>
                <w:szCs w:val="27"/>
                <w:lang w:val="ru-RU"/>
              </w:rPr>
              <w:t>ризику</w:t>
            </w:r>
            <w:proofErr w:type="spellEnd"/>
            <w:r w:rsidRPr="00B86AF7">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на</w:t>
            </w:r>
            <w:r w:rsidRPr="00B86AF7">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одного</w:t>
            </w:r>
            <w:r w:rsidRPr="00B86AF7">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контрагента</w:t>
            </w:r>
            <w:r w:rsidRPr="00B86AF7">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і</w:t>
            </w:r>
            <w:r w:rsidRPr="00B86AF7">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на</w:t>
            </w:r>
            <w:r w:rsidRPr="00B86AF7">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один</w:t>
            </w:r>
            <w:r w:rsidRPr="00B86AF7">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клас</w:t>
            </w:r>
            <w:r w:rsidR="000A5EF4">
              <w:rPr>
                <w:rFonts w:ascii="Times New Roman" w:eastAsia="Times New Roman" w:hAnsi="Times New Roman" w:cs="Times New Roman"/>
                <w:sz w:val="27"/>
                <w:szCs w:val="27"/>
                <w:lang w:val="uk-UA"/>
              </w:rPr>
              <w:t xml:space="preserve"> позабіржових деривативів.</w:t>
            </w:r>
          </w:p>
        </w:tc>
      </w:tr>
    </w:tbl>
    <w:p w:rsidR="009659D4" w:rsidRPr="00A64037" w:rsidRDefault="000A5EF4" w:rsidP="009659D4">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Після проведення відкритих консультацій з громадськістю </w:t>
      </w:r>
      <w:r w:rsidR="009659D4" w:rsidRPr="006279CF">
        <w:rPr>
          <w:rFonts w:ascii="Times New Roman" w:eastAsia="Times New Roman" w:hAnsi="Times New Roman" w:cs="Times New Roman"/>
          <w:sz w:val="27"/>
          <w:szCs w:val="27"/>
        </w:rPr>
        <w:t>ESMA</w:t>
      </w:r>
      <w:r w:rsidR="009659D4" w:rsidRPr="00A64037">
        <w:rPr>
          <w:rFonts w:ascii="Times New Roman" w:eastAsia="Times New Roman" w:hAnsi="Times New Roman" w:cs="Times New Roman"/>
          <w:sz w:val="27"/>
          <w:szCs w:val="27"/>
          <w:lang w:val="uk-UA"/>
        </w:rPr>
        <w:t xml:space="preserve"> </w:t>
      </w:r>
      <w:r w:rsidR="009659D4">
        <w:rPr>
          <w:rFonts w:ascii="Times New Roman" w:eastAsia="Times New Roman" w:hAnsi="Times New Roman" w:cs="Times New Roman"/>
          <w:sz w:val="27"/>
          <w:szCs w:val="27"/>
          <w:lang w:val="uk-UA"/>
        </w:rPr>
        <w:t>подає ці проекти регуляторних технічних стандартів Комісії до 30 вересня 2012 р.</w:t>
      </w:r>
    </w:p>
    <w:p w:rsidR="00DE77B0" w:rsidRPr="00B86AF7" w:rsidRDefault="009659D4" w:rsidP="000A5EF4">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першому абзаці цього пункту, згідно зі статт</w:t>
      </w:r>
      <w:r w:rsidR="000A5EF4">
        <w:rPr>
          <w:rFonts w:ascii="Times New Roman" w:eastAsia="Times New Roman" w:hAnsi="Times New Roman" w:cs="Times New Roman"/>
          <w:sz w:val="27"/>
          <w:szCs w:val="27"/>
          <w:lang w:val="uk-UA"/>
        </w:rPr>
        <w:t xml:space="preserve">ями 10-14 </w:t>
      </w:r>
      <w:r>
        <w:rPr>
          <w:rFonts w:ascii="Times New Roman" w:eastAsia="Times New Roman" w:hAnsi="Times New Roman" w:cs="Times New Roman"/>
          <w:sz w:val="27"/>
          <w:szCs w:val="27"/>
          <w:lang w:val="uk-UA"/>
        </w:rPr>
        <w:t>Регламенту</w:t>
      </w:r>
      <w:r w:rsidRPr="00A6403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64037">
        <w:rPr>
          <w:rFonts w:ascii="Times New Roman" w:eastAsia="Times New Roman" w:hAnsi="Times New Roman" w:cs="Times New Roman"/>
          <w:sz w:val="27"/>
          <w:szCs w:val="27"/>
          <w:lang w:val="uk-UA"/>
        </w:rPr>
        <w:t>1095/2010.</w:t>
      </w:r>
    </w:p>
    <w:p w:rsidR="00DE77B0" w:rsidRPr="00B86AF7" w:rsidRDefault="000A5EF4" w:rsidP="009773B3">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За результатами консультацій з </w:t>
      </w:r>
      <w:r w:rsidR="004E7873">
        <w:rPr>
          <w:rFonts w:ascii="Times New Roman" w:eastAsia="Times New Roman" w:hAnsi="Times New Roman" w:cs="Times New Roman"/>
          <w:sz w:val="27"/>
          <w:szCs w:val="27"/>
          <w:lang w:val="uk-UA"/>
        </w:rPr>
        <w:t>ESRB</w:t>
      </w:r>
      <w:r w:rsidR="009773B3">
        <w:rPr>
          <w:rFonts w:ascii="Times New Roman" w:eastAsia="Times New Roman" w:hAnsi="Times New Roman" w:cs="Times New Roman"/>
          <w:sz w:val="27"/>
          <w:szCs w:val="27"/>
          <w:lang w:val="uk-UA"/>
        </w:rPr>
        <w:t xml:space="preserve"> та іншими відповідними органами </w:t>
      </w:r>
      <w:r w:rsidR="009773B3">
        <w:rPr>
          <w:rFonts w:ascii="Times New Roman" w:eastAsia="Times New Roman" w:hAnsi="Times New Roman" w:cs="Times New Roman"/>
          <w:sz w:val="27"/>
          <w:szCs w:val="27"/>
        </w:rPr>
        <w:t>ESMA</w:t>
      </w:r>
      <w:r w:rsidR="009773B3">
        <w:rPr>
          <w:rFonts w:ascii="Times New Roman" w:eastAsia="Times New Roman" w:hAnsi="Times New Roman" w:cs="Times New Roman"/>
          <w:sz w:val="27"/>
          <w:szCs w:val="27"/>
          <w:lang w:val="uk-UA"/>
        </w:rPr>
        <w:t xml:space="preserve"> періодично переглядає вищезгадані пороги та у потрібних випадках пропонує регуляторні технічні стандарти для внесення змін у ці пороги.</w:t>
      </w:r>
    </w:p>
    <w:p w:rsidR="00DE77B0" w:rsidRPr="00B86AF7" w:rsidRDefault="00DE77B0" w:rsidP="009773B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9773B3">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9773B3">
        <w:rPr>
          <w:rFonts w:ascii="Times New Roman" w:eastAsia="Times New Roman" w:hAnsi="Times New Roman" w:cs="Times New Roman"/>
          <w:sz w:val="27"/>
          <w:szCs w:val="27"/>
          <w:lang w:val="uk-UA"/>
        </w:rPr>
        <w:t xml:space="preserve">Кожна держава-член </w:t>
      </w:r>
      <w:r w:rsidR="003D6B58">
        <w:rPr>
          <w:rFonts w:ascii="Times New Roman" w:eastAsia="Times New Roman" w:hAnsi="Times New Roman" w:cs="Times New Roman"/>
          <w:sz w:val="27"/>
          <w:szCs w:val="27"/>
          <w:lang w:val="uk-UA"/>
        </w:rPr>
        <w:t>Союзу</w:t>
      </w:r>
      <w:r w:rsidR="009773B3">
        <w:rPr>
          <w:rFonts w:ascii="Times New Roman" w:eastAsia="Times New Roman" w:hAnsi="Times New Roman" w:cs="Times New Roman"/>
          <w:sz w:val="27"/>
          <w:szCs w:val="27"/>
          <w:lang w:val="uk-UA"/>
        </w:rPr>
        <w:t xml:space="preserve"> призначає орган, відповідальний за забезпечення виконання зобов’язання, згаданого у пункті 1</w:t>
      </w:r>
      <w:r w:rsidR="003F06CA">
        <w:rPr>
          <w:rFonts w:ascii="Times New Roman" w:eastAsia="Times New Roman" w:hAnsi="Times New Roman" w:cs="Times New Roman"/>
          <w:sz w:val="27"/>
          <w:szCs w:val="27"/>
          <w:lang w:val="uk-UA"/>
        </w:rPr>
        <w:t xml:space="preserve"> цієї статті</w:t>
      </w:r>
      <w:r w:rsidR="009773B3">
        <w:rPr>
          <w:rFonts w:ascii="Times New Roman" w:eastAsia="Times New Roman" w:hAnsi="Times New Roman" w:cs="Times New Roman"/>
          <w:sz w:val="27"/>
          <w:szCs w:val="27"/>
          <w:lang w:val="uk-UA"/>
        </w:rPr>
        <w:t>.</w:t>
      </w:r>
    </w:p>
    <w:p w:rsidR="00DE77B0" w:rsidRPr="00B86AF7"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B86AF7">
        <w:rPr>
          <w:rFonts w:ascii="Times New Roman" w:eastAsia="Times New Roman" w:hAnsi="Times New Roman" w:cs="Times New Roman"/>
          <w:i/>
          <w:iCs/>
          <w:sz w:val="27"/>
          <w:szCs w:val="27"/>
          <w:lang w:val="ru-RU"/>
        </w:rPr>
        <w:t>Стаття</w:t>
      </w:r>
      <w:proofErr w:type="spellEnd"/>
      <w:r w:rsidR="00DE77B0" w:rsidRPr="00B86AF7">
        <w:rPr>
          <w:rFonts w:ascii="Times New Roman" w:eastAsia="Times New Roman" w:hAnsi="Times New Roman" w:cs="Times New Roman"/>
          <w:i/>
          <w:iCs/>
          <w:sz w:val="27"/>
          <w:szCs w:val="27"/>
          <w:lang w:val="ru-RU"/>
        </w:rPr>
        <w:t xml:space="preserve"> 11</w:t>
      </w:r>
    </w:p>
    <w:p w:rsidR="00DE77B0" w:rsidRPr="00B86AF7" w:rsidRDefault="0034053F"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Методи зменшення ризиків для контрактів на позабіржові деривативи, кліринг яких не здійснює ЦКА</w:t>
      </w:r>
    </w:p>
    <w:p w:rsidR="00DE77B0" w:rsidRPr="00B86AF7" w:rsidRDefault="00DE77B0" w:rsidP="00F07D1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07D14">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F07D14">
        <w:rPr>
          <w:rFonts w:ascii="Times New Roman" w:eastAsia="Times New Roman" w:hAnsi="Times New Roman" w:cs="Times New Roman"/>
          <w:sz w:val="27"/>
          <w:szCs w:val="27"/>
          <w:lang w:val="uk-UA"/>
        </w:rPr>
        <w:t>Фінансові контрагенти та нефінансові контрагенти, що укладають контракт на позабіржовий дериватив, кліринг якого не здійснює ЦКА, забезпечують, виявляючи належну дбайливість, запровадження відповідних процедур і механізмів для вимірювання, моніторингу і зменшення операційного ризику та кредитного ризику контрагентів, включаючи, як мінімум:</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6AF7" w:rsidRDefault="00F07D14" w:rsidP="009D4402">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своєчасне підтвердження, де можливо, електронними засобами, умов відповідного </w:t>
            </w:r>
            <w:r w:rsidR="009D4402">
              <w:rPr>
                <w:rFonts w:ascii="Times New Roman" w:eastAsia="Times New Roman" w:hAnsi="Times New Roman" w:cs="Times New Roman"/>
                <w:sz w:val="27"/>
                <w:szCs w:val="27"/>
                <w:lang w:val="uk-UA"/>
              </w:rPr>
              <w:t>контракту на позабіржовий дериватив;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9D4402" w:rsidP="00AE0E30">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формалізовані процеси, що є стійкими, стабільними та </w:t>
            </w:r>
            <w:r w:rsidR="009B2F14">
              <w:rPr>
                <w:rFonts w:ascii="Times New Roman" w:eastAsia="Times New Roman" w:hAnsi="Times New Roman" w:cs="Times New Roman"/>
                <w:sz w:val="27"/>
                <w:szCs w:val="27"/>
                <w:lang w:val="uk-UA"/>
              </w:rPr>
              <w:t>можуть бути перевірені, для узгодження портфелів, управління супутнім ризиком і завчасного виявлення спорів між сторонами та врегулювання цих спорів, а також контролю вартості ще не виконаних контрактів.</w:t>
            </w:r>
          </w:p>
        </w:tc>
      </w:tr>
    </w:tbl>
    <w:p w:rsidR="00DE77B0" w:rsidRPr="00B86AF7" w:rsidRDefault="00DE77B0" w:rsidP="00AE0E30">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B86AF7">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AE0E30">
        <w:rPr>
          <w:rFonts w:ascii="Times New Roman" w:eastAsia="Times New Roman" w:hAnsi="Times New Roman" w:cs="Times New Roman"/>
          <w:sz w:val="27"/>
          <w:szCs w:val="27"/>
          <w:lang w:val="uk-UA"/>
        </w:rPr>
        <w:t xml:space="preserve">Фінансові контрагенти та нефінансові контрагенти, згадані у статті 10, щоденно здійснюють ринкову переоцінку вартості ще не виконаних контрактів. Якщо умови ринку не дозволяють здійснити таку переоцінку, застосовується надійна і </w:t>
      </w:r>
      <w:proofErr w:type="spellStart"/>
      <w:r w:rsidR="00AE0E30">
        <w:rPr>
          <w:rFonts w:ascii="Times New Roman" w:eastAsia="Times New Roman" w:hAnsi="Times New Roman" w:cs="Times New Roman"/>
          <w:sz w:val="27"/>
          <w:szCs w:val="27"/>
          <w:lang w:val="uk-UA"/>
        </w:rPr>
        <w:t>обгрунтована</w:t>
      </w:r>
      <w:proofErr w:type="spellEnd"/>
      <w:r w:rsidR="00AE0E30">
        <w:rPr>
          <w:rFonts w:ascii="Times New Roman" w:eastAsia="Times New Roman" w:hAnsi="Times New Roman" w:cs="Times New Roman"/>
          <w:sz w:val="27"/>
          <w:szCs w:val="27"/>
          <w:lang w:val="uk-UA"/>
        </w:rPr>
        <w:t xml:space="preserve"> оцінка на основі моделі.</w:t>
      </w:r>
    </w:p>
    <w:p w:rsidR="009C419B"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B86AF7">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2B58F9">
        <w:rPr>
          <w:rFonts w:ascii="Times New Roman" w:eastAsia="Times New Roman" w:hAnsi="Times New Roman" w:cs="Times New Roman"/>
          <w:sz w:val="27"/>
          <w:szCs w:val="27"/>
          <w:lang w:val="uk-UA"/>
        </w:rPr>
        <w:t>Фінансові контрагенти запроваджують процедури управління ризиками, що вимагають своєчасного, точного і належним чином відокремленого обміну забезпеченням по відношенню до контрактів на позабіржові деривативи, які укладені 16 серпня 2012 р. або пізніше. Нефінансові контрагенти, згадані у статті 10, запроваджують процедури управління ризиками, що вимагають своєчасного, точного і належним чином відокремленого обміну забезпеченням по відношенню до контрактів на позабіржові деривативи, які укладені</w:t>
      </w:r>
      <w:r w:rsidR="009C419B">
        <w:rPr>
          <w:rFonts w:ascii="Times New Roman" w:eastAsia="Times New Roman" w:hAnsi="Times New Roman" w:cs="Times New Roman"/>
          <w:sz w:val="27"/>
          <w:szCs w:val="27"/>
          <w:lang w:val="uk-UA"/>
        </w:rPr>
        <w:t xml:space="preserve"> у дату перевищення клірингового порогу або пізніше.</w:t>
      </w:r>
    </w:p>
    <w:p w:rsidR="00DE77B0" w:rsidRPr="00B86AF7" w:rsidRDefault="00DE77B0" w:rsidP="0078758C">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9C419B">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9C419B">
        <w:rPr>
          <w:rFonts w:ascii="Times New Roman" w:eastAsia="Times New Roman" w:hAnsi="Times New Roman" w:cs="Times New Roman"/>
          <w:sz w:val="27"/>
          <w:szCs w:val="27"/>
          <w:lang w:val="uk-UA"/>
        </w:rPr>
        <w:t xml:space="preserve">Фінансові контрагенти підтримують належний та сумірний обсяг капіталу для </w:t>
      </w:r>
      <w:r w:rsidR="0078758C">
        <w:rPr>
          <w:rFonts w:ascii="Times New Roman" w:eastAsia="Times New Roman" w:hAnsi="Times New Roman" w:cs="Times New Roman"/>
          <w:sz w:val="27"/>
          <w:szCs w:val="27"/>
          <w:lang w:val="uk-UA"/>
        </w:rPr>
        <w:t xml:space="preserve">управління ризиком, не покритим відповідним обміном забезпеченням. </w:t>
      </w:r>
    </w:p>
    <w:p w:rsidR="00DE77B0" w:rsidRPr="00C00B86" w:rsidRDefault="00DE77B0" w:rsidP="00FE5A6F">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D714C">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ED714C">
        <w:rPr>
          <w:rFonts w:ascii="Times New Roman" w:eastAsia="Times New Roman" w:hAnsi="Times New Roman" w:cs="Times New Roman"/>
          <w:sz w:val="27"/>
          <w:szCs w:val="27"/>
          <w:lang w:val="uk-UA"/>
        </w:rPr>
        <w:t xml:space="preserve">Вимога, викладена у пункті 3 цієї статті, не поширюється на </w:t>
      </w:r>
      <w:proofErr w:type="spellStart"/>
      <w:r w:rsidR="00ED714C">
        <w:rPr>
          <w:rFonts w:ascii="Times New Roman" w:eastAsia="Times New Roman" w:hAnsi="Times New Roman" w:cs="Times New Roman"/>
          <w:sz w:val="27"/>
          <w:szCs w:val="27"/>
          <w:lang w:val="uk-UA"/>
        </w:rPr>
        <w:t>внутрішньогрупову</w:t>
      </w:r>
      <w:proofErr w:type="spellEnd"/>
      <w:r w:rsidR="00ED714C">
        <w:rPr>
          <w:rFonts w:ascii="Times New Roman" w:eastAsia="Times New Roman" w:hAnsi="Times New Roman" w:cs="Times New Roman"/>
          <w:sz w:val="27"/>
          <w:szCs w:val="27"/>
          <w:lang w:val="uk-UA"/>
        </w:rPr>
        <w:t xml:space="preserve"> угоду, згадану в статті 3, яка укладена контрагентами, що створені в одній</w:t>
      </w:r>
      <w:r w:rsidR="00FE5A6F">
        <w:rPr>
          <w:rFonts w:ascii="Times New Roman" w:eastAsia="Times New Roman" w:hAnsi="Times New Roman" w:cs="Times New Roman"/>
          <w:sz w:val="27"/>
          <w:szCs w:val="27"/>
          <w:lang w:val="uk-UA"/>
        </w:rPr>
        <w:t xml:space="preserve"> державі-члені </w:t>
      </w:r>
      <w:r w:rsidR="003D6B58">
        <w:rPr>
          <w:rFonts w:ascii="Times New Roman" w:eastAsia="Times New Roman" w:hAnsi="Times New Roman" w:cs="Times New Roman"/>
          <w:sz w:val="27"/>
          <w:szCs w:val="27"/>
          <w:lang w:val="uk-UA"/>
        </w:rPr>
        <w:t>Союзу</w:t>
      </w:r>
      <w:r w:rsidR="00FE5A6F">
        <w:rPr>
          <w:rFonts w:ascii="Times New Roman" w:eastAsia="Times New Roman" w:hAnsi="Times New Roman" w:cs="Times New Roman"/>
          <w:sz w:val="27"/>
          <w:szCs w:val="27"/>
          <w:lang w:val="uk-UA"/>
        </w:rPr>
        <w:t xml:space="preserve">, за умови, що </w:t>
      </w:r>
      <w:r w:rsidR="00C00B86">
        <w:rPr>
          <w:rFonts w:ascii="Times New Roman" w:eastAsia="Times New Roman" w:hAnsi="Times New Roman" w:cs="Times New Roman"/>
          <w:sz w:val="27"/>
          <w:szCs w:val="27"/>
          <w:lang w:val="uk-UA"/>
        </w:rPr>
        <w:t>на даний момент не існує і не передбачається жодної практичної або юридичної перешкоди для негайного перерахування власних коштів або погашення зобов’язань між контрагентами.</w:t>
      </w:r>
    </w:p>
    <w:p w:rsidR="00DE77B0" w:rsidRPr="00EE2440" w:rsidRDefault="00DE77B0" w:rsidP="0096289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B86AF7">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w:t>
      </w:r>
      <w:proofErr w:type="spellStart"/>
      <w:r w:rsidR="00672D35">
        <w:rPr>
          <w:rFonts w:ascii="Times New Roman" w:eastAsia="Times New Roman" w:hAnsi="Times New Roman" w:cs="Times New Roman"/>
          <w:sz w:val="27"/>
          <w:szCs w:val="27"/>
          <w:lang w:val="uk-UA"/>
        </w:rPr>
        <w:t>Внутрішньогрупова</w:t>
      </w:r>
      <w:proofErr w:type="spellEnd"/>
      <w:r w:rsidR="00672D35">
        <w:rPr>
          <w:rFonts w:ascii="Times New Roman" w:eastAsia="Times New Roman" w:hAnsi="Times New Roman" w:cs="Times New Roman"/>
          <w:sz w:val="27"/>
          <w:szCs w:val="27"/>
          <w:lang w:val="uk-UA"/>
        </w:rPr>
        <w:t xml:space="preserve"> угода, згадана у пункті </w:t>
      </w:r>
      <w:r w:rsidR="00672D35" w:rsidRPr="00EE2440">
        <w:rPr>
          <w:rFonts w:ascii="Times New Roman" w:eastAsia="Times New Roman" w:hAnsi="Times New Roman" w:cs="Times New Roman"/>
          <w:sz w:val="27"/>
          <w:szCs w:val="27"/>
          <w:lang w:val="ru-RU"/>
        </w:rPr>
        <w:t>(2)(</w:t>
      </w:r>
      <w:r w:rsidR="00672D35" w:rsidRPr="006279CF">
        <w:rPr>
          <w:rFonts w:ascii="Times New Roman" w:eastAsia="Times New Roman" w:hAnsi="Times New Roman" w:cs="Times New Roman"/>
          <w:sz w:val="27"/>
          <w:szCs w:val="27"/>
        </w:rPr>
        <w:t>a</w:t>
      </w:r>
      <w:r w:rsidR="00672D35" w:rsidRPr="00EE2440">
        <w:rPr>
          <w:rFonts w:ascii="Times New Roman" w:eastAsia="Times New Roman" w:hAnsi="Times New Roman" w:cs="Times New Roman"/>
          <w:sz w:val="27"/>
          <w:szCs w:val="27"/>
          <w:lang w:val="ru-RU"/>
        </w:rPr>
        <w:t>), (</w:t>
      </w:r>
      <w:r w:rsidR="00672D35" w:rsidRPr="006279CF">
        <w:rPr>
          <w:rFonts w:ascii="Times New Roman" w:eastAsia="Times New Roman" w:hAnsi="Times New Roman" w:cs="Times New Roman"/>
          <w:sz w:val="27"/>
          <w:szCs w:val="27"/>
        </w:rPr>
        <w:t>b</w:t>
      </w:r>
      <w:r w:rsidR="00672D35" w:rsidRPr="00EE2440">
        <w:rPr>
          <w:rFonts w:ascii="Times New Roman" w:eastAsia="Times New Roman" w:hAnsi="Times New Roman" w:cs="Times New Roman"/>
          <w:sz w:val="27"/>
          <w:szCs w:val="27"/>
          <w:lang w:val="ru-RU"/>
        </w:rPr>
        <w:t xml:space="preserve">) </w:t>
      </w:r>
      <w:r w:rsidR="00672D35">
        <w:rPr>
          <w:rFonts w:ascii="Times New Roman" w:eastAsia="Times New Roman" w:hAnsi="Times New Roman" w:cs="Times New Roman"/>
          <w:sz w:val="27"/>
          <w:szCs w:val="27"/>
          <w:lang w:val="uk-UA"/>
        </w:rPr>
        <w:t>або</w:t>
      </w:r>
      <w:r w:rsidR="00672D35" w:rsidRPr="00EE2440">
        <w:rPr>
          <w:rFonts w:ascii="Times New Roman" w:eastAsia="Times New Roman" w:hAnsi="Times New Roman" w:cs="Times New Roman"/>
          <w:sz w:val="27"/>
          <w:szCs w:val="27"/>
          <w:lang w:val="ru-RU"/>
        </w:rPr>
        <w:t xml:space="preserve"> (</w:t>
      </w:r>
      <w:r w:rsidR="00672D35" w:rsidRPr="006279CF">
        <w:rPr>
          <w:rFonts w:ascii="Times New Roman" w:eastAsia="Times New Roman" w:hAnsi="Times New Roman" w:cs="Times New Roman"/>
          <w:sz w:val="27"/>
          <w:szCs w:val="27"/>
        </w:rPr>
        <w:t>c</w:t>
      </w:r>
      <w:r w:rsidR="00672D35" w:rsidRPr="00EE2440">
        <w:rPr>
          <w:rFonts w:ascii="Times New Roman" w:eastAsia="Times New Roman" w:hAnsi="Times New Roman" w:cs="Times New Roman"/>
          <w:sz w:val="27"/>
          <w:szCs w:val="27"/>
          <w:lang w:val="ru-RU"/>
        </w:rPr>
        <w:t xml:space="preserve">) </w:t>
      </w:r>
      <w:r w:rsidR="00672D35">
        <w:rPr>
          <w:rFonts w:ascii="Times New Roman" w:eastAsia="Times New Roman" w:hAnsi="Times New Roman" w:cs="Times New Roman"/>
          <w:sz w:val="27"/>
          <w:szCs w:val="27"/>
          <w:lang w:val="uk-UA"/>
        </w:rPr>
        <w:t xml:space="preserve">статті 3, що укладена контрагентами, створеними у різних державах-членах </w:t>
      </w:r>
      <w:r w:rsidR="003D6B58">
        <w:rPr>
          <w:rFonts w:ascii="Times New Roman" w:eastAsia="Times New Roman" w:hAnsi="Times New Roman" w:cs="Times New Roman"/>
          <w:sz w:val="27"/>
          <w:szCs w:val="27"/>
          <w:lang w:val="uk-UA"/>
        </w:rPr>
        <w:t>Союзу</w:t>
      </w:r>
      <w:r w:rsidR="00672D35">
        <w:rPr>
          <w:rFonts w:ascii="Times New Roman" w:eastAsia="Times New Roman" w:hAnsi="Times New Roman" w:cs="Times New Roman"/>
          <w:sz w:val="27"/>
          <w:szCs w:val="27"/>
          <w:lang w:val="uk-UA"/>
        </w:rPr>
        <w:t>, повністю або частково звільняється від виконання вимоги, викладеної у пункті 3 цієї статті, на підставі позитивного рішення обох відповідних компетентних органів, якщо виконуються наступні умови:</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6AF7" w:rsidRDefault="00043F97" w:rsidP="00C00B86">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процедури управління ризиками, запроваджені контрагентами, є достатньо обґрунтованими, стабільними та узгодженими з рівнем складності угоди з деривативом;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6AF7" w:rsidRDefault="00495388" w:rsidP="006014FF">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на даний момент не існує і не передбачається жодної практичної або юридичної перешкоди для негайного перерахування власних коштів або погашення зобов’язань між контрагентами.</w:t>
            </w:r>
          </w:p>
        </w:tc>
      </w:tr>
    </w:tbl>
    <w:p w:rsidR="00DE77B0" w:rsidRPr="003968DF" w:rsidRDefault="00390D7A" w:rsidP="0007345F">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lastRenderedPageBreak/>
        <w:t xml:space="preserve">Якщо компетентні органи не досягають позитивного рішення впродовж 30 календарних днів з моменту отримання відповідної заяви, то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може допомогти цим органам у досягненні згоди відповідно до своїх повноважень за статтею 19 Регламенту</w:t>
      </w:r>
      <w:r w:rsidRPr="003968DF">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3968DF">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 xml:space="preserve">№ </w:t>
      </w:r>
      <w:r w:rsidRPr="003968DF">
        <w:rPr>
          <w:rFonts w:ascii="Times New Roman" w:eastAsia="Times New Roman" w:hAnsi="Times New Roman" w:cs="Times New Roman"/>
          <w:sz w:val="27"/>
          <w:szCs w:val="27"/>
          <w:lang w:val="uk-UA"/>
        </w:rPr>
        <w:t>1095/2010.</w:t>
      </w:r>
    </w:p>
    <w:p w:rsidR="0007345F"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3968DF">
        <w:rPr>
          <w:rFonts w:ascii="Times New Roman" w:eastAsia="Times New Roman" w:hAnsi="Times New Roman" w:cs="Times New Roman"/>
          <w:sz w:val="27"/>
          <w:szCs w:val="27"/>
          <w:lang w:val="uk-UA"/>
        </w:rPr>
        <w:t>7.</w:t>
      </w:r>
      <w:r w:rsidRPr="006279CF">
        <w:rPr>
          <w:rFonts w:ascii="Times New Roman" w:eastAsia="Times New Roman" w:hAnsi="Times New Roman" w:cs="Times New Roman"/>
          <w:sz w:val="27"/>
          <w:szCs w:val="27"/>
        </w:rPr>
        <w:t>   </w:t>
      </w:r>
      <w:proofErr w:type="spellStart"/>
      <w:r w:rsidR="0007345F">
        <w:rPr>
          <w:rFonts w:ascii="Times New Roman" w:eastAsia="Times New Roman" w:hAnsi="Times New Roman" w:cs="Times New Roman"/>
          <w:sz w:val="27"/>
          <w:szCs w:val="27"/>
          <w:lang w:val="uk-UA"/>
        </w:rPr>
        <w:t>Внутрішньогрупова</w:t>
      </w:r>
      <w:proofErr w:type="spellEnd"/>
      <w:r w:rsidR="0007345F">
        <w:rPr>
          <w:rFonts w:ascii="Times New Roman" w:eastAsia="Times New Roman" w:hAnsi="Times New Roman" w:cs="Times New Roman"/>
          <w:sz w:val="27"/>
          <w:szCs w:val="27"/>
          <w:lang w:val="uk-UA"/>
        </w:rPr>
        <w:t xml:space="preserve"> угода, згадана у статті 3(1), що укладена нефінансовими контрагентами, які створені у рі</w:t>
      </w:r>
      <w:r w:rsidR="00043F97">
        <w:rPr>
          <w:rFonts w:ascii="Times New Roman" w:eastAsia="Times New Roman" w:hAnsi="Times New Roman" w:cs="Times New Roman"/>
          <w:sz w:val="27"/>
          <w:szCs w:val="27"/>
          <w:lang w:val="uk-UA"/>
        </w:rPr>
        <w:t>зних державах-членах</w:t>
      </w:r>
      <w:r w:rsidR="003D6B58" w:rsidRPr="003D6B58">
        <w:rPr>
          <w:rFonts w:ascii="Times New Roman" w:eastAsia="Times New Roman" w:hAnsi="Times New Roman" w:cs="Times New Roman"/>
          <w:sz w:val="27"/>
          <w:szCs w:val="27"/>
          <w:lang w:val="uk-UA"/>
        </w:rPr>
        <w:t xml:space="preserve"> </w:t>
      </w:r>
      <w:r w:rsidR="003D6B58">
        <w:rPr>
          <w:rFonts w:ascii="Times New Roman" w:eastAsia="Times New Roman" w:hAnsi="Times New Roman" w:cs="Times New Roman"/>
          <w:sz w:val="27"/>
          <w:szCs w:val="27"/>
          <w:lang w:val="uk-UA"/>
        </w:rPr>
        <w:t>Союзу</w:t>
      </w:r>
      <w:r w:rsidR="00043F97">
        <w:rPr>
          <w:rFonts w:ascii="Times New Roman" w:eastAsia="Times New Roman" w:hAnsi="Times New Roman" w:cs="Times New Roman"/>
          <w:sz w:val="27"/>
          <w:szCs w:val="27"/>
          <w:lang w:val="uk-UA"/>
        </w:rPr>
        <w:t>, звільняється від зобов’язання, установленого в пункті 3 цієї статті, якщо виконуються наступні умови:</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D473AD" w:rsidRDefault="00D473AD" w:rsidP="00495388">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процедури управління ризиками, запроваджені контрагентами, є достатньо обґрунтованими, стабільними та узгодженими з рівнем складності угоди з деривативом;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47773" w:rsidRDefault="00F47773" w:rsidP="00495388">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на даний момент не існує і не передбачається жодної практичної або юридичної перешкоди для негайного перерахування власних коштів або погашення зобов’язань між контрагентами.</w:t>
            </w:r>
          </w:p>
        </w:tc>
      </w:tr>
    </w:tbl>
    <w:p w:rsidR="00DE77B0" w:rsidRPr="00672D35" w:rsidRDefault="00353101" w:rsidP="00672D3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Нефінансові контрагенти повідомляють про свій намір застосувати звільнення компетентним органам, згаданим у статті 10(5). Звільнення діє, якщо якийсь із компетентних органів, яким надіслано повідомлення, не вирішив не погодитися щодо виконання умов, згаданих у п.</w:t>
      </w:r>
      <w:r w:rsidRPr="00672D35">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a</w:t>
      </w:r>
      <w:r w:rsidRPr="00672D35">
        <w:rPr>
          <w:rFonts w:ascii="Times New Roman" w:eastAsia="Times New Roman" w:hAnsi="Times New Roman" w:cs="Times New Roman"/>
          <w:sz w:val="27"/>
          <w:szCs w:val="27"/>
          <w:lang w:val="uk-UA"/>
        </w:rPr>
        <w:t>)</w:t>
      </w:r>
      <w:r>
        <w:rPr>
          <w:rFonts w:ascii="Times New Roman" w:eastAsia="Times New Roman" w:hAnsi="Times New Roman" w:cs="Times New Roman"/>
          <w:sz w:val="27"/>
          <w:szCs w:val="27"/>
          <w:lang w:val="uk-UA"/>
        </w:rPr>
        <w:t xml:space="preserve"> або</w:t>
      </w:r>
      <w:r w:rsidRPr="00672D35">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b</w:t>
      </w:r>
      <w:r w:rsidRPr="00672D35">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першого абзацу, впродовж трьох місяців з дати отримання повідомлення.</w:t>
      </w:r>
    </w:p>
    <w:p w:rsidR="00DE77B0" w:rsidRPr="00C90C82"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72D35">
        <w:rPr>
          <w:rFonts w:ascii="Times New Roman" w:eastAsia="Times New Roman" w:hAnsi="Times New Roman" w:cs="Times New Roman"/>
          <w:sz w:val="27"/>
          <w:szCs w:val="27"/>
          <w:lang w:val="ru-RU"/>
        </w:rPr>
        <w:t>8.</w:t>
      </w:r>
      <w:r w:rsidRPr="006279CF">
        <w:rPr>
          <w:rFonts w:ascii="Times New Roman" w:eastAsia="Times New Roman" w:hAnsi="Times New Roman" w:cs="Times New Roman"/>
          <w:sz w:val="27"/>
          <w:szCs w:val="27"/>
        </w:rPr>
        <w:t>   </w:t>
      </w:r>
      <w:proofErr w:type="spellStart"/>
      <w:r w:rsidR="00390D7A">
        <w:rPr>
          <w:rFonts w:ascii="Times New Roman" w:eastAsia="Times New Roman" w:hAnsi="Times New Roman" w:cs="Times New Roman"/>
          <w:sz w:val="27"/>
          <w:szCs w:val="27"/>
          <w:lang w:val="uk-UA"/>
        </w:rPr>
        <w:t>Внутрішньогрупова</w:t>
      </w:r>
      <w:proofErr w:type="spellEnd"/>
      <w:r w:rsidR="00390D7A">
        <w:rPr>
          <w:rFonts w:ascii="Times New Roman" w:eastAsia="Times New Roman" w:hAnsi="Times New Roman" w:cs="Times New Roman"/>
          <w:sz w:val="27"/>
          <w:szCs w:val="27"/>
          <w:lang w:val="uk-UA"/>
        </w:rPr>
        <w:t xml:space="preserve"> угода, згадана у статті</w:t>
      </w:r>
      <w:r w:rsidR="00390D7A" w:rsidRPr="00D473AD">
        <w:rPr>
          <w:rFonts w:ascii="Times New Roman" w:eastAsia="Times New Roman" w:hAnsi="Times New Roman" w:cs="Times New Roman"/>
          <w:sz w:val="27"/>
          <w:szCs w:val="27"/>
          <w:lang w:val="ru-RU"/>
        </w:rPr>
        <w:t xml:space="preserve"> 3(2)(</w:t>
      </w:r>
      <w:r w:rsidR="00390D7A" w:rsidRPr="006279CF">
        <w:rPr>
          <w:rFonts w:ascii="Times New Roman" w:eastAsia="Times New Roman" w:hAnsi="Times New Roman" w:cs="Times New Roman"/>
          <w:sz w:val="27"/>
          <w:szCs w:val="27"/>
        </w:rPr>
        <w:t>a</w:t>
      </w:r>
      <w:r w:rsidR="00390D7A" w:rsidRPr="00D473AD">
        <w:rPr>
          <w:rFonts w:ascii="Times New Roman" w:eastAsia="Times New Roman" w:hAnsi="Times New Roman" w:cs="Times New Roman"/>
          <w:sz w:val="27"/>
          <w:szCs w:val="27"/>
          <w:lang w:val="ru-RU"/>
        </w:rPr>
        <w:t>)</w:t>
      </w:r>
      <w:r w:rsidR="00390D7A">
        <w:rPr>
          <w:rFonts w:ascii="Times New Roman" w:eastAsia="Times New Roman" w:hAnsi="Times New Roman" w:cs="Times New Roman"/>
          <w:sz w:val="27"/>
          <w:szCs w:val="27"/>
          <w:lang w:val="uk-UA"/>
        </w:rPr>
        <w:t>-</w:t>
      </w:r>
      <w:r w:rsidR="00390D7A" w:rsidRPr="00D473AD">
        <w:rPr>
          <w:rFonts w:ascii="Times New Roman" w:eastAsia="Times New Roman" w:hAnsi="Times New Roman" w:cs="Times New Roman"/>
          <w:sz w:val="27"/>
          <w:szCs w:val="27"/>
          <w:lang w:val="ru-RU"/>
        </w:rPr>
        <w:t>(</w:t>
      </w:r>
      <w:r w:rsidR="00390D7A" w:rsidRPr="006279CF">
        <w:rPr>
          <w:rFonts w:ascii="Times New Roman" w:eastAsia="Times New Roman" w:hAnsi="Times New Roman" w:cs="Times New Roman"/>
          <w:sz w:val="27"/>
          <w:szCs w:val="27"/>
        </w:rPr>
        <w:t>d</w:t>
      </w:r>
      <w:r w:rsidR="00390D7A" w:rsidRPr="00D473AD">
        <w:rPr>
          <w:rFonts w:ascii="Times New Roman" w:eastAsia="Times New Roman" w:hAnsi="Times New Roman" w:cs="Times New Roman"/>
          <w:sz w:val="27"/>
          <w:szCs w:val="27"/>
          <w:lang w:val="ru-RU"/>
        </w:rPr>
        <w:t xml:space="preserve">), </w:t>
      </w:r>
      <w:r w:rsidR="00390D7A">
        <w:rPr>
          <w:rFonts w:ascii="Times New Roman" w:eastAsia="Times New Roman" w:hAnsi="Times New Roman" w:cs="Times New Roman"/>
          <w:sz w:val="27"/>
          <w:szCs w:val="27"/>
          <w:lang w:val="uk-UA"/>
        </w:rPr>
        <w:t>що укладена контрагентом, створеним у Союзі, та контрагентом, створеним у третій країні, повністю або частково звільняється від виконання вимоги, викладеної у пункті 3 цієї статті, на підставі позитивного рішення відповідного компетентного органу, відповідального за нагляд за контрагентом, створеним у Союзі, якщо виконуються наступні умови:</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47773" w:rsidRDefault="00F47773" w:rsidP="00D473AD">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процедури управління ризиками, запроваджені контрагентами, є достатньо обґрунтованими, стабільними та узгодженими з рівнем складності угоди з деривативом;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47773" w:rsidRDefault="00F47773" w:rsidP="0018707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на даний момент не існує і не передбачається жодної практичної або юридичної перешкоди для негайного перерахування власних коштів або погашення зобов’язань між контрагентами.</w:t>
            </w:r>
          </w:p>
        </w:tc>
      </w:tr>
    </w:tbl>
    <w:p w:rsidR="00C90C82"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3968DF">
        <w:rPr>
          <w:rFonts w:ascii="Times New Roman" w:eastAsia="Times New Roman" w:hAnsi="Times New Roman" w:cs="Times New Roman"/>
          <w:sz w:val="27"/>
          <w:szCs w:val="27"/>
          <w:lang w:val="ru-RU"/>
        </w:rPr>
        <w:t>9.</w:t>
      </w:r>
      <w:r w:rsidRPr="006279CF">
        <w:rPr>
          <w:rFonts w:ascii="Times New Roman" w:eastAsia="Times New Roman" w:hAnsi="Times New Roman" w:cs="Times New Roman"/>
          <w:sz w:val="27"/>
          <w:szCs w:val="27"/>
        </w:rPr>
        <w:t>   </w:t>
      </w:r>
      <w:proofErr w:type="spellStart"/>
      <w:r w:rsidR="00C90C82">
        <w:rPr>
          <w:rFonts w:ascii="Times New Roman" w:eastAsia="Times New Roman" w:hAnsi="Times New Roman" w:cs="Times New Roman"/>
          <w:sz w:val="27"/>
          <w:szCs w:val="27"/>
          <w:lang w:val="uk-UA"/>
        </w:rPr>
        <w:t>Внутрішньогрупова</w:t>
      </w:r>
      <w:proofErr w:type="spellEnd"/>
      <w:r w:rsidR="00C90C82">
        <w:rPr>
          <w:rFonts w:ascii="Times New Roman" w:eastAsia="Times New Roman" w:hAnsi="Times New Roman" w:cs="Times New Roman"/>
          <w:sz w:val="27"/>
          <w:szCs w:val="27"/>
          <w:lang w:val="uk-UA"/>
        </w:rPr>
        <w:t xml:space="preserve"> угода, згадана у статті</w:t>
      </w:r>
      <w:r w:rsidR="00C90C82" w:rsidRPr="003968DF">
        <w:rPr>
          <w:rFonts w:ascii="Times New Roman" w:eastAsia="Times New Roman" w:hAnsi="Times New Roman" w:cs="Times New Roman"/>
          <w:sz w:val="27"/>
          <w:szCs w:val="27"/>
          <w:lang w:val="ru-RU"/>
        </w:rPr>
        <w:t xml:space="preserve"> 3(</w:t>
      </w:r>
      <w:r w:rsidR="00C90C82">
        <w:rPr>
          <w:rFonts w:ascii="Times New Roman" w:eastAsia="Times New Roman" w:hAnsi="Times New Roman" w:cs="Times New Roman"/>
          <w:sz w:val="27"/>
          <w:szCs w:val="27"/>
          <w:lang w:val="uk-UA"/>
        </w:rPr>
        <w:t>1</w:t>
      </w:r>
      <w:r w:rsidR="00C90C82" w:rsidRPr="003968DF">
        <w:rPr>
          <w:rFonts w:ascii="Times New Roman" w:eastAsia="Times New Roman" w:hAnsi="Times New Roman" w:cs="Times New Roman"/>
          <w:sz w:val="27"/>
          <w:szCs w:val="27"/>
          <w:lang w:val="ru-RU"/>
        </w:rPr>
        <w:t xml:space="preserve">), </w:t>
      </w:r>
      <w:r w:rsidR="00C90C82">
        <w:rPr>
          <w:rFonts w:ascii="Times New Roman" w:eastAsia="Times New Roman" w:hAnsi="Times New Roman" w:cs="Times New Roman"/>
          <w:sz w:val="27"/>
          <w:szCs w:val="27"/>
          <w:lang w:val="uk-UA"/>
        </w:rPr>
        <w:t>що укладена нефінансовим контрагентом, створеним у Союзі, та контрагентом, створеним у третій країні, звільняється від виконання вимоги, викладеної у пункті 3 цієї статті, якщо виконуються наступні умови:</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47773" w:rsidRDefault="00F47773" w:rsidP="0018707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процедури управління ризиками, запроваджені контрагентами, є достатньо </w:t>
            </w:r>
            <w:r>
              <w:rPr>
                <w:rFonts w:ascii="Times New Roman" w:eastAsia="Times New Roman" w:hAnsi="Times New Roman" w:cs="Times New Roman"/>
                <w:sz w:val="27"/>
                <w:szCs w:val="27"/>
                <w:lang w:val="uk-UA"/>
              </w:rPr>
              <w:lastRenderedPageBreak/>
              <w:t>обґрунтованими, стабільними та узгодженими з рівнем складності угоди з деривативом;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47773" w:rsidRDefault="00F47773" w:rsidP="0018707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на даний момент не існує і не передбачається жодної практичної або юридичної перешкоди для негайного перерахування власних коштів або погашення зобов’язань між контрагентами.</w:t>
            </w:r>
          </w:p>
        </w:tc>
      </w:tr>
    </w:tbl>
    <w:p w:rsidR="00353101" w:rsidRPr="00353101" w:rsidRDefault="00390D7A"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Нефінансовий контрагент повідомляє про свій намір застосувати звільнення компетентному органові, згаданому у статті 10(5). Звільнення діє, якщо компетентний орган, якому надіслано повідомлення, не вирішив не погодитися щодо виконання умов, згаданих у п.</w:t>
      </w:r>
      <w:r w:rsidRPr="00672D35">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a</w:t>
      </w:r>
      <w:r w:rsidRPr="00672D35">
        <w:rPr>
          <w:rFonts w:ascii="Times New Roman" w:eastAsia="Times New Roman" w:hAnsi="Times New Roman" w:cs="Times New Roman"/>
          <w:sz w:val="27"/>
          <w:szCs w:val="27"/>
          <w:lang w:val="uk-UA"/>
        </w:rPr>
        <w:t>)</w:t>
      </w:r>
      <w:r>
        <w:rPr>
          <w:rFonts w:ascii="Times New Roman" w:eastAsia="Times New Roman" w:hAnsi="Times New Roman" w:cs="Times New Roman"/>
          <w:sz w:val="27"/>
          <w:szCs w:val="27"/>
          <w:lang w:val="uk-UA"/>
        </w:rPr>
        <w:t xml:space="preserve"> або</w:t>
      </w:r>
      <w:r w:rsidRPr="00672D35">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b</w:t>
      </w:r>
      <w:r w:rsidRPr="00672D35">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першого абзацу, впродовж трьох місяців з дати отримання повідомлення.</w:t>
      </w:r>
    </w:p>
    <w:p w:rsidR="00DE77B0" w:rsidRPr="003968DF"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90D7A">
        <w:rPr>
          <w:rFonts w:ascii="Times New Roman" w:eastAsia="Times New Roman" w:hAnsi="Times New Roman" w:cs="Times New Roman"/>
          <w:sz w:val="27"/>
          <w:szCs w:val="27"/>
          <w:lang w:val="ru-RU"/>
        </w:rPr>
        <w:t>10.</w:t>
      </w:r>
      <w:r w:rsidRPr="006279CF">
        <w:rPr>
          <w:rFonts w:ascii="Times New Roman" w:eastAsia="Times New Roman" w:hAnsi="Times New Roman" w:cs="Times New Roman"/>
          <w:sz w:val="27"/>
          <w:szCs w:val="27"/>
        </w:rPr>
        <w:t>   </w:t>
      </w:r>
      <w:proofErr w:type="spellStart"/>
      <w:r w:rsidR="00390D7A">
        <w:rPr>
          <w:rFonts w:ascii="Times New Roman" w:eastAsia="Times New Roman" w:hAnsi="Times New Roman" w:cs="Times New Roman"/>
          <w:sz w:val="27"/>
          <w:szCs w:val="27"/>
          <w:lang w:val="uk-UA"/>
        </w:rPr>
        <w:t>Внутрішньогрупова</w:t>
      </w:r>
      <w:proofErr w:type="spellEnd"/>
      <w:r w:rsidR="00390D7A">
        <w:rPr>
          <w:rFonts w:ascii="Times New Roman" w:eastAsia="Times New Roman" w:hAnsi="Times New Roman" w:cs="Times New Roman"/>
          <w:sz w:val="27"/>
          <w:szCs w:val="27"/>
          <w:lang w:val="uk-UA"/>
        </w:rPr>
        <w:t xml:space="preserve"> угода, згадана у статті</w:t>
      </w:r>
      <w:r w:rsidR="00390D7A" w:rsidRPr="00390D7A">
        <w:rPr>
          <w:rFonts w:ascii="Times New Roman" w:eastAsia="Times New Roman" w:hAnsi="Times New Roman" w:cs="Times New Roman"/>
          <w:sz w:val="27"/>
          <w:szCs w:val="27"/>
          <w:lang w:val="ru-RU"/>
        </w:rPr>
        <w:t xml:space="preserve"> 3(</w:t>
      </w:r>
      <w:r w:rsidR="00390D7A">
        <w:rPr>
          <w:rFonts w:ascii="Times New Roman" w:eastAsia="Times New Roman" w:hAnsi="Times New Roman" w:cs="Times New Roman"/>
          <w:sz w:val="27"/>
          <w:szCs w:val="27"/>
          <w:lang w:val="uk-UA"/>
        </w:rPr>
        <w:t>1</w:t>
      </w:r>
      <w:r w:rsidR="00390D7A" w:rsidRPr="00390D7A">
        <w:rPr>
          <w:rFonts w:ascii="Times New Roman" w:eastAsia="Times New Roman" w:hAnsi="Times New Roman" w:cs="Times New Roman"/>
          <w:sz w:val="27"/>
          <w:szCs w:val="27"/>
          <w:lang w:val="ru-RU"/>
        </w:rPr>
        <w:t xml:space="preserve">), </w:t>
      </w:r>
      <w:r w:rsidR="00390D7A">
        <w:rPr>
          <w:rFonts w:ascii="Times New Roman" w:eastAsia="Times New Roman" w:hAnsi="Times New Roman" w:cs="Times New Roman"/>
          <w:sz w:val="27"/>
          <w:szCs w:val="27"/>
          <w:lang w:val="uk-UA"/>
        </w:rPr>
        <w:t>що укладена нефінансовим контрагентом і фінансовим контрагентом, створеним у різних державах-членах</w:t>
      </w:r>
      <w:r w:rsidR="003D6B58" w:rsidRPr="003D6B58">
        <w:rPr>
          <w:rFonts w:ascii="Times New Roman" w:eastAsia="Times New Roman" w:hAnsi="Times New Roman" w:cs="Times New Roman"/>
          <w:sz w:val="27"/>
          <w:szCs w:val="27"/>
          <w:lang w:val="uk-UA"/>
        </w:rPr>
        <w:t xml:space="preserve"> </w:t>
      </w:r>
      <w:r w:rsidR="003D6B58">
        <w:rPr>
          <w:rFonts w:ascii="Times New Roman" w:eastAsia="Times New Roman" w:hAnsi="Times New Roman" w:cs="Times New Roman"/>
          <w:sz w:val="27"/>
          <w:szCs w:val="27"/>
          <w:lang w:val="uk-UA"/>
        </w:rPr>
        <w:t>Союзу</w:t>
      </w:r>
      <w:r w:rsidR="00390D7A">
        <w:rPr>
          <w:rFonts w:ascii="Times New Roman" w:eastAsia="Times New Roman" w:hAnsi="Times New Roman" w:cs="Times New Roman"/>
          <w:sz w:val="27"/>
          <w:szCs w:val="27"/>
          <w:lang w:val="uk-UA"/>
        </w:rPr>
        <w:t xml:space="preserve">, повністю або частково звільняється від виконання вимоги, викладеної у пункті 3 цієї статті, на підставі позитивного рішення відповідного компетентного органу, відповідального за нагляд за </w:t>
      </w:r>
      <w:r w:rsidR="00C32B97">
        <w:rPr>
          <w:rFonts w:ascii="Times New Roman" w:eastAsia="Times New Roman" w:hAnsi="Times New Roman" w:cs="Times New Roman"/>
          <w:sz w:val="27"/>
          <w:szCs w:val="27"/>
          <w:lang w:val="uk-UA"/>
        </w:rPr>
        <w:t xml:space="preserve">фінансовим </w:t>
      </w:r>
      <w:r w:rsidR="00390D7A">
        <w:rPr>
          <w:rFonts w:ascii="Times New Roman" w:eastAsia="Times New Roman" w:hAnsi="Times New Roman" w:cs="Times New Roman"/>
          <w:sz w:val="27"/>
          <w:szCs w:val="27"/>
          <w:lang w:val="uk-UA"/>
        </w:rPr>
        <w:t>контрагентом, створеним у Союзі, якщо виконуються наступні умови:</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47773" w:rsidRDefault="00F47773" w:rsidP="0018707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процедури управління ризиками, запроваджені контрагентами, є достатньо обґрунтованими, стабільними та узгодженими з рівнем складності угоди з деривативом;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47773" w:rsidRDefault="00F47773" w:rsidP="0018707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на даний момент не існує і не передбачається жодної практичної або юридичної перешкоди для негайного перерахування власних коштів або погашення зобов’язань між контрагентами.</w:t>
            </w:r>
          </w:p>
        </w:tc>
      </w:tr>
    </w:tbl>
    <w:p w:rsidR="00DE77B0" w:rsidRPr="003968DF" w:rsidRDefault="00C32B97" w:rsidP="00B16617">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Відповідний</w:t>
      </w:r>
      <w:r w:rsidR="00CD1FA8">
        <w:rPr>
          <w:rFonts w:ascii="Times New Roman" w:eastAsia="Times New Roman" w:hAnsi="Times New Roman" w:cs="Times New Roman"/>
          <w:sz w:val="27"/>
          <w:szCs w:val="27"/>
          <w:lang w:val="uk-UA"/>
        </w:rPr>
        <w:t xml:space="preserve"> </w:t>
      </w:r>
      <w:r w:rsidR="00B16617">
        <w:rPr>
          <w:rFonts w:ascii="Times New Roman" w:eastAsia="Times New Roman" w:hAnsi="Times New Roman" w:cs="Times New Roman"/>
          <w:sz w:val="27"/>
          <w:szCs w:val="27"/>
          <w:lang w:val="uk-UA"/>
        </w:rPr>
        <w:t xml:space="preserve">компетентний орган, відповідальний за нагляд за фінансовим контрагентом, повідомляє про таке рішення компетентному </w:t>
      </w:r>
      <w:r w:rsidR="00390D7A">
        <w:rPr>
          <w:rFonts w:ascii="Times New Roman" w:eastAsia="Times New Roman" w:hAnsi="Times New Roman" w:cs="Times New Roman"/>
          <w:sz w:val="27"/>
          <w:szCs w:val="27"/>
          <w:lang w:val="uk-UA"/>
        </w:rPr>
        <w:t>органові, згаданому у статті 10(5). Звільнення діє, якщо компетентний орган, якому надіслано повідомлення, не вирішив не погодитися щодо виконання умов, згаданих у п.</w:t>
      </w:r>
      <w:r w:rsidR="00390D7A" w:rsidRPr="00672D35">
        <w:rPr>
          <w:rFonts w:ascii="Times New Roman" w:eastAsia="Times New Roman" w:hAnsi="Times New Roman" w:cs="Times New Roman"/>
          <w:sz w:val="27"/>
          <w:szCs w:val="27"/>
          <w:lang w:val="uk-UA"/>
        </w:rPr>
        <w:t xml:space="preserve"> (</w:t>
      </w:r>
      <w:r w:rsidR="00390D7A" w:rsidRPr="006279CF">
        <w:rPr>
          <w:rFonts w:ascii="Times New Roman" w:eastAsia="Times New Roman" w:hAnsi="Times New Roman" w:cs="Times New Roman"/>
          <w:sz w:val="27"/>
          <w:szCs w:val="27"/>
        </w:rPr>
        <w:t>a</w:t>
      </w:r>
      <w:r w:rsidR="00390D7A" w:rsidRPr="00672D35">
        <w:rPr>
          <w:rFonts w:ascii="Times New Roman" w:eastAsia="Times New Roman" w:hAnsi="Times New Roman" w:cs="Times New Roman"/>
          <w:sz w:val="27"/>
          <w:szCs w:val="27"/>
          <w:lang w:val="uk-UA"/>
        </w:rPr>
        <w:t>)</w:t>
      </w:r>
      <w:r w:rsidR="00390D7A">
        <w:rPr>
          <w:rFonts w:ascii="Times New Roman" w:eastAsia="Times New Roman" w:hAnsi="Times New Roman" w:cs="Times New Roman"/>
          <w:sz w:val="27"/>
          <w:szCs w:val="27"/>
          <w:lang w:val="uk-UA"/>
        </w:rPr>
        <w:t xml:space="preserve"> або</w:t>
      </w:r>
      <w:r w:rsidR="00390D7A" w:rsidRPr="00672D35">
        <w:rPr>
          <w:rFonts w:ascii="Times New Roman" w:eastAsia="Times New Roman" w:hAnsi="Times New Roman" w:cs="Times New Roman"/>
          <w:sz w:val="27"/>
          <w:szCs w:val="27"/>
          <w:lang w:val="uk-UA"/>
        </w:rPr>
        <w:t xml:space="preserve"> (</w:t>
      </w:r>
      <w:r w:rsidR="00390D7A" w:rsidRPr="006279CF">
        <w:rPr>
          <w:rFonts w:ascii="Times New Roman" w:eastAsia="Times New Roman" w:hAnsi="Times New Roman" w:cs="Times New Roman"/>
          <w:sz w:val="27"/>
          <w:szCs w:val="27"/>
        </w:rPr>
        <w:t>b</w:t>
      </w:r>
      <w:r w:rsidR="00390D7A" w:rsidRPr="00672D35">
        <w:rPr>
          <w:rFonts w:ascii="Times New Roman" w:eastAsia="Times New Roman" w:hAnsi="Times New Roman" w:cs="Times New Roman"/>
          <w:sz w:val="27"/>
          <w:szCs w:val="27"/>
          <w:lang w:val="uk-UA"/>
        </w:rPr>
        <w:t xml:space="preserve">) </w:t>
      </w:r>
      <w:r w:rsidR="00390D7A">
        <w:rPr>
          <w:rFonts w:ascii="Times New Roman" w:eastAsia="Times New Roman" w:hAnsi="Times New Roman" w:cs="Times New Roman"/>
          <w:sz w:val="27"/>
          <w:szCs w:val="27"/>
          <w:lang w:val="uk-UA"/>
        </w:rPr>
        <w:t>першого абзацу.</w:t>
      </w:r>
      <w:r w:rsidR="00B16617">
        <w:rPr>
          <w:rFonts w:ascii="Times New Roman" w:eastAsia="Times New Roman" w:hAnsi="Times New Roman" w:cs="Times New Roman"/>
          <w:sz w:val="27"/>
          <w:szCs w:val="27"/>
          <w:lang w:val="uk-UA"/>
        </w:rPr>
        <w:t xml:space="preserve"> У разі незгоди між цими компетентними органами</w:t>
      </w:r>
      <w:r w:rsidR="00390D7A">
        <w:rPr>
          <w:rFonts w:ascii="Times New Roman" w:eastAsia="Times New Roman" w:hAnsi="Times New Roman" w:cs="Times New Roman"/>
          <w:sz w:val="27"/>
          <w:szCs w:val="27"/>
          <w:lang w:val="uk-UA"/>
        </w:rPr>
        <w:t xml:space="preserve"> </w:t>
      </w:r>
      <w:r w:rsidR="00390D7A">
        <w:rPr>
          <w:rFonts w:ascii="Times New Roman" w:eastAsia="Times New Roman" w:hAnsi="Times New Roman" w:cs="Times New Roman"/>
          <w:sz w:val="27"/>
          <w:szCs w:val="27"/>
        </w:rPr>
        <w:t>ESMA</w:t>
      </w:r>
      <w:r w:rsidR="00390D7A">
        <w:rPr>
          <w:rFonts w:ascii="Times New Roman" w:eastAsia="Times New Roman" w:hAnsi="Times New Roman" w:cs="Times New Roman"/>
          <w:sz w:val="27"/>
          <w:szCs w:val="27"/>
          <w:lang w:val="uk-UA"/>
        </w:rPr>
        <w:t xml:space="preserve"> може допомогти цим органам у досягненні згоди відповідно до своїх повноважень за статтею 19 Регламенту</w:t>
      </w:r>
      <w:r w:rsidR="00390D7A" w:rsidRPr="003968DF">
        <w:rPr>
          <w:rFonts w:ascii="Times New Roman" w:eastAsia="Times New Roman" w:hAnsi="Times New Roman" w:cs="Times New Roman"/>
          <w:sz w:val="27"/>
          <w:szCs w:val="27"/>
          <w:lang w:val="uk-UA"/>
        </w:rPr>
        <w:t xml:space="preserve"> (</w:t>
      </w:r>
      <w:r w:rsidR="00390D7A" w:rsidRPr="006279CF">
        <w:rPr>
          <w:rFonts w:ascii="Times New Roman" w:eastAsia="Times New Roman" w:hAnsi="Times New Roman" w:cs="Times New Roman"/>
          <w:sz w:val="27"/>
          <w:szCs w:val="27"/>
        </w:rPr>
        <w:t>EU</w:t>
      </w:r>
      <w:r w:rsidR="00390D7A" w:rsidRPr="003968DF">
        <w:rPr>
          <w:rFonts w:ascii="Times New Roman" w:eastAsia="Times New Roman" w:hAnsi="Times New Roman" w:cs="Times New Roman"/>
          <w:sz w:val="27"/>
          <w:szCs w:val="27"/>
          <w:lang w:val="uk-UA"/>
        </w:rPr>
        <w:t xml:space="preserve">) </w:t>
      </w:r>
      <w:r w:rsidR="00390D7A">
        <w:rPr>
          <w:rFonts w:ascii="Times New Roman" w:eastAsia="Times New Roman" w:hAnsi="Times New Roman" w:cs="Times New Roman"/>
          <w:sz w:val="27"/>
          <w:szCs w:val="27"/>
          <w:lang w:val="uk-UA"/>
        </w:rPr>
        <w:t xml:space="preserve">№ </w:t>
      </w:r>
      <w:r w:rsidR="00390D7A" w:rsidRPr="003968DF">
        <w:rPr>
          <w:rFonts w:ascii="Times New Roman" w:eastAsia="Times New Roman" w:hAnsi="Times New Roman" w:cs="Times New Roman"/>
          <w:sz w:val="27"/>
          <w:szCs w:val="27"/>
          <w:lang w:val="uk-UA"/>
        </w:rPr>
        <w:t>1095/2010.</w:t>
      </w:r>
    </w:p>
    <w:p w:rsidR="00DE77B0" w:rsidRPr="003968DF" w:rsidRDefault="00DE77B0" w:rsidP="00101320">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3968DF">
        <w:rPr>
          <w:rFonts w:ascii="Times New Roman" w:eastAsia="Times New Roman" w:hAnsi="Times New Roman" w:cs="Times New Roman"/>
          <w:sz w:val="27"/>
          <w:szCs w:val="27"/>
          <w:lang w:val="uk-UA"/>
        </w:rPr>
        <w:t>11.</w:t>
      </w:r>
      <w:r w:rsidRPr="006279CF">
        <w:rPr>
          <w:rFonts w:ascii="Times New Roman" w:eastAsia="Times New Roman" w:hAnsi="Times New Roman" w:cs="Times New Roman"/>
          <w:sz w:val="27"/>
          <w:szCs w:val="27"/>
        </w:rPr>
        <w:t>   </w:t>
      </w:r>
      <w:r w:rsidR="00101320">
        <w:rPr>
          <w:rFonts w:ascii="Times New Roman" w:eastAsia="Times New Roman" w:hAnsi="Times New Roman" w:cs="Times New Roman"/>
          <w:sz w:val="27"/>
          <w:szCs w:val="27"/>
          <w:lang w:val="uk-UA"/>
        </w:rPr>
        <w:t xml:space="preserve">Контрагент </w:t>
      </w:r>
      <w:proofErr w:type="spellStart"/>
      <w:r w:rsidR="00101320">
        <w:rPr>
          <w:rFonts w:ascii="Times New Roman" w:eastAsia="Times New Roman" w:hAnsi="Times New Roman" w:cs="Times New Roman"/>
          <w:sz w:val="27"/>
          <w:szCs w:val="27"/>
          <w:lang w:val="uk-UA"/>
        </w:rPr>
        <w:t>внутрішньогрупової</w:t>
      </w:r>
      <w:proofErr w:type="spellEnd"/>
      <w:r w:rsidR="00101320">
        <w:rPr>
          <w:rFonts w:ascii="Times New Roman" w:eastAsia="Times New Roman" w:hAnsi="Times New Roman" w:cs="Times New Roman"/>
          <w:sz w:val="27"/>
          <w:szCs w:val="27"/>
          <w:lang w:val="uk-UA"/>
        </w:rPr>
        <w:t xml:space="preserve"> угоди, звільнений від виконання вимоги, викладеної у пункті 3, публічно розкриває інформацію про це звільнення.</w:t>
      </w:r>
    </w:p>
    <w:p w:rsidR="00DE77B0" w:rsidRPr="003968DF" w:rsidRDefault="00101320" w:rsidP="00014302">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Компетентний орган повідомляє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про рішення, прийняте згідно з </w:t>
      </w:r>
      <w:r w:rsidR="00014302">
        <w:rPr>
          <w:rFonts w:ascii="Times New Roman" w:eastAsia="Times New Roman" w:hAnsi="Times New Roman" w:cs="Times New Roman"/>
          <w:sz w:val="27"/>
          <w:szCs w:val="27"/>
          <w:lang w:val="uk-UA"/>
        </w:rPr>
        <w:t xml:space="preserve">пунктом 6, 8 або 10, або про повідомлення, отримане згідно з пунктом 7, 9 або 10, і надає </w:t>
      </w:r>
      <w:r w:rsidR="00014302">
        <w:rPr>
          <w:rFonts w:ascii="Times New Roman" w:eastAsia="Times New Roman" w:hAnsi="Times New Roman" w:cs="Times New Roman"/>
          <w:sz w:val="27"/>
          <w:szCs w:val="27"/>
        </w:rPr>
        <w:t>ESMA</w:t>
      </w:r>
      <w:r w:rsidR="00014302">
        <w:rPr>
          <w:rFonts w:ascii="Times New Roman" w:eastAsia="Times New Roman" w:hAnsi="Times New Roman" w:cs="Times New Roman"/>
          <w:sz w:val="27"/>
          <w:szCs w:val="27"/>
          <w:lang w:val="uk-UA"/>
        </w:rPr>
        <w:t xml:space="preserve"> детальні відомості про відповідну </w:t>
      </w:r>
      <w:proofErr w:type="spellStart"/>
      <w:r w:rsidR="00014302">
        <w:rPr>
          <w:rFonts w:ascii="Times New Roman" w:eastAsia="Times New Roman" w:hAnsi="Times New Roman" w:cs="Times New Roman"/>
          <w:sz w:val="27"/>
          <w:szCs w:val="27"/>
          <w:lang w:val="uk-UA"/>
        </w:rPr>
        <w:t>внутрішньогрупову</w:t>
      </w:r>
      <w:proofErr w:type="spellEnd"/>
      <w:r w:rsidR="00014302">
        <w:rPr>
          <w:rFonts w:ascii="Times New Roman" w:eastAsia="Times New Roman" w:hAnsi="Times New Roman" w:cs="Times New Roman"/>
          <w:sz w:val="27"/>
          <w:szCs w:val="27"/>
          <w:lang w:val="uk-UA"/>
        </w:rPr>
        <w:t xml:space="preserve"> угоду.</w:t>
      </w:r>
    </w:p>
    <w:p w:rsidR="00DE77B0" w:rsidRPr="003968DF"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3968DF">
        <w:rPr>
          <w:rFonts w:ascii="Times New Roman" w:eastAsia="Times New Roman" w:hAnsi="Times New Roman" w:cs="Times New Roman"/>
          <w:sz w:val="27"/>
          <w:szCs w:val="27"/>
          <w:lang w:val="uk-UA"/>
        </w:rPr>
        <w:t>12.</w:t>
      </w:r>
      <w:r w:rsidRPr="006279CF">
        <w:rPr>
          <w:rFonts w:ascii="Times New Roman" w:eastAsia="Times New Roman" w:hAnsi="Times New Roman" w:cs="Times New Roman"/>
          <w:sz w:val="27"/>
          <w:szCs w:val="27"/>
        </w:rPr>
        <w:t>   </w:t>
      </w:r>
      <w:r w:rsidR="00014302">
        <w:rPr>
          <w:rFonts w:ascii="Times New Roman" w:eastAsia="Times New Roman" w:hAnsi="Times New Roman" w:cs="Times New Roman"/>
          <w:sz w:val="27"/>
          <w:szCs w:val="27"/>
          <w:lang w:val="uk-UA"/>
        </w:rPr>
        <w:t>Зобов’язання, встановлені пунктами 1-11, поширюються на контракти на позабіржові деривативи, укладені між суб’єктами з третіх країн, які підпадали б під дію цих зобов’язань у разі їхнього створення в Союзі</w:t>
      </w:r>
      <w:r w:rsidR="009E16C4">
        <w:rPr>
          <w:rFonts w:ascii="Times New Roman" w:eastAsia="Times New Roman" w:hAnsi="Times New Roman" w:cs="Times New Roman"/>
          <w:sz w:val="27"/>
          <w:szCs w:val="27"/>
          <w:lang w:val="uk-UA"/>
        </w:rPr>
        <w:t xml:space="preserve">, за умови, що ці </w:t>
      </w:r>
      <w:r w:rsidR="009E16C4">
        <w:rPr>
          <w:rFonts w:ascii="Times New Roman" w:eastAsia="Times New Roman" w:hAnsi="Times New Roman" w:cs="Times New Roman"/>
          <w:sz w:val="27"/>
          <w:szCs w:val="27"/>
          <w:lang w:val="uk-UA"/>
        </w:rPr>
        <w:lastRenderedPageBreak/>
        <w:t>контракти мають безпосередній, істотний та передбачуваний ефект у Союзі, або якщо таке зобов’язання є необхідним або доречним для запобігання ухилення від виконання того чи іншого положення цього регламенту</w:t>
      </w:r>
      <w:r w:rsidRPr="003968DF">
        <w:rPr>
          <w:rFonts w:ascii="Times New Roman" w:eastAsia="Times New Roman" w:hAnsi="Times New Roman" w:cs="Times New Roman"/>
          <w:sz w:val="27"/>
          <w:szCs w:val="27"/>
          <w:lang w:val="uk-UA"/>
        </w:rPr>
        <w:t>.</w:t>
      </w:r>
    </w:p>
    <w:p w:rsidR="00DE77B0" w:rsidRPr="003968DF" w:rsidRDefault="00DE77B0" w:rsidP="00646E1A">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3968DF">
        <w:rPr>
          <w:rFonts w:ascii="Times New Roman" w:eastAsia="Times New Roman" w:hAnsi="Times New Roman" w:cs="Times New Roman"/>
          <w:sz w:val="27"/>
          <w:szCs w:val="27"/>
          <w:lang w:val="uk-UA"/>
        </w:rPr>
        <w:t>13.</w:t>
      </w:r>
      <w:r w:rsidRPr="006279CF">
        <w:rPr>
          <w:rFonts w:ascii="Times New Roman" w:eastAsia="Times New Roman" w:hAnsi="Times New Roman" w:cs="Times New Roman"/>
          <w:sz w:val="27"/>
          <w:szCs w:val="27"/>
        </w:rPr>
        <w:t>   ESMA</w:t>
      </w:r>
      <w:r w:rsidRPr="003968DF">
        <w:rPr>
          <w:rFonts w:ascii="Times New Roman" w:eastAsia="Times New Roman" w:hAnsi="Times New Roman" w:cs="Times New Roman"/>
          <w:sz w:val="27"/>
          <w:szCs w:val="27"/>
          <w:lang w:val="uk-UA"/>
        </w:rPr>
        <w:t xml:space="preserve"> </w:t>
      </w:r>
      <w:r w:rsidR="00DD0F41">
        <w:rPr>
          <w:rFonts w:ascii="Times New Roman" w:eastAsia="Times New Roman" w:hAnsi="Times New Roman" w:cs="Times New Roman"/>
          <w:sz w:val="27"/>
          <w:szCs w:val="27"/>
          <w:lang w:val="uk-UA"/>
        </w:rPr>
        <w:t>веде регулярний моніторинг операцій з деривативами, які не підлягають клірингу, з метою виявлення випадків, де конкретний клас</w:t>
      </w:r>
      <w:r w:rsidR="00102F2B">
        <w:rPr>
          <w:rFonts w:ascii="Times New Roman" w:eastAsia="Times New Roman" w:hAnsi="Times New Roman" w:cs="Times New Roman"/>
          <w:sz w:val="27"/>
          <w:szCs w:val="27"/>
          <w:lang w:val="uk-UA"/>
        </w:rPr>
        <w:t xml:space="preserve"> деривативів може становити системний ризик</w:t>
      </w:r>
      <w:r w:rsidR="00562F90">
        <w:rPr>
          <w:rFonts w:ascii="Times New Roman" w:eastAsia="Times New Roman" w:hAnsi="Times New Roman" w:cs="Times New Roman"/>
          <w:sz w:val="27"/>
          <w:szCs w:val="27"/>
          <w:lang w:val="uk-UA"/>
        </w:rPr>
        <w:t>, і попередження</w:t>
      </w:r>
      <w:r w:rsidR="00102F2B">
        <w:rPr>
          <w:rFonts w:ascii="Times New Roman" w:eastAsia="Times New Roman" w:hAnsi="Times New Roman" w:cs="Times New Roman"/>
          <w:sz w:val="27"/>
          <w:szCs w:val="27"/>
          <w:lang w:val="uk-UA"/>
        </w:rPr>
        <w:t xml:space="preserve"> регуляторно</w:t>
      </w:r>
      <w:r w:rsidR="00562F90">
        <w:rPr>
          <w:rFonts w:ascii="Times New Roman" w:eastAsia="Times New Roman" w:hAnsi="Times New Roman" w:cs="Times New Roman"/>
          <w:sz w:val="27"/>
          <w:szCs w:val="27"/>
          <w:lang w:val="uk-UA"/>
        </w:rPr>
        <w:t>го</w:t>
      </w:r>
      <w:r w:rsidR="00102F2B">
        <w:rPr>
          <w:rFonts w:ascii="Times New Roman" w:eastAsia="Times New Roman" w:hAnsi="Times New Roman" w:cs="Times New Roman"/>
          <w:sz w:val="27"/>
          <w:szCs w:val="27"/>
          <w:lang w:val="uk-UA"/>
        </w:rPr>
        <w:t xml:space="preserve"> арбітражу між угодами щодо деривативів, які підлягають клірингу, та угодами щодо деривативів, які не підлягають клірингу.</w:t>
      </w:r>
      <w:r w:rsidR="00562F90">
        <w:rPr>
          <w:rFonts w:ascii="Times New Roman" w:eastAsia="Times New Roman" w:hAnsi="Times New Roman" w:cs="Times New Roman"/>
          <w:sz w:val="27"/>
          <w:szCs w:val="27"/>
          <w:lang w:val="uk-UA"/>
        </w:rPr>
        <w:t xml:space="preserve"> Зокрема, </w:t>
      </w:r>
      <w:r w:rsidR="00562F90">
        <w:rPr>
          <w:rFonts w:ascii="Times New Roman" w:eastAsia="Times New Roman" w:hAnsi="Times New Roman" w:cs="Times New Roman"/>
          <w:sz w:val="27"/>
          <w:szCs w:val="27"/>
        </w:rPr>
        <w:t>ESM</w:t>
      </w:r>
      <w:r w:rsidR="00562F90">
        <w:rPr>
          <w:rFonts w:ascii="Times New Roman" w:eastAsia="Times New Roman" w:hAnsi="Times New Roman" w:cs="Times New Roman"/>
          <w:sz w:val="27"/>
          <w:szCs w:val="27"/>
          <w:lang w:val="uk-UA"/>
        </w:rPr>
        <w:t xml:space="preserve">А після консультацій з </w:t>
      </w:r>
      <w:r w:rsidR="004E7873">
        <w:rPr>
          <w:rFonts w:ascii="Times New Roman" w:eastAsia="Times New Roman" w:hAnsi="Times New Roman" w:cs="Times New Roman"/>
          <w:sz w:val="27"/>
          <w:szCs w:val="27"/>
          <w:lang w:val="uk-UA"/>
        </w:rPr>
        <w:t>ESRB</w:t>
      </w:r>
      <w:r w:rsidR="00EE6D94" w:rsidRPr="00EE6D94">
        <w:rPr>
          <w:rFonts w:ascii="Times New Roman" w:eastAsia="Times New Roman" w:hAnsi="Times New Roman" w:cs="Times New Roman"/>
          <w:sz w:val="27"/>
          <w:szCs w:val="27"/>
          <w:lang w:val="uk-UA"/>
        </w:rPr>
        <w:t xml:space="preserve"> </w:t>
      </w:r>
      <w:r w:rsidR="00EE6D94">
        <w:rPr>
          <w:rFonts w:ascii="Times New Roman" w:eastAsia="Times New Roman" w:hAnsi="Times New Roman" w:cs="Times New Roman"/>
          <w:sz w:val="27"/>
          <w:szCs w:val="27"/>
          <w:lang w:val="uk-UA"/>
        </w:rPr>
        <w:t xml:space="preserve">уживає заходів відповідно до статті 5(3) або переглядає регуляторні технічні стандарти на </w:t>
      </w:r>
      <w:proofErr w:type="spellStart"/>
      <w:r w:rsidR="00646E1A">
        <w:rPr>
          <w:rFonts w:ascii="Times New Roman" w:eastAsia="Times New Roman" w:hAnsi="Times New Roman" w:cs="Times New Roman"/>
          <w:sz w:val="27"/>
          <w:szCs w:val="27"/>
          <w:lang w:val="uk-UA"/>
        </w:rPr>
        <w:t>маржові</w:t>
      </w:r>
      <w:proofErr w:type="spellEnd"/>
      <w:r w:rsidR="00646E1A">
        <w:rPr>
          <w:rFonts w:ascii="Times New Roman" w:eastAsia="Times New Roman" w:hAnsi="Times New Roman" w:cs="Times New Roman"/>
          <w:sz w:val="27"/>
          <w:szCs w:val="27"/>
          <w:lang w:val="uk-UA"/>
        </w:rPr>
        <w:t xml:space="preserve"> вимоги, викладені у пункті 14 цієї статті та у статті 41.</w:t>
      </w:r>
    </w:p>
    <w:p w:rsidR="00DE77B0" w:rsidRPr="009D361E"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968DF">
        <w:rPr>
          <w:rFonts w:ascii="Times New Roman" w:eastAsia="Times New Roman" w:hAnsi="Times New Roman" w:cs="Times New Roman"/>
          <w:sz w:val="27"/>
          <w:szCs w:val="27"/>
          <w:lang w:val="ru-RU"/>
        </w:rPr>
        <w:t>14.</w:t>
      </w:r>
      <w:r w:rsidRPr="006279CF">
        <w:rPr>
          <w:rFonts w:ascii="Times New Roman" w:eastAsia="Times New Roman" w:hAnsi="Times New Roman" w:cs="Times New Roman"/>
          <w:sz w:val="27"/>
          <w:szCs w:val="27"/>
        </w:rPr>
        <w:t>   </w:t>
      </w:r>
      <w:r w:rsidR="009E4F89">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astAsia="Times New Roman" w:hAnsi="Times New Roman" w:cs="Times New Roman"/>
          <w:sz w:val="27"/>
          <w:szCs w:val="27"/>
          <w:lang w:val="uk-UA"/>
        </w:rPr>
        <w:t xml:space="preserve"> розробляє проекти регуляторних технічних стандартів, де зазначаються</w:t>
      </w:r>
      <w:r w:rsidR="009E4F89" w:rsidRPr="009D361E">
        <w:rPr>
          <w:rFonts w:ascii="Times New Roman" w:eastAsia="Times New Roman" w:hAnsi="Times New Roman" w:cs="Times New Roman"/>
          <w:sz w:val="27"/>
          <w:szCs w:val="27"/>
          <w:lang w:val="ru-RU"/>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646E1A">
        <w:tc>
          <w:tcPr>
            <w:tcW w:w="214"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4786"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3968DF" w:rsidRDefault="00955995" w:rsidP="00955995">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w:t>
            </w:r>
            <w:r w:rsidR="00646E1A">
              <w:rPr>
                <w:rFonts w:ascii="Times New Roman" w:eastAsia="Times New Roman" w:hAnsi="Times New Roman" w:cs="Times New Roman"/>
                <w:sz w:val="27"/>
                <w:szCs w:val="27"/>
                <w:lang w:val="uk-UA"/>
              </w:rPr>
              <w:t xml:space="preserve">роцедури та </w:t>
            </w:r>
            <w:r>
              <w:rPr>
                <w:rFonts w:ascii="Times New Roman" w:eastAsia="Times New Roman" w:hAnsi="Times New Roman" w:cs="Times New Roman"/>
                <w:sz w:val="27"/>
                <w:szCs w:val="27"/>
                <w:lang w:val="uk-UA"/>
              </w:rPr>
              <w:t>механізми, згадані у пункті 1</w:t>
            </w:r>
            <w:r w:rsidR="00C345FB">
              <w:rPr>
                <w:rFonts w:ascii="Times New Roman" w:eastAsia="Times New Roman" w:hAnsi="Times New Roman" w:cs="Times New Roman"/>
                <w:sz w:val="27"/>
                <w:szCs w:val="27"/>
                <w:lang w:val="uk-UA"/>
              </w:rPr>
              <w:t xml:space="preserve"> цієї статті</w:t>
            </w:r>
            <w:r>
              <w:rPr>
                <w:rFonts w:ascii="Times New Roman" w:eastAsia="Times New Roman" w:hAnsi="Times New Roman" w:cs="Times New Roman"/>
                <w:sz w:val="27"/>
                <w:szCs w:val="27"/>
                <w:lang w:val="uk-UA"/>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3968DF" w:rsidRDefault="00F83543" w:rsidP="00F83543">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у</w:t>
            </w:r>
            <w:r w:rsidR="00955995">
              <w:rPr>
                <w:rFonts w:ascii="Times New Roman" w:eastAsia="Times New Roman" w:hAnsi="Times New Roman" w:cs="Times New Roman"/>
                <w:sz w:val="27"/>
                <w:szCs w:val="27"/>
                <w:lang w:val="uk-UA"/>
              </w:rPr>
              <w:t xml:space="preserve">мови ринку, </w:t>
            </w:r>
            <w:r>
              <w:rPr>
                <w:rFonts w:ascii="Times New Roman" w:eastAsia="Times New Roman" w:hAnsi="Times New Roman" w:cs="Times New Roman"/>
                <w:sz w:val="27"/>
                <w:szCs w:val="27"/>
                <w:lang w:val="uk-UA"/>
              </w:rPr>
              <w:t>що не дозволяють здійснити ринкову переоцінку, та критерії застосування оцінки на основі моделі, згаданої у пункті 2</w:t>
            </w:r>
            <w:r w:rsidR="00C345FB">
              <w:rPr>
                <w:rFonts w:ascii="Times New Roman" w:eastAsia="Times New Roman" w:hAnsi="Times New Roman" w:cs="Times New Roman"/>
                <w:sz w:val="27"/>
                <w:szCs w:val="27"/>
                <w:lang w:val="uk-UA"/>
              </w:rPr>
              <w:t xml:space="preserve"> цієї статті</w:t>
            </w:r>
            <w:r>
              <w:rPr>
                <w:rFonts w:ascii="Times New Roman" w:eastAsia="Times New Roman" w:hAnsi="Times New Roman" w:cs="Times New Roman"/>
                <w:sz w:val="27"/>
                <w:szCs w:val="27"/>
                <w:lang w:val="uk-UA"/>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C345FB"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345FB" w:rsidRDefault="00452DDB" w:rsidP="00F83543">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відомості про звільнені </w:t>
            </w:r>
            <w:proofErr w:type="spellStart"/>
            <w:r>
              <w:rPr>
                <w:rFonts w:ascii="Times New Roman" w:eastAsia="Times New Roman" w:hAnsi="Times New Roman" w:cs="Times New Roman"/>
                <w:sz w:val="27"/>
                <w:szCs w:val="27"/>
                <w:lang w:val="uk-UA"/>
              </w:rPr>
              <w:t>внутрішньогрупові</w:t>
            </w:r>
            <w:proofErr w:type="spellEnd"/>
            <w:r>
              <w:rPr>
                <w:rFonts w:ascii="Times New Roman" w:eastAsia="Times New Roman" w:hAnsi="Times New Roman" w:cs="Times New Roman"/>
                <w:sz w:val="27"/>
                <w:szCs w:val="27"/>
                <w:lang w:val="uk-UA"/>
              </w:rPr>
              <w:t xml:space="preserve"> угоди, що мають бути включені до повідомлення, згаданого у пунктах 7, 9 і 10</w:t>
            </w:r>
            <w:r w:rsidR="00C345FB">
              <w:rPr>
                <w:rFonts w:ascii="Times New Roman" w:eastAsia="Times New Roman" w:hAnsi="Times New Roman" w:cs="Times New Roman"/>
                <w:sz w:val="27"/>
                <w:szCs w:val="27"/>
                <w:lang w:val="uk-UA"/>
              </w:rPr>
              <w:t xml:space="preserve"> цієї статті</w:t>
            </w:r>
            <w:r>
              <w:rPr>
                <w:rFonts w:ascii="Times New Roman" w:eastAsia="Times New Roman" w:hAnsi="Times New Roman" w:cs="Times New Roman"/>
                <w:sz w:val="27"/>
                <w:szCs w:val="27"/>
                <w:lang w:val="uk-UA"/>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C345FB"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345FB" w:rsidRDefault="00452DDB" w:rsidP="00452DDB">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детальна інформація про звільнені </w:t>
            </w:r>
            <w:proofErr w:type="spellStart"/>
            <w:r>
              <w:rPr>
                <w:rFonts w:ascii="Times New Roman" w:eastAsia="Times New Roman" w:hAnsi="Times New Roman" w:cs="Times New Roman"/>
                <w:sz w:val="27"/>
                <w:szCs w:val="27"/>
                <w:lang w:val="uk-UA"/>
              </w:rPr>
              <w:t>внутрішньогрупові</w:t>
            </w:r>
            <w:proofErr w:type="spellEnd"/>
            <w:r>
              <w:rPr>
                <w:rFonts w:ascii="Times New Roman" w:eastAsia="Times New Roman" w:hAnsi="Times New Roman" w:cs="Times New Roman"/>
                <w:sz w:val="27"/>
                <w:szCs w:val="27"/>
                <w:lang w:val="uk-UA"/>
              </w:rPr>
              <w:t xml:space="preserve"> угоди, згадана у пункті 11</w:t>
            </w:r>
            <w:r w:rsidR="00C345FB">
              <w:rPr>
                <w:rFonts w:ascii="Times New Roman" w:eastAsia="Times New Roman" w:hAnsi="Times New Roman" w:cs="Times New Roman"/>
                <w:sz w:val="27"/>
                <w:szCs w:val="27"/>
                <w:lang w:val="uk-UA"/>
              </w:rPr>
              <w:t xml:space="preserve"> цієї статті</w:t>
            </w:r>
            <w:r>
              <w:rPr>
                <w:rFonts w:ascii="Times New Roman" w:eastAsia="Times New Roman" w:hAnsi="Times New Roman" w:cs="Times New Roman"/>
                <w:sz w:val="27"/>
                <w:szCs w:val="27"/>
                <w:lang w:val="uk-UA"/>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E9064A" w:rsidP="007A5F24">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контракти, які вважаються такими,  що мають безпосередній, істотний та передбачуваний ефект у Союзі, або випадки, де необхідно запобігти ухиленню від виконання того чи іншого положення цього регламенту,</w:t>
            </w:r>
            <w:r w:rsidR="007A5F24">
              <w:rPr>
                <w:rFonts w:ascii="Times New Roman" w:eastAsia="Times New Roman" w:hAnsi="Times New Roman" w:cs="Times New Roman"/>
                <w:sz w:val="27"/>
                <w:szCs w:val="27"/>
                <w:lang w:val="uk-UA"/>
              </w:rPr>
              <w:t xml:space="preserve"> згадані у пункті 12</w:t>
            </w:r>
            <w:r w:rsidR="00C345FB">
              <w:rPr>
                <w:rFonts w:ascii="Times New Roman" w:eastAsia="Times New Roman" w:hAnsi="Times New Roman" w:cs="Times New Roman"/>
                <w:sz w:val="27"/>
                <w:szCs w:val="27"/>
                <w:lang w:val="uk-UA"/>
              </w:rPr>
              <w:t xml:space="preserve"> цієї статті</w:t>
            </w:r>
            <w:r w:rsidR="007A5F24">
              <w:rPr>
                <w:rFonts w:ascii="Times New Roman" w:eastAsia="Times New Roman" w:hAnsi="Times New Roman" w:cs="Times New Roman"/>
                <w:sz w:val="27"/>
                <w:szCs w:val="27"/>
                <w:lang w:val="uk-UA"/>
              </w:rPr>
              <w:t>.</w:t>
            </w:r>
          </w:p>
        </w:tc>
      </w:tr>
    </w:tbl>
    <w:p w:rsidR="009D361E" w:rsidRPr="00A64037" w:rsidRDefault="009D361E" w:rsidP="009D361E">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rPr>
        <w:t>ESMA</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подає ці проекти регуляторних технічних стандартів Комісії до 30 вересня 2012 р.</w:t>
      </w:r>
    </w:p>
    <w:p w:rsidR="00DE77B0" w:rsidRPr="009D361E" w:rsidRDefault="009D361E" w:rsidP="009D361E">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першому абзаці цього пункту, згідно зі статтями 10-14 Регламенту</w:t>
      </w:r>
      <w:r w:rsidRPr="00A6403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64037">
        <w:rPr>
          <w:rFonts w:ascii="Times New Roman" w:eastAsia="Times New Roman" w:hAnsi="Times New Roman" w:cs="Times New Roman"/>
          <w:sz w:val="27"/>
          <w:szCs w:val="27"/>
          <w:lang w:val="uk-UA"/>
        </w:rPr>
        <w:t>1095/2010.</w:t>
      </w:r>
    </w:p>
    <w:p w:rsidR="00DE77B0" w:rsidRPr="003968DF"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123DBF">
        <w:rPr>
          <w:rFonts w:ascii="Times New Roman" w:eastAsia="Times New Roman" w:hAnsi="Times New Roman" w:cs="Times New Roman"/>
          <w:sz w:val="27"/>
          <w:szCs w:val="27"/>
          <w:lang w:val="ru-RU"/>
        </w:rPr>
        <w:t>15.</w:t>
      </w:r>
      <w:r w:rsidRPr="006279CF">
        <w:rPr>
          <w:rFonts w:ascii="Times New Roman" w:eastAsia="Times New Roman" w:hAnsi="Times New Roman" w:cs="Times New Roman"/>
          <w:sz w:val="27"/>
          <w:szCs w:val="27"/>
        </w:rPr>
        <w:t>   </w:t>
      </w:r>
      <w:r w:rsidR="009E4F89">
        <w:rPr>
          <w:rFonts w:ascii="Times New Roman" w:eastAsia="Times New Roman" w:hAnsi="Times New Roman" w:cs="Times New Roman"/>
          <w:sz w:val="27"/>
          <w:szCs w:val="27"/>
          <w:lang w:val="uk-UA"/>
        </w:rPr>
        <w:t>Для того, щоб забезпечити послідовне застосування цієї статті, ЄНО розробляють спільні проекти регуляторних технічних стандартів, де зазначаються</w:t>
      </w:r>
      <w:r w:rsidR="009E4F89" w:rsidRPr="009E4F89">
        <w:rPr>
          <w:rFonts w:ascii="Times New Roman" w:eastAsia="Times New Roman" w:hAnsi="Times New Roman" w:cs="Times New Roman"/>
          <w:sz w:val="27"/>
          <w:szCs w:val="27"/>
          <w:lang w:val="ru-RU"/>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3968DF" w:rsidRDefault="007A5F24" w:rsidP="009B529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процедури управління ризиками</w:t>
            </w:r>
            <w:r w:rsidR="007B0300">
              <w:rPr>
                <w:rFonts w:ascii="Times New Roman" w:eastAsia="Times New Roman" w:hAnsi="Times New Roman" w:cs="Times New Roman"/>
                <w:sz w:val="27"/>
                <w:szCs w:val="27"/>
                <w:lang w:val="uk-UA"/>
              </w:rPr>
              <w:t>, включаючи рівні та вид угод про забезпечення та відокремленн</w:t>
            </w:r>
            <w:r w:rsidR="009B5291">
              <w:rPr>
                <w:rFonts w:ascii="Times New Roman" w:eastAsia="Times New Roman" w:hAnsi="Times New Roman" w:cs="Times New Roman"/>
                <w:sz w:val="27"/>
                <w:szCs w:val="27"/>
                <w:lang w:val="uk-UA"/>
              </w:rPr>
              <w:t>я, необхідних для виконання пункту 3;</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7"/>
        <w:gridCol w:w="8858"/>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3968DF" w:rsidRDefault="009B5291" w:rsidP="009B529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обсяг капіталу, необхідний для виконання пункту 4;</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3968DF" w:rsidRDefault="009B5291" w:rsidP="009B529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процедури для виконання контрагентами та відповідними компетентними органами при поданні заяв про звільнення відповідно до пунктів 6-10;</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792B2E" w:rsidRDefault="00083AA8" w:rsidP="00107CC8">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застосовні критерії, згадані у </w:t>
            </w:r>
            <w:proofErr w:type="spellStart"/>
            <w:r>
              <w:rPr>
                <w:rFonts w:ascii="Times New Roman" w:eastAsia="Times New Roman" w:hAnsi="Times New Roman" w:cs="Times New Roman"/>
                <w:sz w:val="27"/>
                <w:szCs w:val="27"/>
                <w:lang w:val="uk-UA"/>
              </w:rPr>
              <w:t>пп</w:t>
            </w:r>
            <w:proofErr w:type="spellEnd"/>
            <w:r>
              <w:rPr>
                <w:rFonts w:ascii="Times New Roman" w:eastAsia="Times New Roman" w:hAnsi="Times New Roman" w:cs="Times New Roman"/>
                <w:sz w:val="27"/>
                <w:szCs w:val="27"/>
                <w:lang w:val="uk-UA"/>
              </w:rPr>
              <w:t>. 5-10, зокрема, що слід вважати практичною або юридичною перешкодою для негайного перерахування власних коштів або погашення зобов’язань між контрагентами.</w:t>
            </w:r>
          </w:p>
        </w:tc>
      </w:tr>
    </w:tbl>
    <w:p w:rsidR="009D361E" w:rsidRPr="00A64037" w:rsidRDefault="009E4F89" w:rsidP="009D361E">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ЄНО</w:t>
      </w:r>
      <w:r w:rsidR="009D361E" w:rsidRPr="00A64037">
        <w:rPr>
          <w:rFonts w:ascii="Times New Roman" w:eastAsia="Times New Roman" w:hAnsi="Times New Roman" w:cs="Times New Roman"/>
          <w:sz w:val="27"/>
          <w:szCs w:val="27"/>
          <w:lang w:val="uk-UA"/>
        </w:rPr>
        <w:t xml:space="preserve"> </w:t>
      </w:r>
      <w:r w:rsidR="009D361E">
        <w:rPr>
          <w:rFonts w:ascii="Times New Roman" w:eastAsia="Times New Roman" w:hAnsi="Times New Roman" w:cs="Times New Roman"/>
          <w:sz w:val="27"/>
          <w:szCs w:val="27"/>
          <w:lang w:val="uk-UA"/>
        </w:rPr>
        <w:t>пода</w:t>
      </w:r>
      <w:r>
        <w:rPr>
          <w:rFonts w:ascii="Times New Roman" w:eastAsia="Times New Roman" w:hAnsi="Times New Roman" w:cs="Times New Roman"/>
          <w:sz w:val="27"/>
          <w:szCs w:val="27"/>
          <w:lang w:val="uk-UA"/>
        </w:rPr>
        <w:t>ють</w:t>
      </w:r>
      <w:r w:rsidR="009D361E">
        <w:rPr>
          <w:rFonts w:ascii="Times New Roman" w:eastAsia="Times New Roman" w:hAnsi="Times New Roman" w:cs="Times New Roman"/>
          <w:sz w:val="27"/>
          <w:szCs w:val="27"/>
          <w:lang w:val="uk-UA"/>
        </w:rPr>
        <w:t xml:space="preserve"> ці </w:t>
      </w:r>
      <w:r>
        <w:rPr>
          <w:rFonts w:ascii="Times New Roman" w:eastAsia="Times New Roman" w:hAnsi="Times New Roman" w:cs="Times New Roman"/>
          <w:sz w:val="27"/>
          <w:szCs w:val="27"/>
          <w:lang w:val="uk-UA"/>
        </w:rPr>
        <w:t xml:space="preserve">спільні </w:t>
      </w:r>
      <w:r w:rsidR="009D361E">
        <w:rPr>
          <w:rFonts w:ascii="Times New Roman" w:eastAsia="Times New Roman" w:hAnsi="Times New Roman" w:cs="Times New Roman"/>
          <w:sz w:val="27"/>
          <w:szCs w:val="27"/>
          <w:lang w:val="uk-UA"/>
        </w:rPr>
        <w:t>проекти регуляторних технічних стандартів Комісії до 30 вересня 2012 р.</w:t>
      </w:r>
    </w:p>
    <w:p w:rsidR="00DE77B0" w:rsidRPr="003968DF" w:rsidRDefault="009E4F89" w:rsidP="009E4F8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Залежно від юридичного характеру контрагента, </w:t>
      </w:r>
      <w:r w:rsidR="009D361E">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першому абзаці цього пункту, згідно зі статтями 10-14 Регламент</w:t>
      </w:r>
      <w:r>
        <w:rPr>
          <w:rFonts w:ascii="Times New Roman" w:eastAsia="Times New Roman" w:hAnsi="Times New Roman" w:cs="Times New Roman"/>
          <w:sz w:val="27"/>
          <w:szCs w:val="27"/>
          <w:lang w:val="uk-UA"/>
        </w:rPr>
        <w:t>ів</w:t>
      </w:r>
      <w:r w:rsidR="009D361E" w:rsidRPr="00A64037">
        <w:rPr>
          <w:rFonts w:ascii="Times New Roman" w:eastAsia="Times New Roman" w:hAnsi="Times New Roman" w:cs="Times New Roman"/>
          <w:sz w:val="27"/>
          <w:szCs w:val="27"/>
          <w:lang w:val="uk-UA"/>
        </w:rPr>
        <w:t xml:space="preserve"> (</w:t>
      </w:r>
      <w:r w:rsidR="009D361E" w:rsidRPr="006279CF">
        <w:rPr>
          <w:rFonts w:ascii="Times New Roman" w:eastAsia="Times New Roman" w:hAnsi="Times New Roman" w:cs="Times New Roman"/>
          <w:sz w:val="27"/>
          <w:szCs w:val="27"/>
        </w:rPr>
        <w:t>EU</w:t>
      </w:r>
      <w:r w:rsidR="009D361E"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009D361E">
        <w:rPr>
          <w:rFonts w:ascii="Times New Roman" w:eastAsia="Times New Roman" w:hAnsi="Times New Roman" w:cs="Times New Roman"/>
          <w:sz w:val="27"/>
          <w:szCs w:val="27"/>
          <w:lang w:val="uk-UA"/>
        </w:rPr>
        <w:t>№</w:t>
      </w:r>
      <w:r w:rsidR="009D361E" w:rsidRPr="006279CF">
        <w:rPr>
          <w:rFonts w:ascii="Times New Roman" w:eastAsia="Times New Roman" w:hAnsi="Times New Roman" w:cs="Times New Roman"/>
          <w:sz w:val="27"/>
          <w:szCs w:val="27"/>
        </w:rPr>
        <w:t> </w:t>
      </w:r>
      <w:r w:rsidRPr="009E4F89">
        <w:rPr>
          <w:rFonts w:ascii="Times New Roman" w:eastAsia="Times New Roman" w:hAnsi="Times New Roman" w:cs="Times New Roman"/>
          <w:sz w:val="27"/>
          <w:szCs w:val="27"/>
          <w:lang w:val="uk-UA"/>
        </w:rPr>
        <w:t xml:space="preserve">1093/2010, 1094/2010 </w:t>
      </w:r>
      <w:r>
        <w:rPr>
          <w:rFonts w:ascii="Times New Roman" w:eastAsia="Times New Roman" w:hAnsi="Times New Roman" w:cs="Times New Roman"/>
          <w:sz w:val="27"/>
          <w:szCs w:val="27"/>
          <w:lang w:val="uk-UA"/>
        </w:rPr>
        <w:t>або 1</w:t>
      </w:r>
      <w:r w:rsidR="009D361E" w:rsidRPr="00A64037">
        <w:rPr>
          <w:rFonts w:ascii="Times New Roman" w:eastAsia="Times New Roman" w:hAnsi="Times New Roman" w:cs="Times New Roman"/>
          <w:sz w:val="27"/>
          <w:szCs w:val="27"/>
          <w:lang w:val="uk-UA"/>
        </w:rPr>
        <w:t>095/2010.</w:t>
      </w:r>
    </w:p>
    <w:p w:rsidR="00DE77B0" w:rsidRPr="003968DF"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3968DF">
        <w:rPr>
          <w:rFonts w:ascii="Times New Roman" w:eastAsia="Times New Roman" w:hAnsi="Times New Roman" w:cs="Times New Roman"/>
          <w:i/>
          <w:iCs/>
          <w:sz w:val="27"/>
          <w:szCs w:val="27"/>
          <w:lang w:val="ru-RU"/>
        </w:rPr>
        <w:t>Стаття</w:t>
      </w:r>
      <w:proofErr w:type="spellEnd"/>
      <w:r w:rsidR="00DE77B0" w:rsidRPr="003968DF">
        <w:rPr>
          <w:rFonts w:ascii="Times New Roman" w:eastAsia="Times New Roman" w:hAnsi="Times New Roman" w:cs="Times New Roman"/>
          <w:i/>
          <w:iCs/>
          <w:sz w:val="27"/>
          <w:szCs w:val="27"/>
          <w:lang w:val="ru-RU"/>
        </w:rPr>
        <w:t xml:space="preserve"> 12</w:t>
      </w:r>
    </w:p>
    <w:p w:rsidR="00DE77B0" w:rsidRPr="0034053F" w:rsidRDefault="0034053F"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Санкції</w:t>
      </w:r>
    </w:p>
    <w:p w:rsidR="00903F5F"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903F5F">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903F5F">
        <w:rPr>
          <w:rFonts w:ascii="Times New Roman" w:eastAsia="Times New Roman" w:hAnsi="Times New Roman" w:cs="Times New Roman"/>
          <w:sz w:val="27"/>
          <w:szCs w:val="27"/>
          <w:lang w:val="uk-UA"/>
        </w:rPr>
        <w:t xml:space="preserve">Держави-члени </w:t>
      </w:r>
      <w:r w:rsidR="003D6B58">
        <w:rPr>
          <w:rFonts w:ascii="Times New Roman" w:eastAsia="Times New Roman" w:hAnsi="Times New Roman" w:cs="Times New Roman"/>
          <w:sz w:val="27"/>
          <w:szCs w:val="27"/>
          <w:lang w:val="uk-UA"/>
        </w:rPr>
        <w:t xml:space="preserve">Союзу </w:t>
      </w:r>
      <w:r w:rsidR="00903F5F">
        <w:rPr>
          <w:rFonts w:ascii="Times New Roman" w:eastAsia="Times New Roman" w:hAnsi="Times New Roman" w:cs="Times New Roman"/>
          <w:sz w:val="27"/>
          <w:szCs w:val="27"/>
          <w:lang w:val="uk-UA"/>
        </w:rPr>
        <w:t>встановлюють правила щодо санкцій, застосовних за порушення правил, викладених у цьому розділі, та вживають усіх необхідних заходів для забезпечення їх виконання. Ці санкції включають, як мінімум, адміністративні штрафи. Передбачені санкції повинні бути ефективними, сумірними та стримуючими.</w:t>
      </w:r>
    </w:p>
    <w:p w:rsidR="00DE77B0" w:rsidRPr="009D22C0"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054A08">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054A08">
        <w:rPr>
          <w:rFonts w:ascii="Times New Roman" w:eastAsia="Times New Roman" w:hAnsi="Times New Roman" w:cs="Times New Roman"/>
          <w:sz w:val="27"/>
          <w:szCs w:val="27"/>
          <w:lang w:val="uk-UA"/>
        </w:rPr>
        <w:t xml:space="preserve">Держави-члени </w:t>
      </w:r>
      <w:r w:rsidR="003D6B58">
        <w:rPr>
          <w:rFonts w:ascii="Times New Roman" w:eastAsia="Times New Roman" w:hAnsi="Times New Roman" w:cs="Times New Roman"/>
          <w:sz w:val="27"/>
          <w:szCs w:val="27"/>
          <w:lang w:val="uk-UA"/>
        </w:rPr>
        <w:t xml:space="preserve">Союзу </w:t>
      </w:r>
      <w:r w:rsidR="00054A08">
        <w:rPr>
          <w:rFonts w:ascii="Times New Roman" w:eastAsia="Times New Roman" w:hAnsi="Times New Roman" w:cs="Times New Roman"/>
          <w:sz w:val="27"/>
          <w:szCs w:val="27"/>
          <w:lang w:val="uk-UA"/>
        </w:rPr>
        <w:t xml:space="preserve">забезпечують, щоб компетентні органи, відповідальні за нагляд за фінансовими та, у доречних випадках, нефінансовими контрагентами, публічно розголошували інформацію про всі санкції, накладені за порушення статей 4, 5 і 7-11, якщо таке розголошення не створить серйозну загрозу для фінансових ринків </w:t>
      </w:r>
      <w:r w:rsidR="009D22C0">
        <w:rPr>
          <w:rFonts w:ascii="Times New Roman" w:eastAsia="Times New Roman" w:hAnsi="Times New Roman" w:cs="Times New Roman"/>
          <w:sz w:val="27"/>
          <w:szCs w:val="27"/>
          <w:lang w:val="uk-UA"/>
        </w:rPr>
        <w:t>і</w:t>
      </w:r>
      <w:r w:rsidR="00054A08">
        <w:rPr>
          <w:rFonts w:ascii="Times New Roman" w:eastAsia="Times New Roman" w:hAnsi="Times New Roman" w:cs="Times New Roman"/>
          <w:sz w:val="27"/>
          <w:szCs w:val="27"/>
          <w:lang w:val="uk-UA"/>
        </w:rPr>
        <w:t xml:space="preserve"> не </w:t>
      </w:r>
      <w:proofErr w:type="spellStart"/>
      <w:r w:rsidR="00054A08">
        <w:rPr>
          <w:rFonts w:ascii="Times New Roman" w:eastAsia="Times New Roman" w:hAnsi="Times New Roman" w:cs="Times New Roman"/>
          <w:sz w:val="27"/>
          <w:szCs w:val="27"/>
          <w:lang w:val="uk-UA"/>
        </w:rPr>
        <w:t>завдасть</w:t>
      </w:r>
      <w:proofErr w:type="spellEnd"/>
      <w:r w:rsidR="00054A08">
        <w:rPr>
          <w:rFonts w:ascii="Times New Roman" w:eastAsia="Times New Roman" w:hAnsi="Times New Roman" w:cs="Times New Roman"/>
          <w:sz w:val="27"/>
          <w:szCs w:val="27"/>
          <w:lang w:val="uk-UA"/>
        </w:rPr>
        <w:t xml:space="preserve"> несумірної шкоди зацікавленим сторонам.</w:t>
      </w:r>
      <w:r w:rsidR="009D22C0">
        <w:rPr>
          <w:rFonts w:ascii="Times New Roman" w:eastAsia="Times New Roman" w:hAnsi="Times New Roman" w:cs="Times New Roman"/>
          <w:sz w:val="27"/>
          <w:szCs w:val="27"/>
          <w:lang w:val="uk-UA"/>
        </w:rPr>
        <w:t xml:space="preserve"> Держави-члени </w:t>
      </w:r>
      <w:r w:rsidR="003D6B58">
        <w:rPr>
          <w:rFonts w:ascii="Times New Roman" w:eastAsia="Times New Roman" w:hAnsi="Times New Roman" w:cs="Times New Roman"/>
          <w:sz w:val="27"/>
          <w:szCs w:val="27"/>
          <w:lang w:val="uk-UA"/>
        </w:rPr>
        <w:t xml:space="preserve">Союзу </w:t>
      </w:r>
      <w:r w:rsidR="009D22C0">
        <w:rPr>
          <w:rFonts w:ascii="Times New Roman" w:eastAsia="Times New Roman" w:hAnsi="Times New Roman" w:cs="Times New Roman"/>
          <w:sz w:val="27"/>
          <w:szCs w:val="27"/>
          <w:lang w:val="uk-UA"/>
        </w:rPr>
        <w:t>регулярно публікують звіти за результатами оцінки ефективності застосовуваних правил щодо санкцій. Така розголошена інформація та опубліковані звіти не містять персональних даних у значенні статті 2(а) Директиви</w:t>
      </w:r>
      <w:r w:rsidRPr="009D22C0">
        <w:rPr>
          <w:rFonts w:ascii="Times New Roman" w:eastAsia="Times New Roman" w:hAnsi="Times New Roman" w:cs="Times New Roman"/>
          <w:sz w:val="27"/>
          <w:szCs w:val="27"/>
          <w:lang w:val="ru-RU"/>
        </w:rPr>
        <w:t xml:space="preserve"> 95/46/</w:t>
      </w:r>
      <w:r w:rsidRPr="006279CF">
        <w:rPr>
          <w:rFonts w:ascii="Times New Roman" w:eastAsia="Times New Roman" w:hAnsi="Times New Roman" w:cs="Times New Roman"/>
          <w:sz w:val="27"/>
          <w:szCs w:val="27"/>
        </w:rPr>
        <w:t>EC</w:t>
      </w:r>
      <w:r w:rsidRPr="009D22C0">
        <w:rPr>
          <w:rFonts w:ascii="Times New Roman" w:eastAsia="Times New Roman" w:hAnsi="Times New Roman" w:cs="Times New Roman"/>
          <w:sz w:val="27"/>
          <w:szCs w:val="27"/>
          <w:lang w:val="ru-RU"/>
        </w:rPr>
        <w:t>.</w:t>
      </w:r>
    </w:p>
    <w:p w:rsidR="00DE77B0" w:rsidRPr="009D22C0" w:rsidRDefault="009D22C0" w:rsidP="009D22C0">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До 17 лютого 2013 р. держави-члени </w:t>
      </w:r>
      <w:r w:rsidR="003D6B58">
        <w:rPr>
          <w:rFonts w:ascii="Times New Roman" w:eastAsia="Times New Roman" w:hAnsi="Times New Roman" w:cs="Times New Roman"/>
          <w:sz w:val="27"/>
          <w:szCs w:val="27"/>
          <w:lang w:val="uk-UA"/>
        </w:rPr>
        <w:t xml:space="preserve">Союзу </w:t>
      </w:r>
      <w:r>
        <w:rPr>
          <w:rFonts w:ascii="Times New Roman" w:eastAsia="Times New Roman" w:hAnsi="Times New Roman" w:cs="Times New Roman"/>
          <w:sz w:val="27"/>
          <w:szCs w:val="27"/>
          <w:lang w:val="uk-UA"/>
        </w:rPr>
        <w:t>доводять до відома Комісії правила, згадані у пункті 1</w:t>
      </w:r>
      <w:r w:rsidR="00C345FB">
        <w:rPr>
          <w:rFonts w:ascii="Times New Roman" w:eastAsia="Times New Roman" w:hAnsi="Times New Roman" w:cs="Times New Roman"/>
          <w:sz w:val="27"/>
          <w:szCs w:val="27"/>
          <w:lang w:val="uk-UA"/>
        </w:rPr>
        <w:t xml:space="preserve"> цієї статті</w:t>
      </w:r>
      <w:r>
        <w:rPr>
          <w:rFonts w:ascii="Times New Roman" w:eastAsia="Times New Roman" w:hAnsi="Times New Roman" w:cs="Times New Roman"/>
          <w:sz w:val="27"/>
          <w:szCs w:val="27"/>
          <w:lang w:val="uk-UA"/>
        </w:rPr>
        <w:t>. Вони невідкладно повідомляють Комісії про всі наступні зміни у правилах</w:t>
      </w:r>
      <w:r w:rsidR="00DE77B0" w:rsidRPr="009D22C0">
        <w:rPr>
          <w:rFonts w:ascii="Times New Roman" w:eastAsia="Times New Roman" w:hAnsi="Times New Roman" w:cs="Times New Roman"/>
          <w:sz w:val="27"/>
          <w:szCs w:val="27"/>
          <w:lang w:val="ru-RU"/>
        </w:rPr>
        <w:t>.</w:t>
      </w:r>
    </w:p>
    <w:p w:rsidR="00DE77B0" w:rsidRPr="003968DF" w:rsidRDefault="00DE77B0" w:rsidP="00982E4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968DF">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9D22C0">
        <w:rPr>
          <w:rFonts w:ascii="Times New Roman" w:eastAsia="Times New Roman" w:hAnsi="Times New Roman" w:cs="Times New Roman"/>
          <w:sz w:val="27"/>
          <w:szCs w:val="27"/>
          <w:lang w:val="uk-UA"/>
        </w:rPr>
        <w:t>Порушення правил, викладених у цьому розділі, не впливає на чинність контракту на позабіржовий дериватив</w:t>
      </w:r>
      <w:r w:rsidR="00982E45">
        <w:rPr>
          <w:rFonts w:ascii="Times New Roman" w:eastAsia="Times New Roman" w:hAnsi="Times New Roman" w:cs="Times New Roman"/>
          <w:sz w:val="27"/>
          <w:szCs w:val="27"/>
          <w:lang w:val="uk-UA"/>
        </w:rPr>
        <w:t xml:space="preserve"> або на можливість примусового застосування сторонами положень контракту на позабіржовий дериватив. Порушення правил, викладених у цьому розділі, не спричиняє виникнення права на компенсацію з боку сторони контракту на позабіржовий дериватив.</w:t>
      </w:r>
    </w:p>
    <w:p w:rsidR="00DE77B0" w:rsidRPr="003968DF"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3968DF">
        <w:rPr>
          <w:rFonts w:ascii="Times New Roman" w:eastAsia="Times New Roman" w:hAnsi="Times New Roman" w:cs="Times New Roman"/>
          <w:i/>
          <w:iCs/>
          <w:sz w:val="27"/>
          <w:szCs w:val="27"/>
          <w:lang w:val="ru-RU"/>
        </w:rPr>
        <w:lastRenderedPageBreak/>
        <w:t>Стаття</w:t>
      </w:r>
      <w:proofErr w:type="spellEnd"/>
      <w:r w:rsidR="00DE77B0" w:rsidRPr="003968DF">
        <w:rPr>
          <w:rFonts w:ascii="Times New Roman" w:eastAsia="Times New Roman" w:hAnsi="Times New Roman" w:cs="Times New Roman"/>
          <w:i/>
          <w:iCs/>
          <w:sz w:val="27"/>
          <w:szCs w:val="27"/>
          <w:lang w:val="ru-RU"/>
        </w:rPr>
        <w:t xml:space="preserve"> 13</w:t>
      </w:r>
    </w:p>
    <w:p w:rsidR="00DE77B0" w:rsidRPr="003968DF" w:rsidRDefault="00982E45" w:rsidP="00982E45">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Механізм уникнення правил, що дублюють одне одного або суперечать одне одному</w:t>
      </w:r>
    </w:p>
    <w:p w:rsidR="00DE77B0" w:rsidRPr="003968DF" w:rsidRDefault="00DE77B0" w:rsidP="008D171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4604FB">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4604FB">
        <w:rPr>
          <w:rFonts w:ascii="Times New Roman" w:eastAsia="Times New Roman" w:hAnsi="Times New Roman" w:cs="Times New Roman"/>
          <w:sz w:val="27"/>
          <w:szCs w:val="27"/>
        </w:rPr>
        <w:t>ESMA</w:t>
      </w:r>
      <w:r w:rsidR="004604FB">
        <w:rPr>
          <w:rFonts w:ascii="Times New Roman" w:eastAsia="Times New Roman" w:hAnsi="Times New Roman" w:cs="Times New Roman"/>
          <w:sz w:val="27"/>
          <w:szCs w:val="27"/>
          <w:lang w:val="uk-UA"/>
        </w:rPr>
        <w:t xml:space="preserve"> надає допомогу Комісії у проведенні моніторингу та підготовці доповідей до Європейського Парламенту і Ради щодо застосування на міжнародному рівні принципів, викладених у статтях 4, 9, 10 і 11, зокрема стосовно тих вимог до учасників ринку, які можуть дублювати одне одного або суперечити одне о</w:t>
      </w:r>
      <w:r w:rsidR="008D1717">
        <w:rPr>
          <w:rFonts w:ascii="Times New Roman" w:eastAsia="Times New Roman" w:hAnsi="Times New Roman" w:cs="Times New Roman"/>
          <w:sz w:val="27"/>
          <w:szCs w:val="27"/>
          <w:lang w:val="uk-UA"/>
        </w:rPr>
        <w:t>дному, на основі чого Комісія рекомендує можливі заходи.</w:t>
      </w:r>
    </w:p>
    <w:p w:rsidR="00DE77B0" w:rsidRPr="003968DF" w:rsidRDefault="00DE77B0" w:rsidP="008D171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968DF">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8D1717">
        <w:rPr>
          <w:rFonts w:ascii="Times New Roman" w:eastAsia="Times New Roman" w:hAnsi="Times New Roman" w:cs="Times New Roman"/>
          <w:sz w:val="27"/>
          <w:szCs w:val="27"/>
          <w:lang w:val="uk-UA"/>
        </w:rPr>
        <w:t>Комісія може приймати виконавчі акти, в яких проголошується, що юридичні, наглядові та правозастосовні механізми третьої країни:</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3968DF" w:rsidRDefault="008D1717" w:rsidP="007926F7">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еквівалентні вимогам, викладеним у цьому регламенті</w:t>
            </w:r>
            <w:r w:rsidR="007926F7">
              <w:rPr>
                <w:rFonts w:ascii="Times New Roman" w:eastAsia="Times New Roman" w:hAnsi="Times New Roman" w:cs="Times New Roman"/>
                <w:sz w:val="27"/>
                <w:szCs w:val="27"/>
                <w:lang w:val="uk-UA"/>
              </w:rPr>
              <w:t>, зокрема у статтях 4, 9, 10 і 11;</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3968DF" w:rsidRDefault="007926F7" w:rsidP="007926F7">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забезпечують захист професійної таємниці, еквівалентний передбаченому цим регламентом;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3968DF" w:rsidRDefault="007926F7" w:rsidP="006303CE">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ефективно застосовуються, зокрема у судовому порядку, у справедливий та</w:t>
            </w:r>
            <w:r w:rsidRPr="007926F7">
              <w:rPr>
                <w:rFonts w:ascii="Times New Roman" w:eastAsia="Times New Roman" w:hAnsi="Times New Roman" w:cs="Times New Roman"/>
                <w:sz w:val="27"/>
                <w:szCs w:val="27"/>
                <w:lang w:val="ru-RU"/>
              </w:rPr>
              <w:t xml:space="preserve"> </w:t>
            </w:r>
            <w:proofErr w:type="spellStart"/>
            <w:r>
              <w:rPr>
                <w:rFonts w:ascii="Times New Roman" w:eastAsia="Times New Roman" w:hAnsi="Times New Roman" w:cs="Times New Roman"/>
                <w:sz w:val="27"/>
                <w:szCs w:val="27"/>
                <w:lang w:val="uk-UA"/>
              </w:rPr>
              <w:t>невикривлюючий</w:t>
            </w:r>
            <w:proofErr w:type="spellEnd"/>
            <w:r>
              <w:rPr>
                <w:rFonts w:ascii="Times New Roman" w:eastAsia="Times New Roman" w:hAnsi="Times New Roman" w:cs="Times New Roman"/>
                <w:sz w:val="27"/>
                <w:szCs w:val="27"/>
                <w:lang w:val="uk-UA"/>
              </w:rPr>
              <w:t xml:space="preserve"> спосіб, </w:t>
            </w:r>
            <w:r w:rsidR="006303CE">
              <w:rPr>
                <w:rFonts w:ascii="Times New Roman" w:eastAsia="Times New Roman" w:hAnsi="Times New Roman" w:cs="Times New Roman"/>
                <w:sz w:val="27"/>
                <w:szCs w:val="27"/>
                <w:lang w:val="uk-UA"/>
              </w:rPr>
              <w:t>з тим, щоб забезпечити ефективний нагляд і правозастосування у такій третій країні.</w:t>
            </w:r>
          </w:p>
        </w:tc>
      </w:tr>
    </w:tbl>
    <w:p w:rsidR="00DE77B0" w:rsidRPr="003968DF" w:rsidRDefault="006303CE" w:rsidP="006303C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Ці виконавчі акти приймаються відповідно до процедури розгляду, передбаченої у статті 86(2).</w:t>
      </w:r>
    </w:p>
    <w:p w:rsidR="00DE77B0" w:rsidRPr="003968DF" w:rsidRDefault="00DE77B0" w:rsidP="00A75B2A">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970E50">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970E50">
        <w:rPr>
          <w:rFonts w:ascii="Times New Roman" w:eastAsia="Times New Roman" w:hAnsi="Times New Roman" w:cs="Times New Roman"/>
          <w:sz w:val="27"/>
          <w:szCs w:val="27"/>
          <w:lang w:val="uk-UA"/>
        </w:rPr>
        <w:t>Виконавчий акт щодо еквівалентності, згаданий у пункті 2, передбачає, що контрагенти, які укладають</w:t>
      </w:r>
      <w:r w:rsidR="00B75AD6">
        <w:rPr>
          <w:rFonts w:ascii="Times New Roman" w:eastAsia="Times New Roman" w:hAnsi="Times New Roman" w:cs="Times New Roman"/>
          <w:sz w:val="27"/>
          <w:szCs w:val="27"/>
          <w:lang w:val="uk-UA"/>
        </w:rPr>
        <w:t xml:space="preserve"> угоду згідно з цим регламентом, вважаються такими, що виконали </w:t>
      </w:r>
      <w:r w:rsidR="00A75B2A">
        <w:rPr>
          <w:rFonts w:ascii="Times New Roman" w:eastAsia="Times New Roman" w:hAnsi="Times New Roman" w:cs="Times New Roman"/>
          <w:sz w:val="27"/>
          <w:szCs w:val="27"/>
          <w:lang w:val="uk-UA"/>
        </w:rPr>
        <w:t>зобов’язання, наведені у статтях 4, 9, 10 і 11, якщо принаймні один із цих контрагентів створений у вищезгаданій третій країні.</w:t>
      </w:r>
    </w:p>
    <w:p w:rsidR="00DE77B0" w:rsidRPr="003968DF" w:rsidRDefault="00DE77B0" w:rsidP="00471D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A75B2A">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A75B2A">
        <w:rPr>
          <w:rFonts w:ascii="Times New Roman" w:eastAsia="Times New Roman" w:hAnsi="Times New Roman" w:cs="Times New Roman"/>
          <w:sz w:val="27"/>
          <w:szCs w:val="27"/>
          <w:lang w:val="uk-UA"/>
        </w:rPr>
        <w:t xml:space="preserve">Комісія у співробітництві з </w:t>
      </w:r>
      <w:r w:rsidR="00A75B2A">
        <w:rPr>
          <w:rFonts w:ascii="Times New Roman" w:eastAsia="Times New Roman" w:hAnsi="Times New Roman" w:cs="Times New Roman"/>
          <w:sz w:val="27"/>
          <w:szCs w:val="27"/>
        </w:rPr>
        <w:t>ESMA</w:t>
      </w:r>
      <w:r w:rsidR="00A75B2A">
        <w:rPr>
          <w:rFonts w:ascii="Times New Roman" w:eastAsia="Times New Roman" w:hAnsi="Times New Roman" w:cs="Times New Roman"/>
          <w:sz w:val="27"/>
          <w:szCs w:val="27"/>
          <w:lang w:val="uk-UA"/>
        </w:rPr>
        <w:t xml:space="preserve"> веде моніторинг ефективності виконання третіми країнами, у відношенні яких прийнято виконавчий акт щодо еквівал</w:t>
      </w:r>
      <w:r w:rsidR="00B32B68">
        <w:rPr>
          <w:rFonts w:ascii="Times New Roman" w:eastAsia="Times New Roman" w:hAnsi="Times New Roman" w:cs="Times New Roman"/>
          <w:sz w:val="27"/>
          <w:szCs w:val="27"/>
          <w:lang w:val="uk-UA"/>
        </w:rPr>
        <w:t>ентності, вимог, еквівалентних вимогам, викладеним у статтях 4, 9, 10 і 11, і регулярно, як мінімум щорічно, повідомляє результати Європейському Парламентові та Раді.</w:t>
      </w:r>
      <w:r w:rsidR="00F4393C">
        <w:rPr>
          <w:rFonts w:ascii="Times New Roman" w:eastAsia="Times New Roman" w:hAnsi="Times New Roman" w:cs="Times New Roman"/>
          <w:sz w:val="27"/>
          <w:szCs w:val="27"/>
          <w:lang w:val="uk-UA"/>
        </w:rPr>
        <w:t xml:space="preserve"> Якщо у </w:t>
      </w:r>
      <w:r w:rsidR="00CC52F5">
        <w:rPr>
          <w:rFonts w:ascii="Times New Roman" w:eastAsia="Times New Roman" w:hAnsi="Times New Roman" w:cs="Times New Roman"/>
          <w:sz w:val="27"/>
          <w:szCs w:val="27"/>
          <w:lang w:val="uk-UA"/>
        </w:rPr>
        <w:t xml:space="preserve">доповіді відзначено недостатнє або неналежне застосування еквівалентних вимог органами третьої країни, то Комісія протягом 30 календарних днів з дня представлення доповіді відкликає рішення про визнання еквівалентності правової бази </w:t>
      </w:r>
      <w:r w:rsidR="00471D79">
        <w:rPr>
          <w:rFonts w:ascii="Times New Roman" w:eastAsia="Times New Roman" w:hAnsi="Times New Roman" w:cs="Times New Roman"/>
          <w:sz w:val="27"/>
          <w:szCs w:val="27"/>
          <w:lang w:val="uk-UA"/>
        </w:rPr>
        <w:t>відповідної третьої країни. Якщо виконавчий акт щодо еквівалентності скасовано, то контрагенти автоматично знов підпадають під усі вимоги, викладені у цьому регламенті.</w:t>
      </w:r>
    </w:p>
    <w:p w:rsidR="00471D79" w:rsidRDefault="00471D79" w:rsidP="00187079">
      <w:pPr>
        <w:shd w:val="clear" w:color="auto" w:fill="FFFFFF"/>
        <w:spacing w:before="480" w:after="0" w:line="240" w:lineRule="auto"/>
        <w:jc w:val="center"/>
        <w:textAlignment w:val="baseline"/>
        <w:rPr>
          <w:rFonts w:ascii="Times New Roman" w:eastAsia="Times New Roman" w:hAnsi="Times New Roman" w:cs="Times New Roman"/>
          <w:b/>
          <w:bCs/>
          <w:sz w:val="27"/>
          <w:szCs w:val="27"/>
          <w:lang w:val="uk-UA"/>
        </w:rPr>
      </w:pPr>
    </w:p>
    <w:p w:rsidR="00DE77B0" w:rsidRPr="00471D79" w:rsidRDefault="00471D79" w:rsidP="00187079">
      <w:pPr>
        <w:shd w:val="clear" w:color="auto" w:fill="FFFFFF"/>
        <w:spacing w:before="480" w:after="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lastRenderedPageBreak/>
        <w:t>РОЗДІЛ</w:t>
      </w:r>
      <w:r w:rsidR="00DE77B0" w:rsidRPr="00471D79">
        <w:rPr>
          <w:rFonts w:ascii="Times New Roman" w:eastAsia="Times New Roman" w:hAnsi="Times New Roman" w:cs="Times New Roman"/>
          <w:b/>
          <w:bCs/>
          <w:sz w:val="27"/>
          <w:szCs w:val="27"/>
          <w:lang w:val="uk-UA"/>
        </w:rPr>
        <w:t xml:space="preserve"> </w:t>
      </w:r>
      <w:r w:rsidR="00DE77B0" w:rsidRPr="006279CF">
        <w:rPr>
          <w:rFonts w:ascii="Times New Roman" w:eastAsia="Times New Roman" w:hAnsi="Times New Roman" w:cs="Times New Roman"/>
          <w:b/>
          <w:bCs/>
          <w:sz w:val="27"/>
          <w:szCs w:val="27"/>
        </w:rPr>
        <w:t>III</w:t>
      </w:r>
    </w:p>
    <w:p w:rsidR="00DE77B0" w:rsidRPr="00471D79" w:rsidRDefault="00471D79"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bdr w:val="none" w:sz="0" w:space="0" w:color="auto" w:frame="1"/>
          <w:lang w:val="uk-UA"/>
        </w:rPr>
        <w:t>НАДАННЯ ПОВНОВАЖЕНЬ ЦКА І НАГЛЯД ЗА ЦКА</w:t>
      </w:r>
    </w:p>
    <w:p w:rsidR="00DE77B0" w:rsidRPr="003968DF" w:rsidRDefault="00471D79"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i/>
          <w:iCs/>
          <w:sz w:val="27"/>
          <w:szCs w:val="27"/>
          <w:bdr w:val="none" w:sz="0" w:space="0" w:color="auto" w:frame="1"/>
          <w:lang w:val="uk-UA"/>
        </w:rPr>
        <w:t>ГЛАВА</w:t>
      </w:r>
      <w:r w:rsidR="00DE77B0" w:rsidRPr="003968DF">
        <w:rPr>
          <w:rFonts w:ascii="Times New Roman" w:eastAsia="Times New Roman" w:hAnsi="Times New Roman" w:cs="Times New Roman"/>
          <w:b/>
          <w:bCs/>
          <w:i/>
          <w:iCs/>
          <w:sz w:val="27"/>
          <w:szCs w:val="27"/>
          <w:bdr w:val="none" w:sz="0" w:space="0" w:color="auto" w:frame="1"/>
          <w:lang w:val="ru-RU"/>
        </w:rPr>
        <w:t xml:space="preserve"> 1</w:t>
      </w:r>
    </w:p>
    <w:p w:rsidR="00DE77B0" w:rsidRPr="003968DF" w:rsidRDefault="00471D79"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i/>
          <w:iCs/>
          <w:sz w:val="27"/>
          <w:szCs w:val="27"/>
          <w:bdr w:val="none" w:sz="0" w:space="0" w:color="auto" w:frame="1"/>
          <w:lang w:val="uk-UA"/>
        </w:rPr>
        <w:t>Умови та порядок надання повноважень ЦКА</w:t>
      </w:r>
    </w:p>
    <w:p w:rsidR="00DE77B0" w:rsidRPr="003968DF"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3968DF">
        <w:rPr>
          <w:rFonts w:ascii="Times New Roman" w:eastAsia="Times New Roman" w:hAnsi="Times New Roman" w:cs="Times New Roman"/>
          <w:i/>
          <w:iCs/>
          <w:sz w:val="27"/>
          <w:szCs w:val="27"/>
          <w:lang w:val="ru-RU"/>
        </w:rPr>
        <w:t>Стаття</w:t>
      </w:r>
      <w:proofErr w:type="spellEnd"/>
      <w:r w:rsidR="00DE77B0" w:rsidRPr="003968DF">
        <w:rPr>
          <w:rFonts w:ascii="Times New Roman" w:eastAsia="Times New Roman" w:hAnsi="Times New Roman" w:cs="Times New Roman"/>
          <w:i/>
          <w:iCs/>
          <w:sz w:val="27"/>
          <w:szCs w:val="27"/>
          <w:lang w:val="ru-RU"/>
        </w:rPr>
        <w:t xml:space="preserve"> 14</w:t>
      </w:r>
    </w:p>
    <w:p w:rsidR="00DE77B0" w:rsidRPr="005F7EC6" w:rsidRDefault="005F7EC6"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Надання повноважень ЦКА</w:t>
      </w:r>
    </w:p>
    <w:p w:rsidR="00DE77B0" w:rsidRPr="003968DF" w:rsidRDefault="00DE77B0" w:rsidP="008F411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968DF">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8F4113">
        <w:rPr>
          <w:rFonts w:ascii="Times New Roman" w:eastAsia="Times New Roman" w:hAnsi="Times New Roman" w:cs="Times New Roman"/>
          <w:sz w:val="27"/>
          <w:szCs w:val="27"/>
          <w:lang w:val="uk-UA"/>
        </w:rPr>
        <w:t xml:space="preserve">Якщо юридична особа, створена у Союзі, має намір надавати клірингові послуги як ЦКА, вона </w:t>
      </w:r>
      <w:r w:rsidR="00237F63">
        <w:rPr>
          <w:rFonts w:ascii="Times New Roman" w:eastAsia="Times New Roman" w:hAnsi="Times New Roman" w:cs="Times New Roman"/>
          <w:sz w:val="27"/>
          <w:szCs w:val="27"/>
          <w:lang w:val="uk-UA"/>
        </w:rPr>
        <w:t>подає заяву про надання повноважень до компетентного органу держави-члена</w:t>
      </w:r>
      <w:r w:rsidR="003D6B58" w:rsidRPr="003D6B58">
        <w:rPr>
          <w:rFonts w:ascii="Times New Roman" w:eastAsia="Times New Roman" w:hAnsi="Times New Roman" w:cs="Times New Roman"/>
          <w:sz w:val="27"/>
          <w:szCs w:val="27"/>
          <w:lang w:val="uk-UA"/>
        </w:rPr>
        <w:t xml:space="preserve"> </w:t>
      </w:r>
      <w:r w:rsidR="003D6B58">
        <w:rPr>
          <w:rFonts w:ascii="Times New Roman" w:eastAsia="Times New Roman" w:hAnsi="Times New Roman" w:cs="Times New Roman"/>
          <w:sz w:val="27"/>
          <w:szCs w:val="27"/>
          <w:lang w:val="uk-UA"/>
        </w:rPr>
        <w:t>Союзу</w:t>
      </w:r>
      <w:r w:rsidR="00237F63">
        <w:rPr>
          <w:rFonts w:ascii="Times New Roman" w:eastAsia="Times New Roman" w:hAnsi="Times New Roman" w:cs="Times New Roman"/>
          <w:sz w:val="27"/>
          <w:szCs w:val="27"/>
          <w:lang w:val="uk-UA"/>
        </w:rPr>
        <w:t xml:space="preserve">, в якій вона створена </w:t>
      </w:r>
      <w:r w:rsidR="008F4113">
        <w:rPr>
          <w:rFonts w:ascii="Times New Roman" w:eastAsia="Times New Roman" w:hAnsi="Times New Roman" w:cs="Times New Roman"/>
          <w:sz w:val="27"/>
          <w:szCs w:val="27"/>
          <w:lang w:val="uk-UA"/>
        </w:rPr>
        <w:t>(компетентного органу ЦКА), у порядку, викладеному в статті 17.</w:t>
      </w:r>
    </w:p>
    <w:p w:rsidR="00DE77B0" w:rsidRPr="003968DF" w:rsidRDefault="00DE77B0" w:rsidP="008F411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8F4113">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8F4113">
        <w:rPr>
          <w:rFonts w:ascii="Times New Roman" w:eastAsia="Times New Roman" w:hAnsi="Times New Roman" w:cs="Times New Roman"/>
          <w:sz w:val="27"/>
          <w:szCs w:val="27"/>
          <w:lang w:val="uk-UA"/>
        </w:rPr>
        <w:t>Після надання повноважень відповідно до статті 17 вони є чинними на всій території Союзу.</w:t>
      </w:r>
    </w:p>
    <w:p w:rsidR="00DE77B0" w:rsidRPr="00EE2440" w:rsidRDefault="00DE77B0" w:rsidP="008E7B4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968DF">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8F4113">
        <w:rPr>
          <w:rFonts w:ascii="Times New Roman" w:eastAsia="Times New Roman" w:hAnsi="Times New Roman" w:cs="Times New Roman"/>
          <w:sz w:val="27"/>
          <w:szCs w:val="27"/>
          <w:lang w:val="uk-UA"/>
        </w:rPr>
        <w:t xml:space="preserve">Повноваження, </w:t>
      </w:r>
      <w:r w:rsidR="00C077D7">
        <w:rPr>
          <w:rFonts w:ascii="Times New Roman" w:eastAsia="Times New Roman" w:hAnsi="Times New Roman" w:cs="Times New Roman"/>
          <w:sz w:val="27"/>
          <w:szCs w:val="27"/>
          <w:lang w:val="uk-UA"/>
        </w:rPr>
        <w:t>згадані у пункті 1</w:t>
      </w:r>
      <w:r w:rsidR="00C345FB" w:rsidRPr="00C345FB">
        <w:rPr>
          <w:rFonts w:ascii="Times New Roman" w:eastAsia="Times New Roman" w:hAnsi="Times New Roman" w:cs="Times New Roman"/>
          <w:sz w:val="27"/>
          <w:szCs w:val="27"/>
          <w:lang w:val="uk-UA"/>
        </w:rPr>
        <w:t xml:space="preserve"> </w:t>
      </w:r>
      <w:r w:rsidR="00C345FB">
        <w:rPr>
          <w:rFonts w:ascii="Times New Roman" w:eastAsia="Times New Roman" w:hAnsi="Times New Roman" w:cs="Times New Roman"/>
          <w:sz w:val="27"/>
          <w:szCs w:val="27"/>
          <w:lang w:val="uk-UA"/>
        </w:rPr>
        <w:t>цієї статті</w:t>
      </w:r>
      <w:r w:rsidR="00C077D7">
        <w:rPr>
          <w:rFonts w:ascii="Times New Roman" w:eastAsia="Times New Roman" w:hAnsi="Times New Roman" w:cs="Times New Roman"/>
          <w:sz w:val="27"/>
          <w:szCs w:val="27"/>
          <w:lang w:val="uk-UA"/>
        </w:rPr>
        <w:t>, надаються тільки для діяльності, пов’язаної з кліринг</w:t>
      </w:r>
      <w:r w:rsidR="008E7B4E">
        <w:rPr>
          <w:rFonts w:ascii="Times New Roman" w:eastAsia="Times New Roman" w:hAnsi="Times New Roman" w:cs="Times New Roman"/>
          <w:sz w:val="27"/>
          <w:szCs w:val="27"/>
          <w:lang w:val="uk-UA"/>
        </w:rPr>
        <w:t>ом, при цьому зазначаються послуги або види діяльності, що їх ЦКА уповноважений надавати або вести, зокрема класи фінансових інструментів, охоплені такими повноваженнями.</w:t>
      </w:r>
    </w:p>
    <w:p w:rsidR="00DE77B0" w:rsidRPr="003968DF" w:rsidRDefault="00DE77B0" w:rsidP="008E7B4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8E7B4E">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8E7B4E">
        <w:rPr>
          <w:rFonts w:ascii="Times New Roman" w:eastAsia="Times New Roman" w:hAnsi="Times New Roman" w:cs="Times New Roman"/>
          <w:sz w:val="27"/>
          <w:szCs w:val="27"/>
          <w:lang w:val="uk-UA"/>
        </w:rPr>
        <w:t>ЦКА незмінно дотримується умов, необхідних для надання повноважень.</w:t>
      </w:r>
    </w:p>
    <w:p w:rsidR="00DE77B0" w:rsidRPr="003968DF" w:rsidRDefault="0000430A" w:rsidP="0000430A">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ЦКА</w:t>
      </w:r>
      <w:r w:rsidRPr="0000430A">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 xml:space="preserve">без необґрунтованої затримки повідомляє компетентний орган про будь-які істотні зміни, що впливають на умови надання повноважень. </w:t>
      </w:r>
    </w:p>
    <w:p w:rsidR="00DE77B0" w:rsidRPr="003968DF" w:rsidRDefault="00DE77B0" w:rsidP="002A0478">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00430A">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00430A">
        <w:rPr>
          <w:rFonts w:ascii="Times New Roman" w:eastAsia="Times New Roman" w:hAnsi="Times New Roman" w:cs="Times New Roman"/>
          <w:sz w:val="27"/>
          <w:szCs w:val="27"/>
          <w:lang w:val="uk-UA"/>
        </w:rPr>
        <w:t>Повноваження, згадані у пункті 1</w:t>
      </w:r>
      <w:r w:rsidR="00C345FB" w:rsidRPr="00C345FB">
        <w:rPr>
          <w:rFonts w:ascii="Times New Roman" w:eastAsia="Times New Roman" w:hAnsi="Times New Roman" w:cs="Times New Roman"/>
          <w:sz w:val="27"/>
          <w:szCs w:val="27"/>
          <w:lang w:val="uk-UA"/>
        </w:rPr>
        <w:t xml:space="preserve"> </w:t>
      </w:r>
      <w:r w:rsidR="00C345FB">
        <w:rPr>
          <w:rFonts w:ascii="Times New Roman" w:eastAsia="Times New Roman" w:hAnsi="Times New Roman" w:cs="Times New Roman"/>
          <w:sz w:val="27"/>
          <w:szCs w:val="27"/>
          <w:lang w:val="uk-UA"/>
        </w:rPr>
        <w:t>цієї статті</w:t>
      </w:r>
      <w:r w:rsidR="0000430A">
        <w:rPr>
          <w:rFonts w:ascii="Times New Roman" w:eastAsia="Times New Roman" w:hAnsi="Times New Roman" w:cs="Times New Roman"/>
          <w:sz w:val="27"/>
          <w:szCs w:val="27"/>
          <w:lang w:val="uk-UA"/>
        </w:rPr>
        <w:t xml:space="preserve">, не перешкоджають державам-членам </w:t>
      </w:r>
      <w:r w:rsidR="003D6B58">
        <w:rPr>
          <w:rFonts w:ascii="Times New Roman" w:eastAsia="Times New Roman" w:hAnsi="Times New Roman" w:cs="Times New Roman"/>
          <w:sz w:val="27"/>
          <w:szCs w:val="27"/>
          <w:lang w:val="uk-UA"/>
        </w:rPr>
        <w:t xml:space="preserve">Союзу </w:t>
      </w:r>
      <w:r w:rsidR="0000430A">
        <w:rPr>
          <w:rFonts w:ascii="Times New Roman" w:eastAsia="Times New Roman" w:hAnsi="Times New Roman" w:cs="Times New Roman"/>
          <w:sz w:val="27"/>
          <w:szCs w:val="27"/>
          <w:lang w:val="uk-UA"/>
        </w:rPr>
        <w:t>приймати або продовжувати застосовувати щодо ЦКА, створених на їхній території, додаткові вимоги</w:t>
      </w:r>
      <w:r w:rsidR="002A0478">
        <w:rPr>
          <w:rFonts w:ascii="Times New Roman" w:eastAsia="Times New Roman" w:hAnsi="Times New Roman" w:cs="Times New Roman"/>
          <w:sz w:val="27"/>
          <w:szCs w:val="27"/>
          <w:lang w:val="uk-UA"/>
        </w:rPr>
        <w:t>, включаючи певні вимоги до надання повноважень за Директивою</w:t>
      </w:r>
      <w:r w:rsidRPr="00B3422E">
        <w:rPr>
          <w:rFonts w:ascii="Times New Roman" w:eastAsia="Times New Roman" w:hAnsi="Times New Roman" w:cs="Times New Roman"/>
          <w:sz w:val="27"/>
          <w:szCs w:val="27"/>
          <w:lang w:val="ru-RU"/>
        </w:rPr>
        <w:t xml:space="preserve"> </w:t>
      </w:r>
      <w:r w:rsidRPr="003968DF">
        <w:rPr>
          <w:rFonts w:ascii="Times New Roman" w:eastAsia="Times New Roman" w:hAnsi="Times New Roman" w:cs="Times New Roman"/>
          <w:sz w:val="27"/>
          <w:szCs w:val="27"/>
          <w:lang w:val="ru-RU"/>
        </w:rPr>
        <w:t>2006/48/</w:t>
      </w:r>
      <w:r w:rsidRPr="006279CF">
        <w:rPr>
          <w:rFonts w:ascii="Times New Roman" w:eastAsia="Times New Roman" w:hAnsi="Times New Roman" w:cs="Times New Roman"/>
          <w:sz w:val="27"/>
          <w:szCs w:val="27"/>
        </w:rPr>
        <w:t>EC</w:t>
      </w:r>
      <w:r w:rsidRPr="003968DF">
        <w:rPr>
          <w:rFonts w:ascii="Times New Roman" w:eastAsia="Times New Roman" w:hAnsi="Times New Roman" w:cs="Times New Roman"/>
          <w:sz w:val="27"/>
          <w:szCs w:val="27"/>
          <w:lang w:val="ru-RU"/>
        </w:rPr>
        <w:t>.</w:t>
      </w:r>
    </w:p>
    <w:p w:rsidR="00DE77B0" w:rsidRPr="003968DF"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3968DF">
        <w:rPr>
          <w:rFonts w:ascii="Times New Roman" w:eastAsia="Times New Roman" w:hAnsi="Times New Roman" w:cs="Times New Roman"/>
          <w:i/>
          <w:iCs/>
          <w:sz w:val="27"/>
          <w:szCs w:val="27"/>
          <w:lang w:val="ru-RU"/>
        </w:rPr>
        <w:t>Стаття</w:t>
      </w:r>
      <w:proofErr w:type="spellEnd"/>
      <w:r w:rsidR="00DE77B0" w:rsidRPr="003968DF">
        <w:rPr>
          <w:rFonts w:ascii="Times New Roman" w:eastAsia="Times New Roman" w:hAnsi="Times New Roman" w:cs="Times New Roman"/>
          <w:i/>
          <w:iCs/>
          <w:sz w:val="27"/>
          <w:szCs w:val="27"/>
          <w:lang w:val="ru-RU"/>
        </w:rPr>
        <w:t xml:space="preserve"> 15</w:t>
      </w:r>
    </w:p>
    <w:p w:rsidR="00DE77B0" w:rsidRPr="003968DF" w:rsidRDefault="008067EC"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Поширення повноважень на додаткові види діяльності та послуги</w:t>
      </w:r>
    </w:p>
    <w:p w:rsidR="00DE77B0" w:rsidRPr="003968DF" w:rsidRDefault="00DE77B0" w:rsidP="008067EC">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968DF">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216F9D">
        <w:rPr>
          <w:rFonts w:ascii="Times New Roman" w:eastAsia="Times New Roman" w:hAnsi="Times New Roman" w:cs="Times New Roman"/>
          <w:sz w:val="27"/>
          <w:szCs w:val="27"/>
          <w:lang w:val="uk-UA"/>
        </w:rPr>
        <w:t xml:space="preserve">ЦКА, бажаючий поширити </w:t>
      </w:r>
      <w:r w:rsidR="008067EC">
        <w:rPr>
          <w:rFonts w:ascii="Times New Roman" w:eastAsia="Times New Roman" w:hAnsi="Times New Roman" w:cs="Times New Roman"/>
          <w:sz w:val="27"/>
          <w:szCs w:val="27"/>
          <w:lang w:val="uk-UA"/>
        </w:rPr>
        <w:t xml:space="preserve">сферу </w:t>
      </w:r>
      <w:r w:rsidR="00216F9D">
        <w:rPr>
          <w:rFonts w:ascii="Times New Roman" w:eastAsia="Times New Roman" w:hAnsi="Times New Roman" w:cs="Times New Roman"/>
          <w:sz w:val="27"/>
          <w:szCs w:val="27"/>
          <w:lang w:val="uk-UA"/>
        </w:rPr>
        <w:t>сво</w:t>
      </w:r>
      <w:r w:rsidR="008067EC">
        <w:rPr>
          <w:rFonts w:ascii="Times New Roman" w:eastAsia="Times New Roman" w:hAnsi="Times New Roman" w:cs="Times New Roman"/>
          <w:sz w:val="27"/>
          <w:szCs w:val="27"/>
          <w:lang w:val="uk-UA"/>
        </w:rPr>
        <w:t>єї</w:t>
      </w:r>
      <w:r w:rsidR="00216F9D">
        <w:rPr>
          <w:rFonts w:ascii="Times New Roman" w:eastAsia="Times New Roman" w:hAnsi="Times New Roman" w:cs="Times New Roman"/>
          <w:sz w:val="27"/>
          <w:szCs w:val="27"/>
          <w:lang w:val="uk-UA"/>
        </w:rPr>
        <w:t xml:space="preserve"> діяльн</w:t>
      </w:r>
      <w:r w:rsidR="008067EC">
        <w:rPr>
          <w:rFonts w:ascii="Times New Roman" w:eastAsia="Times New Roman" w:hAnsi="Times New Roman" w:cs="Times New Roman"/>
          <w:sz w:val="27"/>
          <w:szCs w:val="27"/>
          <w:lang w:val="uk-UA"/>
        </w:rPr>
        <w:t>ості</w:t>
      </w:r>
      <w:r w:rsidR="00216F9D">
        <w:rPr>
          <w:rFonts w:ascii="Times New Roman" w:eastAsia="Times New Roman" w:hAnsi="Times New Roman" w:cs="Times New Roman"/>
          <w:sz w:val="27"/>
          <w:szCs w:val="27"/>
          <w:lang w:val="uk-UA"/>
        </w:rPr>
        <w:t xml:space="preserve"> на додаткові послуги або види діяльності, не охоплені повноваженнями, що були надані спочатку, подає запит на поширення до компетентного органу ЦКА.</w:t>
      </w:r>
      <w:r w:rsidR="008067EC">
        <w:rPr>
          <w:rFonts w:ascii="Times New Roman" w:eastAsia="Times New Roman" w:hAnsi="Times New Roman" w:cs="Times New Roman"/>
          <w:sz w:val="27"/>
          <w:szCs w:val="27"/>
          <w:lang w:val="uk-UA"/>
        </w:rPr>
        <w:t xml:space="preserve"> Пропозиція щодо клірингових послуг, на які ЦКА спочатку не був уповноважений, вважається поширенням таких повноважень.</w:t>
      </w:r>
    </w:p>
    <w:p w:rsidR="00DE77B0" w:rsidRPr="003968DF" w:rsidRDefault="008067EC" w:rsidP="008067EC">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Поширення повноважень здійснюється в порядку, викладеному в статті 17.</w:t>
      </w:r>
    </w:p>
    <w:p w:rsidR="00DE77B0" w:rsidRPr="003968DF" w:rsidRDefault="00DE77B0" w:rsidP="008067EC">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8067EC">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8067EC">
        <w:rPr>
          <w:rFonts w:ascii="Times New Roman" w:eastAsia="Times New Roman" w:hAnsi="Times New Roman" w:cs="Times New Roman"/>
          <w:sz w:val="27"/>
          <w:szCs w:val="27"/>
          <w:lang w:val="uk-UA"/>
        </w:rPr>
        <w:t>Якщо ЦКА бажає поширити сферу своєї діяльності на іншу державу-член</w:t>
      </w:r>
      <w:r w:rsidR="003D6B58" w:rsidRPr="003D6B58">
        <w:rPr>
          <w:rFonts w:ascii="Times New Roman" w:eastAsia="Times New Roman" w:hAnsi="Times New Roman" w:cs="Times New Roman"/>
          <w:sz w:val="27"/>
          <w:szCs w:val="27"/>
          <w:lang w:val="uk-UA"/>
        </w:rPr>
        <w:t xml:space="preserve"> </w:t>
      </w:r>
      <w:r w:rsidR="003D6B58">
        <w:rPr>
          <w:rFonts w:ascii="Times New Roman" w:eastAsia="Times New Roman" w:hAnsi="Times New Roman" w:cs="Times New Roman"/>
          <w:sz w:val="27"/>
          <w:szCs w:val="27"/>
          <w:lang w:val="uk-UA"/>
        </w:rPr>
        <w:t>Союзу</w:t>
      </w:r>
      <w:r w:rsidR="008067EC">
        <w:rPr>
          <w:rFonts w:ascii="Times New Roman" w:eastAsia="Times New Roman" w:hAnsi="Times New Roman" w:cs="Times New Roman"/>
          <w:sz w:val="27"/>
          <w:szCs w:val="27"/>
          <w:lang w:val="uk-UA"/>
        </w:rPr>
        <w:t>, ніж та, в якій він був створений, то компетентний орган ЦКА невідкладно повідомляє про це компетентний орган цієї держави.</w:t>
      </w:r>
    </w:p>
    <w:p w:rsidR="00DE77B0" w:rsidRPr="006D1E94"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6D1E94">
        <w:rPr>
          <w:rFonts w:ascii="Times New Roman" w:eastAsia="Times New Roman" w:hAnsi="Times New Roman" w:cs="Times New Roman"/>
          <w:i/>
          <w:iCs/>
          <w:sz w:val="27"/>
          <w:szCs w:val="27"/>
          <w:lang w:val="ru-RU"/>
        </w:rPr>
        <w:lastRenderedPageBreak/>
        <w:t>Стаття</w:t>
      </w:r>
      <w:proofErr w:type="spellEnd"/>
      <w:r w:rsidR="00DE77B0" w:rsidRPr="006D1E94">
        <w:rPr>
          <w:rFonts w:ascii="Times New Roman" w:eastAsia="Times New Roman" w:hAnsi="Times New Roman" w:cs="Times New Roman"/>
          <w:i/>
          <w:iCs/>
          <w:sz w:val="27"/>
          <w:szCs w:val="27"/>
          <w:lang w:val="ru-RU"/>
        </w:rPr>
        <w:t xml:space="preserve"> 16</w:t>
      </w:r>
    </w:p>
    <w:p w:rsidR="00DE77B0" w:rsidRPr="005F7EC6" w:rsidRDefault="005F7EC6"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Вимоги до капіталу</w:t>
      </w:r>
    </w:p>
    <w:p w:rsidR="00DE77B0" w:rsidRPr="003968DF" w:rsidRDefault="00DE77B0" w:rsidP="00503CD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D1E94">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6D1E94">
        <w:rPr>
          <w:rFonts w:ascii="Times New Roman" w:eastAsia="Times New Roman" w:hAnsi="Times New Roman" w:cs="Times New Roman"/>
          <w:sz w:val="27"/>
          <w:szCs w:val="27"/>
          <w:lang w:val="uk-UA"/>
        </w:rPr>
        <w:t xml:space="preserve">ЦКА має постійний та наявний первісний капітал у розмірі мінімум 7,5 млн. євро, </w:t>
      </w:r>
      <w:r w:rsidR="00503CDE">
        <w:rPr>
          <w:rFonts w:ascii="Times New Roman" w:eastAsia="Times New Roman" w:hAnsi="Times New Roman" w:cs="Times New Roman"/>
          <w:sz w:val="27"/>
          <w:szCs w:val="27"/>
          <w:lang w:val="uk-UA"/>
        </w:rPr>
        <w:t>дозвіл на який надається відповідно до статті 14.</w:t>
      </w:r>
    </w:p>
    <w:p w:rsidR="00503CDE" w:rsidRPr="00305ABC"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03CDE">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503CDE">
        <w:rPr>
          <w:rFonts w:ascii="Times New Roman" w:eastAsia="Times New Roman" w:hAnsi="Times New Roman" w:cs="Times New Roman"/>
          <w:sz w:val="27"/>
          <w:szCs w:val="27"/>
          <w:lang w:val="uk-UA"/>
        </w:rPr>
        <w:t xml:space="preserve">Капітал ЦКА, у тому числі нерозподілений прибуток і резерви, </w:t>
      </w:r>
      <w:r w:rsidR="00C840AA">
        <w:rPr>
          <w:rFonts w:ascii="Times New Roman" w:eastAsia="Times New Roman" w:hAnsi="Times New Roman" w:cs="Times New Roman"/>
          <w:sz w:val="27"/>
          <w:szCs w:val="27"/>
          <w:lang w:val="uk-UA"/>
        </w:rPr>
        <w:t>повинен бути</w:t>
      </w:r>
      <w:r w:rsidR="00503CDE">
        <w:rPr>
          <w:rFonts w:ascii="Times New Roman" w:eastAsia="Times New Roman" w:hAnsi="Times New Roman" w:cs="Times New Roman"/>
          <w:sz w:val="27"/>
          <w:szCs w:val="27"/>
          <w:lang w:val="uk-UA"/>
        </w:rPr>
        <w:t xml:space="preserve"> пропорційним ризику, що випливає з діяльності ЦКА. </w:t>
      </w:r>
      <w:r w:rsidR="00C840AA">
        <w:rPr>
          <w:rFonts w:ascii="Times New Roman" w:eastAsia="Times New Roman" w:hAnsi="Times New Roman" w:cs="Times New Roman"/>
          <w:sz w:val="27"/>
          <w:szCs w:val="27"/>
          <w:lang w:val="uk-UA"/>
        </w:rPr>
        <w:t xml:space="preserve">Він постійно повинен бути достатнім для забезпечення впорядкованої ліквідації </w:t>
      </w:r>
      <w:r w:rsidR="001F63CF">
        <w:rPr>
          <w:rFonts w:ascii="Times New Roman" w:eastAsia="Times New Roman" w:hAnsi="Times New Roman" w:cs="Times New Roman"/>
          <w:sz w:val="27"/>
          <w:szCs w:val="27"/>
          <w:lang w:val="uk-UA"/>
        </w:rPr>
        <w:t xml:space="preserve">або реорганізації </w:t>
      </w:r>
      <w:r w:rsidR="00305ABC">
        <w:rPr>
          <w:rFonts w:ascii="Times New Roman" w:eastAsia="Times New Roman" w:hAnsi="Times New Roman" w:cs="Times New Roman"/>
          <w:sz w:val="27"/>
          <w:szCs w:val="27"/>
          <w:lang w:val="uk-UA"/>
        </w:rPr>
        <w:t xml:space="preserve">діяльності протягом відповідного періоду часу й для належного захисту ЦКА від кредитних ризиків, ризиків контрагента, ринкових, операційних, юридичних і ділових ризиків, </w:t>
      </w:r>
      <w:r w:rsidR="00473F8E">
        <w:rPr>
          <w:rFonts w:ascii="Times New Roman" w:eastAsia="Times New Roman" w:hAnsi="Times New Roman" w:cs="Times New Roman"/>
          <w:sz w:val="27"/>
          <w:szCs w:val="27"/>
          <w:lang w:val="uk-UA"/>
        </w:rPr>
        <w:t>які ще не покриті конкретними фінансовими ресурсами, зазначеними у статтях 41-44.</w:t>
      </w:r>
    </w:p>
    <w:p w:rsidR="006E53F3" w:rsidRDefault="006E53F3" w:rsidP="006E53F3">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3</w:t>
      </w:r>
      <w:r w:rsidRPr="00BF52E6">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Для того, щоб забезпечити послідовне застосування цієї статті, ЕВА у тісному співробітництві з ESRB і після консультацій з ESMA розробляє проекти регуляторних технічних стандартів, де наводяться вимоги щодо капіталу, нерозподіленого прибутку та резервів ЦКА, згаданих у пункті 2</w:t>
      </w:r>
      <w:r w:rsidR="00C345FB" w:rsidRPr="00C345FB">
        <w:rPr>
          <w:rFonts w:ascii="Times New Roman" w:eastAsia="Times New Roman" w:hAnsi="Times New Roman" w:cs="Times New Roman"/>
          <w:sz w:val="27"/>
          <w:szCs w:val="27"/>
          <w:lang w:val="uk-UA"/>
        </w:rPr>
        <w:t xml:space="preserve"> </w:t>
      </w:r>
      <w:r w:rsidR="00C345FB">
        <w:rPr>
          <w:rFonts w:ascii="Times New Roman" w:eastAsia="Times New Roman" w:hAnsi="Times New Roman" w:cs="Times New Roman"/>
          <w:sz w:val="27"/>
          <w:szCs w:val="27"/>
          <w:lang w:val="uk-UA"/>
        </w:rPr>
        <w:t>цієї статті</w:t>
      </w:r>
      <w:r>
        <w:rPr>
          <w:rFonts w:ascii="Times New Roman" w:eastAsia="Times New Roman" w:hAnsi="Times New Roman" w:cs="Times New Roman"/>
          <w:sz w:val="27"/>
          <w:szCs w:val="27"/>
          <w:lang w:val="uk-UA"/>
        </w:rPr>
        <w:t>.</w:t>
      </w:r>
    </w:p>
    <w:p w:rsidR="006E53F3" w:rsidRPr="00A64037" w:rsidRDefault="006E53F3" w:rsidP="006E53F3">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ЕВА подає ці проекти регуляторних технічних стандартів Комісії до 30 вересня 2012 р.</w:t>
      </w:r>
    </w:p>
    <w:p w:rsidR="006E53F3" w:rsidRPr="00BD5941" w:rsidRDefault="006E53F3" w:rsidP="006E53F3">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першому абзаці цього пункту, згідно зі статтями 10-14 Регламенту</w:t>
      </w:r>
      <w:r w:rsidRPr="00A6403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64037">
        <w:rPr>
          <w:rFonts w:ascii="Times New Roman" w:eastAsia="Times New Roman" w:hAnsi="Times New Roman" w:cs="Times New Roman"/>
          <w:sz w:val="27"/>
          <w:szCs w:val="27"/>
          <w:lang w:val="uk-UA"/>
        </w:rPr>
        <w:t>109</w:t>
      </w:r>
      <w:r>
        <w:rPr>
          <w:rFonts w:ascii="Times New Roman" w:eastAsia="Times New Roman" w:hAnsi="Times New Roman" w:cs="Times New Roman"/>
          <w:sz w:val="27"/>
          <w:szCs w:val="27"/>
          <w:lang w:val="uk-UA"/>
        </w:rPr>
        <w:t>3</w:t>
      </w:r>
      <w:r w:rsidRPr="00A64037">
        <w:rPr>
          <w:rFonts w:ascii="Times New Roman" w:eastAsia="Times New Roman" w:hAnsi="Times New Roman" w:cs="Times New Roman"/>
          <w:sz w:val="27"/>
          <w:szCs w:val="27"/>
          <w:lang w:val="uk-UA"/>
        </w:rPr>
        <w:t>/2010.</w:t>
      </w:r>
    </w:p>
    <w:p w:rsidR="00DE77B0" w:rsidRPr="003968DF"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3968DF">
        <w:rPr>
          <w:rFonts w:ascii="Times New Roman" w:eastAsia="Times New Roman" w:hAnsi="Times New Roman" w:cs="Times New Roman"/>
          <w:i/>
          <w:iCs/>
          <w:sz w:val="27"/>
          <w:szCs w:val="27"/>
          <w:lang w:val="ru-RU"/>
        </w:rPr>
        <w:t>Стаття</w:t>
      </w:r>
      <w:proofErr w:type="spellEnd"/>
      <w:r w:rsidR="00DE77B0" w:rsidRPr="003968DF">
        <w:rPr>
          <w:rFonts w:ascii="Times New Roman" w:eastAsia="Times New Roman" w:hAnsi="Times New Roman" w:cs="Times New Roman"/>
          <w:i/>
          <w:iCs/>
          <w:sz w:val="27"/>
          <w:szCs w:val="27"/>
          <w:lang w:val="ru-RU"/>
        </w:rPr>
        <w:t xml:space="preserve"> 17</w:t>
      </w:r>
    </w:p>
    <w:p w:rsidR="00DE77B0" w:rsidRPr="003968DF" w:rsidRDefault="005F7EC6"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Порядок надання та відмови у наданні повноважень</w:t>
      </w:r>
    </w:p>
    <w:p w:rsidR="00DE77B0" w:rsidRPr="00F757B5" w:rsidRDefault="00DE77B0" w:rsidP="00237F6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947">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EE17BA">
        <w:rPr>
          <w:rFonts w:ascii="Times New Roman" w:eastAsia="Times New Roman" w:hAnsi="Times New Roman" w:cs="Times New Roman"/>
          <w:sz w:val="27"/>
          <w:szCs w:val="27"/>
          <w:lang w:val="uk-UA"/>
        </w:rPr>
        <w:t>ЦКА</w:t>
      </w:r>
      <w:r w:rsidR="00C17947">
        <w:rPr>
          <w:rFonts w:ascii="Times New Roman" w:eastAsia="Times New Roman" w:hAnsi="Times New Roman" w:cs="Times New Roman"/>
          <w:sz w:val="27"/>
          <w:szCs w:val="27"/>
          <w:lang w:val="uk-UA"/>
        </w:rPr>
        <w:t xml:space="preserve">-заявник </w:t>
      </w:r>
      <w:r w:rsidR="00237F63">
        <w:rPr>
          <w:rFonts w:ascii="Times New Roman" w:eastAsia="Times New Roman" w:hAnsi="Times New Roman" w:cs="Times New Roman"/>
          <w:sz w:val="27"/>
          <w:szCs w:val="27"/>
          <w:lang w:val="uk-UA"/>
        </w:rPr>
        <w:t>подає заяву про надання повноважень до компетентного органу держави-члена</w:t>
      </w:r>
      <w:r w:rsidR="003D6B58" w:rsidRPr="003D6B58">
        <w:rPr>
          <w:rFonts w:ascii="Times New Roman" w:eastAsia="Times New Roman" w:hAnsi="Times New Roman" w:cs="Times New Roman"/>
          <w:sz w:val="27"/>
          <w:szCs w:val="27"/>
          <w:lang w:val="uk-UA"/>
        </w:rPr>
        <w:t xml:space="preserve"> </w:t>
      </w:r>
      <w:r w:rsidR="003D6B58">
        <w:rPr>
          <w:rFonts w:ascii="Times New Roman" w:eastAsia="Times New Roman" w:hAnsi="Times New Roman" w:cs="Times New Roman"/>
          <w:sz w:val="27"/>
          <w:szCs w:val="27"/>
          <w:lang w:val="uk-UA"/>
        </w:rPr>
        <w:t>Союзу</w:t>
      </w:r>
      <w:r w:rsidR="00237F63">
        <w:rPr>
          <w:rFonts w:ascii="Times New Roman" w:eastAsia="Times New Roman" w:hAnsi="Times New Roman" w:cs="Times New Roman"/>
          <w:sz w:val="27"/>
          <w:szCs w:val="27"/>
          <w:lang w:val="uk-UA"/>
        </w:rPr>
        <w:t>, в якій він створений.</w:t>
      </w:r>
    </w:p>
    <w:p w:rsidR="00DE77B0" w:rsidRPr="00F757B5" w:rsidRDefault="00DE77B0" w:rsidP="001375D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757B5">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237F63">
        <w:rPr>
          <w:rFonts w:ascii="Times New Roman" w:eastAsia="Times New Roman" w:hAnsi="Times New Roman" w:cs="Times New Roman"/>
          <w:sz w:val="27"/>
          <w:szCs w:val="27"/>
          <w:lang w:val="uk-UA"/>
        </w:rPr>
        <w:t xml:space="preserve">ЦКА-заявник надає всю інформацію, необхідну для того, щоб компетентний орган переконався в тому, що ЦКА-заявник створив на час надання повноважень усі необхідні механізми для виконання вимог, викладених у цьому регламенті. </w:t>
      </w:r>
      <w:r w:rsidR="001375D7">
        <w:rPr>
          <w:rFonts w:ascii="Times New Roman" w:eastAsia="Times New Roman" w:hAnsi="Times New Roman" w:cs="Times New Roman"/>
          <w:sz w:val="27"/>
          <w:szCs w:val="27"/>
          <w:lang w:val="uk-UA"/>
        </w:rPr>
        <w:t xml:space="preserve">Компетентний орган невідкладно передає всю інформацію, одержану від ЦКА-заявника, до </w:t>
      </w:r>
      <w:r w:rsidR="001375D7">
        <w:rPr>
          <w:rFonts w:ascii="Times New Roman" w:eastAsia="Times New Roman" w:hAnsi="Times New Roman" w:cs="Times New Roman"/>
          <w:sz w:val="27"/>
          <w:szCs w:val="27"/>
        </w:rPr>
        <w:t>ESMA</w:t>
      </w:r>
      <w:r w:rsidR="001375D7">
        <w:rPr>
          <w:rFonts w:ascii="Times New Roman" w:eastAsia="Times New Roman" w:hAnsi="Times New Roman" w:cs="Times New Roman"/>
          <w:sz w:val="27"/>
          <w:szCs w:val="27"/>
          <w:lang w:val="uk-UA"/>
        </w:rPr>
        <w:t xml:space="preserve"> і колегії, згаданій у статті 18(1).</w:t>
      </w:r>
    </w:p>
    <w:p w:rsidR="001375D7" w:rsidRPr="00A8430B"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1375D7">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1375D7">
        <w:rPr>
          <w:rFonts w:ascii="Times New Roman" w:eastAsia="Times New Roman" w:hAnsi="Times New Roman" w:cs="Times New Roman"/>
          <w:sz w:val="27"/>
          <w:szCs w:val="27"/>
          <w:lang w:val="uk-UA"/>
        </w:rPr>
        <w:t xml:space="preserve">Упродовж 30 робочих днів з моменту отримання заяви компетентний орган оцінює повноту заяви. Якщо заява неповна, </w:t>
      </w:r>
      <w:r w:rsidR="00A8430B">
        <w:rPr>
          <w:rFonts w:ascii="Times New Roman" w:eastAsia="Times New Roman" w:hAnsi="Times New Roman" w:cs="Times New Roman"/>
          <w:sz w:val="27"/>
          <w:szCs w:val="27"/>
          <w:lang w:val="uk-UA"/>
        </w:rPr>
        <w:t xml:space="preserve">компетентний орган установлює строк, до якого ЦКА-заявник повинен надати додаткову інформацію. Після оцінки повноти заяви компетентний орган відповідним чином повідомляє ЦКА-заявника і членів колегії, створеної відповідно до статті 18(1), а також </w:t>
      </w:r>
      <w:r w:rsidR="00A8430B">
        <w:rPr>
          <w:rFonts w:ascii="Times New Roman" w:eastAsia="Times New Roman" w:hAnsi="Times New Roman" w:cs="Times New Roman"/>
          <w:sz w:val="27"/>
          <w:szCs w:val="27"/>
        </w:rPr>
        <w:t>ESMA</w:t>
      </w:r>
      <w:r w:rsidR="00A8430B" w:rsidRPr="00A8430B">
        <w:rPr>
          <w:rFonts w:ascii="Times New Roman" w:eastAsia="Times New Roman" w:hAnsi="Times New Roman" w:cs="Times New Roman"/>
          <w:sz w:val="27"/>
          <w:szCs w:val="27"/>
          <w:lang w:val="ru-RU"/>
        </w:rPr>
        <w:t>.</w:t>
      </w:r>
    </w:p>
    <w:p w:rsidR="00DE77B0" w:rsidRPr="00F757B5"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F757B5">
        <w:rPr>
          <w:rFonts w:ascii="Times New Roman" w:eastAsia="Times New Roman" w:hAnsi="Times New Roman" w:cs="Times New Roman"/>
          <w:sz w:val="27"/>
          <w:szCs w:val="27"/>
          <w:lang w:val="uk-UA"/>
        </w:rPr>
        <w:t>4.</w:t>
      </w:r>
      <w:r w:rsidRPr="006279CF">
        <w:rPr>
          <w:rFonts w:ascii="Times New Roman" w:eastAsia="Times New Roman" w:hAnsi="Times New Roman" w:cs="Times New Roman"/>
          <w:sz w:val="27"/>
          <w:szCs w:val="27"/>
        </w:rPr>
        <w:t>   </w:t>
      </w:r>
      <w:r w:rsidR="00A8430B">
        <w:rPr>
          <w:rFonts w:ascii="Times New Roman" w:eastAsia="Times New Roman" w:hAnsi="Times New Roman" w:cs="Times New Roman"/>
          <w:sz w:val="27"/>
          <w:szCs w:val="27"/>
          <w:lang w:val="uk-UA"/>
        </w:rPr>
        <w:t>Компетентний орган</w:t>
      </w:r>
      <w:r w:rsidR="00A8430B" w:rsidRPr="00F757B5">
        <w:rPr>
          <w:rFonts w:ascii="Times New Roman" w:eastAsia="Times New Roman" w:hAnsi="Times New Roman" w:cs="Times New Roman"/>
          <w:sz w:val="27"/>
          <w:szCs w:val="27"/>
          <w:lang w:val="uk-UA"/>
        </w:rPr>
        <w:t xml:space="preserve"> </w:t>
      </w:r>
      <w:r w:rsidR="00A8430B">
        <w:rPr>
          <w:rFonts w:ascii="Times New Roman" w:eastAsia="Times New Roman" w:hAnsi="Times New Roman" w:cs="Times New Roman"/>
          <w:sz w:val="27"/>
          <w:szCs w:val="27"/>
          <w:lang w:val="uk-UA"/>
        </w:rPr>
        <w:t xml:space="preserve">надає повноваження тільки за умови, що він повністю переконався в тому, що ЦКА-заявник відповідає всім вимогам, викладеним у </w:t>
      </w:r>
      <w:r w:rsidR="00A8430B">
        <w:rPr>
          <w:rFonts w:ascii="Times New Roman" w:eastAsia="Times New Roman" w:hAnsi="Times New Roman" w:cs="Times New Roman"/>
          <w:sz w:val="27"/>
          <w:szCs w:val="27"/>
          <w:lang w:val="uk-UA"/>
        </w:rPr>
        <w:lastRenderedPageBreak/>
        <w:t>цьому регламенті, й що цей ЦКА повідомлений як система відповідно до Директиви</w:t>
      </w:r>
      <w:r w:rsidRPr="00F757B5">
        <w:rPr>
          <w:rFonts w:ascii="Times New Roman" w:eastAsia="Times New Roman" w:hAnsi="Times New Roman" w:cs="Times New Roman"/>
          <w:sz w:val="27"/>
          <w:szCs w:val="27"/>
          <w:lang w:val="uk-UA"/>
        </w:rPr>
        <w:t xml:space="preserve"> 98/26/</w:t>
      </w:r>
      <w:r w:rsidRPr="006279CF">
        <w:rPr>
          <w:rFonts w:ascii="Times New Roman" w:eastAsia="Times New Roman" w:hAnsi="Times New Roman" w:cs="Times New Roman"/>
          <w:sz w:val="27"/>
          <w:szCs w:val="27"/>
        </w:rPr>
        <w:t>EC</w:t>
      </w:r>
      <w:r w:rsidRPr="00F757B5">
        <w:rPr>
          <w:rFonts w:ascii="Times New Roman" w:eastAsia="Times New Roman" w:hAnsi="Times New Roman" w:cs="Times New Roman"/>
          <w:sz w:val="27"/>
          <w:szCs w:val="27"/>
          <w:lang w:val="uk-UA"/>
        </w:rPr>
        <w:t>.</w:t>
      </w:r>
    </w:p>
    <w:p w:rsidR="00A8430B" w:rsidRPr="00A8430B" w:rsidRDefault="00A8430B"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Компетентний орган</w:t>
      </w:r>
      <w:r w:rsidRPr="00A8430B">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належним чином ураховує висновок колегії, зроблений відповідно до статті 19. Якщо компетентний орган даного ЦКА не погоджується з позитивним висновком колегії, то йог</w:t>
      </w:r>
      <w:r w:rsidR="008146A3">
        <w:rPr>
          <w:rFonts w:ascii="Times New Roman" w:eastAsia="Times New Roman" w:hAnsi="Times New Roman" w:cs="Times New Roman"/>
          <w:sz w:val="27"/>
          <w:szCs w:val="27"/>
          <w:lang w:val="uk-UA"/>
        </w:rPr>
        <w:t>о висновок повинен містити повні причини та пояснення будь-якого значного відхилення від цього позитивного висновку.</w:t>
      </w:r>
    </w:p>
    <w:p w:rsidR="008146A3" w:rsidRDefault="008146A3"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ЦКА не надаються повноваження, </w:t>
      </w:r>
      <w:r w:rsidR="004202DE">
        <w:rPr>
          <w:rFonts w:ascii="Times New Roman" w:eastAsia="Times New Roman" w:hAnsi="Times New Roman" w:cs="Times New Roman"/>
          <w:sz w:val="27"/>
          <w:szCs w:val="27"/>
          <w:lang w:val="uk-UA"/>
        </w:rPr>
        <w:t>якщо всі члени колегії, за винятком органів держави-члена</w:t>
      </w:r>
      <w:r w:rsidR="003D6B58" w:rsidRPr="003D6B58">
        <w:rPr>
          <w:rFonts w:ascii="Times New Roman" w:eastAsia="Times New Roman" w:hAnsi="Times New Roman" w:cs="Times New Roman"/>
          <w:sz w:val="27"/>
          <w:szCs w:val="27"/>
          <w:lang w:val="uk-UA"/>
        </w:rPr>
        <w:t xml:space="preserve"> </w:t>
      </w:r>
      <w:r w:rsidR="003D6B58">
        <w:rPr>
          <w:rFonts w:ascii="Times New Roman" w:eastAsia="Times New Roman" w:hAnsi="Times New Roman" w:cs="Times New Roman"/>
          <w:sz w:val="27"/>
          <w:szCs w:val="27"/>
          <w:lang w:val="uk-UA"/>
        </w:rPr>
        <w:t>Союзу</w:t>
      </w:r>
      <w:r w:rsidR="004202DE">
        <w:rPr>
          <w:rFonts w:ascii="Times New Roman" w:eastAsia="Times New Roman" w:hAnsi="Times New Roman" w:cs="Times New Roman"/>
          <w:sz w:val="27"/>
          <w:szCs w:val="27"/>
          <w:lang w:val="uk-UA"/>
        </w:rPr>
        <w:t>, в якій створений ЦКА, дійшли на основі взаємної згоди</w:t>
      </w:r>
      <w:r w:rsidR="004202DE" w:rsidRPr="008146A3">
        <w:rPr>
          <w:rFonts w:ascii="Times New Roman" w:eastAsia="Times New Roman" w:hAnsi="Times New Roman" w:cs="Times New Roman"/>
          <w:sz w:val="27"/>
          <w:szCs w:val="27"/>
          <w:lang w:val="uk-UA"/>
        </w:rPr>
        <w:t xml:space="preserve"> </w:t>
      </w:r>
      <w:r w:rsidR="004202DE">
        <w:rPr>
          <w:rFonts w:ascii="Times New Roman" w:eastAsia="Times New Roman" w:hAnsi="Times New Roman" w:cs="Times New Roman"/>
          <w:sz w:val="27"/>
          <w:szCs w:val="27"/>
          <w:lang w:val="uk-UA"/>
        </w:rPr>
        <w:t>спільного висновку відповідно до статті 19(1) про те, що повноваження цьому ЦКА не можуть бути надані. У цьому висновку повинні бути письмово викладені повні та детальні причини того, чому колегія вважає, що вимоги, викладені у цьому регламенті або іншому законодавстві Союзу, не виконані.</w:t>
      </w:r>
    </w:p>
    <w:p w:rsidR="00DE77B0" w:rsidRPr="002C29EF" w:rsidRDefault="00131BB9" w:rsidP="002C29EF">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Якщо спільний висновок на основі взаємної згоди, згаданий вище у третьому абзаці, не досягнутий, а більшість у дві третини членів колегії висловила негативний висновок</w:t>
      </w:r>
      <w:r w:rsidR="002C29EF">
        <w:rPr>
          <w:rFonts w:ascii="Times New Roman" w:eastAsia="Times New Roman" w:hAnsi="Times New Roman" w:cs="Times New Roman"/>
          <w:sz w:val="27"/>
          <w:szCs w:val="27"/>
          <w:lang w:val="uk-UA"/>
        </w:rPr>
        <w:t xml:space="preserve">, то будь-який з зацікавлених компетентних органів на основі цієї більшості у дві третини членів колегії може впродовж 30 календарних днів з моменту прийняття цього негативного висновку передати питання на розгляд </w:t>
      </w:r>
      <w:r w:rsidR="002C29EF">
        <w:rPr>
          <w:rFonts w:ascii="Times New Roman" w:eastAsia="Times New Roman" w:hAnsi="Times New Roman" w:cs="Times New Roman"/>
          <w:sz w:val="27"/>
          <w:szCs w:val="27"/>
        </w:rPr>
        <w:t>ESMA</w:t>
      </w:r>
      <w:r w:rsidR="002C29EF">
        <w:rPr>
          <w:rFonts w:ascii="Times New Roman" w:eastAsia="Times New Roman" w:hAnsi="Times New Roman" w:cs="Times New Roman"/>
          <w:sz w:val="27"/>
          <w:szCs w:val="27"/>
          <w:lang w:val="uk-UA"/>
        </w:rPr>
        <w:t xml:space="preserve"> відповідно до статті 19 </w:t>
      </w:r>
      <w:r w:rsidR="00AC2299" w:rsidRPr="002C29EF">
        <w:rPr>
          <w:rFonts w:ascii="Times New Roman" w:eastAsia="Times New Roman" w:hAnsi="Times New Roman" w:cs="Times New Roman"/>
          <w:sz w:val="27"/>
          <w:szCs w:val="27"/>
          <w:lang w:val="ru-RU"/>
        </w:rPr>
        <w:t>Регламенту (</w:t>
      </w:r>
      <w:r w:rsidR="00AC2299">
        <w:rPr>
          <w:rFonts w:ascii="Times New Roman" w:eastAsia="Times New Roman" w:hAnsi="Times New Roman" w:cs="Times New Roman"/>
          <w:sz w:val="27"/>
          <w:szCs w:val="27"/>
        </w:rPr>
        <w:t>EU</w:t>
      </w:r>
      <w:r w:rsidR="00AC2299" w:rsidRPr="002C29EF">
        <w:rPr>
          <w:rFonts w:ascii="Times New Roman" w:eastAsia="Times New Roman" w:hAnsi="Times New Roman" w:cs="Times New Roman"/>
          <w:sz w:val="27"/>
          <w:szCs w:val="27"/>
          <w:lang w:val="ru-RU"/>
        </w:rPr>
        <w:t>) №</w:t>
      </w:r>
      <w:r w:rsidR="00DE77B0" w:rsidRPr="006279CF">
        <w:rPr>
          <w:rFonts w:ascii="Times New Roman" w:eastAsia="Times New Roman" w:hAnsi="Times New Roman" w:cs="Times New Roman"/>
          <w:sz w:val="27"/>
          <w:szCs w:val="27"/>
        </w:rPr>
        <w:t> </w:t>
      </w:r>
      <w:r w:rsidR="00DE77B0" w:rsidRPr="002C29EF">
        <w:rPr>
          <w:rFonts w:ascii="Times New Roman" w:eastAsia="Times New Roman" w:hAnsi="Times New Roman" w:cs="Times New Roman"/>
          <w:sz w:val="27"/>
          <w:szCs w:val="27"/>
          <w:lang w:val="ru-RU"/>
        </w:rPr>
        <w:t>1095/2010.</w:t>
      </w:r>
    </w:p>
    <w:p w:rsidR="0054695B" w:rsidRPr="0054695B" w:rsidRDefault="0054695B" w:rsidP="0054695B">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ru-RU"/>
        </w:rPr>
        <w:t xml:space="preserve">У </w:t>
      </w:r>
      <w:r>
        <w:rPr>
          <w:rFonts w:ascii="Times New Roman" w:eastAsia="Times New Roman" w:hAnsi="Times New Roman" w:cs="Times New Roman"/>
          <w:sz w:val="27"/>
          <w:szCs w:val="27"/>
          <w:lang w:val="uk-UA"/>
        </w:rPr>
        <w:t xml:space="preserve">рішенні про передачу питання до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письмово викладаються повні та детальні причини того, чому відповідні члени колегії вважають, що вимоги, викладені у цьому регламенті або іншому законодавстві Союзу, не виконані. У цьому випадку компетентний орган ЦКА відкладає прийняття рішення про надання повноважень і очікує рішення щодо надання повноважень, яке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може прийняти відповідно до статті</w:t>
      </w:r>
      <w:r w:rsidR="00DE77B0" w:rsidRPr="0054695B">
        <w:rPr>
          <w:rFonts w:ascii="Times New Roman" w:eastAsia="Times New Roman" w:hAnsi="Times New Roman" w:cs="Times New Roman"/>
          <w:sz w:val="27"/>
          <w:szCs w:val="27"/>
          <w:lang w:val="uk-UA"/>
        </w:rPr>
        <w:t xml:space="preserve"> 19(3) </w:t>
      </w:r>
      <w:r w:rsidR="00AC2299" w:rsidRPr="0054695B">
        <w:rPr>
          <w:rFonts w:ascii="Times New Roman" w:eastAsia="Times New Roman" w:hAnsi="Times New Roman" w:cs="Times New Roman"/>
          <w:sz w:val="27"/>
          <w:szCs w:val="27"/>
          <w:lang w:val="uk-UA"/>
        </w:rPr>
        <w:t>Регламенту (</w:t>
      </w:r>
      <w:r w:rsidR="00AC2299">
        <w:rPr>
          <w:rFonts w:ascii="Times New Roman" w:eastAsia="Times New Roman" w:hAnsi="Times New Roman" w:cs="Times New Roman"/>
          <w:sz w:val="27"/>
          <w:szCs w:val="27"/>
        </w:rPr>
        <w:t>EU</w:t>
      </w:r>
      <w:r w:rsidR="00AC2299" w:rsidRPr="0054695B">
        <w:rPr>
          <w:rFonts w:ascii="Times New Roman" w:eastAsia="Times New Roman" w:hAnsi="Times New Roman" w:cs="Times New Roman"/>
          <w:sz w:val="27"/>
          <w:szCs w:val="27"/>
          <w:lang w:val="uk-UA"/>
        </w:rPr>
        <w:t>) №</w:t>
      </w:r>
      <w:r w:rsidR="00DE77B0" w:rsidRPr="006279CF">
        <w:rPr>
          <w:rFonts w:ascii="Times New Roman" w:eastAsia="Times New Roman" w:hAnsi="Times New Roman" w:cs="Times New Roman"/>
          <w:sz w:val="27"/>
          <w:szCs w:val="27"/>
        </w:rPr>
        <w:t> </w:t>
      </w:r>
      <w:r w:rsidR="00DE77B0" w:rsidRPr="0054695B">
        <w:rPr>
          <w:rFonts w:ascii="Times New Roman" w:eastAsia="Times New Roman" w:hAnsi="Times New Roman" w:cs="Times New Roman"/>
          <w:sz w:val="27"/>
          <w:szCs w:val="27"/>
          <w:lang w:val="uk-UA"/>
        </w:rPr>
        <w:t>1095/2010</w:t>
      </w:r>
      <w:r>
        <w:rPr>
          <w:rFonts w:ascii="Times New Roman" w:eastAsia="Times New Roman" w:hAnsi="Times New Roman" w:cs="Times New Roman"/>
          <w:sz w:val="27"/>
          <w:szCs w:val="27"/>
          <w:lang w:val="uk-UA"/>
        </w:rPr>
        <w:t xml:space="preserve">. Компетентний орган приймає своє рішення згідно з рішенням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Питання не передається на розгляд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після закінчення 30-денного терміну, згаданого вище у четвертому абзаці.</w:t>
      </w:r>
    </w:p>
    <w:p w:rsidR="00DE77B0" w:rsidRPr="00796B03" w:rsidRDefault="004202DE" w:rsidP="00796B0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Якщо всі члени колегії, за винятком органів держави-члена</w:t>
      </w:r>
      <w:r w:rsidR="003D6B58" w:rsidRPr="003D6B58">
        <w:rPr>
          <w:rFonts w:ascii="Times New Roman" w:eastAsia="Times New Roman" w:hAnsi="Times New Roman" w:cs="Times New Roman"/>
          <w:sz w:val="27"/>
          <w:szCs w:val="27"/>
          <w:lang w:val="uk-UA"/>
        </w:rPr>
        <w:t xml:space="preserve"> </w:t>
      </w:r>
      <w:r w:rsidR="003D6B58">
        <w:rPr>
          <w:rFonts w:ascii="Times New Roman" w:eastAsia="Times New Roman" w:hAnsi="Times New Roman" w:cs="Times New Roman"/>
          <w:sz w:val="27"/>
          <w:szCs w:val="27"/>
          <w:lang w:val="uk-UA"/>
        </w:rPr>
        <w:t>Союзу</w:t>
      </w:r>
      <w:r>
        <w:rPr>
          <w:rFonts w:ascii="Times New Roman" w:eastAsia="Times New Roman" w:hAnsi="Times New Roman" w:cs="Times New Roman"/>
          <w:sz w:val="27"/>
          <w:szCs w:val="27"/>
          <w:lang w:val="uk-UA"/>
        </w:rPr>
        <w:t>, в якій створений ЦКА, дійшли на основі взаємної згоди</w:t>
      </w:r>
      <w:r w:rsidRPr="008146A3">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 xml:space="preserve">спільного висновку відповідно до статті 19(1) про те, що повноваження цьому ЦКА не можуть бути надані, то компетентний орган ЦКА може передати питання на розгляд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ru-RU"/>
        </w:rPr>
        <w:t xml:space="preserve"> </w:t>
      </w:r>
      <w:proofErr w:type="spellStart"/>
      <w:r w:rsidR="001842E4" w:rsidRPr="00796B03">
        <w:rPr>
          <w:rFonts w:ascii="Times New Roman" w:eastAsia="Times New Roman" w:hAnsi="Times New Roman" w:cs="Times New Roman"/>
          <w:sz w:val="27"/>
          <w:szCs w:val="27"/>
          <w:lang w:val="ru-RU"/>
        </w:rPr>
        <w:t>відповідно</w:t>
      </w:r>
      <w:proofErr w:type="spellEnd"/>
      <w:r w:rsidR="001842E4" w:rsidRPr="00796B03">
        <w:rPr>
          <w:rFonts w:ascii="Times New Roman" w:eastAsia="Times New Roman" w:hAnsi="Times New Roman" w:cs="Times New Roman"/>
          <w:sz w:val="27"/>
          <w:szCs w:val="27"/>
          <w:lang w:val="ru-RU"/>
        </w:rPr>
        <w:t xml:space="preserve"> до </w:t>
      </w:r>
      <w:proofErr w:type="spellStart"/>
      <w:r w:rsidR="001842E4" w:rsidRPr="00796B03">
        <w:rPr>
          <w:rFonts w:ascii="Times New Roman" w:eastAsia="Times New Roman" w:hAnsi="Times New Roman" w:cs="Times New Roman"/>
          <w:sz w:val="27"/>
          <w:szCs w:val="27"/>
          <w:lang w:val="ru-RU"/>
        </w:rPr>
        <w:t>статті</w:t>
      </w:r>
      <w:proofErr w:type="spellEnd"/>
      <w:r w:rsidR="001842E4" w:rsidRPr="00796B03">
        <w:rPr>
          <w:rFonts w:ascii="Times New Roman" w:eastAsia="Times New Roman" w:hAnsi="Times New Roman" w:cs="Times New Roman"/>
          <w:sz w:val="27"/>
          <w:szCs w:val="27"/>
          <w:lang w:val="ru-RU"/>
        </w:rPr>
        <w:t xml:space="preserve"> 19</w:t>
      </w:r>
      <w:r w:rsidR="001842E4">
        <w:rPr>
          <w:rFonts w:ascii="Times New Roman" w:eastAsia="Times New Roman" w:hAnsi="Times New Roman" w:cs="Times New Roman"/>
          <w:sz w:val="27"/>
          <w:szCs w:val="27"/>
          <w:lang w:val="uk-UA"/>
        </w:rPr>
        <w:t xml:space="preserve"> </w:t>
      </w:r>
      <w:r w:rsidR="00AC2299" w:rsidRPr="00796B03">
        <w:rPr>
          <w:rFonts w:ascii="Times New Roman" w:eastAsia="Times New Roman" w:hAnsi="Times New Roman" w:cs="Times New Roman"/>
          <w:sz w:val="27"/>
          <w:szCs w:val="27"/>
          <w:lang w:val="ru-RU"/>
        </w:rPr>
        <w:t>Регламенту (</w:t>
      </w:r>
      <w:r w:rsidR="00AC2299">
        <w:rPr>
          <w:rFonts w:ascii="Times New Roman" w:eastAsia="Times New Roman" w:hAnsi="Times New Roman" w:cs="Times New Roman"/>
          <w:sz w:val="27"/>
          <w:szCs w:val="27"/>
        </w:rPr>
        <w:t>EU</w:t>
      </w:r>
      <w:r w:rsidR="00AC2299" w:rsidRPr="00796B03">
        <w:rPr>
          <w:rFonts w:ascii="Times New Roman" w:eastAsia="Times New Roman" w:hAnsi="Times New Roman" w:cs="Times New Roman"/>
          <w:sz w:val="27"/>
          <w:szCs w:val="27"/>
          <w:lang w:val="ru-RU"/>
        </w:rPr>
        <w:t>) №</w:t>
      </w:r>
      <w:r w:rsidR="00DE77B0" w:rsidRPr="006279CF">
        <w:rPr>
          <w:rFonts w:ascii="Times New Roman" w:eastAsia="Times New Roman" w:hAnsi="Times New Roman" w:cs="Times New Roman"/>
          <w:sz w:val="27"/>
          <w:szCs w:val="27"/>
        </w:rPr>
        <w:t> </w:t>
      </w:r>
      <w:r w:rsidR="00DE77B0" w:rsidRPr="00796B03">
        <w:rPr>
          <w:rFonts w:ascii="Times New Roman" w:eastAsia="Times New Roman" w:hAnsi="Times New Roman" w:cs="Times New Roman"/>
          <w:sz w:val="27"/>
          <w:szCs w:val="27"/>
          <w:lang w:val="ru-RU"/>
        </w:rPr>
        <w:t>1095/2010.</w:t>
      </w:r>
    </w:p>
    <w:p w:rsidR="00DE77B0" w:rsidRPr="00F757B5" w:rsidRDefault="00F63FB1" w:rsidP="00F63FB1">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Компетентний орган держави-члена</w:t>
      </w:r>
      <w:r w:rsidR="003D6B58" w:rsidRPr="003D6B58">
        <w:rPr>
          <w:rFonts w:ascii="Times New Roman" w:eastAsia="Times New Roman" w:hAnsi="Times New Roman" w:cs="Times New Roman"/>
          <w:sz w:val="27"/>
          <w:szCs w:val="27"/>
          <w:lang w:val="uk-UA"/>
        </w:rPr>
        <w:t xml:space="preserve"> </w:t>
      </w:r>
      <w:r w:rsidR="003D6B58">
        <w:rPr>
          <w:rFonts w:ascii="Times New Roman" w:eastAsia="Times New Roman" w:hAnsi="Times New Roman" w:cs="Times New Roman"/>
          <w:sz w:val="27"/>
          <w:szCs w:val="27"/>
          <w:lang w:val="uk-UA"/>
        </w:rPr>
        <w:t>Союзу</w:t>
      </w:r>
      <w:r>
        <w:rPr>
          <w:rFonts w:ascii="Times New Roman" w:eastAsia="Times New Roman" w:hAnsi="Times New Roman" w:cs="Times New Roman"/>
          <w:sz w:val="27"/>
          <w:szCs w:val="27"/>
          <w:lang w:val="uk-UA"/>
        </w:rPr>
        <w:t>, в якій створено ЦКА, передає вищезгадане рішення іншим зацікавленим компетентним органам.</w:t>
      </w:r>
    </w:p>
    <w:p w:rsidR="00DE77B0" w:rsidRPr="00F757B5" w:rsidRDefault="00DE77B0" w:rsidP="003920EC">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757B5">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ESMA</w:t>
      </w:r>
      <w:r w:rsidRPr="00F63FB1">
        <w:rPr>
          <w:rFonts w:ascii="Times New Roman" w:eastAsia="Times New Roman" w:hAnsi="Times New Roman" w:cs="Times New Roman"/>
          <w:sz w:val="27"/>
          <w:szCs w:val="27"/>
          <w:lang w:val="ru-RU"/>
        </w:rPr>
        <w:t xml:space="preserve"> </w:t>
      </w:r>
      <w:r w:rsidR="00F63FB1">
        <w:rPr>
          <w:rFonts w:ascii="Times New Roman" w:eastAsia="Times New Roman" w:hAnsi="Times New Roman" w:cs="Times New Roman"/>
          <w:sz w:val="27"/>
          <w:szCs w:val="27"/>
          <w:lang w:val="uk-UA"/>
        </w:rPr>
        <w:t>діє</w:t>
      </w:r>
      <w:r w:rsidRPr="00F63FB1">
        <w:rPr>
          <w:rFonts w:ascii="Times New Roman" w:eastAsia="Times New Roman" w:hAnsi="Times New Roman" w:cs="Times New Roman"/>
          <w:sz w:val="27"/>
          <w:szCs w:val="27"/>
          <w:lang w:val="ru-RU"/>
        </w:rPr>
        <w:t xml:space="preserve"> </w:t>
      </w:r>
      <w:proofErr w:type="spellStart"/>
      <w:r w:rsidR="001842E4" w:rsidRPr="00F63FB1">
        <w:rPr>
          <w:rFonts w:ascii="Times New Roman" w:eastAsia="Times New Roman" w:hAnsi="Times New Roman" w:cs="Times New Roman"/>
          <w:sz w:val="27"/>
          <w:szCs w:val="27"/>
          <w:lang w:val="ru-RU"/>
        </w:rPr>
        <w:t>відповідно</w:t>
      </w:r>
      <w:proofErr w:type="spellEnd"/>
      <w:r w:rsidR="001842E4" w:rsidRPr="00F63FB1">
        <w:rPr>
          <w:rFonts w:ascii="Times New Roman" w:eastAsia="Times New Roman" w:hAnsi="Times New Roman" w:cs="Times New Roman"/>
          <w:sz w:val="27"/>
          <w:szCs w:val="27"/>
          <w:lang w:val="ru-RU"/>
        </w:rPr>
        <w:t xml:space="preserve"> до </w:t>
      </w:r>
      <w:proofErr w:type="spellStart"/>
      <w:r w:rsidR="001842E4" w:rsidRPr="00F63FB1">
        <w:rPr>
          <w:rFonts w:ascii="Times New Roman" w:eastAsia="Times New Roman" w:hAnsi="Times New Roman" w:cs="Times New Roman"/>
          <w:sz w:val="27"/>
          <w:szCs w:val="27"/>
          <w:lang w:val="ru-RU"/>
        </w:rPr>
        <w:t>статті</w:t>
      </w:r>
      <w:proofErr w:type="spellEnd"/>
      <w:r w:rsidRPr="00F63FB1">
        <w:rPr>
          <w:rFonts w:ascii="Times New Roman" w:eastAsia="Times New Roman" w:hAnsi="Times New Roman" w:cs="Times New Roman"/>
          <w:sz w:val="27"/>
          <w:szCs w:val="27"/>
          <w:lang w:val="ru-RU"/>
        </w:rPr>
        <w:t xml:space="preserve"> 17 </w:t>
      </w:r>
      <w:r w:rsidR="00AC2299" w:rsidRPr="00F63FB1">
        <w:rPr>
          <w:rFonts w:ascii="Times New Roman" w:eastAsia="Times New Roman" w:hAnsi="Times New Roman" w:cs="Times New Roman"/>
          <w:sz w:val="27"/>
          <w:szCs w:val="27"/>
          <w:lang w:val="ru-RU"/>
        </w:rPr>
        <w:t>Регламенту (</w:t>
      </w:r>
      <w:r w:rsidR="00AC2299">
        <w:rPr>
          <w:rFonts w:ascii="Times New Roman" w:eastAsia="Times New Roman" w:hAnsi="Times New Roman" w:cs="Times New Roman"/>
          <w:sz w:val="27"/>
          <w:szCs w:val="27"/>
        </w:rPr>
        <w:t>EU</w:t>
      </w:r>
      <w:r w:rsidR="00AC2299" w:rsidRPr="00F63FB1">
        <w:rPr>
          <w:rFonts w:ascii="Times New Roman" w:eastAsia="Times New Roman" w:hAnsi="Times New Roman" w:cs="Times New Roman"/>
          <w:sz w:val="27"/>
          <w:szCs w:val="27"/>
          <w:lang w:val="ru-RU"/>
        </w:rPr>
        <w:t>) №</w:t>
      </w:r>
      <w:r w:rsidRPr="006279CF">
        <w:rPr>
          <w:rFonts w:ascii="Times New Roman" w:eastAsia="Times New Roman" w:hAnsi="Times New Roman" w:cs="Times New Roman"/>
          <w:sz w:val="27"/>
          <w:szCs w:val="27"/>
        </w:rPr>
        <w:t> </w:t>
      </w:r>
      <w:r w:rsidRPr="00F63FB1">
        <w:rPr>
          <w:rFonts w:ascii="Times New Roman" w:eastAsia="Times New Roman" w:hAnsi="Times New Roman" w:cs="Times New Roman"/>
          <w:sz w:val="27"/>
          <w:szCs w:val="27"/>
          <w:lang w:val="ru-RU"/>
        </w:rPr>
        <w:t xml:space="preserve">1095/2010 </w:t>
      </w:r>
      <w:r w:rsidR="00F63FB1">
        <w:rPr>
          <w:rFonts w:ascii="Times New Roman" w:eastAsia="Times New Roman" w:hAnsi="Times New Roman" w:cs="Times New Roman"/>
          <w:sz w:val="27"/>
          <w:szCs w:val="27"/>
          <w:lang w:val="uk-UA"/>
        </w:rPr>
        <w:t>у випадку, якщо компетентний орган ЦКА не застосував положення цього регламенту або застосував ї</w:t>
      </w:r>
      <w:r w:rsidR="003920EC">
        <w:rPr>
          <w:rFonts w:ascii="Times New Roman" w:eastAsia="Times New Roman" w:hAnsi="Times New Roman" w:cs="Times New Roman"/>
          <w:sz w:val="27"/>
          <w:szCs w:val="27"/>
          <w:lang w:val="uk-UA"/>
        </w:rPr>
        <w:t>х у спосіб, який, як</w:t>
      </w:r>
      <w:r w:rsidR="003920EC" w:rsidRPr="003920EC">
        <w:rPr>
          <w:rFonts w:ascii="Times New Roman" w:eastAsia="Times New Roman" w:hAnsi="Times New Roman" w:cs="Times New Roman"/>
          <w:sz w:val="27"/>
          <w:szCs w:val="27"/>
          <w:lang w:val="ru-RU"/>
        </w:rPr>
        <w:t xml:space="preserve"> </w:t>
      </w:r>
      <w:r w:rsidR="003920EC">
        <w:rPr>
          <w:rFonts w:ascii="Times New Roman" w:eastAsia="Times New Roman" w:hAnsi="Times New Roman" w:cs="Times New Roman"/>
          <w:sz w:val="27"/>
          <w:szCs w:val="27"/>
          <w:lang w:val="uk-UA"/>
        </w:rPr>
        <w:t>здається, порушує законодавство Союзу.</w:t>
      </w:r>
    </w:p>
    <w:p w:rsidR="00DE77B0" w:rsidRPr="00F757B5" w:rsidRDefault="00DE77B0" w:rsidP="003920EC">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lastRenderedPageBreak/>
        <w:t>ESMA</w:t>
      </w:r>
      <w:r w:rsidRPr="003920EC">
        <w:rPr>
          <w:rFonts w:ascii="Times New Roman" w:eastAsia="Times New Roman" w:hAnsi="Times New Roman" w:cs="Times New Roman"/>
          <w:sz w:val="27"/>
          <w:szCs w:val="27"/>
          <w:lang w:val="ru-RU"/>
        </w:rPr>
        <w:t xml:space="preserve"> </w:t>
      </w:r>
      <w:r w:rsidR="003920EC">
        <w:rPr>
          <w:rFonts w:ascii="Times New Roman" w:eastAsia="Times New Roman" w:hAnsi="Times New Roman" w:cs="Times New Roman"/>
          <w:sz w:val="27"/>
          <w:szCs w:val="27"/>
          <w:lang w:val="uk-UA"/>
        </w:rPr>
        <w:t>може розслідувати гадане порушення або незастосування законодавства Союзу на вимогу будь-якого члена колегії або за власною ініціативою, попередньо поінформувавши про це компетентний орган.</w:t>
      </w:r>
    </w:p>
    <w:p w:rsidR="00DE77B0" w:rsidRPr="00F757B5" w:rsidRDefault="00DE77B0" w:rsidP="004A17A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920EC">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w:t>
      </w:r>
      <w:r w:rsidR="003920EC">
        <w:rPr>
          <w:rFonts w:ascii="Times New Roman" w:eastAsia="Times New Roman" w:hAnsi="Times New Roman" w:cs="Times New Roman"/>
          <w:sz w:val="27"/>
          <w:szCs w:val="27"/>
          <w:lang w:val="uk-UA"/>
        </w:rPr>
        <w:t>При виконанні членами колегії своїх обов’язків будь-який захід, ужитий будь-яким членом колегії, не повинен дискримін</w:t>
      </w:r>
      <w:r w:rsidR="004A17AE">
        <w:rPr>
          <w:rFonts w:ascii="Times New Roman" w:eastAsia="Times New Roman" w:hAnsi="Times New Roman" w:cs="Times New Roman"/>
          <w:sz w:val="27"/>
          <w:szCs w:val="27"/>
          <w:lang w:val="uk-UA"/>
        </w:rPr>
        <w:t xml:space="preserve">увати, прямо чи непрямо, будь-яку державу-члена </w:t>
      </w:r>
      <w:r w:rsidR="003D6B58">
        <w:rPr>
          <w:rFonts w:ascii="Times New Roman" w:eastAsia="Times New Roman" w:hAnsi="Times New Roman" w:cs="Times New Roman"/>
          <w:sz w:val="27"/>
          <w:szCs w:val="27"/>
          <w:lang w:val="uk-UA"/>
        </w:rPr>
        <w:t xml:space="preserve">Союзу </w:t>
      </w:r>
      <w:r w:rsidR="004A17AE">
        <w:rPr>
          <w:rFonts w:ascii="Times New Roman" w:eastAsia="Times New Roman" w:hAnsi="Times New Roman" w:cs="Times New Roman"/>
          <w:sz w:val="27"/>
          <w:szCs w:val="27"/>
          <w:lang w:val="uk-UA"/>
        </w:rPr>
        <w:t xml:space="preserve">чи групу держав-членів </w:t>
      </w:r>
      <w:r w:rsidR="003D6B58">
        <w:rPr>
          <w:rFonts w:ascii="Times New Roman" w:eastAsia="Times New Roman" w:hAnsi="Times New Roman" w:cs="Times New Roman"/>
          <w:sz w:val="27"/>
          <w:szCs w:val="27"/>
          <w:lang w:val="uk-UA"/>
        </w:rPr>
        <w:t xml:space="preserve">Союзу </w:t>
      </w:r>
      <w:r w:rsidR="004A17AE">
        <w:rPr>
          <w:rFonts w:ascii="Times New Roman" w:eastAsia="Times New Roman" w:hAnsi="Times New Roman" w:cs="Times New Roman"/>
          <w:sz w:val="27"/>
          <w:szCs w:val="27"/>
          <w:lang w:val="uk-UA"/>
        </w:rPr>
        <w:t>як місце надання клірингових послуг у будь-якій валюті.</w:t>
      </w:r>
    </w:p>
    <w:p w:rsidR="00DE77B0" w:rsidRPr="00F757B5" w:rsidRDefault="00DE77B0" w:rsidP="009B68F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4A17AE">
        <w:rPr>
          <w:rFonts w:ascii="Times New Roman" w:eastAsia="Times New Roman" w:hAnsi="Times New Roman" w:cs="Times New Roman"/>
          <w:sz w:val="27"/>
          <w:szCs w:val="27"/>
          <w:lang w:val="ru-RU"/>
        </w:rPr>
        <w:t>7.</w:t>
      </w:r>
      <w:r w:rsidRPr="006279CF">
        <w:rPr>
          <w:rFonts w:ascii="Times New Roman" w:eastAsia="Times New Roman" w:hAnsi="Times New Roman" w:cs="Times New Roman"/>
          <w:sz w:val="27"/>
          <w:szCs w:val="27"/>
        </w:rPr>
        <w:t>   </w:t>
      </w:r>
      <w:r w:rsidR="004A17AE">
        <w:rPr>
          <w:rFonts w:ascii="Times New Roman" w:eastAsia="Times New Roman" w:hAnsi="Times New Roman" w:cs="Times New Roman"/>
          <w:sz w:val="27"/>
          <w:szCs w:val="27"/>
          <w:lang w:val="uk-UA"/>
        </w:rPr>
        <w:t>Упродовж шести місяців з дня подання повної заяви</w:t>
      </w:r>
      <w:r w:rsidR="007F52C5">
        <w:rPr>
          <w:rFonts w:ascii="Times New Roman" w:eastAsia="Times New Roman" w:hAnsi="Times New Roman" w:cs="Times New Roman"/>
          <w:sz w:val="27"/>
          <w:szCs w:val="27"/>
          <w:lang w:val="uk-UA"/>
        </w:rPr>
        <w:t xml:space="preserve"> компетентний орган інформує ЦКА-заявника у письмовому вигляді, з повністю </w:t>
      </w:r>
      <w:r w:rsidR="009B68F9">
        <w:rPr>
          <w:rFonts w:ascii="Times New Roman" w:eastAsia="Times New Roman" w:hAnsi="Times New Roman" w:cs="Times New Roman"/>
          <w:sz w:val="27"/>
          <w:szCs w:val="27"/>
          <w:lang w:val="uk-UA"/>
        </w:rPr>
        <w:t>обґрунтованим</w:t>
      </w:r>
      <w:r w:rsidR="007F52C5">
        <w:rPr>
          <w:rFonts w:ascii="Times New Roman" w:eastAsia="Times New Roman" w:hAnsi="Times New Roman" w:cs="Times New Roman"/>
          <w:sz w:val="27"/>
          <w:szCs w:val="27"/>
          <w:lang w:val="uk-UA"/>
        </w:rPr>
        <w:t xml:space="preserve"> пояс</w:t>
      </w:r>
      <w:r w:rsidR="009B68F9">
        <w:rPr>
          <w:rFonts w:ascii="Times New Roman" w:eastAsia="Times New Roman" w:hAnsi="Times New Roman" w:cs="Times New Roman"/>
          <w:sz w:val="27"/>
          <w:szCs w:val="27"/>
          <w:lang w:val="uk-UA"/>
        </w:rPr>
        <w:t>н</w:t>
      </w:r>
      <w:r w:rsidR="007F52C5">
        <w:rPr>
          <w:rFonts w:ascii="Times New Roman" w:eastAsia="Times New Roman" w:hAnsi="Times New Roman" w:cs="Times New Roman"/>
          <w:sz w:val="27"/>
          <w:szCs w:val="27"/>
          <w:lang w:val="uk-UA"/>
        </w:rPr>
        <w:t>енням, про</w:t>
      </w:r>
      <w:r w:rsidR="009B68F9">
        <w:rPr>
          <w:rFonts w:ascii="Times New Roman" w:eastAsia="Times New Roman" w:hAnsi="Times New Roman" w:cs="Times New Roman"/>
          <w:sz w:val="27"/>
          <w:szCs w:val="27"/>
          <w:lang w:val="uk-UA"/>
        </w:rPr>
        <w:t xml:space="preserve"> те, надані чи не надані йому повноваження.</w:t>
      </w:r>
    </w:p>
    <w:p w:rsidR="00DE77B0" w:rsidRPr="00F757B5"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F757B5">
        <w:rPr>
          <w:rFonts w:ascii="Times New Roman" w:eastAsia="Times New Roman" w:hAnsi="Times New Roman" w:cs="Times New Roman"/>
          <w:i/>
          <w:iCs/>
          <w:sz w:val="27"/>
          <w:szCs w:val="27"/>
          <w:lang w:val="ru-RU"/>
        </w:rPr>
        <w:t>Стаття</w:t>
      </w:r>
      <w:proofErr w:type="spellEnd"/>
      <w:r w:rsidR="00DE77B0" w:rsidRPr="00F757B5">
        <w:rPr>
          <w:rFonts w:ascii="Times New Roman" w:eastAsia="Times New Roman" w:hAnsi="Times New Roman" w:cs="Times New Roman"/>
          <w:i/>
          <w:iCs/>
          <w:sz w:val="27"/>
          <w:szCs w:val="27"/>
          <w:lang w:val="ru-RU"/>
        </w:rPr>
        <w:t xml:space="preserve"> 18</w:t>
      </w:r>
    </w:p>
    <w:p w:rsidR="00DE77B0" w:rsidRPr="00F757B5" w:rsidRDefault="005F7EC6"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Колегія</w:t>
      </w:r>
    </w:p>
    <w:p w:rsidR="00DE77B0" w:rsidRPr="00F757B5" w:rsidRDefault="007E705A" w:rsidP="001524F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7E705A">
        <w:rPr>
          <w:rFonts w:ascii="Times New Roman" w:eastAsia="Times New Roman" w:hAnsi="Times New Roman" w:cs="Times New Roman"/>
          <w:sz w:val="27"/>
          <w:szCs w:val="27"/>
          <w:lang w:val="ru-RU"/>
        </w:rPr>
        <w:t>1.</w:t>
      </w:r>
      <w:r>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У </w:t>
      </w:r>
      <w:proofErr w:type="spellStart"/>
      <w:r>
        <w:rPr>
          <w:rFonts w:ascii="Times New Roman" w:eastAsia="Times New Roman" w:hAnsi="Times New Roman" w:cs="Times New Roman"/>
          <w:sz w:val="27"/>
          <w:szCs w:val="27"/>
          <w:lang w:val="uk-UA"/>
        </w:rPr>
        <w:t>тридцятиденний</w:t>
      </w:r>
      <w:proofErr w:type="spellEnd"/>
      <w:r>
        <w:rPr>
          <w:rFonts w:ascii="Times New Roman" w:eastAsia="Times New Roman" w:hAnsi="Times New Roman" w:cs="Times New Roman"/>
          <w:sz w:val="27"/>
          <w:szCs w:val="27"/>
          <w:lang w:val="uk-UA"/>
        </w:rPr>
        <w:t xml:space="preserve"> строк з дня подання повної заяви</w:t>
      </w:r>
      <w:r w:rsidR="00DE77B0" w:rsidRPr="007E705A">
        <w:rPr>
          <w:rFonts w:ascii="Times New Roman" w:eastAsia="Times New Roman" w:hAnsi="Times New Roman" w:cs="Times New Roman"/>
          <w:sz w:val="27"/>
          <w:szCs w:val="27"/>
          <w:lang w:val="ru-RU"/>
        </w:rPr>
        <w:t xml:space="preserve"> </w:t>
      </w:r>
      <w:proofErr w:type="spellStart"/>
      <w:r w:rsidR="001842E4" w:rsidRPr="007E705A">
        <w:rPr>
          <w:rFonts w:ascii="Times New Roman" w:eastAsia="Times New Roman" w:hAnsi="Times New Roman" w:cs="Times New Roman"/>
          <w:sz w:val="27"/>
          <w:szCs w:val="27"/>
          <w:lang w:val="ru-RU"/>
        </w:rPr>
        <w:t>відповідно</w:t>
      </w:r>
      <w:proofErr w:type="spellEnd"/>
      <w:r w:rsidR="001842E4" w:rsidRPr="007E705A">
        <w:rPr>
          <w:rFonts w:ascii="Times New Roman" w:eastAsia="Times New Roman" w:hAnsi="Times New Roman" w:cs="Times New Roman"/>
          <w:sz w:val="27"/>
          <w:szCs w:val="27"/>
          <w:lang w:val="ru-RU"/>
        </w:rPr>
        <w:t xml:space="preserve"> до </w:t>
      </w:r>
      <w:proofErr w:type="spellStart"/>
      <w:r w:rsidR="001842E4" w:rsidRPr="007E705A">
        <w:rPr>
          <w:rFonts w:ascii="Times New Roman" w:eastAsia="Times New Roman" w:hAnsi="Times New Roman" w:cs="Times New Roman"/>
          <w:sz w:val="27"/>
          <w:szCs w:val="27"/>
          <w:lang w:val="ru-RU"/>
        </w:rPr>
        <w:t>статті</w:t>
      </w:r>
      <w:proofErr w:type="spellEnd"/>
      <w:r w:rsidR="00DE77B0" w:rsidRPr="007E705A">
        <w:rPr>
          <w:rFonts w:ascii="Times New Roman" w:eastAsia="Times New Roman" w:hAnsi="Times New Roman" w:cs="Times New Roman"/>
          <w:sz w:val="27"/>
          <w:szCs w:val="27"/>
          <w:lang w:val="ru-RU"/>
        </w:rPr>
        <w:t xml:space="preserve"> 17</w:t>
      </w:r>
      <w:r w:rsidRPr="007E705A">
        <w:rPr>
          <w:rFonts w:ascii="Times New Roman" w:eastAsia="Times New Roman" w:hAnsi="Times New Roman" w:cs="Times New Roman"/>
          <w:sz w:val="27"/>
          <w:szCs w:val="27"/>
          <w:lang w:val="ru-RU"/>
        </w:rPr>
        <w:t xml:space="preserve"> </w:t>
      </w:r>
      <w:proofErr w:type="spellStart"/>
      <w:r w:rsidRPr="007E705A">
        <w:rPr>
          <w:rFonts w:ascii="Times New Roman" w:eastAsia="Times New Roman" w:hAnsi="Times New Roman" w:cs="Times New Roman"/>
          <w:sz w:val="27"/>
          <w:szCs w:val="27"/>
          <w:lang w:val="ru-RU"/>
        </w:rPr>
        <w:t>компетентний</w:t>
      </w:r>
      <w:proofErr w:type="spellEnd"/>
      <w:r w:rsidRPr="007E705A">
        <w:rPr>
          <w:rFonts w:ascii="Times New Roman" w:eastAsia="Times New Roman" w:hAnsi="Times New Roman" w:cs="Times New Roman"/>
          <w:sz w:val="27"/>
          <w:szCs w:val="27"/>
          <w:lang w:val="ru-RU"/>
        </w:rPr>
        <w:t xml:space="preserve"> орган</w:t>
      </w:r>
      <w:r>
        <w:rPr>
          <w:rFonts w:ascii="Times New Roman" w:eastAsia="Times New Roman" w:hAnsi="Times New Roman" w:cs="Times New Roman"/>
          <w:sz w:val="27"/>
          <w:szCs w:val="27"/>
          <w:lang w:val="uk-UA"/>
        </w:rPr>
        <w:t xml:space="preserve"> ЦКА</w:t>
      </w:r>
      <w:r w:rsidR="001524F3">
        <w:rPr>
          <w:rFonts w:ascii="Times New Roman" w:eastAsia="Times New Roman" w:hAnsi="Times New Roman" w:cs="Times New Roman"/>
          <w:sz w:val="27"/>
          <w:szCs w:val="27"/>
          <w:lang w:val="uk-UA"/>
        </w:rPr>
        <w:t xml:space="preserve"> створює колегію для забезпечення виконання задач, згаданих у статтях 15, 17, 49, 51 та 54, керує цією колегією та головує у ній.</w:t>
      </w:r>
    </w:p>
    <w:p w:rsidR="00DE77B0" w:rsidRPr="001524F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rPr>
        <w:t>2.   </w:t>
      </w:r>
      <w:r w:rsidR="001524F3">
        <w:rPr>
          <w:rFonts w:ascii="Times New Roman" w:eastAsia="Times New Roman" w:hAnsi="Times New Roman" w:cs="Times New Roman"/>
          <w:sz w:val="27"/>
          <w:szCs w:val="27"/>
          <w:lang w:val="uk-UA"/>
        </w:rPr>
        <w:t>До складу колегії входять:</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8963"/>
      </w:tblGrid>
      <w:tr w:rsidR="00763E3E" w:rsidRPr="006279CF" w:rsidTr="001B144A">
        <w:tc>
          <w:tcPr>
            <w:tcW w:w="26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47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ESMA;</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8963"/>
      </w:tblGrid>
      <w:tr w:rsidR="00763E3E" w:rsidRPr="006279CF" w:rsidTr="001B144A">
        <w:tc>
          <w:tcPr>
            <w:tcW w:w="26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47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E705A" w:rsidP="007E705A">
            <w:pPr>
              <w:spacing w:before="120" w:after="0" w:line="240" w:lineRule="auto"/>
              <w:jc w:val="both"/>
              <w:textAlignment w:val="baseline"/>
              <w:rPr>
                <w:rFonts w:ascii="Times New Roman" w:eastAsia="Times New Roman" w:hAnsi="Times New Roman" w:cs="Times New Roman"/>
                <w:sz w:val="27"/>
                <w:szCs w:val="27"/>
              </w:rPr>
            </w:pPr>
            <w:proofErr w:type="spellStart"/>
            <w:r>
              <w:rPr>
                <w:rFonts w:ascii="Times New Roman" w:eastAsia="Times New Roman" w:hAnsi="Times New Roman" w:cs="Times New Roman"/>
                <w:sz w:val="27"/>
                <w:szCs w:val="27"/>
              </w:rPr>
              <w:t>компетентний</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орган</w:t>
            </w:r>
            <w:proofErr w:type="spellEnd"/>
            <w:r w:rsidR="001524F3">
              <w:rPr>
                <w:rFonts w:ascii="Times New Roman" w:eastAsia="Times New Roman" w:hAnsi="Times New Roman" w:cs="Times New Roman"/>
                <w:sz w:val="27"/>
                <w:szCs w:val="27"/>
                <w:lang w:val="uk-UA"/>
              </w:rPr>
              <w:t xml:space="preserve"> ЦКА</w:t>
            </w:r>
            <w:r w:rsidR="00DE77B0" w:rsidRPr="006279CF">
              <w:rPr>
                <w:rFonts w:ascii="Times New Roman" w:eastAsia="Times New Roman" w:hAnsi="Times New Roman" w:cs="Times New Roman"/>
                <w:sz w:val="27"/>
                <w:szCs w:val="27"/>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1524F3" w:rsidP="001524F3">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компетентні органи, відповідальні за нагляд за діяльністю учасників клірингу ЦКА, які створені у трьох державах-членах </w:t>
            </w:r>
            <w:r w:rsidR="003D6B58">
              <w:rPr>
                <w:rFonts w:ascii="Times New Roman" w:eastAsia="Times New Roman" w:hAnsi="Times New Roman" w:cs="Times New Roman"/>
                <w:sz w:val="27"/>
                <w:szCs w:val="27"/>
                <w:lang w:val="uk-UA"/>
              </w:rPr>
              <w:t xml:space="preserve">Союзу </w:t>
            </w:r>
            <w:r>
              <w:rPr>
                <w:rFonts w:ascii="Times New Roman" w:eastAsia="Times New Roman" w:hAnsi="Times New Roman" w:cs="Times New Roman"/>
                <w:sz w:val="27"/>
                <w:szCs w:val="27"/>
                <w:lang w:val="uk-UA"/>
              </w:rPr>
              <w:t>із найбільшими внесками до гарантійного фонду ЦКА, згаданого у статті 42, або на сукупній основі за однорічний період;</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757B5" w:rsidRDefault="001524F3" w:rsidP="001524F3">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компетентні органи, відповідальні за нагляд за діяльністю</w:t>
            </w:r>
            <w:r w:rsidRPr="001524F3">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торговельних майданчиків, обслуговуваних ЦКА;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757B5" w:rsidRDefault="001524F3" w:rsidP="001524F3">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компетентні органи, відповідальні за нагляд за діяльністю</w:t>
            </w:r>
            <w:r w:rsidRPr="001524F3">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 xml:space="preserve">ЦКА, </w:t>
            </w:r>
            <w:r>
              <w:rPr>
                <w:rFonts w:ascii="Times New Roman" w:eastAsia="Times New Roman" w:hAnsi="Times New Roman" w:cs="Times New Roman"/>
                <w:sz w:val="27"/>
                <w:szCs w:val="27"/>
                <w:lang w:val="uk-UA"/>
              </w:rPr>
              <w:t>з якими укладені угоди про сумісність;</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757B5" w:rsidRDefault="00D77469" w:rsidP="00D7746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компетентні органи, відповідальні за нагляд за діяльністю</w:t>
            </w:r>
            <w:r w:rsidRPr="00D77469">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центральних депозитаріїв цінних паперів, з якими зв'язаний ЦКА;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20FC2" w:rsidP="00720FC2">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відповідні члени ЄСЦБ, відповідальні за контроль за діяльністю ЦКА, </w:t>
            </w:r>
            <w:proofErr w:type="spellStart"/>
            <w:r>
              <w:rPr>
                <w:rFonts w:ascii="Times New Roman" w:eastAsia="Times New Roman" w:hAnsi="Times New Roman" w:cs="Times New Roman"/>
                <w:sz w:val="27"/>
                <w:szCs w:val="27"/>
                <w:lang w:val="uk-UA"/>
              </w:rPr>
              <w:t>ві</w:t>
            </w:r>
            <w:proofErr w:type="spellEnd"/>
            <w:r>
              <w:rPr>
                <w:rFonts w:ascii="Times New Roman" w:eastAsia="Times New Roman" w:hAnsi="Times New Roman" w:cs="Times New Roman"/>
                <w:sz w:val="27"/>
                <w:szCs w:val="27"/>
                <w:lang w:val="uk-UA"/>
              </w:rPr>
              <w:t xml:space="preserve"> відповідні члени ЄСЦБ, відповідальні за контроль за діяльністю ЦКА, з якими укладені угоди про сумісність;</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20FC2" w:rsidP="00A16E16">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центральні банки-емітенти найбільш доречних валют Союзу </w:t>
            </w:r>
            <w:r w:rsidR="00A16E16">
              <w:rPr>
                <w:rFonts w:ascii="Times New Roman" w:eastAsia="Times New Roman" w:hAnsi="Times New Roman" w:cs="Times New Roman"/>
                <w:sz w:val="27"/>
                <w:szCs w:val="27"/>
                <w:lang w:val="uk-UA"/>
              </w:rPr>
              <w:t xml:space="preserve">для </w:t>
            </w:r>
            <w:r>
              <w:rPr>
                <w:rFonts w:ascii="Times New Roman" w:eastAsia="Times New Roman" w:hAnsi="Times New Roman" w:cs="Times New Roman"/>
                <w:sz w:val="27"/>
                <w:szCs w:val="27"/>
                <w:lang w:val="uk-UA"/>
              </w:rPr>
              <w:t>фінансових інструментів</w:t>
            </w:r>
            <w:r w:rsidR="00A16E16">
              <w:rPr>
                <w:rFonts w:ascii="Times New Roman" w:eastAsia="Times New Roman" w:hAnsi="Times New Roman" w:cs="Times New Roman"/>
                <w:sz w:val="27"/>
                <w:szCs w:val="27"/>
                <w:lang w:val="uk-UA"/>
              </w:rPr>
              <w:t>, кліринг яких здійснюється.</w:t>
            </w:r>
          </w:p>
        </w:tc>
      </w:tr>
    </w:tbl>
    <w:p w:rsidR="00DE77B0" w:rsidRPr="00812EED" w:rsidRDefault="00DE77B0" w:rsidP="00812EE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757B5">
        <w:rPr>
          <w:rFonts w:ascii="Times New Roman" w:eastAsia="Times New Roman" w:hAnsi="Times New Roman" w:cs="Times New Roman"/>
          <w:sz w:val="27"/>
          <w:szCs w:val="27"/>
          <w:lang w:val="ru-RU"/>
        </w:rPr>
        <w:lastRenderedPageBreak/>
        <w:t>3.</w:t>
      </w:r>
      <w:r w:rsidRPr="006279CF">
        <w:rPr>
          <w:rFonts w:ascii="Times New Roman" w:eastAsia="Times New Roman" w:hAnsi="Times New Roman" w:cs="Times New Roman"/>
          <w:sz w:val="27"/>
          <w:szCs w:val="27"/>
        </w:rPr>
        <w:t>   </w:t>
      </w:r>
      <w:proofErr w:type="spellStart"/>
      <w:r w:rsidR="00812EED" w:rsidRPr="00812EED">
        <w:rPr>
          <w:rFonts w:ascii="Times New Roman" w:eastAsia="Times New Roman" w:hAnsi="Times New Roman" w:cs="Times New Roman"/>
          <w:sz w:val="27"/>
          <w:szCs w:val="27"/>
          <w:lang w:val="ru-RU"/>
        </w:rPr>
        <w:t>Компетентний</w:t>
      </w:r>
      <w:proofErr w:type="spellEnd"/>
      <w:r w:rsidR="00812EED" w:rsidRPr="00812EED">
        <w:rPr>
          <w:rFonts w:ascii="Times New Roman" w:eastAsia="Times New Roman" w:hAnsi="Times New Roman" w:cs="Times New Roman"/>
          <w:sz w:val="27"/>
          <w:szCs w:val="27"/>
          <w:lang w:val="ru-RU"/>
        </w:rPr>
        <w:t xml:space="preserve"> орган</w:t>
      </w:r>
      <w:r w:rsidRPr="00812EED">
        <w:rPr>
          <w:rFonts w:ascii="Times New Roman" w:eastAsia="Times New Roman" w:hAnsi="Times New Roman" w:cs="Times New Roman"/>
          <w:sz w:val="27"/>
          <w:szCs w:val="27"/>
          <w:lang w:val="ru-RU"/>
        </w:rPr>
        <w:t xml:space="preserve"> </w:t>
      </w:r>
      <w:r w:rsidR="00812EED">
        <w:rPr>
          <w:rFonts w:ascii="Times New Roman" w:eastAsia="Times New Roman" w:hAnsi="Times New Roman" w:cs="Times New Roman"/>
          <w:sz w:val="27"/>
          <w:szCs w:val="27"/>
          <w:lang w:val="uk-UA"/>
        </w:rPr>
        <w:t>держави-члена</w:t>
      </w:r>
      <w:r w:rsidR="003D6B58" w:rsidRPr="003D6B58">
        <w:rPr>
          <w:rFonts w:ascii="Times New Roman" w:eastAsia="Times New Roman" w:hAnsi="Times New Roman" w:cs="Times New Roman"/>
          <w:sz w:val="27"/>
          <w:szCs w:val="27"/>
          <w:lang w:val="uk-UA"/>
        </w:rPr>
        <w:t xml:space="preserve"> </w:t>
      </w:r>
      <w:r w:rsidR="003D6B58">
        <w:rPr>
          <w:rFonts w:ascii="Times New Roman" w:eastAsia="Times New Roman" w:hAnsi="Times New Roman" w:cs="Times New Roman"/>
          <w:sz w:val="27"/>
          <w:szCs w:val="27"/>
          <w:lang w:val="uk-UA"/>
        </w:rPr>
        <w:t>Союзу</w:t>
      </w:r>
      <w:r w:rsidR="00812EED">
        <w:rPr>
          <w:rFonts w:ascii="Times New Roman" w:eastAsia="Times New Roman" w:hAnsi="Times New Roman" w:cs="Times New Roman"/>
          <w:sz w:val="27"/>
          <w:szCs w:val="27"/>
          <w:lang w:val="uk-UA"/>
        </w:rPr>
        <w:t>, що не входить до складу колегії, може вимагати від колегії надання будь-якої інформації, актуальної для виконання його наглядових обов’язків.</w:t>
      </w:r>
    </w:p>
    <w:p w:rsidR="00DE77B0" w:rsidRPr="00F757B5" w:rsidRDefault="00DE77B0" w:rsidP="00812EE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812EED">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812EED">
        <w:rPr>
          <w:rFonts w:ascii="Times New Roman" w:eastAsia="Times New Roman" w:hAnsi="Times New Roman" w:cs="Times New Roman"/>
          <w:sz w:val="27"/>
          <w:szCs w:val="27"/>
          <w:lang w:val="uk-UA"/>
        </w:rPr>
        <w:t>Колегія, без шкоди для обов’язків компетентних органів за цим регламентом, забезпечує:</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7"/>
        <w:gridCol w:w="8768"/>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757B5" w:rsidRDefault="00812EED" w:rsidP="00F1097D">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підготовку висновку, згаданого у статті 19</w:t>
            </w:r>
            <w:r w:rsidR="00F1097D">
              <w:rPr>
                <w:rFonts w:ascii="Times New Roman" w:eastAsia="Times New Roman" w:hAnsi="Times New Roman" w:cs="Times New Roman"/>
                <w:sz w:val="27"/>
                <w:szCs w:val="27"/>
                <w:lang w:val="uk-UA"/>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2"/>
        <w:gridCol w:w="9013"/>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F1097D" w:rsidP="00F1097D">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обмін інформацією, включаючи запити інформації згідно зі статтею 84;</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9"/>
        <w:gridCol w:w="9016"/>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757B5" w:rsidRDefault="00F1097D" w:rsidP="00EF4480">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укладення угоди про добровільне покла</w:t>
            </w:r>
            <w:r w:rsidR="00EF4480">
              <w:rPr>
                <w:rFonts w:ascii="Times New Roman" w:eastAsia="Times New Roman" w:hAnsi="Times New Roman" w:cs="Times New Roman"/>
                <w:sz w:val="27"/>
                <w:szCs w:val="27"/>
                <w:lang w:val="uk-UA"/>
              </w:rPr>
              <w:t>дення задач на членів колегії;</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0"/>
        <w:gridCol w:w="903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757B5" w:rsidRDefault="00EF4480" w:rsidP="00EF4480">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координацію програм наглядових перевірок на основі оцінки ризиків ЦКА;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757B5" w:rsidRDefault="00EF4480" w:rsidP="00DF213C">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визначення процедур і планів дій на випадок не</w:t>
            </w:r>
            <w:r w:rsidR="00DF213C">
              <w:rPr>
                <w:rFonts w:ascii="Times New Roman" w:eastAsia="Times New Roman" w:hAnsi="Times New Roman" w:cs="Times New Roman"/>
                <w:sz w:val="27"/>
                <w:szCs w:val="27"/>
                <w:lang w:val="uk-UA"/>
              </w:rPr>
              <w:t>передбачених обставин для реагування на надзвичайні ситуації, згаданих у статті 24.</w:t>
            </w:r>
          </w:p>
        </w:tc>
      </w:tr>
    </w:tbl>
    <w:p w:rsidR="00DF213C"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F757B5">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DF213C">
        <w:rPr>
          <w:rFonts w:ascii="Times New Roman" w:eastAsia="Times New Roman" w:hAnsi="Times New Roman" w:cs="Times New Roman"/>
          <w:sz w:val="27"/>
          <w:szCs w:val="27"/>
          <w:lang w:val="uk-UA"/>
        </w:rPr>
        <w:t>Створення і функціонування колегії здійснюється на основі письмової угоди між усіма її членами.</w:t>
      </w:r>
    </w:p>
    <w:p w:rsidR="00DF213C" w:rsidRDefault="00DF213C"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В угоді визначаються практичні механізми функціонування колегії, зокрема детальні правила голосування, згаданого у статті 19(3), а також можуть визначатися задачі, які покладатимуться на компетентний орган ЦКА або іншого члена колегії.</w:t>
      </w:r>
    </w:p>
    <w:p w:rsidR="000253C2" w:rsidRDefault="000253C2" w:rsidP="000253C2">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6</w:t>
      </w:r>
      <w:r w:rsidRPr="00BF52E6">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Для того, щоб забезпечити послідовне і узгоджене функціонування колегій на всій території Союзу,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розробляє проекти регуляторних технічних стандартів, де наводяться умови, за яких валюти Союзу, згадані у п. 2</w:t>
      </w:r>
      <w:r w:rsidRPr="00F757B5">
        <w:rPr>
          <w:rFonts w:ascii="Times New Roman" w:eastAsia="Times New Roman" w:hAnsi="Times New Roman" w:cs="Times New Roman"/>
          <w:sz w:val="27"/>
          <w:szCs w:val="27"/>
          <w:lang w:val="uk-UA"/>
        </w:rPr>
        <w:t>(</w:t>
      </w:r>
      <w:r>
        <w:rPr>
          <w:rFonts w:ascii="Times New Roman" w:eastAsia="Times New Roman" w:hAnsi="Times New Roman" w:cs="Times New Roman"/>
          <w:sz w:val="27"/>
          <w:szCs w:val="27"/>
        </w:rPr>
        <w:t>h</w:t>
      </w:r>
      <w:r w:rsidRPr="00F757B5">
        <w:rPr>
          <w:rFonts w:ascii="Times New Roman" w:eastAsia="Times New Roman" w:hAnsi="Times New Roman" w:cs="Times New Roman"/>
          <w:sz w:val="27"/>
          <w:szCs w:val="27"/>
          <w:lang w:val="uk-UA"/>
        </w:rPr>
        <w:t>)</w:t>
      </w:r>
      <w:r>
        <w:rPr>
          <w:rFonts w:ascii="Times New Roman" w:eastAsia="Times New Roman" w:hAnsi="Times New Roman" w:cs="Times New Roman"/>
          <w:sz w:val="27"/>
          <w:szCs w:val="27"/>
          <w:lang w:val="uk-UA"/>
        </w:rPr>
        <w:t>, повинні вважатися найбільш доречними, а також деталі практичних механізмів, згаданих у пункті 5.</w:t>
      </w:r>
    </w:p>
    <w:p w:rsidR="000253C2" w:rsidRPr="00A64037" w:rsidRDefault="000253C2" w:rsidP="000253C2">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ЕВА подає ці проекти регуляторних технічних стандартів Комісії до 30 вересня 2012 р.</w:t>
      </w:r>
    </w:p>
    <w:p w:rsidR="006E53F3" w:rsidRPr="00BD5941" w:rsidRDefault="000253C2" w:rsidP="000253C2">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першому абзаці цього пункту, згідно зі статтями 10-14 Регламенту</w:t>
      </w:r>
      <w:r w:rsidRPr="00A6403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64037">
        <w:rPr>
          <w:rFonts w:ascii="Times New Roman" w:eastAsia="Times New Roman" w:hAnsi="Times New Roman" w:cs="Times New Roman"/>
          <w:sz w:val="27"/>
          <w:szCs w:val="27"/>
          <w:lang w:val="uk-UA"/>
        </w:rPr>
        <w:t>109</w:t>
      </w:r>
      <w:r>
        <w:rPr>
          <w:rFonts w:ascii="Times New Roman" w:eastAsia="Times New Roman" w:hAnsi="Times New Roman" w:cs="Times New Roman"/>
          <w:sz w:val="27"/>
          <w:szCs w:val="27"/>
          <w:lang w:val="uk-UA"/>
        </w:rPr>
        <w:t>5</w:t>
      </w:r>
      <w:r w:rsidRPr="00A64037">
        <w:rPr>
          <w:rFonts w:ascii="Times New Roman" w:eastAsia="Times New Roman" w:hAnsi="Times New Roman" w:cs="Times New Roman"/>
          <w:sz w:val="27"/>
          <w:szCs w:val="27"/>
          <w:lang w:val="uk-UA"/>
        </w:rPr>
        <w:t>/2010.</w:t>
      </w:r>
    </w:p>
    <w:p w:rsidR="00DE77B0" w:rsidRPr="00F757B5"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F757B5">
        <w:rPr>
          <w:rFonts w:ascii="Times New Roman" w:eastAsia="Times New Roman" w:hAnsi="Times New Roman" w:cs="Times New Roman"/>
          <w:i/>
          <w:iCs/>
          <w:sz w:val="27"/>
          <w:szCs w:val="27"/>
          <w:lang w:val="ru-RU"/>
        </w:rPr>
        <w:t>Стаття</w:t>
      </w:r>
      <w:proofErr w:type="spellEnd"/>
      <w:r w:rsidR="00DE77B0" w:rsidRPr="00F757B5">
        <w:rPr>
          <w:rFonts w:ascii="Times New Roman" w:eastAsia="Times New Roman" w:hAnsi="Times New Roman" w:cs="Times New Roman"/>
          <w:i/>
          <w:iCs/>
          <w:sz w:val="27"/>
          <w:szCs w:val="27"/>
          <w:lang w:val="ru-RU"/>
        </w:rPr>
        <w:t xml:space="preserve"> 19</w:t>
      </w:r>
    </w:p>
    <w:p w:rsidR="00DE77B0" w:rsidRPr="001B144A" w:rsidRDefault="001B144A"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Висновок колегії</w:t>
      </w:r>
    </w:p>
    <w:p w:rsidR="00DE77B0" w:rsidRPr="00F757B5" w:rsidRDefault="00DE77B0" w:rsidP="00ED5C3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D5C37">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ED5C37">
        <w:rPr>
          <w:rFonts w:ascii="Times New Roman" w:eastAsia="Times New Roman" w:hAnsi="Times New Roman" w:cs="Times New Roman"/>
          <w:sz w:val="27"/>
          <w:szCs w:val="27"/>
          <w:lang w:val="ru-RU"/>
        </w:rPr>
        <w:t>У</w:t>
      </w:r>
      <w:r w:rsidR="00ED5C37" w:rsidRPr="00ED5C37">
        <w:rPr>
          <w:rFonts w:ascii="Times New Roman" w:eastAsia="Times New Roman" w:hAnsi="Times New Roman" w:cs="Times New Roman"/>
          <w:sz w:val="27"/>
          <w:szCs w:val="27"/>
          <w:lang w:val="ru-RU"/>
        </w:rPr>
        <w:t xml:space="preserve"> </w:t>
      </w:r>
      <w:r w:rsidR="00ED5C37">
        <w:rPr>
          <w:rFonts w:ascii="Times New Roman" w:eastAsia="Times New Roman" w:hAnsi="Times New Roman" w:cs="Times New Roman"/>
          <w:sz w:val="27"/>
          <w:szCs w:val="27"/>
          <w:lang w:val="uk-UA"/>
        </w:rPr>
        <w:t xml:space="preserve">чотиримісячний строк з дня подання ЦКА повної заяви </w:t>
      </w:r>
      <w:proofErr w:type="spellStart"/>
      <w:r w:rsidR="001842E4" w:rsidRPr="00ED5C37">
        <w:rPr>
          <w:rFonts w:ascii="Times New Roman" w:eastAsia="Times New Roman" w:hAnsi="Times New Roman" w:cs="Times New Roman"/>
          <w:sz w:val="27"/>
          <w:szCs w:val="27"/>
          <w:lang w:val="ru-RU"/>
        </w:rPr>
        <w:t>відповідно</w:t>
      </w:r>
      <w:proofErr w:type="spellEnd"/>
      <w:r w:rsidR="001842E4" w:rsidRPr="00ED5C37">
        <w:rPr>
          <w:rFonts w:ascii="Times New Roman" w:eastAsia="Times New Roman" w:hAnsi="Times New Roman" w:cs="Times New Roman"/>
          <w:sz w:val="27"/>
          <w:szCs w:val="27"/>
          <w:lang w:val="ru-RU"/>
        </w:rPr>
        <w:t xml:space="preserve"> до </w:t>
      </w:r>
      <w:proofErr w:type="spellStart"/>
      <w:r w:rsidR="001842E4" w:rsidRPr="00ED5C37">
        <w:rPr>
          <w:rFonts w:ascii="Times New Roman" w:eastAsia="Times New Roman" w:hAnsi="Times New Roman" w:cs="Times New Roman"/>
          <w:sz w:val="27"/>
          <w:szCs w:val="27"/>
          <w:lang w:val="ru-RU"/>
        </w:rPr>
        <w:t>статті</w:t>
      </w:r>
      <w:proofErr w:type="spellEnd"/>
      <w:r w:rsidRPr="00ED5C37">
        <w:rPr>
          <w:rFonts w:ascii="Times New Roman" w:eastAsia="Times New Roman" w:hAnsi="Times New Roman" w:cs="Times New Roman"/>
          <w:sz w:val="27"/>
          <w:szCs w:val="27"/>
          <w:lang w:val="ru-RU"/>
        </w:rPr>
        <w:t xml:space="preserve"> 17 </w:t>
      </w:r>
      <w:proofErr w:type="spellStart"/>
      <w:r w:rsidR="007E705A" w:rsidRPr="00ED5C37">
        <w:rPr>
          <w:rFonts w:ascii="Times New Roman" w:eastAsia="Times New Roman" w:hAnsi="Times New Roman" w:cs="Times New Roman"/>
          <w:sz w:val="27"/>
          <w:szCs w:val="27"/>
          <w:lang w:val="ru-RU"/>
        </w:rPr>
        <w:t>компетентний</w:t>
      </w:r>
      <w:proofErr w:type="spellEnd"/>
      <w:r w:rsidR="007E705A" w:rsidRPr="00ED5C37">
        <w:rPr>
          <w:rFonts w:ascii="Times New Roman" w:eastAsia="Times New Roman" w:hAnsi="Times New Roman" w:cs="Times New Roman"/>
          <w:sz w:val="27"/>
          <w:szCs w:val="27"/>
          <w:lang w:val="ru-RU"/>
        </w:rPr>
        <w:t xml:space="preserve"> орган</w:t>
      </w:r>
      <w:r w:rsidRPr="00ED5C37">
        <w:rPr>
          <w:rFonts w:ascii="Times New Roman" w:eastAsia="Times New Roman" w:hAnsi="Times New Roman" w:cs="Times New Roman"/>
          <w:sz w:val="27"/>
          <w:szCs w:val="27"/>
          <w:lang w:val="ru-RU"/>
        </w:rPr>
        <w:t xml:space="preserve"> </w:t>
      </w:r>
      <w:r w:rsidR="00ED5C37">
        <w:rPr>
          <w:rFonts w:ascii="Times New Roman" w:eastAsia="Times New Roman" w:hAnsi="Times New Roman" w:cs="Times New Roman"/>
          <w:sz w:val="27"/>
          <w:szCs w:val="27"/>
          <w:lang w:val="uk-UA"/>
        </w:rPr>
        <w:t>ЦКА проводить оцінку ризиків ЦКА і подає звіт колегії.</w:t>
      </w:r>
    </w:p>
    <w:p w:rsidR="00DE77B0" w:rsidRPr="00F757B5" w:rsidRDefault="004F23EC" w:rsidP="00775E2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lastRenderedPageBreak/>
        <w:t xml:space="preserve">Упродовж 30 календарних днів з дня отримання звіту і на основі викладених у ньому результатів колегія </w:t>
      </w:r>
      <w:r w:rsidR="004F30B5">
        <w:rPr>
          <w:rFonts w:ascii="Times New Roman" w:eastAsia="Times New Roman" w:hAnsi="Times New Roman" w:cs="Times New Roman"/>
          <w:sz w:val="27"/>
          <w:szCs w:val="27"/>
          <w:lang w:val="uk-UA"/>
        </w:rPr>
        <w:t>ухвалює</w:t>
      </w:r>
      <w:r>
        <w:rPr>
          <w:rFonts w:ascii="Times New Roman" w:eastAsia="Times New Roman" w:hAnsi="Times New Roman" w:cs="Times New Roman"/>
          <w:sz w:val="27"/>
          <w:szCs w:val="27"/>
          <w:lang w:val="uk-UA"/>
        </w:rPr>
        <w:t xml:space="preserve"> спільний висновок</w:t>
      </w:r>
      <w:r w:rsidR="00775E24">
        <w:rPr>
          <w:rFonts w:ascii="Times New Roman" w:eastAsia="Times New Roman" w:hAnsi="Times New Roman" w:cs="Times New Roman"/>
          <w:sz w:val="27"/>
          <w:szCs w:val="27"/>
          <w:lang w:val="uk-UA"/>
        </w:rPr>
        <w:t>, де визначає, чи відповідає ЦКА-заявник усім вимогам, викладеним у цьому регламенті.</w:t>
      </w:r>
    </w:p>
    <w:p w:rsidR="00F777D0" w:rsidRPr="004F30B5" w:rsidRDefault="00F777D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Без шкоди для четвертого абзацу статті 17(4) та у випадку недосягнення спільного висновку згідно з другим абзацом колегія </w:t>
      </w:r>
      <w:r w:rsidR="004F30B5">
        <w:rPr>
          <w:rFonts w:ascii="Times New Roman" w:eastAsia="Times New Roman" w:hAnsi="Times New Roman" w:cs="Times New Roman"/>
          <w:sz w:val="27"/>
          <w:szCs w:val="27"/>
          <w:lang w:val="uk-UA"/>
        </w:rPr>
        <w:t xml:space="preserve">в цей же строк </w:t>
      </w:r>
      <w:r>
        <w:rPr>
          <w:rFonts w:ascii="Times New Roman" w:eastAsia="Times New Roman" w:hAnsi="Times New Roman" w:cs="Times New Roman"/>
          <w:sz w:val="27"/>
          <w:szCs w:val="27"/>
          <w:lang w:val="uk-UA"/>
        </w:rPr>
        <w:t xml:space="preserve">ухвалює </w:t>
      </w:r>
      <w:r w:rsidR="004F30B5">
        <w:rPr>
          <w:rFonts w:ascii="Times New Roman" w:eastAsia="Times New Roman" w:hAnsi="Times New Roman" w:cs="Times New Roman"/>
          <w:sz w:val="27"/>
          <w:szCs w:val="27"/>
          <w:lang w:val="uk-UA"/>
        </w:rPr>
        <w:t>думку більшості.</w:t>
      </w:r>
    </w:p>
    <w:p w:rsidR="00DE77B0" w:rsidRPr="00F757B5" w:rsidRDefault="00DE77B0" w:rsidP="004F30B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4F30B5">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ESMA</w:t>
      </w:r>
      <w:r w:rsidRPr="004F30B5">
        <w:rPr>
          <w:rFonts w:ascii="Times New Roman" w:eastAsia="Times New Roman" w:hAnsi="Times New Roman" w:cs="Times New Roman"/>
          <w:sz w:val="27"/>
          <w:szCs w:val="27"/>
          <w:lang w:val="ru-RU"/>
        </w:rPr>
        <w:t xml:space="preserve"> </w:t>
      </w:r>
      <w:r w:rsidR="004F30B5">
        <w:rPr>
          <w:rFonts w:ascii="Times New Roman" w:eastAsia="Times New Roman" w:hAnsi="Times New Roman" w:cs="Times New Roman"/>
          <w:sz w:val="27"/>
          <w:szCs w:val="27"/>
          <w:lang w:val="uk-UA"/>
        </w:rPr>
        <w:t>сприяє ухваленню спільного висновку відповідно до своїх загальних координаційних функцій, передбачених статтею 31</w:t>
      </w:r>
      <w:r w:rsidRPr="00F757B5">
        <w:rPr>
          <w:rFonts w:ascii="Times New Roman" w:eastAsia="Times New Roman" w:hAnsi="Times New Roman" w:cs="Times New Roman"/>
          <w:sz w:val="27"/>
          <w:szCs w:val="27"/>
          <w:lang w:val="uk-UA"/>
        </w:rPr>
        <w:t xml:space="preserve"> </w:t>
      </w:r>
      <w:r w:rsidR="00AC2299" w:rsidRPr="00F757B5">
        <w:rPr>
          <w:rFonts w:ascii="Times New Roman" w:eastAsia="Times New Roman" w:hAnsi="Times New Roman" w:cs="Times New Roman"/>
          <w:sz w:val="27"/>
          <w:szCs w:val="27"/>
          <w:lang w:val="uk-UA"/>
        </w:rPr>
        <w:t>Регламенту (</w:t>
      </w:r>
      <w:r w:rsidR="00AC2299">
        <w:rPr>
          <w:rFonts w:ascii="Times New Roman" w:eastAsia="Times New Roman" w:hAnsi="Times New Roman" w:cs="Times New Roman"/>
          <w:sz w:val="27"/>
          <w:szCs w:val="27"/>
        </w:rPr>
        <w:t>EU</w:t>
      </w:r>
      <w:r w:rsidR="00AC2299" w:rsidRPr="00F757B5">
        <w:rPr>
          <w:rFonts w:ascii="Times New Roman" w:eastAsia="Times New Roman" w:hAnsi="Times New Roman" w:cs="Times New Roman"/>
          <w:sz w:val="27"/>
          <w:szCs w:val="27"/>
          <w:lang w:val="uk-UA"/>
        </w:rPr>
        <w:t>) №</w:t>
      </w:r>
      <w:r w:rsidRPr="006279CF">
        <w:rPr>
          <w:rFonts w:ascii="Times New Roman" w:eastAsia="Times New Roman" w:hAnsi="Times New Roman" w:cs="Times New Roman"/>
          <w:sz w:val="27"/>
          <w:szCs w:val="27"/>
        </w:rPr>
        <w:t> </w:t>
      </w:r>
      <w:r w:rsidRPr="00F757B5">
        <w:rPr>
          <w:rFonts w:ascii="Times New Roman" w:eastAsia="Times New Roman" w:hAnsi="Times New Roman" w:cs="Times New Roman"/>
          <w:sz w:val="27"/>
          <w:szCs w:val="27"/>
          <w:lang w:val="uk-UA"/>
        </w:rPr>
        <w:t>1095/2010.</w:t>
      </w:r>
    </w:p>
    <w:p w:rsidR="00DE77B0" w:rsidRPr="00F757B5" w:rsidRDefault="00DE77B0" w:rsidP="00646ED8">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757B5">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0D4568">
        <w:rPr>
          <w:rFonts w:ascii="Times New Roman" w:eastAsia="Times New Roman" w:hAnsi="Times New Roman" w:cs="Times New Roman"/>
          <w:sz w:val="27"/>
          <w:szCs w:val="27"/>
          <w:lang w:val="uk-UA"/>
        </w:rPr>
        <w:t xml:space="preserve">Думка більшості колегії ухвалюється простою більшістю голосів її членів. Якщо кількість членів колегії становить до 12 осіб включно, то максимум два члени колегії з однієї й тієї самої держави-члена </w:t>
      </w:r>
      <w:r w:rsidR="00F432B6">
        <w:rPr>
          <w:rFonts w:ascii="Times New Roman" w:eastAsia="Times New Roman" w:hAnsi="Times New Roman" w:cs="Times New Roman"/>
          <w:sz w:val="27"/>
          <w:szCs w:val="27"/>
          <w:lang w:val="uk-UA"/>
        </w:rPr>
        <w:t xml:space="preserve">Союзу </w:t>
      </w:r>
      <w:r w:rsidR="000D4568">
        <w:rPr>
          <w:rFonts w:ascii="Times New Roman" w:eastAsia="Times New Roman" w:hAnsi="Times New Roman" w:cs="Times New Roman"/>
          <w:sz w:val="27"/>
          <w:szCs w:val="27"/>
          <w:lang w:val="uk-UA"/>
        </w:rPr>
        <w:t>повинні мати голос, і кожний голосуючий член повинен мати один голос. Якщо кількість членів колегії більше 12 осіб, то максимум три члени колегії з однієї держави-члена</w:t>
      </w:r>
      <w:r w:rsidR="00F432B6" w:rsidRPr="00F432B6">
        <w:rPr>
          <w:rFonts w:ascii="Times New Roman" w:eastAsia="Times New Roman" w:hAnsi="Times New Roman" w:cs="Times New Roman"/>
          <w:sz w:val="27"/>
          <w:szCs w:val="27"/>
          <w:lang w:val="uk-UA"/>
        </w:rPr>
        <w:t xml:space="preserve"> </w:t>
      </w:r>
      <w:r w:rsidR="00F432B6">
        <w:rPr>
          <w:rFonts w:ascii="Times New Roman" w:eastAsia="Times New Roman" w:hAnsi="Times New Roman" w:cs="Times New Roman"/>
          <w:sz w:val="27"/>
          <w:szCs w:val="27"/>
          <w:lang w:val="uk-UA"/>
        </w:rPr>
        <w:t>Союзу</w:t>
      </w:r>
      <w:r w:rsidR="000D4568">
        <w:rPr>
          <w:rFonts w:ascii="Times New Roman" w:eastAsia="Times New Roman" w:hAnsi="Times New Roman" w:cs="Times New Roman"/>
          <w:sz w:val="27"/>
          <w:szCs w:val="27"/>
          <w:lang w:val="uk-UA"/>
        </w:rPr>
        <w:t xml:space="preserve"> </w:t>
      </w:r>
      <w:proofErr w:type="spellStart"/>
      <w:r w:rsidR="00F432B6">
        <w:rPr>
          <w:rFonts w:ascii="Times New Roman" w:eastAsia="Times New Roman" w:hAnsi="Times New Roman" w:cs="Times New Roman"/>
          <w:sz w:val="27"/>
          <w:szCs w:val="27"/>
          <w:lang w:val="uk-UA"/>
        </w:rPr>
        <w:t>Союзу</w:t>
      </w:r>
      <w:proofErr w:type="spellEnd"/>
      <w:r w:rsidR="00F432B6">
        <w:rPr>
          <w:rFonts w:ascii="Times New Roman" w:eastAsia="Times New Roman" w:hAnsi="Times New Roman" w:cs="Times New Roman"/>
          <w:sz w:val="27"/>
          <w:szCs w:val="27"/>
          <w:lang w:val="uk-UA"/>
        </w:rPr>
        <w:t xml:space="preserve"> </w:t>
      </w:r>
      <w:r w:rsidR="000D4568">
        <w:rPr>
          <w:rFonts w:ascii="Times New Roman" w:eastAsia="Times New Roman" w:hAnsi="Times New Roman" w:cs="Times New Roman"/>
          <w:sz w:val="27"/>
          <w:szCs w:val="27"/>
          <w:lang w:val="uk-UA"/>
        </w:rPr>
        <w:t>повинні мати голос, а кожний голосуючий член повинен мати один голос.</w:t>
      </w:r>
      <w:r w:rsidR="00646ED8">
        <w:rPr>
          <w:rFonts w:ascii="Times New Roman" w:eastAsia="Times New Roman" w:hAnsi="Times New Roman" w:cs="Times New Roman"/>
          <w:sz w:val="27"/>
          <w:szCs w:val="27"/>
          <w:lang w:val="uk-UA"/>
        </w:rPr>
        <w:t xml:space="preserve"> </w:t>
      </w:r>
      <w:r w:rsidR="00646ED8">
        <w:rPr>
          <w:rFonts w:ascii="Times New Roman" w:eastAsia="Times New Roman" w:hAnsi="Times New Roman" w:cs="Times New Roman"/>
          <w:sz w:val="27"/>
          <w:szCs w:val="27"/>
        </w:rPr>
        <w:t>ESMA</w:t>
      </w:r>
      <w:r w:rsidR="00646ED8">
        <w:rPr>
          <w:rFonts w:ascii="Times New Roman" w:eastAsia="Times New Roman" w:hAnsi="Times New Roman" w:cs="Times New Roman"/>
          <w:sz w:val="27"/>
          <w:szCs w:val="27"/>
          <w:lang w:val="uk-UA"/>
        </w:rPr>
        <w:t xml:space="preserve"> не має прав голосу щодо висновків колегії.</w:t>
      </w:r>
    </w:p>
    <w:p w:rsidR="00DE77B0" w:rsidRPr="00F757B5"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F757B5">
        <w:rPr>
          <w:rFonts w:ascii="Times New Roman" w:eastAsia="Times New Roman" w:hAnsi="Times New Roman" w:cs="Times New Roman"/>
          <w:i/>
          <w:iCs/>
          <w:sz w:val="27"/>
          <w:szCs w:val="27"/>
          <w:lang w:val="ru-RU"/>
        </w:rPr>
        <w:t>Стаття</w:t>
      </w:r>
      <w:proofErr w:type="spellEnd"/>
      <w:r w:rsidR="00DE77B0" w:rsidRPr="00F757B5">
        <w:rPr>
          <w:rFonts w:ascii="Times New Roman" w:eastAsia="Times New Roman" w:hAnsi="Times New Roman" w:cs="Times New Roman"/>
          <w:i/>
          <w:iCs/>
          <w:sz w:val="27"/>
          <w:szCs w:val="27"/>
          <w:lang w:val="ru-RU"/>
        </w:rPr>
        <w:t xml:space="preserve"> 20</w:t>
      </w:r>
    </w:p>
    <w:p w:rsidR="00DE77B0" w:rsidRPr="00F757B5" w:rsidRDefault="001B144A"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Відкликання повноважень</w:t>
      </w:r>
    </w:p>
    <w:p w:rsidR="00DE77B0" w:rsidRPr="00F757B5" w:rsidRDefault="00DE77B0" w:rsidP="00646ED8">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757B5">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646ED8">
        <w:rPr>
          <w:rFonts w:ascii="Times New Roman" w:eastAsia="Times New Roman" w:hAnsi="Times New Roman" w:cs="Times New Roman"/>
          <w:sz w:val="27"/>
          <w:szCs w:val="27"/>
          <w:lang w:val="uk-UA"/>
        </w:rPr>
        <w:t>Без шкоди для статті 22(3)</w:t>
      </w:r>
      <w:r w:rsidRPr="00646ED8">
        <w:rPr>
          <w:rFonts w:ascii="Times New Roman" w:eastAsia="Times New Roman" w:hAnsi="Times New Roman" w:cs="Times New Roman"/>
          <w:sz w:val="27"/>
          <w:szCs w:val="27"/>
          <w:lang w:val="ru-RU"/>
        </w:rPr>
        <w:t xml:space="preserve"> </w:t>
      </w:r>
      <w:proofErr w:type="spellStart"/>
      <w:r w:rsidR="007E705A" w:rsidRPr="00646ED8">
        <w:rPr>
          <w:rFonts w:ascii="Times New Roman" w:eastAsia="Times New Roman" w:hAnsi="Times New Roman" w:cs="Times New Roman"/>
          <w:sz w:val="27"/>
          <w:szCs w:val="27"/>
          <w:lang w:val="ru-RU"/>
        </w:rPr>
        <w:t>компетентний</w:t>
      </w:r>
      <w:proofErr w:type="spellEnd"/>
      <w:r w:rsidR="007E705A" w:rsidRPr="00646ED8">
        <w:rPr>
          <w:rFonts w:ascii="Times New Roman" w:eastAsia="Times New Roman" w:hAnsi="Times New Roman" w:cs="Times New Roman"/>
          <w:sz w:val="27"/>
          <w:szCs w:val="27"/>
          <w:lang w:val="ru-RU"/>
        </w:rPr>
        <w:t xml:space="preserve"> орган</w:t>
      </w:r>
      <w:r w:rsidRPr="00646ED8">
        <w:rPr>
          <w:rFonts w:ascii="Times New Roman" w:eastAsia="Times New Roman" w:hAnsi="Times New Roman" w:cs="Times New Roman"/>
          <w:sz w:val="27"/>
          <w:szCs w:val="27"/>
          <w:lang w:val="ru-RU"/>
        </w:rPr>
        <w:t xml:space="preserve"> </w:t>
      </w:r>
      <w:r w:rsidR="00646ED8">
        <w:rPr>
          <w:rFonts w:ascii="Times New Roman" w:eastAsia="Times New Roman" w:hAnsi="Times New Roman" w:cs="Times New Roman"/>
          <w:sz w:val="27"/>
          <w:szCs w:val="27"/>
          <w:lang w:val="uk-UA"/>
        </w:rPr>
        <w:t>ЦКА відкликає повноваження, якщо ЦКА:</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757B5" w:rsidRDefault="00646ED8" w:rsidP="00D05058">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не скористався цими повноваженнями протягом 12 місяців, прямо відмовляється від них</w:t>
            </w:r>
            <w:r w:rsidR="00D05058" w:rsidRPr="00D05058">
              <w:rPr>
                <w:rFonts w:ascii="Times New Roman" w:eastAsia="Times New Roman" w:hAnsi="Times New Roman" w:cs="Times New Roman"/>
                <w:sz w:val="27"/>
                <w:szCs w:val="27"/>
                <w:lang w:val="ru-RU"/>
              </w:rPr>
              <w:t xml:space="preserve"> </w:t>
            </w:r>
            <w:r w:rsidR="00D05058">
              <w:rPr>
                <w:rFonts w:ascii="Times New Roman" w:eastAsia="Times New Roman" w:hAnsi="Times New Roman" w:cs="Times New Roman"/>
                <w:sz w:val="27"/>
                <w:szCs w:val="27"/>
                <w:lang w:val="uk-UA"/>
              </w:rPr>
              <w:t>або не надавав послуг і не вів діяльність упродовж попередніх шести місяців;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757B5" w:rsidRDefault="0022310D" w:rsidP="0022310D">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отримав повноваження за допомогою неправдивих заяв або іншими незаконними засобами;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757B5" w:rsidRDefault="00A27A62" w:rsidP="00A27A62">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більше не дотримується умов, на яких надано повноваження, і не вжив коригувальних дій, зажаданих компетентним органом ЦКА, у встановлений строк;</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022"/>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757B5" w:rsidRDefault="00A27A62" w:rsidP="00A27A62">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серйозно і систематично порушує вимоги, викладені у цьому регламенті.</w:t>
            </w:r>
          </w:p>
        </w:tc>
      </w:tr>
    </w:tbl>
    <w:p w:rsidR="00DE77B0" w:rsidRPr="00EE2440" w:rsidRDefault="00DE77B0" w:rsidP="005132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757B5">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513279">
        <w:rPr>
          <w:rFonts w:ascii="Times New Roman" w:eastAsia="Times New Roman" w:hAnsi="Times New Roman" w:cs="Times New Roman"/>
          <w:sz w:val="27"/>
          <w:szCs w:val="27"/>
          <w:lang w:val="uk-UA"/>
        </w:rPr>
        <w:t>Якщо</w:t>
      </w:r>
      <w:r w:rsidRPr="00EE2440">
        <w:rPr>
          <w:rFonts w:ascii="Times New Roman" w:eastAsia="Times New Roman" w:hAnsi="Times New Roman" w:cs="Times New Roman"/>
          <w:sz w:val="27"/>
          <w:szCs w:val="27"/>
          <w:lang w:val="ru-RU"/>
        </w:rPr>
        <w:t xml:space="preserve"> </w:t>
      </w:r>
      <w:proofErr w:type="spellStart"/>
      <w:r w:rsidR="007E705A" w:rsidRPr="00513279">
        <w:rPr>
          <w:rFonts w:ascii="Times New Roman" w:eastAsia="Times New Roman" w:hAnsi="Times New Roman" w:cs="Times New Roman"/>
          <w:sz w:val="27"/>
          <w:szCs w:val="27"/>
          <w:lang w:val="ru-RU"/>
        </w:rPr>
        <w:t>компетентний</w:t>
      </w:r>
      <w:proofErr w:type="spellEnd"/>
      <w:r w:rsidR="007E705A" w:rsidRPr="00EE2440">
        <w:rPr>
          <w:rFonts w:ascii="Times New Roman" w:eastAsia="Times New Roman" w:hAnsi="Times New Roman" w:cs="Times New Roman"/>
          <w:sz w:val="27"/>
          <w:szCs w:val="27"/>
          <w:lang w:val="ru-RU"/>
        </w:rPr>
        <w:t xml:space="preserve"> </w:t>
      </w:r>
      <w:r w:rsidR="007E705A" w:rsidRPr="00513279">
        <w:rPr>
          <w:rFonts w:ascii="Times New Roman" w:eastAsia="Times New Roman" w:hAnsi="Times New Roman" w:cs="Times New Roman"/>
          <w:sz w:val="27"/>
          <w:szCs w:val="27"/>
          <w:lang w:val="ru-RU"/>
        </w:rPr>
        <w:t>орган</w:t>
      </w:r>
      <w:r w:rsidRPr="00EE2440">
        <w:rPr>
          <w:rFonts w:ascii="Times New Roman" w:eastAsia="Times New Roman" w:hAnsi="Times New Roman" w:cs="Times New Roman"/>
          <w:sz w:val="27"/>
          <w:szCs w:val="27"/>
          <w:lang w:val="ru-RU"/>
        </w:rPr>
        <w:t xml:space="preserve"> </w:t>
      </w:r>
      <w:r w:rsidR="00513279">
        <w:rPr>
          <w:rFonts w:ascii="Times New Roman" w:eastAsia="Times New Roman" w:hAnsi="Times New Roman" w:cs="Times New Roman"/>
          <w:sz w:val="27"/>
          <w:szCs w:val="27"/>
          <w:lang w:val="uk-UA"/>
        </w:rPr>
        <w:t>ЦКА вважає, що має місце одна з обставин, наведених у пункті 1</w:t>
      </w:r>
      <w:r w:rsidR="00C345FB" w:rsidRPr="00C345FB">
        <w:rPr>
          <w:rFonts w:ascii="Times New Roman" w:eastAsia="Times New Roman" w:hAnsi="Times New Roman" w:cs="Times New Roman"/>
          <w:sz w:val="27"/>
          <w:szCs w:val="27"/>
          <w:lang w:val="uk-UA"/>
        </w:rPr>
        <w:t xml:space="preserve"> </w:t>
      </w:r>
      <w:r w:rsidR="00C345FB">
        <w:rPr>
          <w:rFonts w:ascii="Times New Roman" w:eastAsia="Times New Roman" w:hAnsi="Times New Roman" w:cs="Times New Roman"/>
          <w:sz w:val="27"/>
          <w:szCs w:val="27"/>
          <w:lang w:val="uk-UA"/>
        </w:rPr>
        <w:t>цієї статті</w:t>
      </w:r>
      <w:r w:rsidR="00513279">
        <w:rPr>
          <w:rFonts w:ascii="Times New Roman" w:eastAsia="Times New Roman" w:hAnsi="Times New Roman" w:cs="Times New Roman"/>
          <w:sz w:val="27"/>
          <w:szCs w:val="27"/>
          <w:lang w:val="uk-UA"/>
        </w:rPr>
        <w:t xml:space="preserve">, то він упродовж п’яти робочих днів відповідним чином повідомляє </w:t>
      </w:r>
      <w:r w:rsidR="00513279">
        <w:rPr>
          <w:rFonts w:ascii="Times New Roman" w:eastAsia="Times New Roman" w:hAnsi="Times New Roman" w:cs="Times New Roman"/>
          <w:sz w:val="27"/>
          <w:szCs w:val="27"/>
        </w:rPr>
        <w:t>ESMA</w:t>
      </w:r>
      <w:r w:rsidR="00513279">
        <w:rPr>
          <w:rFonts w:ascii="Times New Roman" w:eastAsia="Times New Roman" w:hAnsi="Times New Roman" w:cs="Times New Roman"/>
          <w:sz w:val="27"/>
          <w:szCs w:val="27"/>
          <w:lang w:val="uk-UA"/>
        </w:rPr>
        <w:t xml:space="preserve"> та членів колегії.</w:t>
      </w:r>
    </w:p>
    <w:p w:rsidR="00DE77B0" w:rsidRPr="00F757B5" w:rsidRDefault="00DE77B0" w:rsidP="00AE742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757B5">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AE7422">
        <w:rPr>
          <w:rFonts w:ascii="Times New Roman" w:eastAsia="Times New Roman" w:hAnsi="Times New Roman" w:cs="Times New Roman"/>
          <w:sz w:val="27"/>
          <w:szCs w:val="27"/>
          <w:lang w:val="uk-UA"/>
        </w:rPr>
        <w:t>К</w:t>
      </w:r>
      <w:proofErr w:type="spellStart"/>
      <w:r w:rsidR="007E705A" w:rsidRPr="00AE7422">
        <w:rPr>
          <w:rFonts w:ascii="Times New Roman" w:eastAsia="Times New Roman" w:hAnsi="Times New Roman" w:cs="Times New Roman"/>
          <w:sz w:val="27"/>
          <w:szCs w:val="27"/>
          <w:lang w:val="ru-RU"/>
        </w:rPr>
        <w:t>омпетентний</w:t>
      </w:r>
      <w:proofErr w:type="spellEnd"/>
      <w:r w:rsidR="007E705A" w:rsidRPr="00AE7422">
        <w:rPr>
          <w:rFonts w:ascii="Times New Roman" w:eastAsia="Times New Roman" w:hAnsi="Times New Roman" w:cs="Times New Roman"/>
          <w:sz w:val="27"/>
          <w:szCs w:val="27"/>
          <w:lang w:val="ru-RU"/>
        </w:rPr>
        <w:t xml:space="preserve"> орган</w:t>
      </w:r>
      <w:r w:rsidRPr="00AE7422">
        <w:rPr>
          <w:rFonts w:ascii="Times New Roman" w:eastAsia="Times New Roman" w:hAnsi="Times New Roman" w:cs="Times New Roman"/>
          <w:sz w:val="27"/>
          <w:szCs w:val="27"/>
          <w:lang w:val="ru-RU"/>
        </w:rPr>
        <w:t xml:space="preserve"> </w:t>
      </w:r>
      <w:r w:rsidR="00AE7422">
        <w:rPr>
          <w:rFonts w:ascii="Times New Roman" w:eastAsia="Times New Roman" w:hAnsi="Times New Roman" w:cs="Times New Roman"/>
          <w:sz w:val="27"/>
          <w:szCs w:val="27"/>
          <w:lang w:val="uk-UA"/>
        </w:rPr>
        <w:t>ЦКА консультується з членами колегії щодо необхідності відкликання повноважень ЦКА, крім випадків, коли рішення необхідно ухвалити терміново.</w:t>
      </w:r>
    </w:p>
    <w:p w:rsidR="00DE77B0" w:rsidRPr="00F757B5" w:rsidRDefault="00DE77B0" w:rsidP="00AE742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AE7422">
        <w:rPr>
          <w:rFonts w:ascii="Times New Roman" w:eastAsia="Times New Roman" w:hAnsi="Times New Roman" w:cs="Times New Roman"/>
          <w:sz w:val="27"/>
          <w:szCs w:val="27"/>
          <w:lang w:val="ru-RU"/>
        </w:rPr>
        <w:lastRenderedPageBreak/>
        <w:t>4.</w:t>
      </w:r>
      <w:r w:rsidRPr="006279CF">
        <w:rPr>
          <w:rFonts w:ascii="Times New Roman" w:eastAsia="Times New Roman" w:hAnsi="Times New Roman" w:cs="Times New Roman"/>
          <w:sz w:val="27"/>
          <w:szCs w:val="27"/>
        </w:rPr>
        <w:t>   </w:t>
      </w:r>
      <w:r w:rsidR="00AE7422">
        <w:rPr>
          <w:rFonts w:ascii="Times New Roman" w:eastAsia="Times New Roman" w:hAnsi="Times New Roman" w:cs="Times New Roman"/>
          <w:sz w:val="27"/>
          <w:szCs w:val="27"/>
          <w:lang w:val="uk-UA"/>
        </w:rPr>
        <w:t>Будь-який член колегії може в будь-який момент зажадати, щоб</w:t>
      </w:r>
      <w:r w:rsidRPr="00AE7422">
        <w:rPr>
          <w:rFonts w:ascii="Times New Roman" w:eastAsia="Times New Roman" w:hAnsi="Times New Roman" w:cs="Times New Roman"/>
          <w:sz w:val="27"/>
          <w:szCs w:val="27"/>
          <w:lang w:val="ru-RU"/>
        </w:rPr>
        <w:t xml:space="preserve"> </w:t>
      </w:r>
      <w:proofErr w:type="spellStart"/>
      <w:r w:rsidR="007E705A" w:rsidRPr="00AE7422">
        <w:rPr>
          <w:rFonts w:ascii="Times New Roman" w:eastAsia="Times New Roman" w:hAnsi="Times New Roman" w:cs="Times New Roman"/>
          <w:sz w:val="27"/>
          <w:szCs w:val="27"/>
          <w:lang w:val="ru-RU"/>
        </w:rPr>
        <w:t>компетентний</w:t>
      </w:r>
      <w:proofErr w:type="spellEnd"/>
      <w:r w:rsidR="007E705A" w:rsidRPr="00AE7422">
        <w:rPr>
          <w:rFonts w:ascii="Times New Roman" w:eastAsia="Times New Roman" w:hAnsi="Times New Roman" w:cs="Times New Roman"/>
          <w:sz w:val="27"/>
          <w:szCs w:val="27"/>
          <w:lang w:val="ru-RU"/>
        </w:rPr>
        <w:t xml:space="preserve"> орган</w:t>
      </w:r>
      <w:r w:rsidRPr="00AE7422">
        <w:rPr>
          <w:rFonts w:ascii="Times New Roman" w:eastAsia="Times New Roman" w:hAnsi="Times New Roman" w:cs="Times New Roman"/>
          <w:sz w:val="27"/>
          <w:szCs w:val="27"/>
          <w:lang w:val="ru-RU"/>
        </w:rPr>
        <w:t xml:space="preserve"> </w:t>
      </w:r>
      <w:r w:rsidR="00AE7422">
        <w:rPr>
          <w:rFonts w:ascii="Times New Roman" w:eastAsia="Times New Roman" w:hAnsi="Times New Roman" w:cs="Times New Roman"/>
          <w:sz w:val="27"/>
          <w:szCs w:val="27"/>
          <w:lang w:val="uk-UA"/>
        </w:rPr>
        <w:t>ЦКА перевірив, чи продовжує ЦКА виконувати умови, на яких були надані повноваження.</w:t>
      </w:r>
    </w:p>
    <w:p w:rsidR="00DE77B0" w:rsidRPr="00B44FC2" w:rsidRDefault="00DE77B0" w:rsidP="00B44FC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757B5">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B44FC2">
        <w:rPr>
          <w:rFonts w:ascii="Times New Roman" w:eastAsia="Times New Roman" w:hAnsi="Times New Roman" w:cs="Times New Roman"/>
          <w:sz w:val="27"/>
          <w:szCs w:val="27"/>
          <w:lang w:val="uk-UA"/>
        </w:rPr>
        <w:t>К</w:t>
      </w:r>
      <w:proofErr w:type="spellStart"/>
      <w:r w:rsidR="007E705A" w:rsidRPr="00B44FC2">
        <w:rPr>
          <w:rFonts w:ascii="Times New Roman" w:eastAsia="Times New Roman" w:hAnsi="Times New Roman" w:cs="Times New Roman"/>
          <w:sz w:val="27"/>
          <w:szCs w:val="27"/>
          <w:lang w:val="ru-RU"/>
        </w:rPr>
        <w:t>омпетентний</w:t>
      </w:r>
      <w:proofErr w:type="spellEnd"/>
      <w:r w:rsidR="007E705A" w:rsidRPr="00B44FC2">
        <w:rPr>
          <w:rFonts w:ascii="Times New Roman" w:eastAsia="Times New Roman" w:hAnsi="Times New Roman" w:cs="Times New Roman"/>
          <w:sz w:val="27"/>
          <w:szCs w:val="27"/>
          <w:lang w:val="ru-RU"/>
        </w:rPr>
        <w:t xml:space="preserve"> орган</w:t>
      </w:r>
      <w:r w:rsidRPr="00B44FC2">
        <w:rPr>
          <w:rFonts w:ascii="Times New Roman" w:eastAsia="Times New Roman" w:hAnsi="Times New Roman" w:cs="Times New Roman"/>
          <w:sz w:val="27"/>
          <w:szCs w:val="27"/>
          <w:lang w:val="ru-RU"/>
        </w:rPr>
        <w:t xml:space="preserve"> </w:t>
      </w:r>
      <w:r w:rsidR="00B44FC2">
        <w:rPr>
          <w:rFonts w:ascii="Times New Roman" w:eastAsia="Times New Roman" w:hAnsi="Times New Roman" w:cs="Times New Roman"/>
          <w:sz w:val="27"/>
          <w:szCs w:val="27"/>
          <w:lang w:val="uk-UA"/>
        </w:rPr>
        <w:t>ЦКА може обмежити відкликання повноважень конкретною послугою, видом діяльності або класом фінансових інструментів.</w:t>
      </w:r>
    </w:p>
    <w:p w:rsidR="00DE77B0" w:rsidRPr="00F757B5" w:rsidRDefault="00DE77B0" w:rsidP="00B44FC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757B5">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w:t>
      </w:r>
      <w:r w:rsidR="00B44FC2">
        <w:rPr>
          <w:rFonts w:ascii="Times New Roman" w:eastAsia="Times New Roman" w:hAnsi="Times New Roman" w:cs="Times New Roman"/>
          <w:sz w:val="27"/>
          <w:szCs w:val="27"/>
          <w:lang w:val="uk-UA"/>
        </w:rPr>
        <w:t>К</w:t>
      </w:r>
      <w:proofErr w:type="spellStart"/>
      <w:r w:rsidR="007E705A" w:rsidRPr="00B44FC2">
        <w:rPr>
          <w:rFonts w:ascii="Times New Roman" w:eastAsia="Times New Roman" w:hAnsi="Times New Roman" w:cs="Times New Roman"/>
          <w:sz w:val="27"/>
          <w:szCs w:val="27"/>
          <w:lang w:val="ru-RU"/>
        </w:rPr>
        <w:t>омпетентний</w:t>
      </w:r>
      <w:proofErr w:type="spellEnd"/>
      <w:r w:rsidR="007E705A" w:rsidRPr="00B44FC2">
        <w:rPr>
          <w:rFonts w:ascii="Times New Roman" w:eastAsia="Times New Roman" w:hAnsi="Times New Roman" w:cs="Times New Roman"/>
          <w:sz w:val="27"/>
          <w:szCs w:val="27"/>
          <w:lang w:val="ru-RU"/>
        </w:rPr>
        <w:t xml:space="preserve"> орган</w:t>
      </w:r>
      <w:r w:rsidRPr="00B44FC2">
        <w:rPr>
          <w:rFonts w:ascii="Times New Roman" w:eastAsia="Times New Roman" w:hAnsi="Times New Roman" w:cs="Times New Roman"/>
          <w:sz w:val="27"/>
          <w:szCs w:val="27"/>
          <w:lang w:val="ru-RU"/>
        </w:rPr>
        <w:t xml:space="preserve"> </w:t>
      </w:r>
      <w:r w:rsidR="00B44FC2">
        <w:rPr>
          <w:rFonts w:ascii="Times New Roman" w:eastAsia="Times New Roman" w:hAnsi="Times New Roman" w:cs="Times New Roman"/>
          <w:sz w:val="27"/>
          <w:szCs w:val="27"/>
          <w:lang w:val="uk-UA"/>
        </w:rPr>
        <w:t xml:space="preserve">ЦКА направляє </w:t>
      </w:r>
      <w:r w:rsidR="00B44FC2">
        <w:rPr>
          <w:rFonts w:ascii="Times New Roman" w:eastAsia="Times New Roman" w:hAnsi="Times New Roman" w:cs="Times New Roman"/>
          <w:sz w:val="27"/>
          <w:szCs w:val="27"/>
        </w:rPr>
        <w:t>ESMA</w:t>
      </w:r>
      <w:r w:rsidR="00B44FC2">
        <w:rPr>
          <w:rFonts w:ascii="Times New Roman" w:eastAsia="Times New Roman" w:hAnsi="Times New Roman" w:cs="Times New Roman"/>
          <w:sz w:val="27"/>
          <w:szCs w:val="27"/>
          <w:lang w:val="uk-UA"/>
        </w:rPr>
        <w:t xml:space="preserve"> та членам колегії своє повністю аргументоване рішення, в якому враховуються застереження членів колегії.</w:t>
      </w:r>
    </w:p>
    <w:p w:rsidR="00DE77B0" w:rsidRPr="00F757B5" w:rsidRDefault="00DE77B0" w:rsidP="00B44FC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B44FC2">
        <w:rPr>
          <w:rFonts w:ascii="Times New Roman" w:eastAsia="Times New Roman" w:hAnsi="Times New Roman" w:cs="Times New Roman"/>
          <w:sz w:val="27"/>
          <w:szCs w:val="27"/>
          <w:lang w:val="ru-RU"/>
        </w:rPr>
        <w:t>7.</w:t>
      </w:r>
      <w:r w:rsidRPr="006279CF">
        <w:rPr>
          <w:rFonts w:ascii="Times New Roman" w:eastAsia="Times New Roman" w:hAnsi="Times New Roman" w:cs="Times New Roman"/>
          <w:sz w:val="27"/>
          <w:szCs w:val="27"/>
        </w:rPr>
        <w:t>   </w:t>
      </w:r>
      <w:r w:rsidR="00B44FC2">
        <w:rPr>
          <w:rFonts w:ascii="Times New Roman" w:eastAsia="Times New Roman" w:hAnsi="Times New Roman" w:cs="Times New Roman"/>
          <w:sz w:val="27"/>
          <w:szCs w:val="27"/>
          <w:lang w:val="uk-UA"/>
        </w:rPr>
        <w:t>Рішення про відкликання повноважень є чинним на всій території Союзу.</w:t>
      </w:r>
    </w:p>
    <w:p w:rsidR="00DE77B0" w:rsidRPr="00944DAD"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944DAD">
        <w:rPr>
          <w:rFonts w:ascii="Times New Roman" w:eastAsia="Times New Roman" w:hAnsi="Times New Roman" w:cs="Times New Roman"/>
          <w:i/>
          <w:iCs/>
          <w:sz w:val="27"/>
          <w:szCs w:val="27"/>
          <w:lang w:val="ru-RU"/>
        </w:rPr>
        <w:t>Стаття</w:t>
      </w:r>
      <w:proofErr w:type="spellEnd"/>
      <w:r w:rsidR="00DE77B0" w:rsidRPr="00944DAD">
        <w:rPr>
          <w:rFonts w:ascii="Times New Roman" w:eastAsia="Times New Roman" w:hAnsi="Times New Roman" w:cs="Times New Roman"/>
          <w:i/>
          <w:iCs/>
          <w:sz w:val="27"/>
          <w:szCs w:val="27"/>
          <w:lang w:val="ru-RU"/>
        </w:rPr>
        <w:t xml:space="preserve"> 21</w:t>
      </w:r>
    </w:p>
    <w:p w:rsidR="00DE77B0" w:rsidRPr="00DE5D9B" w:rsidRDefault="00DE5D9B"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Перевірка і оцінка</w:t>
      </w:r>
    </w:p>
    <w:p w:rsidR="00183595"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F757B5">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183595">
        <w:rPr>
          <w:rFonts w:ascii="Times New Roman" w:eastAsia="Times New Roman" w:hAnsi="Times New Roman" w:cs="Times New Roman"/>
          <w:sz w:val="27"/>
          <w:szCs w:val="27"/>
          <w:lang w:val="uk-UA"/>
        </w:rPr>
        <w:t>Без шкоди для виконання колегією її функцій компетентні органи, згадані у статті 22</w:t>
      </w:r>
      <w:r w:rsidR="00DE5D9B">
        <w:rPr>
          <w:rFonts w:ascii="Times New Roman" w:eastAsia="Times New Roman" w:hAnsi="Times New Roman" w:cs="Times New Roman"/>
          <w:sz w:val="27"/>
          <w:szCs w:val="27"/>
          <w:lang w:val="uk-UA"/>
        </w:rPr>
        <w:t>, перевіряють угоди, стратегії, процеси та механізми, запроваджені ЦКА, на предмет відповідності цьому регламенту і оцінюють ризики, яких зазнають або можуть зазнавати ЦКА.</w:t>
      </w:r>
    </w:p>
    <w:p w:rsidR="00DE77B0" w:rsidRPr="00F757B5" w:rsidRDefault="00DE77B0" w:rsidP="00DE5D9B">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DE5D9B">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DE5D9B">
        <w:rPr>
          <w:rFonts w:ascii="Times New Roman" w:eastAsia="Times New Roman" w:hAnsi="Times New Roman" w:cs="Times New Roman"/>
          <w:sz w:val="27"/>
          <w:szCs w:val="27"/>
          <w:lang w:val="uk-UA"/>
        </w:rPr>
        <w:t>Перевірка і оцінка, згадані вище у пункті 1</w:t>
      </w:r>
      <w:r w:rsidR="00C345FB" w:rsidRPr="00C345FB">
        <w:rPr>
          <w:rFonts w:ascii="Times New Roman" w:eastAsia="Times New Roman" w:hAnsi="Times New Roman" w:cs="Times New Roman"/>
          <w:sz w:val="27"/>
          <w:szCs w:val="27"/>
          <w:lang w:val="uk-UA"/>
        </w:rPr>
        <w:t xml:space="preserve"> </w:t>
      </w:r>
      <w:r w:rsidR="00C345FB">
        <w:rPr>
          <w:rFonts w:ascii="Times New Roman" w:eastAsia="Times New Roman" w:hAnsi="Times New Roman" w:cs="Times New Roman"/>
          <w:sz w:val="27"/>
          <w:szCs w:val="27"/>
          <w:lang w:val="uk-UA"/>
        </w:rPr>
        <w:t>цієї статті</w:t>
      </w:r>
      <w:r w:rsidR="00DE5D9B">
        <w:rPr>
          <w:rFonts w:ascii="Times New Roman" w:eastAsia="Times New Roman" w:hAnsi="Times New Roman" w:cs="Times New Roman"/>
          <w:sz w:val="27"/>
          <w:szCs w:val="27"/>
          <w:lang w:val="uk-UA"/>
        </w:rPr>
        <w:t>, охоплюють усі вимоги щодо ЦКА, викладені у цьому регламенті.</w:t>
      </w:r>
    </w:p>
    <w:p w:rsidR="00DE77B0" w:rsidRPr="00F757B5" w:rsidRDefault="00DE77B0" w:rsidP="00D97B4A">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F757B5">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0C1D38">
        <w:rPr>
          <w:rFonts w:ascii="Times New Roman" w:eastAsia="Times New Roman" w:hAnsi="Times New Roman" w:cs="Times New Roman"/>
          <w:sz w:val="27"/>
          <w:szCs w:val="27"/>
          <w:lang w:val="uk-UA"/>
        </w:rPr>
        <w:t>Компетентні органи встановлюють періодичність і обсяг перевірки та оцінки, згаданих у пункті 1</w:t>
      </w:r>
      <w:r w:rsidR="00C345FB" w:rsidRPr="00C345FB">
        <w:rPr>
          <w:rFonts w:ascii="Times New Roman" w:eastAsia="Times New Roman" w:hAnsi="Times New Roman" w:cs="Times New Roman"/>
          <w:sz w:val="27"/>
          <w:szCs w:val="27"/>
          <w:lang w:val="uk-UA"/>
        </w:rPr>
        <w:t xml:space="preserve"> </w:t>
      </w:r>
      <w:r w:rsidR="00C345FB">
        <w:rPr>
          <w:rFonts w:ascii="Times New Roman" w:eastAsia="Times New Roman" w:hAnsi="Times New Roman" w:cs="Times New Roman"/>
          <w:sz w:val="27"/>
          <w:szCs w:val="27"/>
          <w:lang w:val="uk-UA"/>
        </w:rPr>
        <w:t>цієї статті</w:t>
      </w:r>
      <w:r w:rsidR="000C1D38">
        <w:rPr>
          <w:rFonts w:ascii="Times New Roman" w:eastAsia="Times New Roman" w:hAnsi="Times New Roman" w:cs="Times New Roman"/>
          <w:sz w:val="27"/>
          <w:szCs w:val="27"/>
          <w:lang w:val="uk-UA"/>
        </w:rPr>
        <w:t xml:space="preserve">, з </w:t>
      </w:r>
      <w:r w:rsidR="006C6397">
        <w:rPr>
          <w:rFonts w:ascii="Times New Roman" w:eastAsia="Times New Roman" w:hAnsi="Times New Roman" w:cs="Times New Roman"/>
          <w:sz w:val="27"/>
          <w:szCs w:val="27"/>
          <w:lang w:val="uk-UA"/>
        </w:rPr>
        <w:t>обсягу</w:t>
      </w:r>
      <w:r w:rsidR="000C1D38">
        <w:rPr>
          <w:rFonts w:ascii="Times New Roman" w:eastAsia="Times New Roman" w:hAnsi="Times New Roman" w:cs="Times New Roman"/>
          <w:sz w:val="27"/>
          <w:szCs w:val="27"/>
          <w:lang w:val="uk-UA"/>
        </w:rPr>
        <w:t xml:space="preserve">, системної значущості, характеру, </w:t>
      </w:r>
      <w:r w:rsidR="006C6397">
        <w:rPr>
          <w:rFonts w:ascii="Times New Roman" w:eastAsia="Times New Roman" w:hAnsi="Times New Roman" w:cs="Times New Roman"/>
          <w:sz w:val="27"/>
          <w:szCs w:val="27"/>
          <w:lang w:val="uk-UA"/>
        </w:rPr>
        <w:t>масштабу і складності діяльності відповідних ЦКА. Перевірка і оцінка проводяться, як мінімум, щорічно.</w:t>
      </w:r>
    </w:p>
    <w:p w:rsidR="00DE77B0" w:rsidRPr="00F757B5" w:rsidRDefault="00D97B4A" w:rsidP="00D97B4A">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F757B5">
        <w:rPr>
          <w:rFonts w:ascii="Times New Roman" w:eastAsia="Times New Roman" w:hAnsi="Times New Roman" w:cs="Times New Roman"/>
          <w:sz w:val="27"/>
          <w:szCs w:val="27"/>
          <w:lang w:val="uk-UA"/>
        </w:rPr>
        <w:t xml:space="preserve">ЦКА </w:t>
      </w:r>
      <w:r>
        <w:rPr>
          <w:rFonts w:ascii="Times New Roman" w:eastAsia="Times New Roman" w:hAnsi="Times New Roman" w:cs="Times New Roman"/>
          <w:sz w:val="27"/>
          <w:szCs w:val="27"/>
          <w:lang w:val="uk-UA"/>
        </w:rPr>
        <w:t xml:space="preserve">підлягають </w:t>
      </w:r>
      <w:r w:rsidR="004D103D">
        <w:rPr>
          <w:rFonts w:ascii="Times New Roman" w:eastAsia="Times New Roman" w:hAnsi="Times New Roman" w:cs="Times New Roman"/>
          <w:sz w:val="27"/>
          <w:szCs w:val="27"/>
          <w:lang w:val="uk-UA"/>
        </w:rPr>
        <w:t xml:space="preserve">виїзній </w:t>
      </w:r>
      <w:r>
        <w:rPr>
          <w:rFonts w:ascii="Times New Roman" w:eastAsia="Times New Roman" w:hAnsi="Times New Roman" w:cs="Times New Roman"/>
          <w:sz w:val="27"/>
          <w:szCs w:val="27"/>
          <w:lang w:val="uk-UA"/>
        </w:rPr>
        <w:t>перевірці.</w:t>
      </w:r>
    </w:p>
    <w:p w:rsidR="00DE77B0" w:rsidRPr="00F757B5" w:rsidRDefault="00DE77B0" w:rsidP="0001159C">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F757B5">
        <w:rPr>
          <w:rFonts w:ascii="Times New Roman" w:eastAsia="Times New Roman" w:hAnsi="Times New Roman" w:cs="Times New Roman"/>
          <w:sz w:val="27"/>
          <w:szCs w:val="27"/>
          <w:lang w:val="uk-UA"/>
        </w:rPr>
        <w:t>4.</w:t>
      </w:r>
      <w:r w:rsidRPr="006279CF">
        <w:rPr>
          <w:rFonts w:ascii="Times New Roman" w:eastAsia="Times New Roman" w:hAnsi="Times New Roman" w:cs="Times New Roman"/>
          <w:sz w:val="27"/>
          <w:szCs w:val="27"/>
        </w:rPr>
        <w:t>   </w:t>
      </w:r>
      <w:r w:rsidR="00D97B4A">
        <w:rPr>
          <w:rFonts w:ascii="Times New Roman" w:eastAsia="Times New Roman" w:hAnsi="Times New Roman" w:cs="Times New Roman"/>
          <w:sz w:val="27"/>
          <w:szCs w:val="27"/>
          <w:lang w:val="uk-UA"/>
        </w:rPr>
        <w:t>Компетентні органи регулярно, як мінімум щорічно, інформують ко</w:t>
      </w:r>
      <w:r w:rsidR="0001159C">
        <w:rPr>
          <w:rFonts w:ascii="Times New Roman" w:eastAsia="Times New Roman" w:hAnsi="Times New Roman" w:cs="Times New Roman"/>
          <w:sz w:val="27"/>
          <w:szCs w:val="27"/>
          <w:lang w:val="uk-UA"/>
        </w:rPr>
        <w:t>легію про результати перевірки та оцінки, згаданих у пункті 1</w:t>
      </w:r>
      <w:r w:rsidR="00C345FB" w:rsidRPr="00C345FB">
        <w:rPr>
          <w:rFonts w:ascii="Times New Roman" w:eastAsia="Times New Roman" w:hAnsi="Times New Roman" w:cs="Times New Roman"/>
          <w:sz w:val="27"/>
          <w:szCs w:val="27"/>
          <w:lang w:val="uk-UA"/>
        </w:rPr>
        <w:t xml:space="preserve"> </w:t>
      </w:r>
      <w:r w:rsidR="00C345FB">
        <w:rPr>
          <w:rFonts w:ascii="Times New Roman" w:eastAsia="Times New Roman" w:hAnsi="Times New Roman" w:cs="Times New Roman"/>
          <w:sz w:val="27"/>
          <w:szCs w:val="27"/>
          <w:lang w:val="uk-UA"/>
        </w:rPr>
        <w:t>цієї статті</w:t>
      </w:r>
      <w:r w:rsidR="0001159C">
        <w:rPr>
          <w:rFonts w:ascii="Times New Roman" w:eastAsia="Times New Roman" w:hAnsi="Times New Roman" w:cs="Times New Roman"/>
          <w:sz w:val="27"/>
          <w:szCs w:val="27"/>
          <w:lang w:val="uk-UA"/>
        </w:rPr>
        <w:t>, зокрема про вжиті коригувальні заходи і застосовані санкції.</w:t>
      </w:r>
    </w:p>
    <w:p w:rsidR="00DE77B0" w:rsidRPr="00F757B5" w:rsidRDefault="00DE77B0" w:rsidP="00AC383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AC3837">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AC3837">
        <w:rPr>
          <w:rFonts w:ascii="Times New Roman" w:eastAsia="Times New Roman" w:hAnsi="Times New Roman" w:cs="Times New Roman"/>
          <w:sz w:val="27"/>
          <w:szCs w:val="27"/>
          <w:lang w:val="uk-UA"/>
        </w:rPr>
        <w:t>Компетентні органи вимагають від будь-якого ЦКА, що не виконує вимоги, викладені у цьому регламенті, вжиття необхідних заходів або кроків на ранньому етапі для виправлення ситуації.</w:t>
      </w:r>
    </w:p>
    <w:p w:rsidR="00F757B5" w:rsidRPr="00F757B5"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F757B5">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ESMA</w:t>
      </w:r>
      <w:r w:rsidRPr="00944DAD">
        <w:rPr>
          <w:rFonts w:ascii="Times New Roman" w:eastAsia="Times New Roman" w:hAnsi="Times New Roman" w:cs="Times New Roman"/>
          <w:sz w:val="27"/>
          <w:szCs w:val="27"/>
          <w:lang w:val="ru-RU"/>
        </w:rPr>
        <w:t xml:space="preserve"> </w:t>
      </w:r>
      <w:r w:rsidR="00F757B5">
        <w:rPr>
          <w:rFonts w:ascii="Times New Roman" w:eastAsia="Times New Roman" w:hAnsi="Times New Roman" w:cs="Times New Roman"/>
          <w:sz w:val="27"/>
          <w:szCs w:val="27"/>
          <w:lang w:val="uk-UA"/>
        </w:rPr>
        <w:t xml:space="preserve">виконує координаційну роль у взаємодії між компетентними органами та колегіями з метою </w:t>
      </w:r>
      <w:r w:rsidR="002842EC">
        <w:rPr>
          <w:rFonts w:ascii="Times New Roman" w:eastAsia="Times New Roman" w:hAnsi="Times New Roman" w:cs="Times New Roman"/>
          <w:sz w:val="27"/>
          <w:szCs w:val="27"/>
          <w:lang w:val="uk-UA"/>
        </w:rPr>
        <w:t>розбудови спільної наглядової культури та послідовної наглядової практики, забезпечуючи одноманітність процедур і узгодженість підходів, а також посилюючи узгодженість результатів наглядової діяльності.</w:t>
      </w:r>
    </w:p>
    <w:p w:rsidR="00DE77B0" w:rsidRPr="00944DAD" w:rsidRDefault="002842EC" w:rsidP="002842EC">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У цілях першого абзацу цього пункту</w:t>
      </w:r>
      <w:r w:rsidR="00DE77B0" w:rsidRPr="002842EC">
        <w:rPr>
          <w:rFonts w:ascii="Times New Roman" w:eastAsia="Times New Roman" w:hAnsi="Times New Roman" w:cs="Times New Roman"/>
          <w:sz w:val="27"/>
          <w:szCs w:val="27"/>
          <w:lang w:val="uk-UA"/>
        </w:rPr>
        <w:t xml:space="preserve"> </w:t>
      </w:r>
      <w:r w:rsidR="00DE77B0" w:rsidRPr="006279CF">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як мінімум щорічно:</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005473" w:rsidP="00005473">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проводить експертний аналіз наглядової діяльності всіх компетентних органів у зв'язку з наданням ЦКА повноважень і наглядом за їхньою </w:t>
            </w:r>
            <w:r>
              <w:rPr>
                <w:rFonts w:ascii="Times New Roman" w:eastAsia="Times New Roman" w:hAnsi="Times New Roman" w:cs="Times New Roman"/>
                <w:sz w:val="27"/>
                <w:szCs w:val="27"/>
                <w:lang w:val="uk-UA"/>
              </w:rPr>
              <w:lastRenderedPageBreak/>
              <w:t>діяльністю</w:t>
            </w:r>
            <w:r w:rsidR="00DE77B0" w:rsidRPr="006279CF">
              <w:rPr>
                <w:rFonts w:ascii="Times New Roman" w:eastAsia="Times New Roman" w:hAnsi="Times New Roman" w:cs="Times New Roman"/>
                <w:sz w:val="27"/>
                <w:szCs w:val="27"/>
              </w:rPr>
              <w:t xml:space="preserve"> </w:t>
            </w:r>
            <w:proofErr w:type="spellStart"/>
            <w:r w:rsidR="001842E4">
              <w:rPr>
                <w:rFonts w:ascii="Times New Roman" w:eastAsia="Times New Roman" w:hAnsi="Times New Roman" w:cs="Times New Roman"/>
                <w:sz w:val="27"/>
                <w:szCs w:val="27"/>
              </w:rPr>
              <w:t>відповідно</w:t>
            </w:r>
            <w:proofErr w:type="spellEnd"/>
            <w:r w:rsidR="001842E4">
              <w:rPr>
                <w:rFonts w:ascii="Times New Roman" w:eastAsia="Times New Roman" w:hAnsi="Times New Roman" w:cs="Times New Roman"/>
                <w:sz w:val="27"/>
                <w:szCs w:val="27"/>
              </w:rPr>
              <w:t xml:space="preserve"> </w:t>
            </w:r>
            <w:proofErr w:type="spellStart"/>
            <w:r w:rsidR="001842E4">
              <w:rPr>
                <w:rFonts w:ascii="Times New Roman" w:eastAsia="Times New Roman" w:hAnsi="Times New Roman" w:cs="Times New Roman"/>
                <w:sz w:val="27"/>
                <w:szCs w:val="27"/>
              </w:rPr>
              <w:t>до</w:t>
            </w:r>
            <w:proofErr w:type="spellEnd"/>
            <w:r w:rsidR="001842E4">
              <w:rPr>
                <w:rFonts w:ascii="Times New Roman" w:eastAsia="Times New Roman" w:hAnsi="Times New Roman" w:cs="Times New Roman"/>
                <w:sz w:val="27"/>
                <w:szCs w:val="27"/>
              </w:rPr>
              <w:t xml:space="preserve"> </w:t>
            </w:r>
            <w:proofErr w:type="spellStart"/>
            <w:r w:rsidR="001842E4">
              <w:rPr>
                <w:rFonts w:ascii="Times New Roman" w:eastAsia="Times New Roman" w:hAnsi="Times New Roman" w:cs="Times New Roman"/>
                <w:sz w:val="27"/>
                <w:szCs w:val="27"/>
              </w:rPr>
              <w:t>статті</w:t>
            </w:r>
            <w:proofErr w:type="spellEnd"/>
            <w:r w:rsidR="00DE77B0" w:rsidRPr="006279CF">
              <w:rPr>
                <w:rFonts w:ascii="Times New Roman" w:eastAsia="Times New Roman" w:hAnsi="Times New Roman" w:cs="Times New Roman"/>
                <w:sz w:val="27"/>
                <w:szCs w:val="27"/>
              </w:rPr>
              <w:t xml:space="preserve"> 30 </w:t>
            </w:r>
            <w:proofErr w:type="spellStart"/>
            <w:r w:rsidR="00AC2299">
              <w:rPr>
                <w:rFonts w:ascii="Times New Roman" w:eastAsia="Times New Roman" w:hAnsi="Times New Roman" w:cs="Times New Roman"/>
                <w:sz w:val="27"/>
                <w:szCs w:val="27"/>
              </w:rPr>
              <w:t>Регламенту</w:t>
            </w:r>
            <w:proofErr w:type="spellEnd"/>
            <w:r w:rsidR="00AC2299">
              <w:rPr>
                <w:rFonts w:ascii="Times New Roman" w:eastAsia="Times New Roman" w:hAnsi="Times New Roman" w:cs="Times New Roman"/>
                <w:sz w:val="27"/>
                <w:szCs w:val="27"/>
              </w:rPr>
              <w:t xml:space="preserve"> (EU) №</w:t>
            </w:r>
            <w:r w:rsidR="00DE77B0" w:rsidRPr="006279CF">
              <w:rPr>
                <w:rFonts w:ascii="Times New Roman" w:eastAsia="Times New Roman" w:hAnsi="Times New Roman" w:cs="Times New Roman"/>
                <w:sz w:val="27"/>
                <w:szCs w:val="27"/>
              </w:rPr>
              <w:t xml:space="preserve"> 1095/2010; </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AC71D3" w:rsidRDefault="00005473" w:rsidP="00AC71D3">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ініціює та координує </w:t>
            </w:r>
            <w:r w:rsidR="00AC71D3">
              <w:rPr>
                <w:rFonts w:ascii="Times New Roman" w:eastAsia="Times New Roman" w:hAnsi="Times New Roman" w:cs="Times New Roman"/>
                <w:sz w:val="27"/>
                <w:szCs w:val="27"/>
                <w:lang w:val="uk-UA"/>
              </w:rPr>
              <w:t>проведення у масштабах Союзу оцінок стійкості ЦКА до несприятливих тенденцій на ринку</w:t>
            </w:r>
            <w:r w:rsidR="00DE77B0" w:rsidRPr="00AC71D3">
              <w:rPr>
                <w:rFonts w:ascii="Times New Roman" w:eastAsia="Times New Roman" w:hAnsi="Times New Roman" w:cs="Times New Roman"/>
                <w:sz w:val="27"/>
                <w:szCs w:val="27"/>
                <w:lang w:val="ru-RU"/>
              </w:rPr>
              <w:t xml:space="preserve"> </w:t>
            </w:r>
            <w:proofErr w:type="spellStart"/>
            <w:r w:rsidR="001842E4" w:rsidRPr="00AC71D3">
              <w:rPr>
                <w:rFonts w:ascii="Times New Roman" w:eastAsia="Times New Roman" w:hAnsi="Times New Roman" w:cs="Times New Roman"/>
                <w:sz w:val="27"/>
                <w:szCs w:val="27"/>
                <w:lang w:val="ru-RU"/>
              </w:rPr>
              <w:t>відповідно</w:t>
            </w:r>
            <w:proofErr w:type="spellEnd"/>
            <w:r w:rsidR="001842E4" w:rsidRPr="00AC71D3">
              <w:rPr>
                <w:rFonts w:ascii="Times New Roman" w:eastAsia="Times New Roman" w:hAnsi="Times New Roman" w:cs="Times New Roman"/>
                <w:sz w:val="27"/>
                <w:szCs w:val="27"/>
                <w:lang w:val="ru-RU"/>
              </w:rPr>
              <w:t xml:space="preserve"> до </w:t>
            </w:r>
            <w:proofErr w:type="spellStart"/>
            <w:r w:rsidR="001842E4" w:rsidRPr="00AC71D3">
              <w:rPr>
                <w:rFonts w:ascii="Times New Roman" w:eastAsia="Times New Roman" w:hAnsi="Times New Roman" w:cs="Times New Roman"/>
                <w:sz w:val="27"/>
                <w:szCs w:val="27"/>
                <w:lang w:val="ru-RU"/>
              </w:rPr>
              <w:t>статті</w:t>
            </w:r>
            <w:proofErr w:type="spellEnd"/>
            <w:r w:rsidR="00DE77B0" w:rsidRPr="00AC71D3">
              <w:rPr>
                <w:rFonts w:ascii="Times New Roman" w:eastAsia="Times New Roman" w:hAnsi="Times New Roman" w:cs="Times New Roman"/>
                <w:sz w:val="27"/>
                <w:szCs w:val="27"/>
                <w:lang w:val="ru-RU"/>
              </w:rPr>
              <w:t xml:space="preserve"> 32(2) </w:t>
            </w:r>
            <w:r w:rsidR="00AC2299" w:rsidRPr="00AC71D3">
              <w:rPr>
                <w:rFonts w:ascii="Times New Roman" w:eastAsia="Times New Roman" w:hAnsi="Times New Roman" w:cs="Times New Roman"/>
                <w:sz w:val="27"/>
                <w:szCs w:val="27"/>
                <w:lang w:val="ru-RU"/>
              </w:rPr>
              <w:t>Регламенту (</w:t>
            </w:r>
            <w:r w:rsidR="00AC2299">
              <w:rPr>
                <w:rFonts w:ascii="Times New Roman" w:eastAsia="Times New Roman" w:hAnsi="Times New Roman" w:cs="Times New Roman"/>
                <w:sz w:val="27"/>
                <w:szCs w:val="27"/>
              </w:rPr>
              <w:t>EU</w:t>
            </w:r>
            <w:r w:rsidR="00AC2299" w:rsidRPr="00AC71D3">
              <w:rPr>
                <w:rFonts w:ascii="Times New Roman" w:eastAsia="Times New Roman" w:hAnsi="Times New Roman" w:cs="Times New Roman"/>
                <w:sz w:val="27"/>
                <w:szCs w:val="27"/>
                <w:lang w:val="ru-RU"/>
              </w:rPr>
              <w:t>) №</w:t>
            </w:r>
            <w:r w:rsidR="00DE77B0" w:rsidRPr="006279CF">
              <w:rPr>
                <w:rFonts w:ascii="Times New Roman" w:eastAsia="Times New Roman" w:hAnsi="Times New Roman" w:cs="Times New Roman"/>
                <w:sz w:val="27"/>
                <w:szCs w:val="27"/>
              </w:rPr>
              <w:t> </w:t>
            </w:r>
            <w:r w:rsidR="00DE77B0" w:rsidRPr="00AC71D3">
              <w:rPr>
                <w:rFonts w:ascii="Times New Roman" w:eastAsia="Times New Roman" w:hAnsi="Times New Roman" w:cs="Times New Roman"/>
                <w:sz w:val="27"/>
                <w:szCs w:val="27"/>
                <w:lang w:val="ru-RU"/>
              </w:rPr>
              <w:t>1095/2010.</w:t>
            </w:r>
          </w:p>
        </w:tc>
      </w:tr>
    </w:tbl>
    <w:p w:rsidR="00DE77B0" w:rsidRPr="0000694A" w:rsidRDefault="00AC71D3" w:rsidP="00AC71D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Якщо за результатами оцінки, згаданої у </w:t>
      </w:r>
      <w:proofErr w:type="spellStart"/>
      <w:r>
        <w:rPr>
          <w:rFonts w:ascii="Times New Roman" w:eastAsia="Times New Roman" w:hAnsi="Times New Roman" w:cs="Times New Roman"/>
          <w:sz w:val="27"/>
          <w:szCs w:val="27"/>
          <w:lang w:val="uk-UA"/>
        </w:rPr>
        <w:t>пп</w:t>
      </w:r>
      <w:proofErr w:type="spellEnd"/>
      <w:r>
        <w:rPr>
          <w:rFonts w:ascii="Times New Roman" w:eastAsia="Times New Roman" w:hAnsi="Times New Roman" w:cs="Times New Roman"/>
          <w:sz w:val="27"/>
          <w:szCs w:val="27"/>
          <w:lang w:val="uk-UA"/>
        </w:rPr>
        <w:t>.</w:t>
      </w:r>
      <w:r w:rsidR="00DE77B0" w:rsidRPr="00AC71D3">
        <w:rPr>
          <w:rFonts w:ascii="Times New Roman" w:eastAsia="Times New Roman" w:hAnsi="Times New Roman" w:cs="Times New Roman"/>
          <w:sz w:val="27"/>
          <w:szCs w:val="27"/>
          <w:lang w:val="ru-RU"/>
        </w:rPr>
        <w:t xml:space="preserve"> (</w:t>
      </w:r>
      <w:r w:rsidR="00DE77B0" w:rsidRPr="006279CF">
        <w:rPr>
          <w:rFonts w:ascii="Times New Roman" w:eastAsia="Times New Roman" w:hAnsi="Times New Roman" w:cs="Times New Roman"/>
          <w:sz w:val="27"/>
          <w:szCs w:val="27"/>
        </w:rPr>
        <w:t>b</w:t>
      </w:r>
      <w:r w:rsidR="00DE77B0" w:rsidRPr="00AC71D3">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 xml:space="preserve">другого абзацу, виявлені недоліки у стійкості одного чи декількох ЦКА, </w:t>
      </w:r>
      <w:r>
        <w:rPr>
          <w:rFonts w:ascii="Times New Roman" w:eastAsia="Times New Roman" w:hAnsi="Times New Roman" w:cs="Times New Roman"/>
          <w:sz w:val="27"/>
          <w:szCs w:val="27"/>
          <w:lang w:val="uk-UA"/>
        </w:rPr>
        <w:tab/>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видає необхідні рекомендації відповідно до статті 16</w:t>
      </w:r>
      <w:r w:rsidR="00DE77B0" w:rsidRPr="0000694A">
        <w:rPr>
          <w:rFonts w:ascii="Times New Roman" w:eastAsia="Times New Roman" w:hAnsi="Times New Roman" w:cs="Times New Roman"/>
          <w:sz w:val="27"/>
          <w:szCs w:val="27"/>
          <w:lang w:val="ru-RU"/>
        </w:rPr>
        <w:t xml:space="preserve"> </w:t>
      </w:r>
      <w:r w:rsidR="00AC2299" w:rsidRPr="0000694A">
        <w:rPr>
          <w:rFonts w:ascii="Times New Roman" w:eastAsia="Times New Roman" w:hAnsi="Times New Roman" w:cs="Times New Roman"/>
          <w:sz w:val="27"/>
          <w:szCs w:val="27"/>
          <w:lang w:val="ru-RU"/>
        </w:rPr>
        <w:t>Регламенту (</w:t>
      </w:r>
      <w:r w:rsidR="00AC2299">
        <w:rPr>
          <w:rFonts w:ascii="Times New Roman" w:eastAsia="Times New Roman" w:hAnsi="Times New Roman" w:cs="Times New Roman"/>
          <w:sz w:val="27"/>
          <w:szCs w:val="27"/>
        </w:rPr>
        <w:t>EU</w:t>
      </w:r>
      <w:r w:rsidR="00AC2299" w:rsidRPr="0000694A">
        <w:rPr>
          <w:rFonts w:ascii="Times New Roman" w:eastAsia="Times New Roman" w:hAnsi="Times New Roman" w:cs="Times New Roman"/>
          <w:sz w:val="27"/>
          <w:szCs w:val="27"/>
          <w:lang w:val="ru-RU"/>
        </w:rPr>
        <w:t>) №</w:t>
      </w:r>
      <w:r w:rsidR="00DE77B0" w:rsidRPr="006279CF">
        <w:rPr>
          <w:rFonts w:ascii="Times New Roman" w:eastAsia="Times New Roman" w:hAnsi="Times New Roman" w:cs="Times New Roman"/>
          <w:sz w:val="27"/>
          <w:szCs w:val="27"/>
        </w:rPr>
        <w:t> </w:t>
      </w:r>
      <w:r w:rsidR="00DE77B0" w:rsidRPr="0000694A">
        <w:rPr>
          <w:rFonts w:ascii="Times New Roman" w:eastAsia="Times New Roman" w:hAnsi="Times New Roman" w:cs="Times New Roman"/>
          <w:sz w:val="27"/>
          <w:szCs w:val="27"/>
          <w:lang w:val="ru-RU"/>
        </w:rPr>
        <w:t>1095/2010.</w:t>
      </w:r>
    </w:p>
    <w:p w:rsidR="001B144A" w:rsidRDefault="001B144A" w:rsidP="00187079">
      <w:pPr>
        <w:shd w:val="clear" w:color="auto" w:fill="FFFFFF"/>
        <w:spacing w:after="0" w:line="240" w:lineRule="auto"/>
        <w:jc w:val="center"/>
        <w:textAlignment w:val="baseline"/>
        <w:rPr>
          <w:rFonts w:ascii="Times New Roman" w:eastAsia="Times New Roman" w:hAnsi="Times New Roman" w:cs="Times New Roman"/>
          <w:b/>
          <w:bCs/>
          <w:i/>
          <w:iCs/>
          <w:sz w:val="27"/>
          <w:szCs w:val="27"/>
          <w:bdr w:val="none" w:sz="0" w:space="0" w:color="auto" w:frame="1"/>
          <w:lang w:val="uk-UA"/>
        </w:rPr>
      </w:pPr>
    </w:p>
    <w:p w:rsidR="00C5632E" w:rsidRDefault="00C5632E" w:rsidP="00187079">
      <w:pPr>
        <w:shd w:val="clear" w:color="auto" w:fill="FFFFFF"/>
        <w:spacing w:after="0" w:line="240" w:lineRule="auto"/>
        <w:jc w:val="center"/>
        <w:textAlignment w:val="baseline"/>
        <w:rPr>
          <w:rFonts w:ascii="Times New Roman" w:eastAsia="Times New Roman" w:hAnsi="Times New Roman" w:cs="Times New Roman"/>
          <w:b/>
          <w:bCs/>
          <w:i/>
          <w:iCs/>
          <w:sz w:val="27"/>
          <w:szCs w:val="27"/>
          <w:bdr w:val="none" w:sz="0" w:space="0" w:color="auto" w:frame="1"/>
          <w:lang w:val="uk-UA"/>
        </w:rPr>
      </w:pPr>
    </w:p>
    <w:p w:rsidR="00DE77B0" w:rsidRPr="001B144A" w:rsidRDefault="001B144A"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i/>
          <w:iCs/>
          <w:sz w:val="27"/>
          <w:szCs w:val="27"/>
          <w:bdr w:val="none" w:sz="0" w:space="0" w:color="auto" w:frame="1"/>
          <w:lang w:val="uk-UA"/>
        </w:rPr>
        <w:t>ГЛАВА</w:t>
      </w:r>
      <w:r w:rsidR="00DE77B0" w:rsidRPr="001B144A">
        <w:rPr>
          <w:rFonts w:ascii="Times New Roman" w:eastAsia="Times New Roman" w:hAnsi="Times New Roman" w:cs="Times New Roman"/>
          <w:b/>
          <w:bCs/>
          <w:i/>
          <w:iCs/>
          <w:sz w:val="27"/>
          <w:szCs w:val="27"/>
          <w:bdr w:val="none" w:sz="0" w:space="0" w:color="auto" w:frame="1"/>
          <w:lang w:val="ru-RU"/>
        </w:rPr>
        <w:t xml:space="preserve"> 2</w:t>
      </w:r>
    </w:p>
    <w:p w:rsidR="00DE77B0" w:rsidRPr="00F879CC" w:rsidRDefault="001B144A"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i/>
          <w:iCs/>
          <w:sz w:val="27"/>
          <w:szCs w:val="27"/>
          <w:bdr w:val="none" w:sz="0" w:space="0" w:color="auto" w:frame="1"/>
          <w:lang w:val="uk-UA"/>
        </w:rPr>
        <w:t>Нагляд і контроль за діяльністю ЦКА</w:t>
      </w:r>
    </w:p>
    <w:p w:rsidR="00DE77B0" w:rsidRPr="00F879CC"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F879CC">
        <w:rPr>
          <w:rFonts w:ascii="Times New Roman" w:eastAsia="Times New Roman" w:hAnsi="Times New Roman" w:cs="Times New Roman"/>
          <w:i/>
          <w:iCs/>
          <w:sz w:val="27"/>
          <w:szCs w:val="27"/>
          <w:lang w:val="ru-RU"/>
        </w:rPr>
        <w:t>Стаття</w:t>
      </w:r>
      <w:proofErr w:type="spellEnd"/>
      <w:r w:rsidR="00DE77B0" w:rsidRPr="00F879CC">
        <w:rPr>
          <w:rFonts w:ascii="Times New Roman" w:eastAsia="Times New Roman" w:hAnsi="Times New Roman" w:cs="Times New Roman"/>
          <w:i/>
          <w:iCs/>
          <w:sz w:val="27"/>
          <w:szCs w:val="27"/>
          <w:lang w:val="ru-RU"/>
        </w:rPr>
        <w:t xml:space="preserve"> 22</w:t>
      </w:r>
    </w:p>
    <w:p w:rsidR="00DE77B0" w:rsidRPr="001B144A" w:rsidRDefault="001B144A"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Компетентний орган</w:t>
      </w:r>
    </w:p>
    <w:p w:rsidR="00DE77B0" w:rsidRPr="00F879CC" w:rsidRDefault="00DE77B0" w:rsidP="00944DA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902FEA">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902FEA">
        <w:rPr>
          <w:rFonts w:ascii="Times New Roman" w:eastAsia="Times New Roman" w:hAnsi="Times New Roman" w:cs="Times New Roman"/>
          <w:sz w:val="27"/>
          <w:szCs w:val="27"/>
          <w:lang w:val="uk-UA"/>
        </w:rPr>
        <w:t xml:space="preserve">Кожна держава-член </w:t>
      </w:r>
      <w:r w:rsidR="00F432B6">
        <w:rPr>
          <w:rFonts w:ascii="Times New Roman" w:eastAsia="Times New Roman" w:hAnsi="Times New Roman" w:cs="Times New Roman"/>
          <w:sz w:val="27"/>
          <w:szCs w:val="27"/>
          <w:lang w:val="uk-UA"/>
        </w:rPr>
        <w:t xml:space="preserve">Союзу </w:t>
      </w:r>
      <w:r w:rsidR="00902FEA">
        <w:rPr>
          <w:rFonts w:ascii="Times New Roman" w:eastAsia="Times New Roman" w:hAnsi="Times New Roman" w:cs="Times New Roman"/>
          <w:sz w:val="27"/>
          <w:szCs w:val="27"/>
          <w:lang w:val="uk-UA"/>
        </w:rPr>
        <w:t>призначає</w:t>
      </w:r>
      <w:r w:rsidRPr="00902FEA">
        <w:rPr>
          <w:rFonts w:ascii="Times New Roman" w:eastAsia="Times New Roman" w:hAnsi="Times New Roman" w:cs="Times New Roman"/>
          <w:sz w:val="27"/>
          <w:szCs w:val="27"/>
          <w:lang w:val="ru-RU"/>
        </w:rPr>
        <w:t xml:space="preserve"> </w:t>
      </w:r>
      <w:proofErr w:type="spellStart"/>
      <w:r w:rsidR="00812EED" w:rsidRPr="00902FEA">
        <w:rPr>
          <w:rFonts w:ascii="Times New Roman" w:eastAsia="Times New Roman" w:hAnsi="Times New Roman" w:cs="Times New Roman"/>
          <w:sz w:val="27"/>
          <w:szCs w:val="27"/>
          <w:lang w:val="ru-RU"/>
        </w:rPr>
        <w:t>компетентний</w:t>
      </w:r>
      <w:proofErr w:type="spellEnd"/>
      <w:r w:rsidR="00812EED" w:rsidRPr="00902FEA">
        <w:rPr>
          <w:rFonts w:ascii="Times New Roman" w:eastAsia="Times New Roman" w:hAnsi="Times New Roman" w:cs="Times New Roman"/>
          <w:sz w:val="27"/>
          <w:szCs w:val="27"/>
          <w:lang w:val="ru-RU"/>
        </w:rPr>
        <w:t xml:space="preserve"> орган</w:t>
      </w:r>
      <w:r w:rsidR="00902FEA">
        <w:rPr>
          <w:rFonts w:ascii="Times New Roman" w:eastAsia="Times New Roman" w:hAnsi="Times New Roman" w:cs="Times New Roman"/>
          <w:sz w:val="27"/>
          <w:szCs w:val="27"/>
          <w:lang w:val="ru-RU"/>
        </w:rPr>
        <w:t xml:space="preserve">, </w:t>
      </w:r>
      <w:r w:rsidR="00902FEA">
        <w:rPr>
          <w:rFonts w:ascii="Times New Roman" w:eastAsia="Times New Roman" w:hAnsi="Times New Roman" w:cs="Times New Roman"/>
          <w:sz w:val="27"/>
          <w:szCs w:val="27"/>
          <w:lang w:val="uk-UA"/>
        </w:rPr>
        <w:t>відповідальний за виконання обов’язків, що випливають із цього регламенту, стосовно надання повноважень і контролю за діяльністю ЦКА, створених на її території, та повідомляє про це призначення Комісії</w:t>
      </w:r>
      <w:r w:rsidR="00944DAD">
        <w:rPr>
          <w:rFonts w:ascii="Times New Roman" w:eastAsia="Times New Roman" w:hAnsi="Times New Roman" w:cs="Times New Roman"/>
          <w:sz w:val="27"/>
          <w:szCs w:val="27"/>
          <w:lang w:val="uk-UA"/>
        </w:rPr>
        <w:t xml:space="preserve"> та </w:t>
      </w:r>
      <w:r w:rsidR="00944DAD">
        <w:rPr>
          <w:rFonts w:ascii="Times New Roman" w:eastAsia="Times New Roman" w:hAnsi="Times New Roman" w:cs="Times New Roman"/>
          <w:sz w:val="27"/>
          <w:szCs w:val="27"/>
        </w:rPr>
        <w:t>ESMA</w:t>
      </w:r>
      <w:r w:rsidR="00944DAD" w:rsidRPr="00944DAD">
        <w:rPr>
          <w:rFonts w:ascii="Times New Roman" w:eastAsia="Times New Roman" w:hAnsi="Times New Roman" w:cs="Times New Roman"/>
          <w:sz w:val="27"/>
          <w:szCs w:val="27"/>
          <w:lang w:val="ru-RU"/>
        </w:rPr>
        <w:t>.</w:t>
      </w:r>
    </w:p>
    <w:p w:rsidR="00DE77B0" w:rsidRPr="00F879CC" w:rsidRDefault="00944DAD" w:rsidP="00BC743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Якщо держава-член </w:t>
      </w:r>
      <w:r w:rsidR="00F432B6">
        <w:rPr>
          <w:rFonts w:ascii="Times New Roman" w:eastAsia="Times New Roman" w:hAnsi="Times New Roman" w:cs="Times New Roman"/>
          <w:sz w:val="27"/>
          <w:szCs w:val="27"/>
          <w:lang w:val="uk-UA"/>
        </w:rPr>
        <w:t xml:space="preserve">Союзу </w:t>
      </w:r>
      <w:r>
        <w:rPr>
          <w:rFonts w:ascii="Times New Roman" w:eastAsia="Times New Roman" w:hAnsi="Times New Roman" w:cs="Times New Roman"/>
          <w:sz w:val="27"/>
          <w:szCs w:val="27"/>
          <w:lang w:val="uk-UA"/>
        </w:rPr>
        <w:t xml:space="preserve">призначила більше одного компетентного органу, вона чітка визначає відповідні функції та призначає єдиний орган відповідальним за координацію співробітництва і обмін інформацією з Комісією,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компетентними органами інших де</w:t>
      </w:r>
      <w:r w:rsidR="00BC743D">
        <w:rPr>
          <w:rFonts w:ascii="Times New Roman" w:eastAsia="Times New Roman" w:hAnsi="Times New Roman" w:cs="Times New Roman"/>
          <w:sz w:val="27"/>
          <w:szCs w:val="27"/>
          <w:lang w:val="uk-UA"/>
        </w:rPr>
        <w:t>ржав-членів</w:t>
      </w:r>
      <w:r w:rsidR="00F432B6" w:rsidRPr="00F432B6">
        <w:rPr>
          <w:rFonts w:ascii="Times New Roman" w:eastAsia="Times New Roman" w:hAnsi="Times New Roman" w:cs="Times New Roman"/>
          <w:sz w:val="27"/>
          <w:szCs w:val="27"/>
          <w:lang w:val="uk-UA"/>
        </w:rPr>
        <w:t xml:space="preserve"> </w:t>
      </w:r>
      <w:r w:rsidR="00F432B6">
        <w:rPr>
          <w:rFonts w:ascii="Times New Roman" w:eastAsia="Times New Roman" w:hAnsi="Times New Roman" w:cs="Times New Roman"/>
          <w:sz w:val="27"/>
          <w:szCs w:val="27"/>
          <w:lang w:val="uk-UA"/>
        </w:rPr>
        <w:t>Союзу</w:t>
      </w:r>
      <w:r w:rsidR="00BC743D">
        <w:rPr>
          <w:rFonts w:ascii="Times New Roman" w:eastAsia="Times New Roman" w:hAnsi="Times New Roman" w:cs="Times New Roman"/>
          <w:sz w:val="27"/>
          <w:szCs w:val="27"/>
          <w:lang w:val="uk-UA"/>
        </w:rPr>
        <w:t>, ЕВА та відповідними членами ЄСЦБ згідно зі статтями</w:t>
      </w:r>
      <w:r w:rsidR="00DE77B0" w:rsidRPr="00F879CC">
        <w:rPr>
          <w:rFonts w:ascii="Times New Roman" w:eastAsia="Times New Roman" w:hAnsi="Times New Roman" w:cs="Times New Roman"/>
          <w:sz w:val="27"/>
          <w:szCs w:val="27"/>
          <w:lang w:val="ru-RU"/>
        </w:rPr>
        <w:t xml:space="preserve"> 23, 24, 83 </w:t>
      </w:r>
      <w:r w:rsidR="00BC743D">
        <w:rPr>
          <w:rFonts w:ascii="Times New Roman" w:eastAsia="Times New Roman" w:hAnsi="Times New Roman" w:cs="Times New Roman"/>
          <w:sz w:val="27"/>
          <w:szCs w:val="27"/>
          <w:lang w:val="uk-UA"/>
        </w:rPr>
        <w:t>та</w:t>
      </w:r>
      <w:r w:rsidR="00DE77B0" w:rsidRPr="00F879CC">
        <w:rPr>
          <w:rFonts w:ascii="Times New Roman" w:eastAsia="Times New Roman" w:hAnsi="Times New Roman" w:cs="Times New Roman"/>
          <w:sz w:val="27"/>
          <w:szCs w:val="27"/>
          <w:lang w:val="ru-RU"/>
        </w:rPr>
        <w:t xml:space="preserve"> 84.</w:t>
      </w:r>
    </w:p>
    <w:p w:rsidR="00DE77B0" w:rsidRPr="00F879CC" w:rsidRDefault="00DE77B0" w:rsidP="00BC743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879CC">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BC743D">
        <w:rPr>
          <w:rFonts w:ascii="Times New Roman" w:eastAsia="Times New Roman" w:hAnsi="Times New Roman" w:cs="Times New Roman"/>
          <w:sz w:val="27"/>
          <w:szCs w:val="27"/>
          <w:lang w:val="uk-UA"/>
        </w:rPr>
        <w:t xml:space="preserve">Кожна держава-член </w:t>
      </w:r>
      <w:r w:rsidR="00F432B6">
        <w:rPr>
          <w:rFonts w:ascii="Times New Roman" w:eastAsia="Times New Roman" w:hAnsi="Times New Roman" w:cs="Times New Roman"/>
          <w:sz w:val="27"/>
          <w:szCs w:val="27"/>
          <w:lang w:val="uk-UA"/>
        </w:rPr>
        <w:t xml:space="preserve">Союзу </w:t>
      </w:r>
      <w:r w:rsidR="00BC743D">
        <w:rPr>
          <w:rFonts w:ascii="Times New Roman" w:eastAsia="Times New Roman" w:hAnsi="Times New Roman" w:cs="Times New Roman"/>
          <w:sz w:val="27"/>
          <w:szCs w:val="27"/>
          <w:lang w:val="uk-UA"/>
        </w:rPr>
        <w:t xml:space="preserve">забезпечує, щоб </w:t>
      </w:r>
      <w:proofErr w:type="spellStart"/>
      <w:r w:rsidR="00812EED" w:rsidRPr="00BC743D">
        <w:rPr>
          <w:rFonts w:ascii="Times New Roman" w:eastAsia="Times New Roman" w:hAnsi="Times New Roman" w:cs="Times New Roman"/>
          <w:sz w:val="27"/>
          <w:szCs w:val="27"/>
          <w:lang w:val="ru-RU"/>
        </w:rPr>
        <w:t>компетентний</w:t>
      </w:r>
      <w:proofErr w:type="spellEnd"/>
      <w:r w:rsidR="00812EED" w:rsidRPr="00BC743D">
        <w:rPr>
          <w:rFonts w:ascii="Times New Roman" w:eastAsia="Times New Roman" w:hAnsi="Times New Roman" w:cs="Times New Roman"/>
          <w:sz w:val="27"/>
          <w:szCs w:val="27"/>
          <w:lang w:val="ru-RU"/>
        </w:rPr>
        <w:t xml:space="preserve"> орган</w:t>
      </w:r>
      <w:r w:rsidRPr="00BC743D">
        <w:rPr>
          <w:rFonts w:ascii="Times New Roman" w:eastAsia="Times New Roman" w:hAnsi="Times New Roman" w:cs="Times New Roman"/>
          <w:sz w:val="27"/>
          <w:szCs w:val="27"/>
          <w:lang w:val="ru-RU"/>
        </w:rPr>
        <w:t xml:space="preserve"> </w:t>
      </w:r>
      <w:r w:rsidR="00BC743D">
        <w:rPr>
          <w:rFonts w:ascii="Times New Roman" w:eastAsia="Times New Roman" w:hAnsi="Times New Roman" w:cs="Times New Roman"/>
          <w:sz w:val="27"/>
          <w:szCs w:val="27"/>
          <w:lang w:val="uk-UA"/>
        </w:rPr>
        <w:t>мав повноваження на здійснення нагляду і проведення розслідувань, необхідні для виконання ним своїх функцій.</w:t>
      </w:r>
    </w:p>
    <w:p w:rsidR="00DE77B0" w:rsidRPr="00EE2440" w:rsidRDefault="00DE77B0" w:rsidP="00C5632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879CC">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1C244D">
        <w:rPr>
          <w:rFonts w:ascii="Times New Roman" w:eastAsia="Times New Roman" w:hAnsi="Times New Roman" w:cs="Times New Roman"/>
          <w:sz w:val="27"/>
          <w:szCs w:val="27"/>
          <w:lang w:val="uk-UA"/>
        </w:rPr>
        <w:t xml:space="preserve">Кожна держава-член </w:t>
      </w:r>
      <w:r w:rsidR="00F432B6">
        <w:rPr>
          <w:rFonts w:ascii="Times New Roman" w:eastAsia="Times New Roman" w:hAnsi="Times New Roman" w:cs="Times New Roman"/>
          <w:sz w:val="27"/>
          <w:szCs w:val="27"/>
          <w:lang w:val="uk-UA"/>
        </w:rPr>
        <w:t xml:space="preserve">Союзу </w:t>
      </w:r>
      <w:r w:rsidR="001C244D">
        <w:rPr>
          <w:rFonts w:ascii="Times New Roman" w:eastAsia="Times New Roman" w:hAnsi="Times New Roman" w:cs="Times New Roman"/>
          <w:sz w:val="27"/>
          <w:szCs w:val="27"/>
          <w:lang w:val="uk-UA"/>
        </w:rPr>
        <w:t>забезпечує, щоб</w:t>
      </w:r>
      <w:r w:rsidR="00C5632E">
        <w:rPr>
          <w:rFonts w:ascii="Times New Roman" w:eastAsia="Times New Roman" w:hAnsi="Times New Roman" w:cs="Times New Roman"/>
          <w:sz w:val="27"/>
          <w:szCs w:val="27"/>
          <w:lang w:val="uk-UA"/>
        </w:rPr>
        <w:t xml:space="preserve"> до фізичних і юридичних осіб, відповідальних за недотримання цього регламенту, застосовувалися або вживалися відповідні адміністративні заходи згідно з національним законодавством.</w:t>
      </w:r>
    </w:p>
    <w:p w:rsidR="00DE77B0" w:rsidRPr="00F879CC" w:rsidRDefault="00C5632E" w:rsidP="00C5632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Ці заходи повинні бути ефективними, сумірними та стримуючими й можуть включати вимоги про вжиття коригувальних заходів у встановлені строки.</w:t>
      </w:r>
    </w:p>
    <w:p w:rsidR="00DE77B0" w:rsidRDefault="00DE77B0" w:rsidP="00C5632E">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5632E">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ESMA</w:t>
      </w:r>
      <w:r w:rsidRPr="00C5632E">
        <w:rPr>
          <w:rFonts w:ascii="Times New Roman" w:eastAsia="Times New Roman" w:hAnsi="Times New Roman" w:cs="Times New Roman"/>
          <w:sz w:val="27"/>
          <w:szCs w:val="27"/>
          <w:lang w:val="ru-RU"/>
        </w:rPr>
        <w:t xml:space="preserve"> </w:t>
      </w:r>
      <w:r w:rsidR="00C5632E">
        <w:rPr>
          <w:rFonts w:ascii="Times New Roman" w:eastAsia="Times New Roman" w:hAnsi="Times New Roman" w:cs="Times New Roman"/>
          <w:sz w:val="27"/>
          <w:szCs w:val="27"/>
          <w:lang w:val="uk-UA"/>
        </w:rPr>
        <w:t>публікує на своєму веб-сайті перелік компетентних органів, призначених відповідно до пункту 1.</w:t>
      </w:r>
    </w:p>
    <w:p w:rsidR="00C5632E" w:rsidRDefault="00C5632E" w:rsidP="00C5632E">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p>
    <w:p w:rsidR="00C5632E" w:rsidRPr="00F879CC" w:rsidRDefault="00C5632E" w:rsidP="00C5632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p>
    <w:p w:rsidR="00DE77B0" w:rsidRPr="00944DAD" w:rsidRDefault="0000694A"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i/>
          <w:iCs/>
          <w:sz w:val="27"/>
          <w:szCs w:val="27"/>
          <w:bdr w:val="none" w:sz="0" w:space="0" w:color="auto" w:frame="1"/>
          <w:lang w:val="uk-UA"/>
        </w:rPr>
        <w:lastRenderedPageBreak/>
        <w:t>ГЛАВА</w:t>
      </w:r>
      <w:r w:rsidR="00DE77B0" w:rsidRPr="00944DAD">
        <w:rPr>
          <w:rFonts w:ascii="Times New Roman" w:eastAsia="Times New Roman" w:hAnsi="Times New Roman" w:cs="Times New Roman"/>
          <w:b/>
          <w:bCs/>
          <w:i/>
          <w:iCs/>
          <w:sz w:val="27"/>
          <w:szCs w:val="27"/>
          <w:bdr w:val="none" w:sz="0" w:space="0" w:color="auto" w:frame="1"/>
          <w:lang w:val="ru-RU"/>
        </w:rPr>
        <w:t xml:space="preserve"> 3</w:t>
      </w:r>
    </w:p>
    <w:p w:rsidR="00DE77B0" w:rsidRPr="0000694A" w:rsidRDefault="0000694A"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i/>
          <w:iCs/>
          <w:sz w:val="27"/>
          <w:szCs w:val="27"/>
          <w:bdr w:val="none" w:sz="0" w:space="0" w:color="auto" w:frame="1"/>
          <w:lang w:val="uk-UA"/>
        </w:rPr>
        <w:t>Співробітництво</w:t>
      </w:r>
    </w:p>
    <w:p w:rsidR="00DE77B0" w:rsidRPr="00944DAD"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944DAD">
        <w:rPr>
          <w:rFonts w:ascii="Times New Roman" w:eastAsia="Times New Roman" w:hAnsi="Times New Roman" w:cs="Times New Roman"/>
          <w:i/>
          <w:iCs/>
          <w:sz w:val="27"/>
          <w:szCs w:val="27"/>
          <w:lang w:val="ru-RU"/>
        </w:rPr>
        <w:t>Стаття</w:t>
      </w:r>
      <w:proofErr w:type="spellEnd"/>
      <w:r w:rsidR="00DE77B0" w:rsidRPr="00944DAD">
        <w:rPr>
          <w:rFonts w:ascii="Times New Roman" w:eastAsia="Times New Roman" w:hAnsi="Times New Roman" w:cs="Times New Roman"/>
          <w:i/>
          <w:iCs/>
          <w:sz w:val="27"/>
          <w:szCs w:val="27"/>
          <w:lang w:val="ru-RU"/>
        </w:rPr>
        <w:t xml:space="preserve"> 23</w:t>
      </w:r>
    </w:p>
    <w:p w:rsidR="00DE77B0" w:rsidRPr="0000694A" w:rsidRDefault="0000694A"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Співробітництво між органами</w:t>
      </w:r>
    </w:p>
    <w:p w:rsidR="00DE77B0" w:rsidRPr="00F879CC" w:rsidRDefault="00DE77B0" w:rsidP="00F23226">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F879CC">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F23226">
        <w:rPr>
          <w:rFonts w:ascii="Times New Roman" w:eastAsia="Times New Roman" w:hAnsi="Times New Roman" w:cs="Times New Roman"/>
          <w:sz w:val="27"/>
          <w:szCs w:val="27"/>
          <w:lang w:val="uk-UA"/>
        </w:rPr>
        <w:t xml:space="preserve">Компетентні органи тісно співпрацюють один з одним, з </w:t>
      </w:r>
      <w:r w:rsidRPr="006279CF">
        <w:rPr>
          <w:rFonts w:ascii="Times New Roman" w:eastAsia="Times New Roman" w:hAnsi="Times New Roman" w:cs="Times New Roman"/>
          <w:sz w:val="27"/>
          <w:szCs w:val="27"/>
        </w:rPr>
        <w:t>ESMA</w:t>
      </w:r>
      <w:r w:rsidRPr="00F879CC">
        <w:rPr>
          <w:rFonts w:ascii="Times New Roman" w:eastAsia="Times New Roman" w:hAnsi="Times New Roman" w:cs="Times New Roman"/>
          <w:sz w:val="27"/>
          <w:szCs w:val="27"/>
          <w:lang w:val="uk-UA"/>
        </w:rPr>
        <w:t xml:space="preserve"> </w:t>
      </w:r>
      <w:r w:rsidR="00F23226" w:rsidRPr="00F879CC">
        <w:rPr>
          <w:rFonts w:ascii="Times New Roman" w:eastAsia="Times New Roman" w:hAnsi="Times New Roman" w:cs="Times New Roman"/>
          <w:sz w:val="27"/>
          <w:szCs w:val="27"/>
          <w:lang w:val="uk-UA"/>
        </w:rPr>
        <w:t>і, якщо потрібно з ЄСЦБ.</w:t>
      </w:r>
    </w:p>
    <w:p w:rsidR="00DE77B0" w:rsidRPr="00F879CC" w:rsidRDefault="00DE77B0" w:rsidP="00F23226">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F879CC">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F23226">
        <w:rPr>
          <w:rFonts w:ascii="Times New Roman" w:eastAsia="Times New Roman" w:hAnsi="Times New Roman" w:cs="Times New Roman"/>
          <w:sz w:val="27"/>
          <w:szCs w:val="27"/>
          <w:lang w:val="uk-UA"/>
        </w:rPr>
        <w:t>При виконанні своїх загальних обов’язків компетентні органи належним чином ураховують можливий вплив їхніх рішень на стабільність фінансової системи в усіх інших зацікавлених державах-членах</w:t>
      </w:r>
      <w:r w:rsidR="00F432B6" w:rsidRPr="00F432B6">
        <w:rPr>
          <w:rFonts w:ascii="Times New Roman" w:eastAsia="Times New Roman" w:hAnsi="Times New Roman" w:cs="Times New Roman"/>
          <w:sz w:val="27"/>
          <w:szCs w:val="27"/>
          <w:lang w:val="uk-UA"/>
        </w:rPr>
        <w:t xml:space="preserve"> </w:t>
      </w:r>
      <w:r w:rsidR="00F432B6">
        <w:rPr>
          <w:rFonts w:ascii="Times New Roman" w:eastAsia="Times New Roman" w:hAnsi="Times New Roman" w:cs="Times New Roman"/>
          <w:sz w:val="27"/>
          <w:szCs w:val="27"/>
          <w:lang w:val="uk-UA"/>
        </w:rPr>
        <w:t>Союзу</w:t>
      </w:r>
      <w:r w:rsidR="00F23226">
        <w:rPr>
          <w:rFonts w:ascii="Times New Roman" w:eastAsia="Times New Roman" w:hAnsi="Times New Roman" w:cs="Times New Roman"/>
          <w:sz w:val="27"/>
          <w:szCs w:val="27"/>
          <w:lang w:val="uk-UA"/>
        </w:rPr>
        <w:t>, зокрема надзвичайні ситуації, зазначені у статті 24, виходячи з інформації, наявної на даний момент.</w:t>
      </w:r>
    </w:p>
    <w:p w:rsidR="00DE77B0" w:rsidRPr="00F879CC"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F879CC">
        <w:rPr>
          <w:rFonts w:ascii="Times New Roman" w:eastAsia="Times New Roman" w:hAnsi="Times New Roman" w:cs="Times New Roman"/>
          <w:i/>
          <w:iCs/>
          <w:sz w:val="27"/>
          <w:szCs w:val="27"/>
          <w:lang w:val="uk-UA"/>
        </w:rPr>
        <w:t>Стаття</w:t>
      </w:r>
      <w:r w:rsidR="00DE77B0" w:rsidRPr="00F879CC">
        <w:rPr>
          <w:rFonts w:ascii="Times New Roman" w:eastAsia="Times New Roman" w:hAnsi="Times New Roman" w:cs="Times New Roman"/>
          <w:i/>
          <w:iCs/>
          <w:sz w:val="27"/>
          <w:szCs w:val="27"/>
          <w:lang w:val="uk-UA"/>
        </w:rPr>
        <w:t xml:space="preserve"> 24</w:t>
      </w:r>
    </w:p>
    <w:p w:rsidR="00DE77B0" w:rsidRPr="0000694A" w:rsidRDefault="0000694A"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Надзвичайні ситуації</w:t>
      </w:r>
    </w:p>
    <w:p w:rsidR="00DE77B0" w:rsidRPr="00F879CC" w:rsidRDefault="0004400F" w:rsidP="00C20CAC">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w:t>
      </w:r>
      <w:r w:rsidR="007E705A" w:rsidRPr="0004400F">
        <w:rPr>
          <w:rFonts w:ascii="Times New Roman" w:eastAsia="Times New Roman" w:hAnsi="Times New Roman" w:cs="Times New Roman"/>
          <w:sz w:val="27"/>
          <w:szCs w:val="27"/>
          <w:lang w:val="uk-UA"/>
        </w:rPr>
        <w:t>омпетентний орган</w:t>
      </w:r>
      <w:r w:rsidR="00DE77B0" w:rsidRPr="0004400F">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 xml:space="preserve">ЦКА або будь-який інший орган </w:t>
      </w:r>
      <w:r w:rsidR="00C20CAC">
        <w:rPr>
          <w:rFonts w:ascii="Times New Roman" w:eastAsia="Times New Roman" w:hAnsi="Times New Roman" w:cs="Times New Roman"/>
          <w:sz w:val="27"/>
          <w:szCs w:val="27"/>
          <w:lang w:val="uk-UA"/>
        </w:rPr>
        <w:t xml:space="preserve">без необґрунтованих затримок </w:t>
      </w:r>
      <w:r>
        <w:rPr>
          <w:rFonts w:ascii="Times New Roman" w:eastAsia="Times New Roman" w:hAnsi="Times New Roman" w:cs="Times New Roman"/>
          <w:sz w:val="27"/>
          <w:szCs w:val="27"/>
          <w:lang w:val="uk-UA"/>
        </w:rPr>
        <w:t xml:space="preserve">інформує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колегію, відповідних членів ЄСЦБ та інші відповідні органи</w:t>
      </w:r>
      <w:r w:rsidR="00C20CAC">
        <w:rPr>
          <w:rFonts w:ascii="Times New Roman" w:eastAsia="Times New Roman" w:hAnsi="Times New Roman" w:cs="Times New Roman"/>
          <w:sz w:val="27"/>
          <w:szCs w:val="27"/>
          <w:lang w:val="uk-UA"/>
        </w:rPr>
        <w:t xml:space="preserve"> про всі надзвичайні ситуації стосовно ЦКА, зокрема про події на фінансових ринках, які можуть спричинити несприятливий вплив на ліквідність ринку і стабільність фінансової системи у будь-якій з держав-членів</w:t>
      </w:r>
      <w:r w:rsidR="00F432B6" w:rsidRPr="00F432B6">
        <w:rPr>
          <w:rFonts w:ascii="Times New Roman" w:eastAsia="Times New Roman" w:hAnsi="Times New Roman" w:cs="Times New Roman"/>
          <w:sz w:val="27"/>
          <w:szCs w:val="27"/>
          <w:lang w:val="uk-UA"/>
        </w:rPr>
        <w:t xml:space="preserve"> </w:t>
      </w:r>
      <w:r w:rsidR="00F432B6">
        <w:rPr>
          <w:rFonts w:ascii="Times New Roman" w:eastAsia="Times New Roman" w:hAnsi="Times New Roman" w:cs="Times New Roman"/>
          <w:sz w:val="27"/>
          <w:szCs w:val="27"/>
          <w:lang w:val="uk-UA"/>
        </w:rPr>
        <w:t>Союзу</w:t>
      </w:r>
      <w:r w:rsidR="00C20CAC">
        <w:rPr>
          <w:rFonts w:ascii="Times New Roman" w:eastAsia="Times New Roman" w:hAnsi="Times New Roman" w:cs="Times New Roman"/>
          <w:sz w:val="27"/>
          <w:szCs w:val="27"/>
          <w:lang w:val="uk-UA"/>
        </w:rPr>
        <w:t>, де створений ЦКА або один з учасників клірингу ЦКА.</w:t>
      </w:r>
    </w:p>
    <w:p w:rsidR="0000694A" w:rsidRDefault="0000694A" w:rsidP="00187079">
      <w:pPr>
        <w:shd w:val="clear" w:color="auto" w:fill="FFFFFF"/>
        <w:spacing w:after="0" w:line="240" w:lineRule="auto"/>
        <w:jc w:val="center"/>
        <w:textAlignment w:val="baseline"/>
        <w:rPr>
          <w:rFonts w:ascii="Times New Roman" w:eastAsia="Times New Roman" w:hAnsi="Times New Roman" w:cs="Times New Roman"/>
          <w:b/>
          <w:bCs/>
          <w:i/>
          <w:iCs/>
          <w:sz w:val="27"/>
          <w:szCs w:val="27"/>
          <w:bdr w:val="none" w:sz="0" w:space="0" w:color="auto" w:frame="1"/>
          <w:lang w:val="uk-UA"/>
        </w:rPr>
      </w:pPr>
    </w:p>
    <w:p w:rsidR="00DE77B0" w:rsidRPr="00944DAD" w:rsidRDefault="0000694A"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i/>
          <w:iCs/>
          <w:sz w:val="27"/>
          <w:szCs w:val="27"/>
          <w:bdr w:val="none" w:sz="0" w:space="0" w:color="auto" w:frame="1"/>
          <w:lang w:val="uk-UA"/>
        </w:rPr>
        <w:t>ГЛАВА</w:t>
      </w:r>
      <w:r w:rsidR="00DE77B0" w:rsidRPr="00944DAD">
        <w:rPr>
          <w:rFonts w:ascii="Times New Roman" w:eastAsia="Times New Roman" w:hAnsi="Times New Roman" w:cs="Times New Roman"/>
          <w:b/>
          <w:bCs/>
          <w:i/>
          <w:iCs/>
          <w:sz w:val="27"/>
          <w:szCs w:val="27"/>
          <w:bdr w:val="none" w:sz="0" w:space="0" w:color="auto" w:frame="1"/>
          <w:lang w:val="ru-RU"/>
        </w:rPr>
        <w:t xml:space="preserve"> 4</w:t>
      </w:r>
    </w:p>
    <w:p w:rsidR="00DE77B0" w:rsidRPr="00944DAD" w:rsidRDefault="0000694A"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i/>
          <w:iCs/>
          <w:sz w:val="27"/>
          <w:szCs w:val="27"/>
          <w:bdr w:val="none" w:sz="0" w:space="0" w:color="auto" w:frame="1"/>
          <w:lang w:val="uk-UA"/>
        </w:rPr>
        <w:t>Відносини з третіми країнами</w:t>
      </w:r>
    </w:p>
    <w:p w:rsidR="00DE77B0" w:rsidRPr="00944DAD"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944DAD">
        <w:rPr>
          <w:rFonts w:ascii="Times New Roman" w:eastAsia="Times New Roman" w:hAnsi="Times New Roman" w:cs="Times New Roman"/>
          <w:i/>
          <w:iCs/>
          <w:sz w:val="27"/>
          <w:szCs w:val="27"/>
          <w:lang w:val="ru-RU"/>
        </w:rPr>
        <w:t>Стаття</w:t>
      </w:r>
      <w:proofErr w:type="spellEnd"/>
      <w:r w:rsidR="00DE77B0" w:rsidRPr="00944DAD">
        <w:rPr>
          <w:rFonts w:ascii="Times New Roman" w:eastAsia="Times New Roman" w:hAnsi="Times New Roman" w:cs="Times New Roman"/>
          <w:i/>
          <w:iCs/>
          <w:sz w:val="27"/>
          <w:szCs w:val="27"/>
          <w:lang w:val="ru-RU"/>
        </w:rPr>
        <w:t xml:space="preserve"> 25</w:t>
      </w:r>
    </w:p>
    <w:p w:rsidR="00DE77B0" w:rsidRPr="00721DFF" w:rsidRDefault="00C20CAC"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Визнання ЦКА третьої країни</w:t>
      </w:r>
    </w:p>
    <w:p w:rsidR="00DE77B0" w:rsidRPr="00F879CC" w:rsidRDefault="00DE77B0" w:rsidP="00721DFF">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721DFF">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721DFF">
        <w:rPr>
          <w:rFonts w:ascii="Times New Roman" w:eastAsia="Times New Roman" w:hAnsi="Times New Roman" w:cs="Times New Roman"/>
          <w:sz w:val="27"/>
          <w:szCs w:val="27"/>
          <w:lang w:val="uk-UA"/>
        </w:rPr>
        <w:t xml:space="preserve">ЦКА, створений у третій країні, може надавати клірингові послуги учасникам клірингу або торговельним майданчикам, створеним у Союзі, лише там, де цей ЦКА визнаний </w:t>
      </w:r>
      <w:r w:rsidR="00721DFF">
        <w:rPr>
          <w:rFonts w:ascii="Times New Roman" w:eastAsia="Times New Roman" w:hAnsi="Times New Roman" w:cs="Times New Roman"/>
          <w:sz w:val="27"/>
          <w:szCs w:val="27"/>
        </w:rPr>
        <w:t>ESMA</w:t>
      </w:r>
      <w:r w:rsidR="00721DFF" w:rsidRPr="00721DFF">
        <w:rPr>
          <w:rFonts w:ascii="Times New Roman" w:eastAsia="Times New Roman" w:hAnsi="Times New Roman" w:cs="Times New Roman"/>
          <w:sz w:val="27"/>
          <w:szCs w:val="27"/>
          <w:lang w:val="ru-RU"/>
        </w:rPr>
        <w:t>.</w:t>
      </w:r>
    </w:p>
    <w:p w:rsidR="00DE77B0" w:rsidRPr="00F879CC"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721DFF">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721DFF">
        <w:rPr>
          <w:rFonts w:ascii="Times New Roman" w:eastAsia="Times New Roman" w:hAnsi="Times New Roman" w:cs="Times New Roman"/>
          <w:sz w:val="27"/>
          <w:szCs w:val="27"/>
          <w:lang w:val="uk-UA"/>
        </w:rPr>
        <w:t xml:space="preserve">Після консультацій з органами, згаданими у пункті 3, </w:t>
      </w:r>
      <w:r w:rsidRPr="006279CF">
        <w:rPr>
          <w:rFonts w:ascii="Times New Roman" w:eastAsia="Times New Roman" w:hAnsi="Times New Roman" w:cs="Times New Roman"/>
          <w:sz w:val="27"/>
          <w:szCs w:val="27"/>
        </w:rPr>
        <w:t>ESMA</w:t>
      </w:r>
      <w:r w:rsidR="00721DFF">
        <w:rPr>
          <w:rFonts w:ascii="Times New Roman" w:eastAsia="Times New Roman" w:hAnsi="Times New Roman" w:cs="Times New Roman"/>
          <w:sz w:val="27"/>
          <w:szCs w:val="27"/>
          <w:lang w:val="uk-UA"/>
        </w:rPr>
        <w:t xml:space="preserve"> може визнати ЦКА, створений у третій країні, який подав заяву про визнання для надання певних клірингових послуг або ведення певних видів діяльності, якщо:</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2"/>
        <w:gridCol w:w="8933"/>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879CC" w:rsidRDefault="00843C91" w:rsidP="00843C9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Комісія прийняла виконавчий акт відповідно до пункту 6;</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843C91" w:rsidP="007D4FFD">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ЦКА уповноважений у відповідній третій країні та підлягає ефективному наглядові та правозастосуванню</w:t>
            </w:r>
            <w:r w:rsidR="007D4FFD">
              <w:rPr>
                <w:rFonts w:ascii="Times New Roman" w:eastAsia="Times New Roman" w:hAnsi="Times New Roman" w:cs="Times New Roman"/>
                <w:sz w:val="27"/>
                <w:szCs w:val="27"/>
                <w:lang w:val="uk-UA"/>
              </w:rPr>
              <w:t xml:space="preserve"> на предмет забезпечення повної </w:t>
            </w:r>
            <w:r w:rsidR="007D4FFD">
              <w:rPr>
                <w:rFonts w:ascii="Times New Roman" w:eastAsia="Times New Roman" w:hAnsi="Times New Roman" w:cs="Times New Roman"/>
                <w:sz w:val="27"/>
                <w:szCs w:val="27"/>
                <w:lang w:val="uk-UA"/>
              </w:rPr>
              <w:lastRenderedPageBreak/>
              <w:t xml:space="preserve">відповідності </w:t>
            </w:r>
            <w:proofErr w:type="spellStart"/>
            <w:r w:rsidR="007D4FFD">
              <w:rPr>
                <w:rFonts w:ascii="Times New Roman" w:eastAsia="Times New Roman" w:hAnsi="Times New Roman" w:cs="Times New Roman"/>
                <w:sz w:val="27"/>
                <w:szCs w:val="27"/>
                <w:lang w:val="uk-UA"/>
              </w:rPr>
              <w:t>пруденційним</w:t>
            </w:r>
            <w:proofErr w:type="spellEnd"/>
            <w:r w:rsidR="007D4FFD">
              <w:rPr>
                <w:rFonts w:ascii="Times New Roman" w:eastAsia="Times New Roman" w:hAnsi="Times New Roman" w:cs="Times New Roman"/>
                <w:sz w:val="27"/>
                <w:szCs w:val="27"/>
                <w:lang w:val="uk-UA"/>
              </w:rPr>
              <w:t xml:space="preserve"> вимогам, застосовним у вищезгаданій третій країні;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3"/>
        <w:gridCol w:w="8952"/>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879CC" w:rsidRDefault="007D4FFD" w:rsidP="007D4FFD">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укладені угоди про співробітництво відповідно до пункту 7;</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D4FFD" w:rsidP="00DB25CE">
            <w:pPr>
              <w:spacing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ЦКА створений або уповноважений у третій країні, яка вважається такою, що має системи протидії відмиванню грошових коштів та боротьби з фі</w:t>
            </w:r>
            <w:r w:rsidR="00946275">
              <w:rPr>
                <w:rFonts w:ascii="Times New Roman" w:eastAsia="Times New Roman" w:hAnsi="Times New Roman" w:cs="Times New Roman"/>
                <w:sz w:val="27"/>
                <w:szCs w:val="27"/>
                <w:lang w:val="uk-UA"/>
              </w:rPr>
              <w:t>нансуванням тероризму, еквівалентні відповідним системам Союзу, згідно з критеріями, встановленими у спільній домовленості між державами-ленами щодо еквівалентності третіх країн відповідно Директиви</w:t>
            </w:r>
            <w:r w:rsidR="00DE77B0" w:rsidRPr="00DB25CE">
              <w:rPr>
                <w:rFonts w:ascii="Times New Roman" w:eastAsia="Times New Roman" w:hAnsi="Times New Roman" w:cs="Times New Roman"/>
                <w:sz w:val="27"/>
                <w:szCs w:val="27"/>
                <w:lang w:val="uk-UA"/>
              </w:rPr>
              <w:t xml:space="preserve"> </w:t>
            </w:r>
            <w:r w:rsidR="00946275" w:rsidRPr="00DB25CE">
              <w:rPr>
                <w:rFonts w:ascii="Times New Roman" w:eastAsia="Times New Roman" w:hAnsi="Times New Roman" w:cs="Times New Roman"/>
                <w:sz w:val="27"/>
                <w:szCs w:val="27"/>
                <w:lang w:val="uk-UA"/>
              </w:rPr>
              <w:t>2005/60/</w:t>
            </w:r>
            <w:r w:rsidR="00946275" w:rsidRPr="006279CF">
              <w:rPr>
                <w:rFonts w:ascii="Times New Roman" w:eastAsia="Times New Roman" w:hAnsi="Times New Roman" w:cs="Times New Roman"/>
                <w:sz w:val="27"/>
                <w:szCs w:val="27"/>
              </w:rPr>
              <w:t>EC</w:t>
            </w:r>
            <w:r w:rsidR="00946275" w:rsidRPr="00DB25CE">
              <w:rPr>
                <w:rFonts w:ascii="Times New Roman" w:eastAsia="Times New Roman" w:hAnsi="Times New Roman" w:cs="Times New Roman"/>
                <w:sz w:val="27"/>
                <w:szCs w:val="27"/>
                <w:lang w:val="uk-UA"/>
              </w:rPr>
              <w:t xml:space="preserve"> </w:t>
            </w:r>
            <w:r w:rsidR="00B46108" w:rsidRPr="00DB25CE">
              <w:rPr>
                <w:rFonts w:ascii="Times New Roman" w:eastAsia="Times New Roman" w:hAnsi="Times New Roman" w:cs="Times New Roman"/>
                <w:sz w:val="27"/>
                <w:szCs w:val="27"/>
                <w:lang w:val="uk-UA"/>
              </w:rPr>
              <w:t>Європейського Парламенту та Ради</w:t>
            </w:r>
            <w:r w:rsidR="00DE77B0" w:rsidRPr="00DB25CE">
              <w:rPr>
                <w:rFonts w:ascii="Times New Roman" w:eastAsia="Times New Roman" w:hAnsi="Times New Roman" w:cs="Times New Roman"/>
                <w:sz w:val="27"/>
                <w:szCs w:val="27"/>
                <w:lang w:val="uk-UA"/>
              </w:rPr>
              <w:t xml:space="preserve"> </w:t>
            </w:r>
            <w:r w:rsidR="00946275">
              <w:rPr>
                <w:rFonts w:ascii="Times New Roman" w:eastAsia="Times New Roman" w:hAnsi="Times New Roman" w:cs="Times New Roman"/>
                <w:sz w:val="27"/>
                <w:szCs w:val="27"/>
                <w:lang w:val="uk-UA"/>
              </w:rPr>
              <w:t>від</w:t>
            </w:r>
            <w:r w:rsidR="00DB25CE">
              <w:rPr>
                <w:rFonts w:ascii="Times New Roman" w:eastAsia="Times New Roman" w:hAnsi="Times New Roman" w:cs="Times New Roman"/>
                <w:sz w:val="27"/>
                <w:szCs w:val="27"/>
                <w:lang w:val="uk-UA"/>
              </w:rPr>
              <w:t xml:space="preserve"> 26 жовтня 2005 р. про запобігання використання фінансової системи в цілях легалізації доходів, отриманих злочинним шляхом, і фінансування тероризму</w:t>
            </w:r>
            <w:hyperlink r:id="rId33" w:anchor="ntr29-L_2012201EN.01000101-E0029" w:history="1">
              <w:r w:rsidR="00DE77B0" w:rsidRPr="006279CF">
                <w:rPr>
                  <w:rFonts w:ascii="Times New Roman" w:eastAsia="Times New Roman" w:hAnsi="Times New Roman" w:cs="Times New Roman"/>
                  <w:sz w:val="27"/>
                  <w:szCs w:val="27"/>
                  <w:bdr w:val="none" w:sz="0" w:space="0" w:color="auto" w:frame="1"/>
                </w:rPr>
                <w:t> (</w:t>
              </w:r>
              <w:r w:rsidR="00DE77B0" w:rsidRPr="006279CF">
                <w:rPr>
                  <w:rFonts w:ascii="Times New Roman" w:eastAsia="Times New Roman" w:hAnsi="Times New Roman" w:cs="Times New Roman"/>
                  <w:sz w:val="19"/>
                  <w:szCs w:val="19"/>
                  <w:bdr w:val="none" w:sz="0" w:space="0" w:color="auto" w:frame="1"/>
                  <w:vertAlign w:val="superscript"/>
                </w:rPr>
                <w:t>29</w:t>
              </w:r>
              <w:r w:rsidR="00DE77B0" w:rsidRPr="006279CF">
                <w:rPr>
                  <w:rFonts w:ascii="Times New Roman" w:eastAsia="Times New Roman" w:hAnsi="Times New Roman" w:cs="Times New Roman"/>
                  <w:sz w:val="27"/>
                  <w:szCs w:val="27"/>
                  <w:bdr w:val="none" w:sz="0" w:space="0" w:color="auto" w:frame="1"/>
                </w:rPr>
                <w:t>)</w:t>
              </w:r>
            </w:hyperlink>
            <w:r w:rsidR="00DE77B0" w:rsidRPr="006279CF">
              <w:rPr>
                <w:rFonts w:ascii="Times New Roman" w:eastAsia="Times New Roman" w:hAnsi="Times New Roman" w:cs="Times New Roman"/>
                <w:sz w:val="27"/>
                <w:szCs w:val="27"/>
              </w:rPr>
              <w:t>.</w:t>
            </w:r>
          </w:p>
        </w:tc>
      </w:tr>
    </w:tbl>
    <w:p w:rsidR="00DE77B0" w:rsidRPr="00F879CC" w:rsidRDefault="00DE77B0" w:rsidP="00DB25C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DB25CE">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DB25CE">
        <w:rPr>
          <w:rFonts w:ascii="Times New Roman" w:eastAsia="Times New Roman" w:hAnsi="Times New Roman" w:cs="Times New Roman"/>
          <w:sz w:val="27"/>
          <w:szCs w:val="27"/>
          <w:lang w:val="uk-UA"/>
        </w:rPr>
        <w:t xml:space="preserve">Оцінюючи, чи виконуються умови, згадані у пункті 2, </w:t>
      </w:r>
      <w:r w:rsidRPr="006279CF">
        <w:rPr>
          <w:rFonts w:ascii="Times New Roman" w:eastAsia="Times New Roman" w:hAnsi="Times New Roman" w:cs="Times New Roman"/>
          <w:sz w:val="27"/>
          <w:szCs w:val="27"/>
        </w:rPr>
        <w:t>ESMA</w:t>
      </w:r>
      <w:r w:rsidRPr="00DB25CE">
        <w:rPr>
          <w:rFonts w:ascii="Times New Roman" w:eastAsia="Times New Roman" w:hAnsi="Times New Roman" w:cs="Times New Roman"/>
          <w:sz w:val="27"/>
          <w:szCs w:val="27"/>
          <w:lang w:val="ru-RU"/>
        </w:rPr>
        <w:t xml:space="preserve"> </w:t>
      </w:r>
      <w:r w:rsidR="00DB25CE">
        <w:rPr>
          <w:rFonts w:ascii="Times New Roman" w:eastAsia="Times New Roman" w:hAnsi="Times New Roman" w:cs="Times New Roman"/>
          <w:sz w:val="27"/>
          <w:szCs w:val="27"/>
          <w:lang w:val="ru-RU"/>
        </w:rPr>
        <w:t xml:space="preserve">проводить </w:t>
      </w:r>
      <w:proofErr w:type="spellStart"/>
      <w:r w:rsidR="00DB25CE">
        <w:rPr>
          <w:rFonts w:ascii="Times New Roman" w:eastAsia="Times New Roman" w:hAnsi="Times New Roman" w:cs="Times New Roman"/>
          <w:sz w:val="27"/>
          <w:szCs w:val="27"/>
          <w:lang w:val="ru-RU"/>
        </w:rPr>
        <w:t>консультації</w:t>
      </w:r>
      <w:proofErr w:type="spellEnd"/>
      <w:r w:rsidR="00DB25CE">
        <w:rPr>
          <w:rFonts w:ascii="Times New Roman" w:eastAsia="Times New Roman" w:hAnsi="Times New Roman" w:cs="Times New Roman"/>
          <w:sz w:val="27"/>
          <w:szCs w:val="27"/>
          <w:lang w:val="ru-RU"/>
        </w:rPr>
        <w:t xml:space="preserve"> з </w:t>
      </w:r>
      <w:r w:rsidR="00DB25CE">
        <w:rPr>
          <w:rFonts w:ascii="Times New Roman" w:eastAsia="Times New Roman" w:hAnsi="Times New Roman" w:cs="Times New Roman"/>
          <w:sz w:val="27"/>
          <w:szCs w:val="27"/>
          <w:lang w:val="uk-UA"/>
        </w:rPr>
        <w:t>наступними органами:</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97484" w:rsidRDefault="00812EED" w:rsidP="00B97484">
            <w:pPr>
              <w:spacing w:before="120" w:after="0" w:line="240" w:lineRule="auto"/>
              <w:jc w:val="both"/>
              <w:textAlignment w:val="baseline"/>
              <w:rPr>
                <w:rFonts w:ascii="Times New Roman" w:eastAsia="Times New Roman" w:hAnsi="Times New Roman" w:cs="Times New Roman"/>
                <w:sz w:val="27"/>
                <w:szCs w:val="27"/>
                <w:lang w:val="ru-RU"/>
              </w:rPr>
            </w:pPr>
            <w:proofErr w:type="spellStart"/>
            <w:r w:rsidRPr="00B97484">
              <w:rPr>
                <w:rFonts w:ascii="Times New Roman" w:eastAsia="Times New Roman" w:hAnsi="Times New Roman" w:cs="Times New Roman"/>
                <w:sz w:val="27"/>
                <w:szCs w:val="27"/>
                <w:lang w:val="ru-RU"/>
              </w:rPr>
              <w:t>компетентни</w:t>
            </w:r>
            <w:proofErr w:type="spellEnd"/>
            <w:r w:rsidR="00B97484">
              <w:rPr>
                <w:rFonts w:ascii="Times New Roman" w:eastAsia="Times New Roman" w:hAnsi="Times New Roman" w:cs="Times New Roman"/>
                <w:sz w:val="27"/>
                <w:szCs w:val="27"/>
                <w:lang w:val="uk-UA"/>
              </w:rPr>
              <w:t>м</w:t>
            </w:r>
            <w:r w:rsidRPr="00B97484">
              <w:rPr>
                <w:rFonts w:ascii="Times New Roman" w:eastAsia="Times New Roman" w:hAnsi="Times New Roman" w:cs="Times New Roman"/>
                <w:sz w:val="27"/>
                <w:szCs w:val="27"/>
                <w:lang w:val="ru-RU"/>
              </w:rPr>
              <w:t xml:space="preserve"> орган</w:t>
            </w:r>
            <w:proofErr w:type="spellStart"/>
            <w:r w:rsidR="00B97484">
              <w:rPr>
                <w:rFonts w:ascii="Times New Roman" w:eastAsia="Times New Roman" w:hAnsi="Times New Roman" w:cs="Times New Roman"/>
                <w:sz w:val="27"/>
                <w:szCs w:val="27"/>
                <w:lang w:val="uk-UA"/>
              </w:rPr>
              <w:t>ом</w:t>
            </w:r>
            <w:proofErr w:type="spellEnd"/>
            <w:r w:rsidR="00DE77B0" w:rsidRPr="00B97484">
              <w:rPr>
                <w:rFonts w:ascii="Times New Roman" w:eastAsia="Times New Roman" w:hAnsi="Times New Roman" w:cs="Times New Roman"/>
                <w:sz w:val="27"/>
                <w:szCs w:val="27"/>
                <w:lang w:val="ru-RU"/>
              </w:rPr>
              <w:t xml:space="preserve"> </w:t>
            </w:r>
            <w:r w:rsidR="00B97484">
              <w:rPr>
                <w:rFonts w:ascii="Times New Roman" w:eastAsia="Times New Roman" w:hAnsi="Times New Roman" w:cs="Times New Roman"/>
                <w:sz w:val="27"/>
                <w:szCs w:val="27"/>
                <w:lang w:val="uk-UA"/>
              </w:rPr>
              <w:t>держави-члена</w:t>
            </w:r>
            <w:r w:rsidR="00F432B6">
              <w:rPr>
                <w:rFonts w:ascii="Times New Roman" w:eastAsia="Times New Roman" w:hAnsi="Times New Roman" w:cs="Times New Roman"/>
                <w:sz w:val="27"/>
                <w:szCs w:val="27"/>
                <w:lang w:val="uk-UA"/>
              </w:rPr>
              <w:t xml:space="preserve"> Союзу</w:t>
            </w:r>
            <w:r w:rsidR="00B97484">
              <w:rPr>
                <w:rFonts w:ascii="Times New Roman" w:eastAsia="Times New Roman" w:hAnsi="Times New Roman" w:cs="Times New Roman"/>
                <w:sz w:val="27"/>
                <w:szCs w:val="27"/>
                <w:lang w:val="uk-UA"/>
              </w:rPr>
              <w:t>, в якій ЦКА надає або має намір надавати клірингові послуги і яка вибрана цим ЦКА;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B97484" w:rsidP="00CF4D58">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компетентними органами, відповідальними за нагляд за діяльністю учасників клірингу ЦКА, які створені у трьох державах-членах</w:t>
            </w:r>
            <w:r w:rsidR="00F432B6">
              <w:rPr>
                <w:rFonts w:ascii="Times New Roman" w:eastAsia="Times New Roman" w:hAnsi="Times New Roman" w:cs="Times New Roman"/>
                <w:sz w:val="27"/>
                <w:szCs w:val="27"/>
                <w:lang w:val="uk-UA"/>
              </w:rPr>
              <w:t xml:space="preserve"> Союзу</w:t>
            </w:r>
            <w:r w:rsidR="00015F68">
              <w:rPr>
                <w:rFonts w:ascii="Times New Roman" w:eastAsia="Times New Roman" w:hAnsi="Times New Roman" w:cs="Times New Roman"/>
                <w:sz w:val="27"/>
                <w:szCs w:val="27"/>
                <w:lang w:val="uk-UA"/>
              </w:rPr>
              <w:t>, які зробили або, за припущенням ЦКА, зроблять найбільші внески</w:t>
            </w:r>
            <w:r>
              <w:rPr>
                <w:rFonts w:ascii="Times New Roman" w:eastAsia="Times New Roman" w:hAnsi="Times New Roman" w:cs="Times New Roman"/>
                <w:sz w:val="27"/>
                <w:szCs w:val="27"/>
                <w:lang w:val="uk-UA"/>
              </w:rPr>
              <w:t xml:space="preserve"> до гарантійного фонду ЦКА, згаданого у статті 42, на сукупній основі за однорічний період;</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F4D58" w:rsidRDefault="00CF4D58" w:rsidP="00CF4D58">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компетентними органами, відповідальними за нагляд за діяльністю</w:t>
            </w:r>
            <w:r w:rsidRPr="00CF4D58">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торговельних майданчиків, розташованих у Союзі, які обслуговує або буде обслуговувати ЦКА</w:t>
            </w:r>
            <w:r w:rsidR="00DE77B0" w:rsidRPr="00CF4D58">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879CC" w:rsidRDefault="00CF4D58" w:rsidP="00CF4D58">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компетентними органами, здійснюючими нагляд за діяльністю</w:t>
            </w:r>
            <w:r w:rsidRPr="001524F3">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ЦКА</w:t>
            </w:r>
            <w:r w:rsidRPr="00CF4D58">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з якими укладені угоди про сумісність;</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2F15C8" w:rsidP="002F15C8">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відповідними членами ЄСЦБ держав-членів</w:t>
            </w:r>
            <w:r w:rsidR="00F432B6">
              <w:rPr>
                <w:rFonts w:ascii="Times New Roman" w:eastAsia="Times New Roman" w:hAnsi="Times New Roman" w:cs="Times New Roman"/>
                <w:sz w:val="27"/>
                <w:szCs w:val="27"/>
                <w:lang w:val="uk-UA"/>
              </w:rPr>
              <w:t xml:space="preserve"> Союзу</w:t>
            </w:r>
            <w:r>
              <w:rPr>
                <w:rFonts w:ascii="Times New Roman" w:eastAsia="Times New Roman" w:hAnsi="Times New Roman" w:cs="Times New Roman"/>
                <w:sz w:val="27"/>
                <w:szCs w:val="27"/>
                <w:lang w:val="uk-UA"/>
              </w:rPr>
              <w:t>, у яких ЦКА надає або має намір надавати клірингові послуги, та відповідними членами ЄСЦБ, відповідальними за контроль за діяльністю ЦКА, з якими укладені угоди про сумісність;</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6318DA" w:rsidP="006318DA">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центральними банками-емітентами найбільш доречних валют Союзу для фінансових інструментів, кліринг яких здійснюється або здійснюватиметься.</w:t>
            </w:r>
          </w:p>
        </w:tc>
      </w:tr>
    </w:tbl>
    <w:p w:rsidR="00DE77B0" w:rsidRPr="00F879CC"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879CC">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CD5D63">
        <w:rPr>
          <w:rFonts w:ascii="Times New Roman" w:eastAsia="Times New Roman" w:hAnsi="Times New Roman" w:cs="Times New Roman"/>
          <w:sz w:val="27"/>
          <w:szCs w:val="27"/>
          <w:lang w:val="uk-UA"/>
        </w:rPr>
        <w:t>ЦКА, згаданий у пункті 1, подає заяву до</w:t>
      </w:r>
      <w:r w:rsidR="00CD5D63" w:rsidRPr="00F879CC">
        <w:rPr>
          <w:rFonts w:ascii="Times New Roman" w:eastAsia="Times New Roman" w:hAnsi="Times New Roman" w:cs="Times New Roman"/>
          <w:sz w:val="27"/>
          <w:szCs w:val="27"/>
          <w:lang w:val="ru-RU"/>
        </w:rPr>
        <w:t xml:space="preserve"> </w:t>
      </w:r>
      <w:r w:rsidR="00CD5D63">
        <w:rPr>
          <w:rFonts w:ascii="Times New Roman" w:eastAsia="Times New Roman" w:hAnsi="Times New Roman" w:cs="Times New Roman"/>
          <w:sz w:val="27"/>
          <w:szCs w:val="27"/>
        </w:rPr>
        <w:t>ESMA</w:t>
      </w:r>
      <w:r w:rsidR="00CD5D63" w:rsidRPr="00F879CC">
        <w:rPr>
          <w:rFonts w:ascii="Times New Roman" w:eastAsia="Times New Roman" w:hAnsi="Times New Roman" w:cs="Times New Roman"/>
          <w:sz w:val="27"/>
          <w:szCs w:val="27"/>
          <w:lang w:val="ru-RU"/>
        </w:rPr>
        <w:t>.</w:t>
      </w:r>
    </w:p>
    <w:p w:rsidR="00DE77B0" w:rsidRPr="00F879CC" w:rsidRDefault="00CD5D63" w:rsidP="00C62D98">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ЦКА-</w:t>
      </w:r>
      <w:proofErr w:type="spellStart"/>
      <w:r>
        <w:rPr>
          <w:rFonts w:ascii="Times New Roman" w:eastAsia="Times New Roman" w:hAnsi="Times New Roman" w:cs="Times New Roman"/>
          <w:sz w:val="27"/>
          <w:szCs w:val="27"/>
          <w:lang w:val="ru-RU"/>
        </w:rPr>
        <w:t>заявник</w:t>
      </w:r>
      <w:proofErr w:type="spellEnd"/>
      <w:r>
        <w:rPr>
          <w:rFonts w:ascii="Times New Roman" w:eastAsia="Times New Roman" w:hAnsi="Times New Roman" w:cs="Times New Roman"/>
          <w:sz w:val="27"/>
          <w:szCs w:val="27"/>
          <w:lang w:val="ru-RU"/>
        </w:rPr>
        <w:t xml:space="preserve"> </w:t>
      </w:r>
      <w:proofErr w:type="spellStart"/>
      <w:r>
        <w:rPr>
          <w:rFonts w:ascii="Times New Roman" w:eastAsia="Times New Roman" w:hAnsi="Times New Roman" w:cs="Times New Roman"/>
          <w:sz w:val="27"/>
          <w:szCs w:val="27"/>
          <w:lang w:val="ru-RU"/>
        </w:rPr>
        <w:t>надає</w:t>
      </w:r>
      <w:proofErr w:type="spellEnd"/>
      <w:r>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всю інформацію, необхідну для визнання. Упродовж 30 робочих днів з дня отримання заяви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w:t>
      </w:r>
      <w:r w:rsidR="00C62D98">
        <w:rPr>
          <w:rFonts w:ascii="Times New Roman" w:eastAsia="Times New Roman" w:hAnsi="Times New Roman" w:cs="Times New Roman"/>
          <w:sz w:val="27"/>
          <w:szCs w:val="27"/>
          <w:lang w:val="uk-UA"/>
        </w:rPr>
        <w:t xml:space="preserve">оцінює повноту заяви. Якщо заява </w:t>
      </w:r>
      <w:r w:rsidR="00C62D98">
        <w:rPr>
          <w:rFonts w:ascii="Times New Roman" w:eastAsia="Times New Roman" w:hAnsi="Times New Roman" w:cs="Times New Roman"/>
          <w:sz w:val="27"/>
          <w:szCs w:val="27"/>
          <w:lang w:val="uk-UA"/>
        </w:rPr>
        <w:lastRenderedPageBreak/>
        <w:t xml:space="preserve">неповна, то </w:t>
      </w:r>
      <w:r w:rsidR="00C62D98">
        <w:rPr>
          <w:rFonts w:ascii="Times New Roman" w:eastAsia="Times New Roman" w:hAnsi="Times New Roman" w:cs="Times New Roman"/>
          <w:sz w:val="27"/>
          <w:szCs w:val="27"/>
        </w:rPr>
        <w:t>ESMA</w:t>
      </w:r>
      <w:r w:rsidR="00C62D98">
        <w:rPr>
          <w:rFonts w:ascii="Times New Roman" w:eastAsia="Times New Roman" w:hAnsi="Times New Roman" w:cs="Times New Roman"/>
          <w:sz w:val="27"/>
          <w:szCs w:val="27"/>
          <w:lang w:val="uk-UA"/>
        </w:rPr>
        <w:t xml:space="preserve"> встановлює строк, до якого ЦКА-заявник повинен надати додаткову інформацію.</w:t>
      </w:r>
    </w:p>
    <w:p w:rsidR="00DE77B0" w:rsidRPr="00C62D98" w:rsidRDefault="00C62D98" w:rsidP="00C62D98">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Рішення про визнання ґрунтується на умовах, викладених у пункті 2, і не залежить від оцінки як основи для прийняття рішення щодо еквівалентності, згаданого</w:t>
      </w:r>
      <w:r w:rsidR="00812EED" w:rsidRPr="00C62D98">
        <w:rPr>
          <w:rFonts w:ascii="Times New Roman" w:eastAsia="Times New Roman" w:hAnsi="Times New Roman" w:cs="Times New Roman"/>
          <w:sz w:val="27"/>
          <w:szCs w:val="27"/>
          <w:lang w:val="ru-RU"/>
        </w:rPr>
        <w:t xml:space="preserve"> у </w:t>
      </w:r>
      <w:proofErr w:type="spellStart"/>
      <w:r w:rsidR="00812EED" w:rsidRPr="00C62D98">
        <w:rPr>
          <w:rFonts w:ascii="Times New Roman" w:eastAsia="Times New Roman" w:hAnsi="Times New Roman" w:cs="Times New Roman"/>
          <w:sz w:val="27"/>
          <w:szCs w:val="27"/>
          <w:lang w:val="ru-RU"/>
        </w:rPr>
        <w:t>статті</w:t>
      </w:r>
      <w:proofErr w:type="spellEnd"/>
      <w:r w:rsidR="00DE77B0" w:rsidRPr="00C62D98">
        <w:rPr>
          <w:rFonts w:ascii="Times New Roman" w:eastAsia="Times New Roman" w:hAnsi="Times New Roman" w:cs="Times New Roman"/>
          <w:sz w:val="27"/>
          <w:szCs w:val="27"/>
          <w:lang w:val="ru-RU"/>
        </w:rPr>
        <w:t xml:space="preserve"> 13(3).</w:t>
      </w:r>
    </w:p>
    <w:p w:rsidR="00DE77B0" w:rsidRPr="00F879CC" w:rsidRDefault="00C62D98" w:rsidP="00C62D98">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Перш ніж ухвалити рішення, </w:t>
      </w:r>
      <w:r w:rsidR="00DE77B0" w:rsidRPr="006279CF">
        <w:rPr>
          <w:rFonts w:ascii="Times New Roman" w:eastAsia="Times New Roman" w:hAnsi="Times New Roman" w:cs="Times New Roman"/>
          <w:sz w:val="27"/>
          <w:szCs w:val="27"/>
        </w:rPr>
        <w:t>ESMA</w:t>
      </w:r>
      <w:r w:rsidR="00DE77B0" w:rsidRPr="00C62D98">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проводить консультації з органами та суб’єктами, згаданими у пункті 3.</w:t>
      </w:r>
    </w:p>
    <w:p w:rsidR="00DE77B0" w:rsidRPr="00F879CC" w:rsidRDefault="00C62D98" w:rsidP="00A81DE6">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Упродовж 180 робочих днів з дня подання повної заяви</w:t>
      </w:r>
      <w:r w:rsidRPr="00F879CC">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інформує ЦКА-заявника у письмовій формі, з повністю </w:t>
      </w:r>
      <w:r w:rsidR="00A81DE6">
        <w:rPr>
          <w:rFonts w:ascii="Times New Roman" w:eastAsia="Times New Roman" w:hAnsi="Times New Roman" w:cs="Times New Roman"/>
          <w:sz w:val="27"/>
          <w:szCs w:val="27"/>
          <w:lang w:val="uk-UA"/>
        </w:rPr>
        <w:t>обґрунтованим</w:t>
      </w:r>
      <w:r>
        <w:rPr>
          <w:rFonts w:ascii="Times New Roman" w:eastAsia="Times New Roman" w:hAnsi="Times New Roman" w:cs="Times New Roman"/>
          <w:sz w:val="27"/>
          <w:szCs w:val="27"/>
          <w:lang w:val="uk-UA"/>
        </w:rPr>
        <w:t xml:space="preserve"> поясненням, про </w:t>
      </w:r>
      <w:r w:rsidR="00A81DE6">
        <w:rPr>
          <w:rFonts w:ascii="Times New Roman" w:eastAsia="Times New Roman" w:hAnsi="Times New Roman" w:cs="Times New Roman"/>
          <w:sz w:val="27"/>
          <w:szCs w:val="27"/>
          <w:lang w:val="uk-UA"/>
        </w:rPr>
        <w:t xml:space="preserve">своє </w:t>
      </w:r>
      <w:r>
        <w:rPr>
          <w:rFonts w:ascii="Times New Roman" w:eastAsia="Times New Roman" w:hAnsi="Times New Roman" w:cs="Times New Roman"/>
          <w:sz w:val="27"/>
          <w:szCs w:val="27"/>
          <w:lang w:val="uk-UA"/>
        </w:rPr>
        <w:t>позитивне або негативне рішення щодо визнання</w:t>
      </w:r>
      <w:r w:rsidR="00A81DE6">
        <w:rPr>
          <w:rFonts w:ascii="Times New Roman" w:eastAsia="Times New Roman" w:hAnsi="Times New Roman" w:cs="Times New Roman"/>
          <w:sz w:val="27"/>
          <w:szCs w:val="27"/>
          <w:lang w:val="uk-UA"/>
        </w:rPr>
        <w:t>.</w:t>
      </w:r>
    </w:p>
    <w:p w:rsidR="00DE77B0" w:rsidRPr="00A81DE6" w:rsidRDefault="00DE77B0" w:rsidP="00A81DE6">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t>ESMA</w:t>
      </w:r>
      <w:r w:rsidRPr="00A81DE6">
        <w:rPr>
          <w:rFonts w:ascii="Times New Roman" w:eastAsia="Times New Roman" w:hAnsi="Times New Roman" w:cs="Times New Roman"/>
          <w:sz w:val="27"/>
          <w:szCs w:val="27"/>
          <w:lang w:val="ru-RU"/>
        </w:rPr>
        <w:t xml:space="preserve"> </w:t>
      </w:r>
      <w:r w:rsidR="00A81DE6">
        <w:rPr>
          <w:rFonts w:ascii="Times New Roman" w:eastAsia="Times New Roman" w:hAnsi="Times New Roman" w:cs="Times New Roman"/>
          <w:sz w:val="27"/>
          <w:szCs w:val="27"/>
          <w:lang w:val="uk-UA"/>
        </w:rPr>
        <w:t>публікує на своєму веб-сайті перелік ЦКА, визнаних відповідно до цього регламенту</w:t>
      </w:r>
      <w:r w:rsidRPr="00A81DE6">
        <w:rPr>
          <w:rFonts w:ascii="Times New Roman" w:eastAsia="Times New Roman" w:hAnsi="Times New Roman" w:cs="Times New Roman"/>
          <w:sz w:val="27"/>
          <w:szCs w:val="27"/>
          <w:lang w:val="ru-RU"/>
        </w:rPr>
        <w:t>.</w:t>
      </w:r>
    </w:p>
    <w:p w:rsidR="00DE77B0" w:rsidRPr="00EE2440" w:rsidRDefault="00DE77B0" w:rsidP="00501F8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E2440">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F879CC">
        <w:rPr>
          <w:rFonts w:ascii="Times New Roman" w:eastAsia="Times New Roman" w:hAnsi="Times New Roman" w:cs="Times New Roman"/>
          <w:sz w:val="27"/>
          <w:szCs w:val="27"/>
          <w:lang w:val="uk-UA"/>
        </w:rPr>
        <w:t xml:space="preserve">Після консультацій з органами та суб’єктами, згаданими у пункті 3, </w:t>
      </w:r>
      <w:r w:rsidR="00F879CC">
        <w:rPr>
          <w:rFonts w:ascii="Times New Roman" w:eastAsia="Times New Roman" w:hAnsi="Times New Roman" w:cs="Times New Roman"/>
          <w:sz w:val="27"/>
          <w:szCs w:val="27"/>
        </w:rPr>
        <w:t>ESMA</w:t>
      </w:r>
      <w:r w:rsidR="00F879CC">
        <w:rPr>
          <w:rFonts w:ascii="Times New Roman" w:eastAsia="Times New Roman" w:hAnsi="Times New Roman" w:cs="Times New Roman"/>
          <w:sz w:val="27"/>
          <w:szCs w:val="27"/>
          <w:lang w:val="uk-UA"/>
        </w:rPr>
        <w:t xml:space="preserve"> переглядає рішення про визнання ЦКА, створеного у третій країні, якщо цей ЦКА розширив сферу своєї діяльності та послуг у Союзі. Цей перегляд проводиться відповідно до пунктів 2, 3 та 4. </w:t>
      </w:r>
      <w:r w:rsidR="00F879CC">
        <w:rPr>
          <w:rFonts w:ascii="Times New Roman" w:eastAsia="Times New Roman" w:hAnsi="Times New Roman" w:cs="Times New Roman"/>
          <w:sz w:val="27"/>
          <w:szCs w:val="27"/>
        </w:rPr>
        <w:t>ESMA</w:t>
      </w:r>
      <w:r w:rsidR="00F879CC">
        <w:rPr>
          <w:rFonts w:ascii="Times New Roman" w:eastAsia="Times New Roman" w:hAnsi="Times New Roman" w:cs="Times New Roman"/>
          <w:sz w:val="27"/>
          <w:szCs w:val="27"/>
          <w:lang w:val="uk-UA"/>
        </w:rPr>
        <w:t xml:space="preserve"> може скасувати визнання цього ЦКА, якщо умови, викладені у пункті 2</w:t>
      </w:r>
      <w:r w:rsidR="002E423A">
        <w:rPr>
          <w:rFonts w:ascii="Times New Roman" w:eastAsia="Times New Roman" w:hAnsi="Times New Roman" w:cs="Times New Roman"/>
          <w:sz w:val="27"/>
          <w:szCs w:val="27"/>
          <w:lang w:val="uk-UA"/>
        </w:rPr>
        <w:t xml:space="preserve">, більше не виконуються та </w:t>
      </w:r>
      <w:r w:rsidR="00501F87">
        <w:rPr>
          <w:rFonts w:ascii="Times New Roman" w:eastAsia="Times New Roman" w:hAnsi="Times New Roman" w:cs="Times New Roman"/>
          <w:sz w:val="27"/>
          <w:szCs w:val="27"/>
          <w:lang w:val="uk-UA"/>
        </w:rPr>
        <w:t>за таких самих обставин, що викладені у статті 20.</w:t>
      </w:r>
    </w:p>
    <w:p w:rsidR="00DE77B0" w:rsidRPr="00EE2440" w:rsidRDefault="00DE77B0" w:rsidP="009E642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01F87">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w:t>
      </w:r>
      <w:r w:rsidR="00501F87">
        <w:rPr>
          <w:rFonts w:ascii="Times New Roman" w:eastAsia="Times New Roman" w:hAnsi="Times New Roman" w:cs="Times New Roman"/>
          <w:sz w:val="27"/>
          <w:szCs w:val="27"/>
          <w:lang w:val="uk-UA"/>
        </w:rPr>
        <w:t>Комісія може прийняти виконавчий акт за статтею</w:t>
      </w:r>
      <w:r w:rsidRPr="00501F87">
        <w:rPr>
          <w:rFonts w:ascii="Times New Roman" w:eastAsia="Times New Roman" w:hAnsi="Times New Roman" w:cs="Times New Roman"/>
          <w:sz w:val="27"/>
          <w:szCs w:val="27"/>
          <w:lang w:val="ru-RU"/>
        </w:rPr>
        <w:t xml:space="preserve"> 5 </w:t>
      </w:r>
      <w:r w:rsidR="00AC2299" w:rsidRPr="00501F87">
        <w:rPr>
          <w:rFonts w:ascii="Times New Roman" w:eastAsia="Times New Roman" w:hAnsi="Times New Roman" w:cs="Times New Roman"/>
          <w:sz w:val="27"/>
          <w:szCs w:val="27"/>
          <w:lang w:val="ru-RU"/>
        </w:rPr>
        <w:t>Регламенту (</w:t>
      </w:r>
      <w:r w:rsidR="00AC2299">
        <w:rPr>
          <w:rFonts w:ascii="Times New Roman" w:eastAsia="Times New Roman" w:hAnsi="Times New Roman" w:cs="Times New Roman"/>
          <w:sz w:val="27"/>
          <w:szCs w:val="27"/>
        </w:rPr>
        <w:t>EU</w:t>
      </w:r>
      <w:r w:rsidR="00AC2299" w:rsidRPr="00501F87">
        <w:rPr>
          <w:rFonts w:ascii="Times New Roman" w:eastAsia="Times New Roman" w:hAnsi="Times New Roman" w:cs="Times New Roman"/>
          <w:sz w:val="27"/>
          <w:szCs w:val="27"/>
          <w:lang w:val="ru-RU"/>
        </w:rPr>
        <w:t>) №</w:t>
      </w:r>
      <w:r w:rsidRPr="006279CF">
        <w:rPr>
          <w:rFonts w:ascii="Times New Roman" w:eastAsia="Times New Roman" w:hAnsi="Times New Roman" w:cs="Times New Roman"/>
          <w:sz w:val="27"/>
          <w:szCs w:val="27"/>
        </w:rPr>
        <w:t> </w:t>
      </w:r>
      <w:r w:rsidRPr="00501F87">
        <w:rPr>
          <w:rFonts w:ascii="Times New Roman" w:eastAsia="Times New Roman" w:hAnsi="Times New Roman" w:cs="Times New Roman"/>
          <w:sz w:val="27"/>
          <w:szCs w:val="27"/>
          <w:lang w:val="ru-RU"/>
        </w:rPr>
        <w:t xml:space="preserve">182/2011, </w:t>
      </w:r>
      <w:r w:rsidR="00501F87">
        <w:rPr>
          <w:rFonts w:ascii="Times New Roman" w:eastAsia="Times New Roman" w:hAnsi="Times New Roman" w:cs="Times New Roman"/>
          <w:sz w:val="27"/>
          <w:szCs w:val="27"/>
          <w:lang w:val="uk-UA"/>
        </w:rPr>
        <w:t xml:space="preserve">визначивши, що правові та наглядові механізми третьої країни </w:t>
      </w:r>
      <w:r w:rsidR="0031480A">
        <w:rPr>
          <w:rFonts w:ascii="Times New Roman" w:eastAsia="Times New Roman" w:hAnsi="Times New Roman" w:cs="Times New Roman"/>
          <w:sz w:val="27"/>
          <w:szCs w:val="27"/>
          <w:lang w:val="uk-UA"/>
        </w:rPr>
        <w:t xml:space="preserve">мають забезпечувати, щоб ЦКА, уповноважені у цій третій країні, дотримувалися юридично обов’язкових вимог, еквівалентних вимогам, викладеним у Розділі </w:t>
      </w:r>
      <w:r w:rsidRPr="006279CF">
        <w:rPr>
          <w:rFonts w:ascii="Times New Roman" w:eastAsia="Times New Roman" w:hAnsi="Times New Roman" w:cs="Times New Roman"/>
          <w:sz w:val="27"/>
          <w:szCs w:val="27"/>
        </w:rPr>
        <w:t>IV</w:t>
      </w:r>
      <w:r w:rsidRPr="0031480A">
        <w:rPr>
          <w:rFonts w:ascii="Times New Roman" w:eastAsia="Times New Roman" w:hAnsi="Times New Roman" w:cs="Times New Roman"/>
          <w:sz w:val="27"/>
          <w:szCs w:val="27"/>
          <w:lang w:val="ru-RU"/>
        </w:rPr>
        <w:t xml:space="preserve"> </w:t>
      </w:r>
      <w:r w:rsidR="0031480A">
        <w:rPr>
          <w:rFonts w:ascii="Times New Roman" w:eastAsia="Times New Roman" w:hAnsi="Times New Roman" w:cs="Times New Roman"/>
          <w:sz w:val="27"/>
          <w:szCs w:val="27"/>
          <w:lang w:val="uk-UA"/>
        </w:rPr>
        <w:t>цього регламенту, щоб ці</w:t>
      </w:r>
      <w:r w:rsidR="009E6422">
        <w:rPr>
          <w:rFonts w:ascii="Times New Roman" w:eastAsia="Times New Roman" w:hAnsi="Times New Roman" w:cs="Times New Roman"/>
          <w:sz w:val="27"/>
          <w:szCs w:val="27"/>
          <w:lang w:val="uk-UA"/>
        </w:rPr>
        <w:t xml:space="preserve"> ЦКА підлягали ефективному наглядові та правозастосуванню в цій третій країні на постійній основі й щоб правова база цієї третьої країни передбачала ефективну еквівалентну систему визнання ЦКА, уповноважених за правовими режимами третьої країни.</w:t>
      </w:r>
    </w:p>
    <w:p w:rsidR="00DE77B0" w:rsidRPr="006279CF"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rPr>
      </w:pPr>
      <w:r w:rsidRPr="009E6422">
        <w:rPr>
          <w:rFonts w:ascii="Times New Roman" w:eastAsia="Times New Roman" w:hAnsi="Times New Roman" w:cs="Times New Roman"/>
          <w:sz w:val="27"/>
          <w:szCs w:val="27"/>
          <w:lang w:val="ru-RU"/>
        </w:rPr>
        <w:t>7.</w:t>
      </w:r>
      <w:r w:rsidRPr="006279CF">
        <w:rPr>
          <w:rFonts w:ascii="Times New Roman" w:eastAsia="Times New Roman" w:hAnsi="Times New Roman" w:cs="Times New Roman"/>
          <w:sz w:val="27"/>
          <w:szCs w:val="27"/>
        </w:rPr>
        <w:t>   ESMA</w:t>
      </w:r>
      <w:r w:rsidRPr="009E6422">
        <w:rPr>
          <w:rFonts w:ascii="Times New Roman" w:eastAsia="Times New Roman" w:hAnsi="Times New Roman" w:cs="Times New Roman"/>
          <w:sz w:val="27"/>
          <w:szCs w:val="27"/>
          <w:lang w:val="ru-RU"/>
        </w:rPr>
        <w:t xml:space="preserve"> </w:t>
      </w:r>
      <w:r w:rsidR="009E6422">
        <w:rPr>
          <w:rFonts w:ascii="Times New Roman" w:eastAsia="Times New Roman" w:hAnsi="Times New Roman" w:cs="Times New Roman"/>
          <w:sz w:val="27"/>
          <w:szCs w:val="27"/>
          <w:lang w:val="uk-UA"/>
        </w:rPr>
        <w:t xml:space="preserve">укладає угоди про співробітництво з </w:t>
      </w:r>
      <w:r w:rsidR="00E711AC">
        <w:rPr>
          <w:rFonts w:ascii="Times New Roman" w:eastAsia="Times New Roman" w:hAnsi="Times New Roman" w:cs="Times New Roman"/>
          <w:sz w:val="27"/>
          <w:szCs w:val="27"/>
          <w:lang w:val="uk-UA"/>
        </w:rPr>
        <w:t xml:space="preserve">відповідними компетентними органами третіх країн, </w:t>
      </w:r>
      <w:proofErr w:type="spellStart"/>
      <w:r w:rsidR="00E711AC">
        <w:rPr>
          <w:rFonts w:ascii="Times New Roman" w:eastAsia="Times New Roman" w:hAnsi="Times New Roman" w:cs="Times New Roman"/>
          <w:sz w:val="27"/>
          <w:szCs w:val="27"/>
          <w:lang w:val="uk-UA"/>
        </w:rPr>
        <w:t>наглядово</w:t>
      </w:r>
      <w:proofErr w:type="spellEnd"/>
      <w:r w:rsidR="00E711AC">
        <w:rPr>
          <w:rFonts w:ascii="Times New Roman" w:eastAsia="Times New Roman" w:hAnsi="Times New Roman" w:cs="Times New Roman"/>
          <w:sz w:val="27"/>
          <w:szCs w:val="27"/>
          <w:lang w:val="uk-UA"/>
        </w:rPr>
        <w:t>-правова база яких визнана еквівалентною цьому регламенту відповідно до пункту 6. У таких угодах зазначаються, як мінімум:</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143FB9" w:rsidP="00143FB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механізм обміну інформацією між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і компетентними органами зацікавлених третіх країн, включаючи доступ до всієї інформації, затребуваної</w:t>
            </w:r>
            <w:r>
              <w:rPr>
                <w:rFonts w:ascii="Times New Roman" w:eastAsia="Times New Roman" w:hAnsi="Times New Roman" w:cs="Times New Roman"/>
                <w:sz w:val="27"/>
                <w:szCs w:val="27"/>
              </w:rPr>
              <w:t xml:space="preserve"> ESMA</w:t>
            </w:r>
            <w:r>
              <w:rPr>
                <w:rFonts w:ascii="Times New Roman" w:eastAsia="Times New Roman" w:hAnsi="Times New Roman" w:cs="Times New Roman"/>
                <w:sz w:val="27"/>
                <w:szCs w:val="27"/>
                <w:lang w:val="uk-UA"/>
              </w:rPr>
              <w:t>, стосовно ЦКА, уповноважених у третіх країнах;</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325BCD" w:rsidP="00B165D5">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механізм невідкладного повідомлення </w:t>
            </w:r>
            <w:r>
              <w:rPr>
                <w:rFonts w:ascii="Times New Roman" w:eastAsia="Times New Roman" w:hAnsi="Times New Roman" w:cs="Times New Roman"/>
                <w:sz w:val="27"/>
                <w:szCs w:val="27"/>
              </w:rPr>
              <w:t>ESMA</w:t>
            </w:r>
            <w:r w:rsidRPr="00143FB9">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lang w:val="uk-UA"/>
              </w:rPr>
              <w:t xml:space="preserve">у випадках, </w:t>
            </w:r>
            <w:r w:rsidR="00B165D5">
              <w:rPr>
                <w:rFonts w:ascii="Times New Roman" w:eastAsia="Times New Roman" w:hAnsi="Times New Roman" w:cs="Times New Roman"/>
                <w:sz w:val="27"/>
                <w:szCs w:val="27"/>
                <w:lang w:val="uk-UA"/>
              </w:rPr>
              <w:t>коли</w:t>
            </w:r>
            <w:r>
              <w:rPr>
                <w:rFonts w:ascii="Times New Roman" w:eastAsia="Times New Roman" w:hAnsi="Times New Roman" w:cs="Times New Roman"/>
                <w:sz w:val="27"/>
                <w:szCs w:val="27"/>
                <w:lang w:val="uk-UA"/>
              </w:rPr>
              <w:t xml:space="preserve"> </w:t>
            </w:r>
            <w:proofErr w:type="spellStart"/>
            <w:r w:rsidRPr="00143FB9">
              <w:rPr>
                <w:rFonts w:ascii="Times New Roman" w:eastAsia="Times New Roman" w:hAnsi="Times New Roman" w:cs="Times New Roman"/>
                <w:sz w:val="27"/>
                <w:szCs w:val="27"/>
                <w:lang w:val="ru-RU"/>
              </w:rPr>
              <w:t>компетентний</w:t>
            </w:r>
            <w:proofErr w:type="spellEnd"/>
            <w:r w:rsidRPr="00143FB9">
              <w:rPr>
                <w:rFonts w:ascii="Times New Roman" w:eastAsia="Times New Roman" w:hAnsi="Times New Roman" w:cs="Times New Roman"/>
                <w:sz w:val="27"/>
                <w:szCs w:val="27"/>
              </w:rPr>
              <w:t xml:space="preserve"> </w:t>
            </w:r>
            <w:r w:rsidRPr="00143FB9">
              <w:rPr>
                <w:rFonts w:ascii="Times New Roman" w:eastAsia="Times New Roman" w:hAnsi="Times New Roman" w:cs="Times New Roman"/>
                <w:sz w:val="27"/>
                <w:szCs w:val="27"/>
                <w:lang w:val="ru-RU"/>
              </w:rPr>
              <w:t>орган</w:t>
            </w:r>
            <w:r w:rsidRPr="00143FB9">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lang w:val="ru-RU"/>
              </w:rPr>
              <w:t>третьої</w:t>
            </w:r>
            <w:proofErr w:type="spellEnd"/>
            <w:r w:rsidRPr="00143FB9">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lang w:val="uk-UA"/>
              </w:rPr>
              <w:t>країни вважає, що ЦКА, за діяльністю котрого він здійснює нагляд, порушує умови наданих повноважень або іншого законодавства, під дію якого він підпадає;</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325BCD" w:rsidP="00B165D5">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механізм невідкладного повідомлення </w:t>
            </w:r>
            <w:r>
              <w:rPr>
                <w:rFonts w:ascii="Times New Roman" w:eastAsia="Times New Roman" w:hAnsi="Times New Roman" w:cs="Times New Roman"/>
                <w:sz w:val="27"/>
                <w:szCs w:val="27"/>
              </w:rPr>
              <w:t>ESMA</w:t>
            </w:r>
            <w:r w:rsidRPr="00143FB9">
              <w:rPr>
                <w:rFonts w:ascii="Times New Roman" w:eastAsia="Times New Roman" w:hAnsi="Times New Roman" w:cs="Times New Roman"/>
                <w:sz w:val="27"/>
                <w:szCs w:val="27"/>
              </w:rPr>
              <w:t xml:space="preserve"> </w:t>
            </w:r>
            <w:proofErr w:type="spellStart"/>
            <w:r w:rsidRPr="00143FB9">
              <w:rPr>
                <w:rFonts w:ascii="Times New Roman" w:eastAsia="Times New Roman" w:hAnsi="Times New Roman" w:cs="Times New Roman"/>
                <w:sz w:val="27"/>
                <w:szCs w:val="27"/>
                <w:lang w:val="ru-RU"/>
              </w:rPr>
              <w:t>компетентни</w:t>
            </w:r>
            <w:r>
              <w:rPr>
                <w:rFonts w:ascii="Times New Roman" w:eastAsia="Times New Roman" w:hAnsi="Times New Roman" w:cs="Times New Roman"/>
                <w:sz w:val="27"/>
                <w:szCs w:val="27"/>
                <w:lang w:val="ru-RU"/>
              </w:rPr>
              <w:t>м</w:t>
            </w:r>
            <w:proofErr w:type="spellEnd"/>
            <w:r w:rsidRPr="00143FB9">
              <w:rPr>
                <w:rFonts w:ascii="Times New Roman" w:eastAsia="Times New Roman" w:hAnsi="Times New Roman" w:cs="Times New Roman"/>
                <w:sz w:val="27"/>
                <w:szCs w:val="27"/>
              </w:rPr>
              <w:t xml:space="preserve"> </w:t>
            </w:r>
            <w:r w:rsidRPr="00143FB9">
              <w:rPr>
                <w:rFonts w:ascii="Times New Roman" w:eastAsia="Times New Roman" w:hAnsi="Times New Roman" w:cs="Times New Roman"/>
                <w:sz w:val="27"/>
                <w:szCs w:val="27"/>
                <w:lang w:val="ru-RU"/>
              </w:rPr>
              <w:t>орган</w:t>
            </w:r>
            <w:r>
              <w:rPr>
                <w:rFonts w:ascii="Times New Roman" w:eastAsia="Times New Roman" w:hAnsi="Times New Roman" w:cs="Times New Roman"/>
                <w:sz w:val="27"/>
                <w:szCs w:val="27"/>
                <w:lang w:val="ru-RU"/>
              </w:rPr>
              <w:t>ом</w:t>
            </w:r>
            <w:r w:rsidRPr="00143FB9">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lang w:val="ru-RU"/>
              </w:rPr>
              <w:t>третьої</w:t>
            </w:r>
            <w:proofErr w:type="spellEnd"/>
            <w:r w:rsidRPr="00143FB9">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lang w:val="uk-UA"/>
              </w:rPr>
              <w:t xml:space="preserve">країни </w:t>
            </w:r>
            <w:r w:rsidR="00B165D5">
              <w:rPr>
                <w:rFonts w:ascii="Times New Roman" w:eastAsia="Times New Roman" w:hAnsi="Times New Roman" w:cs="Times New Roman"/>
                <w:sz w:val="27"/>
                <w:szCs w:val="27"/>
                <w:lang w:val="uk-UA"/>
              </w:rPr>
              <w:t xml:space="preserve">у випадках, коли </w:t>
            </w:r>
            <w:r>
              <w:rPr>
                <w:rFonts w:ascii="Times New Roman" w:eastAsia="Times New Roman" w:hAnsi="Times New Roman" w:cs="Times New Roman"/>
                <w:sz w:val="27"/>
                <w:szCs w:val="27"/>
                <w:lang w:val="uk-UA"/>
              </w:rPr>
              <w:t>ЦКА, за діяльністю котрого він здійснює нагляд,</w:t>
            </w:r>
            <w:r w:rsidR="00B165D5">
              <w:rPr>
                <w:rFonts w:ascii="Times New Roman" w:eastAsia="Times New Roman" w:hAnsi="Times New Roman" w:cs="Times New Roman"/>
                <w:sz w:val="27"/>
                <w:szCs w:val="27"/>
                <w:lang w:val="uk-UA"/>
              </w:rPr>
              <w:t xml:space="preserve"> отримав право надавати клірингові послуги учасникам клірингу або клієнтам, створеним у Союзі;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165D5" w:rsidRDefault="00B165D5" w:rsidP="004D103D">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процедури стосовно координації наглядової діяльності, зокрема, у доречних випадках, порядок проведення </w:t>
            </w:r>
            <w:r w:rsidR="004D103D">
              <w:rPr>
                <w:rFonts w:ascii="Times New Roman" w:eastAsia="Times New Roman" w:hAnsi="Times New Roman" w:cs="Times New Roman"/>
                <w:sz w:val="27"/>
                <w:szCs w:val="27"/>
                <w:lang w:val="uk-UA"/>
              </w:rPr>
              <w:t xml:space="preserve">виїзних </w:t>
            </w:r>
            <w:r>
              <w:rPr>
                <w:rFonts w:ascii="Times New Roman" w:eastAsia="Times New Roman" w:hAnsi="Times New Roman" w:cs="Times New Roman"/>
                <w:sz w:val="27"/>
                <w:szCs w:val="27"/>
                <w:lang w:val="uk-UA"/>
              </w:rPr>
              <w:t>перевірок</w:t>
            </w:r>
            <w:r w:rsidR="004D103D">
              <w:rPr>
                <w:rFonts w:ascii="Times New Roman" w:eastAsia="Times New Roman" w:hAnsi="Times New Roman" w:cs="Times New Roman"/>
                <w:sz w:val="27"/>
                <w:szCs w:val="27"/>
                <w:lang w:val="uk-UA"/>
              </w:rPr>
              <w:t>.</w:t>
            </w:r>
          </w:p>
        </w:tc>
      </w:tr>
    </w:tbl>
    <w:p w:rsidR="00B3757A" w:rsidRPr="000253C2" w:rsidRDefault="00B3757A" w:rsidP="00B3757A">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8</w:t>
      </w:r>
      <w:r w:rsidRPr="00BF52E6">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розробляє проекти регуляторних технічних стандартів із зазначенням інформації, яку ЦКА-заявник повинен подати до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у своїй заяві про визнання.</w:t>
      </w:r>
    </w:p>
    <w:p w:rsidR="00B3757A" w:rsidRPr="00A64037" w:rsidRDefault="00B3757A" w:rsidP="00B3757A">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Е</w:t>
      </w:r>
      <w:r>
        <w:rPr>
          <w:rFonts w:ascii="Times New Roman" w:eastAsia="Times New Roman" w:hAnsi="Times New Roman" w:cs="Times New Roman"/>
          <w:sz w:val="27"/>
          <w:szCs w:val="27"/>
        </w:rPr>
        <w:t>SMA</w:t>
      </w:r>
      <w:r>
        <w:rPr>
          <w:rFonts w:ascii="Times New Roman" w:eastAsia="Times New Roman" w:hAnsi="Times New Roman" w:cs="Times New Roman"/>
          <w:sz w:val="27"/>
          <w:szCs w:val="27"/>
          <w:lang w:val="uk-UA"/>
        </w:rPr>
        <w:t xml:space="preserve"> подає ці проекти регуляторних технічних стандартів Комісії до 30 вересня 2012 р.</w:t>
      </w:r>
    </w:p>
    <w:p w:rsidR="00B3757A" w:rsidRPr="00B3757A" w:rsidRDefault="00B3757A" w:rsidP="00B3757A">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першому абзаці цього пункту, згідно зі статтями 10-14 Регламенту</w:t>
      </w:r>
      <w:r w:rsidRPr="00A6403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64037">
        <w:rPr>
          <w:rFonts w:ascii="Times New Roman" w:eastAsia="Times New Roman" w:hAnsi="Times New Roman" w:cs="Times New Roman"/>
          <w:sz w:val="27"/>
          <w:szCs w:val="27"/>
          <w:lang w:val="uk-UA"/>
        </w:rPr>
        <w:t>109</w:t>
      </w:r>
      <w:r>
        <w:rPr>
          <w:rFonts w:ascii="Times New Roman" w:eastAsia="Times New Roman" w:hAnsi="Times New Roman" w:cs="Times New Roman"/>
          <w:sz w:val="27"/>
          <w:szCs w:val="27"/>
          <w:lang w:val="uk-UA"/>
        </w:rPr>
        <w:t>5</w:t>
      </w:r>
      <w:r w:rsidRPr="00A64037">
        <w:rPr>
          <w:rFonts w:ascii="Times New Roman" w:eastAsia="Times New Roman" w:hAnsi="Times New Roman" w:cs="Times New Roman"/>
          <w:sz w:val="27"/>
          <w:szCs w:val="27"/>
          <w:lang w:val="uk-UA"/>
        </w:rPr>
        <w:t>/2010.</w:t>
      </w:r>
    </w:p>
    <w:p w:rsidR="00DE77B0" w:rsidRPr="00F23226" w:rsidRDefault="00F23226" w:rsidP="00187079">
      <w:pPr>
        <w:shd w:val="clear" w:color="auto" w:fill="FFFFFF"/>
        <w:spacing w:before="480"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РОЗДІЛ</w:t>
      </w:r>
      <w:r w:rsidR="00DE77B0" w:rsidRPr="00F23226">
        <w:rPr>
          <w:rFonts w:ascii="Times New Roman" w:eastAsia="Times New Roman" w:hAnsi="Times New Roman" w:cs="Times New Roman"/>
          <w:b/>
          <w:bCs/>
          <w:sz w:val="27"/>
          <w:szCs w:val="27"/>
          <w:lang w:val="ru-RU"/>
        </w:rPr>
        <w:t xml:space="preserve"> </w:t>
      </w:r>
      <w:r w:rsidR="00DE77B0" w:rsidRPr="006279CF">
        <w:rPr>
          <w:rFonts w:ascii="Times New Roman" w:eastAsia="Times New Roman" w:hAnsi="Times New Roman" w:cs="Times New Roman"/>
          <w:b/>
          <w:bCs/>
          <w:sz w:val="27"/>
          <w:szCs w:val="27"/>
        </w:rPr>
        <w:t>IV</w:t>
      </w:r>
    </w:p>
    <w:p w:rsidR="00DE77B0" w:rsidRPr="00F23226" w:rsidRDefault="00F23226"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bdr w:val="none" w:sz="0" w:space="0" w:color="auto" w:frame="1"/>
          <w:lang w:val="uk-UA"/>
        </w:rPr>
        <w:t>ВИМОГИ ДО ЦКА</w:t>
      </w:r>
    </w:p>
    <w:p w:rsidR="00DE77B0" w:rsidRPr="00F879CC" w:rsidRDefault="00F23226"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i/>
          <w:iCs/>
          <w:sz w:val="27"/>
          <w:szCs w:val="27"/>
          <w:bdr w:val="none" w:sz="0" w:space="0" w:color="auto" w:frame="1"/>
          <w:lang w:val="uk-UA"/>
        </w:rPr>
        <w:t>ГЛАВА</w:t>
      </w:r>
      <w:r w:rsidR="00DE77B0" w:rsidRPr="00F879CC">
        <w:rPr>
          <w:rFonts w:ascii="Times New Roman" w:eastAsia="Times New Roman" w:hAnsi="Times New Roman" w:cs="Times New Roman"/>
          <w:b/>
          <w:bCs/>
          <w:i/>
          <w:iCs/>
          <w:sz w:val="27"/>
          <w:szCs w:val="27"/>
          <w:bdr w:val="none" w:sz="0" w:space="0" w:color="auto" w:frame="1"/>
          <w:lang w:val="ru-RU"/>
        </w:rPr>
        <w:t xml:space="preserve"> 1</w:t>
      </w:r>
    </w:p>
    <w:p w:rsidR="00DE77B0" w:rsidRPr="00F23226" w:rsidRDefault="00F23226"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i/>
          <w:iCs/>
          <w:sz w:val="27"/>
          <w:szCs w:val="27"/>
          <w:bdr w:val="none" w:sz="0" w:space="0" w:color="auto" w:frame="1"/>
          <w:lang w:val="uk-UA"/>
        </w:rPr>
        <w:t>Організаційні вимоги</w:t>
      </w:r>
    </w:p>
    <w:p w:rsidR="00DE77B0" w:rsidRPr="00F879CC"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F879CC">
        <w:rPr>
          <w:rFonts w:ascii="Times New Roman" w:eastAsia="Times New Roman" w:hAnsi="Times New Roman" w:cs="Times New Roman"/>
          <w:i/>
          <w:iCs/>
          <w:sz w:val="27"/>
          <w:szCs w:val="27"/>
          <w:lang w:val="ru-RU"/>
        </w:rPr>
        <w:t>Стаття</w:t>
      </w:r>
      <w:proofErr w:type="spellEnd"/>
      <w:r w:rsidR="00DE77B0" w:rsidRPr="00F879CC">
        <w:rPr>
          <w:rFonts w:ascii="Times New Roman" w:eastAsia="Times New Roman" w:hAnsi="Times New Roman" w:cs="Times New Roman"/>
          <w:i/>
          <w:iCs/>
          <w:sz w:val="27"/>
          <w:szCs w:val="27"/>
          <w:lang w:val="ru-RU"/>
        </w:rPr>
        <w:t xml:space="preserve"> 26</w:t>
      </w:r>
    </w:p>
    <w:p w:rsidR="00DE77B0" w:rsidRPr="00F23226" w:rsidRDefault="00F23226"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Загальні положення</w:t>
      </w:r>
    </w:p>
    <w:p w:rsidR="00932262" w:rsidRPr="0033514C"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932262">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932262">
        <w:rPr>
          <w:rFonts w:ascii="Times New Roman" w:eastAsia="Times New Roman" w:hAnsi="Times New Roman" w:cs="Times New Roman"/>
          <w:sz w:val="27"/>
          <w:szCs w:val="27"/>
          <w:lang w:val="uk-UA"/>
        </w:rPr>
        <w:t xml:space="preserve">ЦКА має стійкі механізми управління, що включають чітку організаційну структуру з чітко визначеними, прозорими та узгодженими сферами відповідальності, ефективні процеси виявлення ризиків, </w:t>
      </w:r>
      <w:r w:rsidR="00397575">
        <w:rPr>
          <w:rFonts w:ascii="Times New Roman" w:eastAsia="Times New Roman" w:hAnsi="Times New Roman" w:cs="Times New Roman"/>
          <w:sz w:val="27"/>
          <w:szCs w:val="27"/>
          <w:lang w:val="uk-UA"/>
        </w:rPr>
        <w:t>яких він зазнає або може зазнати, управління цими ризиками, їх моніторингу та звітування про них, а також належні механізми внутрішнього</w:t>
      </w:r>
      <w:r w:rsidR="0033514C">
        <w:rPr>
          <w:rFonts w:ascii="Times New Roman" w:eastAsia="Times New Roman" w:hAnsi="Times New Roman" w:cs="Times New Roman"/>
          <w:sz w:val="27"/>
          <w:szCs w:val="27"/>
          <w:lang w:val="uk-UA"/>
        </w:rPr>
        <w:t xml:space="preserve"> контролю, включаючи оптимальні адміністративні та облікові процедури.</w:t>
      </w:r>
    </w:p>
    <w:p w:rsidR="0033514C"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33514C">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33514C">
        <w:rPr>
          <w:rFonts w:ascii="Times New Roman" w:eastAsia="Times New Roman" w:hAnsi="Times New Roman" w:cs="Times New Roman"/>
          <w:sz w:val="27"/>
          <w:szCs w:val="27"/>
          <w:lang w:val="uk-UA"/>
        </w:rPr>
        <w:t>ЦКА приймає політику та процедури, які є достатньо ефективними для того, щоб забезпечити дотримання цього регламенту, включаючи виконання всіма його керівниками та працівниками всіх положень цього регламенту.</w:t>
      </w:r>
    </w:p>
    <w:p w:rsidR="0033514C" w:rsidRPr="006C5350"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EE2440">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33514C">
        <w:rPr>
          <w:rFonts w:ascii="Times New Roman" w:eastAsia="Times New Roman" w:hAnsi="Times New Roman" w:cs="Times New Roman"/>
          <w:sz w:val="27"/>
          <w:szCs w:val="27"/>
          <w:lang w:val="uk-UA"/>
        </w:rPr>
        <w:t>ЦКА підтримує організ</w:t>
      </w:r>
      <w:r w:rsidR="006C5350">
        <w:rPr>
          <w:rFonts w:ascii="Times New Roman" w:eastAsia="Times New Roman" w:hAnsi="Times New Roman" w:cs="Times New Roman"/>
          <w:sz w:val="27"/>
          <w:szCs w:val="27"/>
          <w:lang w:val="uk-UA"/>
        </w:rPr>
        <w:t>аційну структуру, що забезпечує безперервність і впорядковане функціонування у наданні ним послуг і веденні ним діяльності, та управляє цією структурою. ЦКА використовує належні та сумірні системи, ресурси та процедури.</w:t>
      </w:r>
    </w:p>
    <w:p w:rsidR="00DE77B0" w:rsidRPr="00EE2440" w:rsidRDefault="00DE77B0" w:rsidP="00B74CA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C5350">
        <w:rPr>
          <w:rFonts w:ascii="Times New Roman" w:eastAsia="Times New Roman" w:hAnsi="Times New Roman" w:cs="Times New Roman"/>
          <w:sz w:val="27"/>
          <w:szCs w:val="27"/>
          <w:lang w:val="uk-UA"/>
        </w:rPr>
        <w:lastRenderedPageBreak/>
        <w:t>4.</w:t>
      </w:r>
      <w:r w:rsidRPr="006279CF">
        <w:rPr>
          <w:rFonts w:ascii="Times New Roman" w:eastAsia="Times New Roman" w:hAnsi="Times New Roman" w:cs="Times New Roman"/>
          <w:sz w:val="27"/>
          <w:szCs w:val="27"/>
        </w:rPr>
        <w:t>   </w:t>
      </w:r>
      <w:r w:rsidR="006C5350">
        <w:rPr>
          <w:rFonts w:ascii="Times New Roman" w:eastAsia="Times New Roman" w:hAnsi="Times New Roman" w:cs="Times New Roman"/>
          <w:sz w:val="27"/>
          <w:szCs w:val="27"/>
          <w:lang w:val="uk-UA"/>
        </w:rPr>
        <w:t xml:space="preserve">ЦКА підтримує чітке розмежування сфер відповідальності щодо </w:t>
      </w:r>
      <w:r w:rsidR="00B74CA9">
        <w:rPr>
          <w:rFonts w:ascii="Times New Roman" w:eastAsia="Times New Roman" w:hAnsi="Times New Roman" w:cs="Times New Roman"/>
          <w:sz w:val="27"/>
          <w:szCs w:val="27"/>
          <w:lang w:val="uk-UA"/>
        </w:rPr>
        <w:t>управління ризиками та щодо інших напрямків діяльності ЦКА.</w:t>
      </w:r>
    </w:p>
    <w:p w:rsidR="00B74CA9" w:rsidRPr="0095494F"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EE2440">
        <w:rPr>
          <w:rFonts w:ascii="Times New Roman" w:eastAsia="Times New Roman" w:hAnsi="Times New Roman" w:cs="Times New Roman"/>
          <w:sz w:val="27"/>
          <w:szCs w:val="27"/>
          <w:lang w:val="uk-UA"/>
        </w:rPr>
        <w:t>5.</w:t>
      </w:r>
      <w:r w:rsidRPr="006279CF">
        <w:rPr>
          <w:rFonts w:ascii="Times New Roman" w:eastAsia="Times New Roman" w:hAnsi="Times New Roman" w:cs="Times New Roman"/>
          <w:sz w:val="27"/>
          <w:szCs w:val="27"/>
        </w:rPr>
        <w:t>   </w:t>
      </w:r>
      <w:r w:rsidR="00B74CA9">
        <w:rPr>
          <w:rFonts w:ascii="Times New Roman" w:eastAsia="Times New Roman" w:hAnsi="Times New Roman" w:cs="Times New Roman"/>
          <w:sz w:val="27"/>
          <w:szCs w:val="27"/>
          <w:lang w:val="uk-UA"/>
        </w:rPr>
        <w:t>ЦКА приймає, запроваджує та здійснює політику оплати, яка заохочує раціональне та ефективне управління ризиками</w:t>
      </w:r>
      <w:r w:rsidR="00E50723" w:rsidRPr="00EE2440">
        <w:rPr>
          <w:rFonts w:ascii="Times New Roman" w:eastAsia="Times New Roman" w:hAnsi="Times New Roman" w:cs="Times New Roman"/>
          <w:sz w:val="27"/>
          <w:szCs w:val="27"/>
          <w:lang w:val="uk-UA"/>
        </w:rPr>
        <w:t xml:space="preserve"> </w:t>
      </w:r>
      <w:r w:rsidR="00E50723">
        <w:rPr>
          <w:rFonts w:ascii="Times New Roman" w:eastAsia="Times New Roman" w:hAnsi="Times New Roman" w:cs="Times New Roman"/>
          <w:sz w:val="27"/>
          <w:szCs w:val="27"/>
          <w:lang w:val="uk-UA"/>
        </w:rPr>
        <w:t xml:space="preserve">і яка не створює стимулів для ослаблення </w:t>
      </w:r>
      <w:r w:rsidR="0095494F">
        <w:rPr>
          <w:rFonts w:ascii="Times New Roman" w:eastAsia="Times New Roman" w:hAnsi="Times New Roman" w:cs="Times New Roman"/>
          <w:sz w:val="27"/>
          <w:szCs w:val="27"/>
          <w:lang w:val="uk-UA"/>
        </w:rPr>
        <w:t>стандартів щодо ризику.</w:t>
      </w:r>
    </w:p>
    <w:p w:rsidR="00DE77B0" w:rsidRPr="00EE2440" w:rsidRDefault="00DE77B0" w:rsidP="005104F4">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EE2440">
        <w:rPr>
          <w:rFonts w:ascii="Times New Roman" w:eastAsia="Times New Roman" w:hAnsi="Times New Roman" w:cs="Times New Roman"/>
          <w:sz w:val="27"/>
          <w:szCs w:val="27"/>
          <w:lang w:val="uk-UA"/>
        </w:rPr>
        <w:t>6.</w:t>
      </w:r>
      <w:r w:rsidRPr="006279CF">
        <w:rPr>
          <w:rFonts w:ascii="Times New Roman" w:eastAsia="Times New Roman" w:hAnsi="Times New Roman" w:cs="Times New Roman"/>
          <w:sz w:val="27"/>
          <w:szCs w:val="27"/>
        </w:rPr>
        <w:t>   </w:t>
      </w:r>
      <w:r w:rsidR="00BC5337">
        <w:rPr>
          <w:rFonts w:ascii="Times New Roman" w:eastAsia="Times New Roman" w:hAnsi="Times New Roman" w:cs="Times New Roman"/>
          <w:sz w:val="27"/>
          <w:szCs w:val="27"/>
          <w:lang w:val="uk-UA"/>
        </w:rPr>
        <w:t>ЦКА підтримує інформаційно-технологічні системи, достатні для</w:t>
      </w:r>
      <w:r w:rsidR="005104F4">
        <w:rPr>
          <w:rFonts w:ascii="Times New Roman" w:eastAsia="Times New Roman" w:hAnsi="Times New Roman" w:cs="Times New Roman"/>
          <w:sz w:val="27"/>
          <w:szCs w:val="27"/>
          <w:lang w:val="uk-UA"/>
        </w:rPr>
        <w:t xml:space="preserve"> надання послуг і ведення видів діяльності відповідної складності, різноманітності та відповідних типів, з тим, щоб забезпечити високі стандарти безпеки й цілісність і конфіденційність інформації, що зберігається у ЦКА.</w:t>
      </w:r>
    </w:p>
    <w:p w:rsidR="005104F4" w:rsidRPr="00620F6D"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20F6D">
        <w:rPr>
          <w:rFonts w:ascii="Times New Roman" w:eastAsia="Times New Roman" w:hAnsi="Times New Roman" w:cs="Times New Roman"/>
          <w:sz w:val="27"/>
          <w:szCs w:val="27"/>
          <w:lang w:val="ru-RU"/>
        </w:rPr>
        <w:t>7.</w:t>
      </w:r>
      <w:r w:rsidRPr="006279CF">
        <w:rPr>
          <w:rFonts w:ascii="Times New Roman" w:eastAsia="Times New Roman" w:hAnsi="Times New Roman" w:cs="Times New Roman"/>
          <w:sz w:val="27"/>
          <w:szCs w:val="27"/>
        </w:rPr>
        <w:t>   </w:t>
      </w:r>
      <w:r w:rsidR="005104F4">
        <w:rPr>
          <w:rFonts w:ascii="Times New Roman" w:eastAsia="Times New Roman" w:hAnsi="Times New Roman" w:cs="Times New Roman"/>
          <w:sz w:val="27"/>
          <w:szCs w:val="27"/>
          <w:lang w:val="uk-UA"/>
        </w:rPr>
        <w:t xml:space="preserve">ЦКА </w:t>
      </w:r>
      <w:r w:rsidR="00620F6D">
        <w:rPr>
          <w:rFonts w:ascii="Times New Roman" w:eastAsia="Times New Roman" w:hAnsi="Times New Roman" w:cs="Times New Roman"/>
          <w:sz w:val="27"/>
          <w:szCs w:val="27"/>
          <w:lang w:val="uk-UA"/>
        </w:rPr>
        <w:t>безкоштовно оприлюднює для загального ознайомлення свої процедури управління, правила, якими ЦКА керується у своїй діяльності, та критерії прийняття учасників клірингу.</w:t>
      </w:r>
    </w:p>
    <w:p w:rsidR="00620F6D"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20F6D">
        <w:rPr>
          <w:rFonts w:ascii="Times New Roman" w:eastAsia="Times New Roman" w:hAnsi="Times New Roman" w:cs="Times New Roman"/>
          <w:sz w:val="27"/>
          <w:szCs w:val="27"/>
          <w:lang w:val="ru-RU"/>
        </w:rPr>
        <w:t>8.</w:t>
      </w:r>
      <w:r w:rsidRPr="006279CF">
        <w:rPr>
          <w:rFonts w:ascii="Times New Roman" w:eastAsia="Times New Roman" w:hAnsi="Times New Roman" w:cs="Times New Roman"/>
          <w:sz w:val="27"/>
          <w:szCs w:val="27"/>
        </w:rPr>
        <w:t>   </w:t>
      </w:r>
      <w:r w:rsidR="00620F6D">
        <w:rPr>
          <w:rFonts w:ascii="Times New Roman" w:eastAsia="Times New Roman" w:hAnsi="Times New Roman" w:cs="Times New Roman"/>
          <w:sz w:val="27"/>
          <w:szCs w:val="27"/>
          <w:lang w:val="uk-UA"/>
        </w:rPr>
        <w:t>ЦКА підлягає регулярному аудиту незалежними аудиторами.</w:t>
      </w:r>
      <w:r w:rsidR="00C24061">
        <w:rPr>
          <w:rFonts w:ascii="Times New Roman" w:eastAsia="Times New Roman" w:hAnsi="Times New Roman" w:cs="Times New Roman"/>
          <w:sz w:val="27"/>
          <w:szCs w:val="27"/>
          <w:lang w:val="uk-UA"/>
        </w:rPr>
        <w:t xml:space="preserve"> Результати цих аудиторських перевірок доводяться </w:t>
      </w:r>
      <w:r w:rsidR="00B3757A">
        <w:rPr>
          <w:rFonts w:ascii="Times New Roman" w:eastAsia="Times New Roman" w:hAnsi="Times New Roman" w:cs="Times New Roman"/>
          <w:sz w:val="27"/>
          <w:szCs w:val="27"/>
          <w:lang w:val="uk-UA"/>
        </w:rPr>
        <w:t>до відома ради і направляються компетентному органові.</w:t>
      </w:r>
    </w:p>
    <w:p w:rsidR="00B1326D" w:rsidRDefault="00B1326D" w:rsidP="00B1326D">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9</w:t>
      </w:r>
      <w:r w:rsidRPr="00BF52E6">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після консультацій з членами ЄСЦБ, розробляє проекти регуляторних технічних стандартів із зазначенням мінімального змісту правил і механізмів управління, зазначених у пунктах 1-8.</w:t>
      </w:r>
    </w:p>
    <w:p w:rsidR="00B1326D" w:rsidRPr="00A64037" w:rsidRDefault="00B1326D" w:rsidP="00B1326D">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Е</w:t>
      </w:r>
      <w:r>
        <w:rPr>
          <w:rFonts w:ascii="Times New Roman" w:eastAsia="Times New Roman" w:hAnsi="Times New Roman" w:cs="Times New Roman"/>
          <w:sz w:val="27"/>
          <w:szCs w:val="27"/>
        </w:rPr>
        <w:t>SMA</w:t>
      </w:r>
      <w:r>
        <w:rPr>
          <w:rFonts w:ascii="Times New Roman" w:eastAsia="Times New Roman" w:hAnsi="Times New Roman" w:cs="Times New Roman"/>
          <w:sz w:val="27"/>
          <w:szCs w:val="27"/>
          <w:lang w:val="uk-UA"/>
        </w:rPr>
        <w:t xml:space="preserve"> подає ці проекти регуляторних технічних стандартів Комісії до 30 вересня 2012 р.</w:t>
      </w:r>
    </w:p>
    <w:p w:rsidR="00B3757A" w:rsidRPr="00B3757A" w:rsidRDefault="00B1326D" w:rsidP="00B1326D">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першому абзаці цього пункту, згідно зі статтями 10-14 Регламенту</w:t>
      </w:r>
      <w:r w:rsidRPr="00A6403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64037">
        <w:rPr>
          <w:rFonts w:ascii="Times New Roman" w:eastAsia="Times New Roman" w:hAnsi="Times New Roman" w:cs="Times New Roman"/>
          <w:sz w:val="27"/>
          <w:szCs w:val="27"/>
          <w:lang w:val="uk-UA"/>
        </w:rPr>
        <w:t>109</w:t>
      </w:r>
      <w:r>
        <w:rPr>
          <w:rFonts w:ascii="Times New Roman" w:eastAsia="Times New Roman" w:hAnsi="Times New Roman" w:cs="Times New Roman"/>
          <w:sz w:val="27"/>
          <w:szCs w:val="27"/>
          <w:lang w:val="uk-UA"/>
        </w:rPr>
        <w:t>5</w:t>
      </w:r>
      <w:r w:rsidRPr="00A64037">
        <w:rPr>
          <w:rFonts w:ascii="Times New Roman" w:eastAsia="Times New Roman" w:hAnsi="Times New Roman" w:cs="Times New Roman"/>
          <w:sz w:val="27"/>
          <w:szCs w:val="27"/>
          <w:lang w:val="uk-UA"/>
        </w:rPr>
        <w:t>/2010.</w:t>
      </w:r>
    </w:p>
    <w:p w:rsidR="00DE77B0" w:rsidRPr="00B1326D"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B1326D">
        <w:rPr>
          <w:rFonts w:ascii="Times New Roman" w:eastAsia="Times New Roman" w:hAnsi="Times New Roman" w:cs="Times New Roman"/>
          <w:i/>
          <w:iCs/>
          <w:sz w:val="27"/>
          <w:szCs w:val="27"/>
          <w:lang w:val="ru-RU"/>
        </w:rPr>
        <w:t>Стаття</w:t>
      </w:r>
      <w:proofErr w:type="spellEnd"/>
      <w:r w:rsidR="00DE77B0" w:rsidRPr="00B1326D">
        <w:rPr>
          <w:rFonts w:ascii="Times New Roman" w:eastAsia="Times New Roman" w:hAnsi="Times New Roman" w:cs="Times New Roman"/>
          <w:i/>
          <w:iCs/>
          <w:sz w:val="27"/>
          <w:szCs w:val="27"/>
          <w:lang w:val="ru-RU"/>
        </w:rPr>
        <w:t xml:space="preserve"> 27</w:t>
      </w:r>
    </w:p>
    <w:p w:rsidR="00DE77B0" w:rsidRPr="008B3DA0" w:rsidRDefault="008B3DA0"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Вище керівництво і рада</w:t>
      </w:r>
    </w:p>
    <w:p w:rsidR="00DE77B0" w:rsidRPr="00EE2440" w:rsidRDefault="00DE77B0" w:rsidP="0026351F">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E2440">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BA0CE4">
        <w:rPr>
          <w:rFonts w:ascii="Times New Roman" w:eastAsia="Times New Roman" w:hAnsi="Times New Roman" w:cs="Times New Roman"/>
          <w:sz w:val="27"/>
          <w:szCs w:val="27"/>
          <w:lang w:val="uk-UA"/>
        </w:rPr>
        <w:t>Вище керівництво ЦКА повинно мати достатньо добру репутацію й належний досвід для того, щоб забезпечити раціональне і розумне управління діяльністю ЦКА.</w:t>
      </w:r>
    </w:p>
    <w:p w:rsidR="0026351F" w:rsidRPr="0026351F"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EE2440">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26351F">
        <w:rPr>
          <w:rFonts w:ascii="Times New Roman" w:eastAsia="Times New Roman" w:hAnsi="Times New Roman" w:cs="Times New Roman"/>
          <w:sz w:val="27"/>
          <w:szCs w:val="27"/>
          <w:lang w:val="uk-UA"/>
        </w:rPr>
        <w:t xml:space="preserve">ЦКА утворює раду. Принаймні третина членів ради, але не менше двох, є незалежними. Представники клієнтів учасників клірингу запрошуються на засідання ради з питань, що стосуються статей 38 і 39. </w:t>
      </w:r>
      <w:r w:rsidR="00EF6AD2">
        <w:rPr>
          <w:rFonts w:ascii="Times New Roman" w:eastAsia="Times New Roman" w:hAnsi="Times New Roman" w:cs="Times New Roman"/>
          <w:sz w:val="27"/>
          <w:szCs w:val="27"/>
          <w:lang w:val="uk-UA"/>
        </w:rPr>
        <w:t>Компенсація незалежним та іншим невиконавчим членам ради не прив’язується до результатів діяльності ЦКА.</w:t>
      </w:r>
    </w:p>
    <w:p w:rsidR="00DE77B0" w:rsidRPr="00EF6AD2" w:rsidRDefault="00EF6AD2" w:rsidP="00EF6AD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lastRenderedPageBreak/>
        <w:t>Члени ради ЦКА, зокрема незалежні члени, повинні мати достатньо добру репутацію та належний досвід роботи у сфері фінансових послуг, управління ризиками та клірингових послуг.</w:t>
      </w:r>
    </w:p>
    <w:p w:rsidR="00DE77B0" w:rsidRPr="00EE2440" w:rsidRDefault="00DE77B0" w:rsidP="00EF6AD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E2440">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EF6AD2">
        <w:rPr>
          <w:rFonts w:ascii="Times New Roman" w:eastAsia="Times New Roman" w:hAnsi="Times New Roman" w:cs="Times New Roman"/>
          <w:sz w:val="27"/>
          <w:szCs w:val="27"/>
          <w:lang w:val="uk-UA"/>
        </w:rPr>
        <w:t>ЦКА чітко визначає функції та обов’язки ради й надає протоколи засідань ради компетентному органові та аудиторам.</w:t>
      </w:r>
    </w:p>
    <w:p w:rsidR="00DE77B0" w:rsidRPr="00EE2440"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EE2440">
        <w:rPr>
          <w:rFonts w:ascii="Times New Roman" w:eastAsia="Times New Roman" w:hAnsi="Times New Roman" w:cs="Times New Roman"/>
          <w:i/>
          <w:iCs/>
          <w:sz w:val="27"/>
          <w:szCs w:val="27"/>
          <w:lang w:val="ru-RU"/>
        </w:rPr>
        <w:t>Стаття</w:t>
      </w:r>
      <w:proofErr w:type="spellEnd"/>
      <w:r w:rsidR="00DE77B0" w:rsidRPr="00EE2440">
        <w:rPr>
          <w:rFonts w:ascii="Times New Roman" w:eastAsia="Times New Roman" w:hAnsi="Times New Roman" w:cs="Times New Roman"/>
          <w:i/>
          <w:iCs/>
          <w:sz w:val="27"/>
          <w:szCs w:val="27"/>
          <w:lang w:val="ru-RU"/>
        </w:rPr>
        <w:t xml:space="preserve"> 28</w:t>
      </w:r>
    </w:p>
    <w:p w:rsidR="00DE77B0" w:rsidRPr="00EF6AD2" w:rsidRDefault="00EF6AD2"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Комітет із ризиків</w:t>
      </w:r>
    </w:p>
    <w:p w:rsidR="00DE77B0" w:rsidRPr="00EE2440" w:rsidRDefault="00DE77B0" w:rsidP="004D1F41">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E2440">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4D1F41">
        <w:rPr>
          <w:rFonts w:ascii="Times New Roman" w:eastAsia="Times New Roman" w:hAnsi="Times New Roman" w:cs="Times New Roman"/>
          <w:sz w:val="27"/>
          <w:szCs w:val="27"/>
          <w:lang w:val="uk-UA"/>
        </w:rPr>
        <w:t>ЦКА створює комітет із ризиків, до складу якого входять представники учасників клірингу, незалежні члени ради та представники клієнтів ЦКА. Комітет із ризиків може запрошувати працівників ЦКА та сторонніх незалежних експертів до участі у своїх засіданнях без права голосу. Компетентні органи можуть вимагати присутності на засіданнях комітету із ризиків без права голосу та бути належним чином інформованими про діяльність і рішення комітету. Рекомендації комітету із ризиків не залежать від безпосереднього впливу керівництва ЦКА. Жодна з груп представників не має більшості у комітеті з ризиків.</w:t>
      </w:r>
    </w:p>
    <w:p w:rsidR="004D1F41" w:rsidRPr="009B309C"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31CBC">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4D1F41">
        <w:rPr>
          <w:rFonts w:ascii="Times New Roman" w:eastAsia="Times New Roman" w:hAnsi="Times New Roman" w:cs="Times New Roman"/>
          <w:sz w:val="27"/>
          <w:szCs w:val="27"/>
          <w:lang w:val="uk-UA"/>
        </w:rPr>
        <w:t>ЦКА</w:t>
      </w:r>
      <w:r w:rsidR="00531CBC">
        <w:rPr>
          <w:rFonts w:ascii="Times New Roman" w:eastAsia="Times New Roman" w:hAnsi="Times New Roman" w:cs="Times New Roman"/>
          <w:sz w:val="27"/>
          <w:szCs w:val="27"/>
          <w:lang w:val="uk-UA"/>
        </w:rPr>
        <w:t xml:space="preserve"> чітко визначає коло повноважень, механізми управління для забезпечення своєї незалежності, робочі процедури, критерії прийняття та механізм </w:t>
      </w:r>
      <w:r w:rsidR="009B309C">
        <w:rPr>
          <w:rFonts w:ascii="Times New Roman" w:eastAsia="Times New Roman" w:hAnsi="Times New Roman" w:cs="Times New Roman"/>
          <w:sz w:val="27"/>
          <w:szCs w:val="27"/>
          <w:lang w:val="uk-UA"/>
        </w:rPr>
        <w:t>виборів членів комітету з ризиків. Інформація про механізми управління є загальнодоступною, причому ці механізми визначають, як мінімум, що у комітеті з ризиків головує незалежний член ради, а також що комітет із ризиків є підзвітним безпосередньо раді та проводить регулярні засідання.</w:t>
      </w:r>
    </w:p>
    <w:p w:rsidR="00DE77B0" w:rsidRPr="00EE2440" w:rsidRDefault="00DE77B0" w:rsidP="005B38CA">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9B309C">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9B309C">
        <w:rPr>
          <w:rFonts w:ascii="Times New Roman" w:eastAsia="Times New Roman" w:hAnsi="Times New Roman" w:cs="Times New Roman"/>
          <w:sz w:val="27"/>
          <w:szCs w:val="27"/>
          <w:lang w:val="uk-UA"/>
        </w:rPr>
        <w:t xml:space="preserve">Комітет із ризиків надає раді рекомендації щодо </w:t>
      </w:r>
      <w:r w:rsidR="001240FB">
        <w:rPr>
          <w:rFonts w:ascii="Times New Roman" w:eastAsia="Times New Roman" w:hAnsi="Times New Roman" w:cs="Times New Roman"/>
          <w:sz w:val="27"/>
          <w:szCs w:val="27"/>
          <w:lang w:val="uk-UA"/>
        </w:rPr>
        <w:t xml:space="preserve">аспектів, які можуть вплинути на управління ризиками ЦКА, як-от істотні зміни у його моделі ризиків, процедури встановлення неплатоспроможності, критерії прийняття учасників клірингу, кліринг нових класів інструментів, передача певних функцій для виконання сторонній організації. Рекомендації комітету з ризиків для повсякденної діяльності ЦКА не потрібні. </w:t>
      </w:r>
      <w:r w:rsidR="00BC6EE3">
        <w:rPr>
          <w:rFonts w:ascii="Times New Roman" w:eastAsia="Times New Roman" w:hAnsi="Times New Roman" w:cs="Times New Roman"/>
          <w:sz w:val="27"/>
          <w:szCs w:val="27"/>
          <w:lang w:val="uk-UA"/>
        </w:rPr>
        <w:t>Докладаються розумні зусилля для проведення консуль</w:t>
      </w:r>
      <w:r w:rsidR="005B38CA">
        <w:rPr>
          <w:rFonts w:ascii="Times New Roman" w:eastAsia="Times New Roman" w:hAnsi="Times New Roman" w:cs="Times New Roman"/>
          <w:sz w:val="27"/>
          <w:szCs w:val="27"/>
          <w:lang w:val="uk-UA"/>
        </w:rPr>
        <w:t>тацій з комітетом із ризиків стосовно подій, які впливають на управління ризиками ЦКА у надзвичайних ситуаціях.</w:t>
      </w:r>
    </w:p>
    <w:p w:rsidR="00DE77B0" w:rsidRPr="00EE2440" w:rsidRDefault="00DE77B0" w:rsidP="005B38CA">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B38CA">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5B38CA">
        <w:rPr>
          <w:rFonts w:ascii="Times New Roman" w:eastAsia="Times New Roman" w:hAnsi="Times New Roman" w:cs="Times New Roman"/>
          <w:sz w:val="27"/>
          <w:szCs w:val="27"/>
          <w:lang w:val="uk-UA"/>
        </w:rPr>
        <w:t>Без шкоди для права компетентних органів бути належним чином поінформованими члени комітету з ризиків зв’язані зобов’язанням щодо дотримання конфіденційності. Якщо голова комітету з ризиків вирішив, що член комітету з ризиків має або може мати конфлікт інтересів із конкретного питання, то цьому членові комітету з ризиків не дозволяється голосувати з даного питання.</w:t>
      </w:r>
    </w:p>
    <w:p w:rsidR="00DE77B0" w:rsidRPr="00EE2440" w:rsidRDefault="00DE77B0" w:rsidP="005B38CA">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B38CA">
        <w:rPr>
          <w:rFonts w:ascii="Times New Roman" w:eastAsia="Times New Roman" w:hAnsi="Times New Roman" w:cs="Times New Roman"/>
          <w:sz w:val="27"/>
          <w:szCs w:val="27"/>
          <w:lang w:val="ru-RU"/>
        </w:rPr>
        <w:lastRenderedPageBreak/>
        <w:t>5.</w:t>
      </w:r>
      <w:r w:rsidRPr="006279CF">
        <w:rPr>
          <w:rFonts w:ascii="Times New Roman" w:eastAsia="Times New Roman" w:hAnsi="Times New Roman" w:cs="Times New Roman"/>
          <w:sz w:val="27"/>
          <w:szCs w:val="27"/>
        </w:rPr>
        <w:t>   </w:t>
      </w:r>
      <w:r w:rsidR="005B38CA">
        <w:rPr>
          <w:rFonts w:ascii="Times New Roman" w:eastAsia="Times New Roman" w:hAnsi="Times New Roman" w:cs="Times New Roman"/>
          <w:sz w:val="27"/>
          <w:szCs w:val="27"/>
          <w:lang w:val="uk-UA"/>
        </w:rPr>
        <w:t>ЦКА невідкладно інформує компетентний орган про будь-яке рішення, у якому рада вирішила не дотримуватися рекомендацій комітету з ризиків.</w:t>
      </w:r>
    </w:p>
    <w:p w:rsidR="00664F64" w:rsidRDefault="00664F64"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p>
    <w:p w:rsidR="00DE77B0" w:rsidRPr="00EE2440"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EE2440">
        <w:rPr>
          <w:rFonts w:ascii="Times New Roman" w:eastAsia="Times New Roman" w:hAnsi="Times New Roman" w:cs="Times New Roman"/>
          <w:i/>
          <w:iCs/>
          <w:sz w:val="27"/>
          <w:szCs w:val="27"/>
          <w:lang w:val="uk-UA"/>
        </w:rPr>
        <w:t>Стаття</w:t>
      </w:r>
      <w:r w:rsidR="00DE77B0" w:rsidRPr="00EE2440">
        <w:rPr>
          <w:rFonts w:ascii="Times New Roman" w:eastAsia="Times New Roman" w:hAnsi="Times New Roman" w:cs="Times New Roman"/>
          <w:i/>
          <w:iCs/>
          <w:sz w:val="27"/>
          <w:szCs w:val="27"/>
          <w:lang w:val="uk-UA"/>
        </w:rPr>
        <w:t xml:space="preserve"> 29</w:t>
      </w:r>
    </w:p>
    <w:p w:rsidR="00DE77B0" w:rsidRPr="00E77EE5" w:rsidRDefault="00E77EE5"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Облік</w:t>
      </w:r>
    </w:p>
    <w:p w:rsidR="00A57F5B"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EE2440">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A57F5B">
        <w:rPr>
          <w:rFonts w:ascii="Times New Roman" w:eastAsia="Times New Roman" w:hAnsi="Times New Roman" w:cs="Times New Roman"/>
          <w:sz w:val="27"/>
          <w:szCs w:val="27"/>
          <w:lang w:val="uk-UA"/>
        </w:rPr>
        <w:t>ЦКА</w:t>
      </w:r>
      <w:r w:rsidR="0023511E">
        <w:rPr>
          <w:rFonts w:ascii="Times New Roman" w:eastAsia="Times New Roman" w:hAnsi="Times New Roman" w:cs="Times New Roman"/>
          <w:sz w:val="27"/>
          <w:szCs w:val="27"/>
          <w:lang w:val="uk-UA"/>
        </w:rPr>
        <w:t xml:space="preserve"> протягом </w:t>
      </w:r>
      <w:r w:rsidR="00CE118E">
        <w:rPr>
          <w:rFonts w:ascii="Times New Roman" w:eastAsia="Times New Roman" w:hAnsi="Times New Roman" w:cs="Times New Roman"/>
          <w:sz w:val="27"/>
          <w:szCs w:val="27"/>
          <w:lang w:val="uk-UA"/>
        </w:rPr>
        <w:t>щонайменше десятирічного періоду</w:t>
      </w:r>
      <w:r w:rsidR="0023511E">
        <w:rPr>
          <w:rFonts w:ascii="Times New Roman" w:eastAsia="Times New Roman" w:hAnsi="Times New Roman" w:cs="Times New Roman"/>
          <w:sz w:val="27"/>
          <w:szCs w:val="27"/>
          <w:lang w:val="uk-UA"/>
        </w:rPr>
        <w:t xml:space="preserve"> </w:t>
      </w:r>
      <w:r w:rsidR="00B1326D">
        <w:rPr>
          <w:rFonts w:ascii="Times New Roman" w:eastAsia="Times New Roman" w:hAnsi="Times New Roman" w:cs="Times New Roman"/>
          <w:sz w:val="27"/>
          <w:szCs w:val="27"/>
          <w:lang w:val="uk-UA"/>
        </w:rPr>
        <w:t>зберігає</w:t>
      </w:r>
      <w:r w:rsidR="0023511E">
        <w:rPr>
          <w:rFonts w:ascii="Times New Roman" w:eastAsia="Times New Roman" w:hAnsi="Times New Roman" w:cs="Times New Roman"/>
          <w:sz w:val="27"/>
          <w:szCs w:val="27"/>
          <w:lang w:val="uk-UA"/>
        </w:rPr>
        <w:t xml:space="preserve"> всю облікову документацію стосовно наданих послуг і проведеної діяльності,</w:t>
      </w:r>
      <w:r w:rsidR="00CE118E">
        <w:rPr>
          <w:rFonts w:ascii="Times New Roman" w:eastAsia="Times New Roman" w:hAnsi="Times New Roman" w:cs="Times New Roman"/>
          <w:sz w:val="27"/>
          <w:szCs w:val="27"/>
          <w:lang w:val="uk-UA"/>
        </w:rPr>
        <w:t xml:space="preserve"> з тим, щоб компетентний орган мав можливість здійснювати моніторинг дотримання ЦКА вимог цього регламенту.</w:t>
      </w:r>
    </w:p>
    <w:p w:rsidR="00DE77B0" w:rsidRPr="00EE2440" w:rsidRDefault="00DE77B0" w:rsidP="00F6775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E2440">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CE118E">
        <w:rPr>
          <w:rFonts w:ascii="Times New Roman" w:eastAsia="Times New Roman" w:hAnsi="Times New Roman" w:cs="Times New Roman"/>
          <w:sz w:val="27"/>
          <w:szCs w:val="27"/>
          <w:lang w:val="uk-UA"/>
        </w:rPr>
        <w:t>ЦКА протягом щонайменше десятирічного періоду післ</w:t>
      </w:r>
      <w:r w:rsidR="00BE082C">
        <w:rPr>
          <w:rFonts w:ascii="Times New Roman" w:eastAsia="Times New Roman" w:hAnsi="Times New Roman" w:cs="Times New Roman"/>
          <w:sz w:val="27"/>
          <w:szCs w:val="27"/>
          <w:lang w:val="uk-UA"/>
        </w:rPr>
        <w:t>я припинення дії контракту зберігає всю інформацію стосовно всіх контрактів, які він обробив. Ця інформація повинна дозволяти як мінімум визнач</w:t>
      </w:r>
      <w:r w:rsidR="00F67759">
        <w:rPr>
          <w:rFonts w:ascii="Times New Roman" w:eastAsia="Times New Roman" w:hAnsi="Times New Roman" w:cs="Times New Roman"/>
          <w:sz w:val="27"/>
          <w:szCs w:val="27"/>
          <w:lang w:val="uk-UA"/>
        </w:rPr>
        <w:t>ити вихідні умови угоди до проведення її клірингу даним ЦКА.</w:t>
      </w:r>
    </w:p>
    <w:p w:rsidR="00F67759" w:rsidRPr="00A762A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F67759">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F67759">
        <w:rPr>
          <w:rFonts w:ascii="Times New Roman" w:eastAsia="Times New Roman" w:hAnsi="Times New Roman" w:cs="Times New Roman"/>
          <w:sz w:val="27"/>
          <w:szCs w:val="27"/>
          <w:lang w:val="uk-UA"/>
        </w:rPr>
        <w:t xml:space="preserve">ЦКА </w:t>
      </w:r>
      <w:r w:rsidR="00A762A1">
        <w:rPr>
          <w:rFonts w:ascii="Times New Roman" w:eastAsia="Times New Roman" w:hAnsi="Times New Roman" w:cs="Times New Roman"/>
          <w:sz w:val="27"/>
          <w:szCs w:val="27"/>
          <w:lang w:val="uk-UA"/>
        </w:rPr>
        <w:t xml:space="preserve">на вимогу </w:t>
      </w:r>
      <w:r w:rsidR="00F67759">
        <w:rPr>
          <w:rFonts w:ascii="Times New Roman" w:eastAsia="Times New Roman" w:hAnsi="Times New Roman" w:cs="Times New Roman"/>
          <w:sz w:val="27"/>
          <w:szCs w:val="27"/>
          <w:lang w:val="uk-UA"/>
        </w:rPr>
        <w:t xml:space="preserve">надає документацію та інформацію, зазначену в пунктах 1 і 2 цієї статті, а також усю інформацію стосовно позицій </w:t>
      </w:r>
      <w:r w:rsidR="00A762A1">
        <w:rPr>
          <w:rFonts w:ascii="Times New Roman" w:eastAsia="Times New Roman" w:hAnsi="Times New Roman" w:cs="Times New Roman"/>
          <w:sz w:val="27"/>
          <w:szCs w:val="27"/>
          <w:lang w:val="uk-UA"/>
        </w:rPr>
        <w:t xml:space="preserve">контрактів, кліринг яких здійснено, незалежно від місця, в якому ці операції були виконані, компетентному органові, </w:t>
      </w:r>
      <w:r w:rsidR="00A762A1">
        <w:rPr>
          <w:rFonts w:ascii="Times New Roman" w:eastAsia="Times New Roman" w:hAnsi="Times New Roman" w:cs="Times New Roman"/>
          <w:sz w:val="27"/>
          <w:szCs w:val="27"/>
        </w:rPr>
        <w:t>ESMA</w:t>
      </w:r>
      <w:r w:rsidR="00A762A1">
        <w:rPr>
          <w:rFonts w:ascii="Times New Roman" w:eastAsia="Times New Roman" w:hAnsi="Times New Roman" w:cs="Times New Roman"/>
          <w:sz w:val="27"/>
          <w:szCs w:val="27"/>
          <w:lang w:val="uk-UA"/>
        </w:rPr>
        <w:t xml:space="preserve"> та відповідним членам ЄСЦБ.</w:t>
      </w:r>
    </w:p>
    <w:p w:rsidR="00DC6F21" w:rsidRDefault="00DC6F21" w:rsidP="00DC6F21">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4</w:t>
      </w:r>
      <w:r w:rsidRPr="00BF52E6">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розробляє проекти регуляторних технічних стандартів із зазначенням детальних відомостей про згадану в пунктах 1-3 цієї статті документацію та інформацію, що підлягає зберіганню.</w:t>
      </w:r>
    </w:p>
    <w:p w:rsidR="00DC6F21" w:rsidRPr="00A64037" w:rsidRDefault="00DC6F21" w:rsidP="00DC6F21">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Е</w:t>
      </w:r>
      <w:r>
        <w:rPr>
          <w:rFonts w:ascii="Times New Roman" w:eastAsia="Times New Roman" w:hAnsi="Times New Roman" w:cs="Times New Roman"/>
          <w:sz w:val="27"/>
          <w:szCs w:val="27"/>
        </w:rPr>
        <w:t>SMA</w:t>
      </w:r>
      <w:r>
        <w:rPr>
          <w:rFonts w:ascii="Times New Roman" w:eastAsia="Times New Roman" w:hAnsi="Times New Roman" w:cs="Times New Roman"/>
          <w:sz w:val="27"/>
          <w:szCs w:val="27"/>
          <w:lang w:val="uk-UA"/>
        </w:rPr>
        <w:t xml:space="preserve"> подає ці проекти регуляторних технічних стандартів Комісії до 30 вересня 2012 р.</w:t>
      </w:r>
    </w:p>
    <w:p w:rsidR="00DC6F21" w:rsidRDefault="00DC6F21" w:rsidP="00DC6F21">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Комісії делегується повноваження на прийняття регуляторних технічних стандартів, згаданих у першому абзаці цього пункту, згідно зі статтями 10-14 Регламенту</w:t>
      </w:r>
      <w:r w:rsidRPr="00A6403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EU</w:t>
      </w:r>
      <w:r w:rsidRPr="00A64037">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64037">
        <w:rPr>
          <w:rFonts w:ascii="Times New Roman" w:eastAsia="Times New Roman" w:hAnsi="Times New Roman" w:cs="Times New Roman"/>
          <w:sz w:val="27"/>
          <w:szCs w:val="27"/>
          <w:lang w:val="uk-UA"/>
        </w:rPr>
        <w:t>109</w:t>
      </w:r>
      <w:r>
        <w:rPr>
          <w:rFonts w:ascii="Times New Roman" w:eastAsia="Times New Roman" w:hAnsi="Times New Roman" w:cs="Times New Roman"/>
          <w:sz w:val="27"/>
          <w:szCs w:val="27"/>
          <w:lang w:val="uk-UA"/>
        </w:rPr>
        <w:t>5</w:t>
      </w:r>
      <w:r w:rsidRPr="00A64037">
        <w:rPr>
          <w:rFonts w:ascii="Times New Roman" w:eastAsia="Times New Roman" w:hAnsi="Times New Roman" w:cs="Times New Roman"/>
          <w:sz w:val="27"/>
          <w:szCs w:val="27"/>
          <w:lang w:val="uk-UA"/>
        </w:rPr>
        <w:t>/2010.</w:t>
      </w:r>
    </w:p>
    <w:p w:rsidR="001523B3" w:rsidRDefault="001523B3" w:rsidP="001523B3">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5</w:t>
      </w:r>
      <w:r w:rsidRPr="00BF52E6">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Для того, щоб забезпечити одноманітність умов застосування пунктів 1 і 2 цієї статті,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розробляє проекти регуляторних технічних стандартів із зазначенням формату документації та інформації, що підлягає зберіганню.</w:t>
      </w:r>
    </w:p>
    <w:p w:rsidR="001523B3" w:rsidRPr="00A64037" w:rsidRDefault="001523B3" w:rsidP="001523B3">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Е</w:t>
      </w:r>
      <w:r>
        <w:rPr>
          <w:rFonts w:ascii="Times New Roman" w:eastAsia="Times New Roman" w:hAnsi="Times New Roman" w:cs="Times New Roman"/>
          <w:sz w:val="27"/>
          <w:szCs w:val="27"/>
        </w:rPr>
        <w:t>SMA</w:t>
      </w:r>
      <w:r>
        <w:rPr>
          <w:rFonts w:ascii="Times New Roman" w:eastAsia="Times New Roman" w:hAnsi="Times New Roman" w:cs="Times New Roman"/>
          <w:sz w:val="27"/>
          <w:szCs w:val="27"/>
          <w:lang w:val="uk-UA"/>
        </w:rPr>
        <w:t xml:space="preserve"> подає ці проекти регуляторних технічних стандартів Комісії до 30 вересня 2012 р.</w:t>
      </w:r>
    </w:p>
    <w:p w:rsidR="001523B3" w:rsidRPr="009448A2" w:rsidRDefault="001523B3" w:rsidP="001523B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Комісії надається повноваження на прийняття регуляторних технічних стандартів, згаданих у першому абзаці цього пункту, </w:t>
      </w:r>
      <w:proofErr w:type="spellStart"/>
      <w:r w:rsidRPr="009448A2">
        <w:rPr>
          <w:rFonts w:ascii="Times New Roman" w:eastAsia="Times New Roman" w:hAnsi="Times New Roman" w:cs="Times New Roman"/>
          <w:sz w:val="27"/>
          <w:szCs w:val="27"/>
          <w:lang w:val="ru-RU"/>
        </w:rPr>
        <w:t>відповідно</w:t>
      </w:r>
      <w:proofErr w:type="spellEnd"/>
      <w:r w:rsidRPr="009448A2">
        <w:rPr>
          <w:rFonts w:ascii="Times New Roman" w:eastAsia="Times New Roman" w:hAnsi="Times New Roman" w:cs="Times New Roman"/>
          <w:sz w:val="27"/>
          <w:szCs w:val="27"/>
          <w:lang w:val="ru-RU"/>
        </w:rPr>
        <w:t xml:space="preserve"> до </w:t>
      </w:r>
      <w:proofErr w:type="spellStart"/>
      <w:r w:rsidRPr="009448A2">
        <w:rPr>
          <w:rFonts w:ascii="Times New Roman" w:eastAsia="Times New Roman" w:hAnsi="Times New Roman" w:cs="Times New Roman"/>
          <w:sz w:val="27"/>
          <w:szCs w:val="27"/>
          <w:lang w:val="ru-RU"/>
        </w:rPr>
        <w:t>статті</w:t>
      </w:r>
      <w:proofErr w:type="spellEnd"/>
      <w:r w:rsidRPr="009448A2">
        <w:rPr>
          <w:rFonts w:ascii="Times New Roman" w:eastAsia="Times New Roman" w:hAnsi="Times New Roman" w:cs="Times New Roman"/>
          <w:sz w:val="27"/>
          <w:szCs w:val="27"/>
          <w:lang w:val="ru-RU"/>
        </w:rPr>
        <w:t xml:space="preserve"> 15 Регламенту (</w:t>
      </w:r>
      <w:r>
        <w:rPr>
          <w:rFonts w:ascii="Times New Roman" w:eastAsia="Times New Roman" w:hAnsi="Times New Roman" w:cs="Times New Roman"/>
          <w:sz w:val="27"/>
          <w:szCs w:val="27"/>
        </w:rPr>
        <w:t>EU</w:t>
      </w:r>
      <w:r w:rsidRPr="009448A2">
        <w:rPr>
          <w:rFonts w:ascii="Times New Roman" w:eastAsia="Times New Roman" w:hAnsi="Times New Roman" w:cs="Times New Roman"/>
          <w:sz w:val="27"/>
          <w:szCs w:val="27"/>
          <w:lang w:val="ru-RU"/>
        </w:rPr>
        <w:t>) №</w:t>
      </w:r>
      <w:r w:rsidRPr="006279CF">
        <w:rPr>
          <w:rFonts w:ascii="Times New Roman" w:eastAsia="Times New Roman" w:hAnsi="Times New Roman" w:cs="Times New Roman"/>
          <w:sz w:val="27"/>
          <w:szCs w:val="27"/>
        </w:rPr>
        <w:t> </w:t>
      </w:r>
      <w:r w:rsidRPr="009448A2">
        <w:rPr>
          <w:rFonts w:ascii="Times New Roman" w:eastAsia="Times New Roman" w:hAnsi="Times New Roman" w:cs="Times New Roman"/>
          <w:sz w:val="27"/>
          <w:szCs w:val="27"/>
          <w:lang w:val="ru-RU"/>
        </w:rPr>
        <w:t>1095/2010.</w:t>
      </w:r>
    </w:p>
    <w:p w:rsidR="00DE77B0" w:rsidRPr="00EE2440"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EE2440">
        <w:rPr>
          <w:rFonts w:ascii="Times New Roman" w:eastAsia="Times New Roman" w:hAnsi="Times New Roman" w:cs="Times New Roman"/>
          <w:i/>
          <w:iCs/>
          <w:sz w:val="27"/>
          <w:szCs w:val="27"/>
          <w:lang w:val="ru-RU"/>
        </w:rPr>
        <w:lastRenderedPageBreak/>
        <w:t>Стаття</w:t>
      </w:r>
      <w:proofErr w:type="spellEnd"/>
      <w:r w:rsidR="00DE77B0" w:rsidRPr="00EE2440">
        <w:rPr>
          <w:rFonts w:ascii="Times New Roman" w:eastAsia="Times New Roman" w:hAnsi="Times New Roman" w:cs="Times New Roman"/>
          <w:i/>
          <w:iCs/>
          <w:sz w:val="27"/>
          <w:szCs w:val="27"/>
          <w:lang w:val="ru-RU"/>
        </w:rPr>
        <w:t xml:space="preserve"> 30</w:t>
      </w:r>
    </w:p>
    <w:p w:rsidR="00DE77B0" w:rsidRPr="00EE2440" w:rsidRDefault="00E77EE5"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 xml:space="preserve">Акціонери та члени з </w:t>
      </w:r>
      <w:r w:rsidR="0011059E">
        <w:rPr>
          <w:rFonts w:ascii="Times New Roman" w:eastAsia="Times New Roman" w:hAnsi="Times New Roman" w:cs="Times New Roman"/>
          <w:b/>
          <w:bCs/>
          <w:sz w:val="27"/>
          <w:szCs w:val="27"/>
          <w:lang w:val="uk-UA"/>
        </w:rPr>
        <w:t>кваліфікованими частками участі</w:t>
      </w:r>
    </w:p>
    <w:p w:rsidR="000154EA" w:rsidRPr="000154EA"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0154EA">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proofErr w:type="spellStart"/>
      <w:r w:rsidR="00812EED" w:rsidRPr="000154EA">
        <w:rPr>
          <w:rFonts w:ascii="Times New Roman" w:eastAsia="Times New Roman" w:hAnsi="Times New Roman" w:cs="Times New Roman"/>
          <w:sz w:val="27"/>
          <w:szCs w:val="27"/>
          <w:lang w:val="ru-RU"/>
        </w:rPr>
        <w:t>Компетентний</w:t>
      </w:r>
      <w:proofErr w:type="spellEnd"/>
      <w:r w:rsidR="00812EED" w:rsidRPr="00EE2440">
        <w:rPr>
          <w:rFonts w:ascii="Times New Roman" w:eastAsia="Times New Roman" w:hAnsi="Times New Roman" w:cs="Times New Roman"/>
          <w:sz w:val="27"/>
          <w:szCs w:val="27"/>
          <w:lang w:val="ru-RU"/>
        </w:rPr>
        <w:t xml:space="preserve"> </w:t>
      </w:r>
      <w:r w:rsidR="00812EED" w:rsidRPr="000154EA">
        <w:rPr>
          <w:rFonts w:ascii="Times New Roman" w:eastAsia="Times New Roman" w:hAnsi="Times New Roman" w:cs="Times New Roman"/>
          <w:sz w:val="27"/>
          <w:szCs w:val="27"/>
          <w:lang w:val="ru-RU"/>
        </w:rPr>
        <w:t>орган</w:t>
      </w:r>
      <w:r w:rsidRPr="00EE2440">
        <w:rPr>
          <w:rFonts w:ascii="Times New Roman" w:eastAsia="Times New Roman" w:hAnsi="Times New Roman" w:cs="Times New Roman"/>
          <w:sz w:val="27"/>
          <w:szCs w:val="27"/>
          <w:lang w:val="ru-RU"/>
        </w:rPr>
        <w:t xml:space="preserve"> </w:t>
      </w:r>
      <w:r w:rsidR="000154EA">
        <w:rPr>
          <w:rFonts w:ascii="Times New Roman" w:eastAsia="Times New Roman" w:hAnsi="Times New Roman" w:cs="Times New Roman"/>
          <w:sz w:val="27"/>
          <w:szCs w:val="27"/>
          <w:lang w:val="uk-UA"/>
        </w:rPr>
        <w:t>не надає ЦКА</w:t>
      </w:r>
      <w:r w:rsidR="0061274B" w:rsidRPr="00EE2440">
        <w:rPr>
          <w:rFonts w:ascii="Times New Roman" w:eastAsia="Times New Roman" w:hAnsi="Times New Roman" w:cs="Times New Roman"/>
          <w:sz w:val="27"/>
          <w:szCs w:val="27"/>
          <w:lang w:val="ru-RU"/>
        </w:rPr>
        <w:t xml:space="preserve"> </w:t>
      </w:r>
      <w:r w:rsidR="0061274B">
        <w:rPr>
          <w:rFonts w:ascii="Times New Roman" w:eastAsia="Times New Roman" w:hAnsi="Times New Roman" w:cs="Times New Roman"/>
          <w:sz w:val="27"/>
          <w:szCs w:val="27"/>
          <w:lang w:val="uk-UA"/>
        </w:rPr>
        <w:t>необхідні</w:t>
      </w:r>
      <w:r w:rsidR="000154EA">
        <w:rPr>
          <w:rFonts w:ascii="Times New Roman" w:eastAsia="Times New Roman" w:hAnsi="Times New Roman" w:cs="Times New Roman"/>
          <w:sz w:val="27"/>
          <w:szCs w:val="27"/>
          <w:lang w:val="uk-UA"/>
        </w:rPr>
        <w:t xml:space="preserve"> повноваження, якщо він не отримав інформацію про особи акціонерів або членів, чи то прямих, чи то непрямих, про фізичних та юридичних осіб, які мають кваліфіковані частки участі, а також про розміри цих часток.</w:t>
      </w:r>
    </w:p>
    <w:p w:rsidR="00DE77B0" w:rsidRPr="00EE2440"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1274B">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812EED" w:rsidRPr="0061274B">
        <w:rPr>
          <w:rFonts w:ascii="Times New Roman" w:eastAsia="Times New Roman" w:hAnsi="Times New Roman" w:cs="Times New Roman"/>
          <w:sz w:val="27"/>
          <w:szCs w:val="27"/>
          <w:lang w:val="uk-UA"/>
        </w:rPr>
        <w:t>Компетентний орган</w:t>
      </w:r>
      <w:r w:rsidRPr="0061274B">
        <w:rPr>
          <w:rFonts w:ascii="Times New Roman" w:eastAsia="Times New Roman" w:hAnsi="Times New Roman" w:cs="Times New Roman"/>
          <w:sz w:val="27"/>
          <w:szCs w:val="27"/>
          <w:lang w:val="uk-UA"/>
        </w:rPr>
        <w:t xml:space="preserve"> </w:t>
      </w:r>
      <w:r w:rsidR="0061274B">
        <w:rPr>
          <w:rFonts w:ascii="Times New Roman" w:eastAsia="Times New Roman" w:hAnsi="Times New Roman" w:cs="Times New Roman"/>
          <w:sz w:val="27"/>
          <w:szCs w:val="27"/>
          <w:lang w:val="uk-UA"/>
        </w:rPr>
        <w:t>відмовляє ЦКА у наданні необхідних повноважень, якщо він не впевнений у придатності акціонерів або членів, які мають кваліфіковані частки участі у ЦКА, враховуючи необхідність забезпечення раціонального і розумного управління ЦКА.</w:t>
      </w:r>
    </w:p>
    <w:p w:rsidR="0061274B"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EE2440">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61274B">
        <w:rPr>
          <w:rFonts w:ascii="Times New Roman" w:eastAsia="Times New Roman" w:hAnsi="Times New Roman" w:cs="Times New Roman"/>
          <w:sz w:val="27"/>
          <w:szCs w:val="27"/>
          <w:lang w:val="uk-UA"/>
        </w:rPr>
        <w:t>Якщо існують тісні зв'язки між ЦКА та іншими фізичними або юридичними особами, то компетентний орган надає необхідні повноваження тільки в тому випадку, якщо ці зв'язки не заважають ефективному виконанню компетентним органом своїх функцій щодо нагляду.</w:t>
      </w:r>
    </w:p>
    <w:p w:rsidR="00DE77B0" w:rsidRPr="00EE2440" w:rsidRDefault="00DE77B0" w:rsidP="00C345F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F06CA">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3F06CA">
        <w:rPr>
          <w:rFonts w:ascii="Times New Roman" w:eastAsia="Times New Roman" w:hAnsi="Times New Roman" w:cs="Times New Roman"/>
          <w:sz w:val="27"/>
          <w:szCs w:val="27"/>
          <w:lang w:val="uk-UA"/>
        </w:rPr>
        <w:t>Якщо особи, згадані у пункті 1 цієї статті</w:t>
      </w:r>
      <w:r w:rsidR="00C345FB">
        <w:rPr>
          <w:rFonts w:ascii="Times New Roman" w:eastAsia="Times New Roman" w:hAnsi="Times New Roman" w:cs="Times New Roman"/>
          <w:sz w:val="27"/>
          <w:szCs w:val="27"/>
          <w:lang w:val="uk-UA"/>
        </w:rPr>
        <w:t>, здійснюють вплив, який може завдати шкоди раціональному та розумному управлінню ЦКА, то компетентний орган уживає відповідних заходів для припинення існування такої ситуації, які можуть включати відкликання повноважень, наданих ЦКА.</w:t>
      </w:r>
    </w:p>
    <w:p w:rsidR="00DE77B0" w:rsidRPr="00EE2440"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1E6355">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proofErr w:type="spellStart"/>
      <w:r w:rsidR="00812EED" w:rsidRPr="001E6355">
        <w:rPr>
          <w:rFonts w:ascii="Times New Roman" w:eastAsia="Times New Roman" w:hAnsi="Times New Roman" w:cs="Times New Roman"/>
          <w:sz w:val="27"/>
          <w:szCs w:val="27"/>
          <w:lang w:val="ru-RU"/>
        </w:rPr>
        <w:t>Компетентний</w:t>
      </w:r>
      <w:proofErr w:type="spellEnd"/>
      <w:r w:rsidR="00812EED" w:rsidRPr="00EE2440">
        <w:rPr>
          <w:rFonts w:ascii="Times New Roman" w:eastAsia="Times New Roman" w:hAnsi="Times New Roman" w:cs="Times New Roman"/>
          <w:sz w:val="27"/>
          <w:szCs w:val="27"/>
          <w:lang w:val="ru-RU"/>
        </w:rPr>
        <w:t xml:space="preserve"> </w:t>
      </w:r>
      <w:r w:rsidR="00812EED" w:rsidRPr="001E6355">
        <w:rPr>
          <w:rFonts w:ascii="Times New Roman" w:eastAsia="Times New Roman" w:hAnsi="Times New Roman" w:cs="Times New Roman"/>
          <w:sz w:val="27"/>
          <w:szCs w:val="27"/>
          <w:lang w:val="ru-RU"/>
        </w:rPr>
        <w:t>орган</w:t>
      </w:r>
      <w:r w:rsidRPr="00EE2440">
        <w:rPr>
          <w:rFonts w:ascii="Times New Roman" w:eastAsia="Times New Roman" w:hAnsi="Times New Roman" w:cs="Times New Roman"/>
          <w:sz w:val="27"/>
          <w:szCs w:val="27"/>
          <w:lang w:val="ru-RU"/>
        </w:rPr>
        <w:t xml:space="preserve"> </w:t>
      </w:r>
      <w:r w:rsidR="001E6355">
        <w:rPr>
          <w:rFonts w:ascii="Times New Roman" w:eastAsia="Times New Roman" w:hAnsi="Times New Roman" w:cs="Times New Roman"/>
          <w:sz w:val="27"/>
          <w:szCs w:val="27"/>
          <w:lang w:val="uk-UA"/>
        </w:rPr>
        <w:t xml:space="preserve">відмовляє ЦКА у наданні необхідних повноважень, якщо закони, нормативні акти або адміністративні положення третьої країни, які регламентують діяльність однієї чи декількох фізичних або юридичних осіб, з якими ЦКА має тісні зв'язки, </w:t>
      </w:r>
      <w:r w:rsidR="00BA4B4B">
        <w:rPr>
          <w:rFonts w:ascii="Times New Roman" w:eastAsia="Times New Roman" w:hAnsi="Times New Roman" w:cs="Times New Roman"/>
          <w:sz w:val="27"/>
          <w:szCs w:val="27"/>
          <w:lang w:val="uk-UA"/>
        </w:rPr>
        <w:t>або труднощі, що виникають у забезпеченні застосування цих законів, нормативних актів і адміністративних положень, перешкоджають ефективному виконанню компетентним органом своїх функцій щодо нагляду.</w:t>
      </w:r>
    </w:p>
    <w:p w:rsidR="00DE77B0" w:rsidRPr="00EE2440"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EE2440">
        <w:rPr>
          <w:rFonts w:ascii="Times New Roman" w:eastAsia="Times New Roman" w:hAnsi="Times New Roman" w:cs="Times New Roman"/>
          <w:i/>
          <w:iCs/>
          <w:sz w:val="27"/>
          <w:szCs w:val="27"/>
          <w:lang w:val="ru-RU"/>
        </w:rPr>
        <w:t>Стаття</w:t>
      </w:r>
      <w:proofErr w:type="spellEnd"/>
      <w:r w:rsidR="00DE77B0" w:rsidRPr="00EE2440">
        <w:rPr>
          <w:rFonts w:ascii="Times New Roman" w:eastAsia="Times New Roman" w:hAnsi="Times New Roman" w:cs="Times New Roman"/>
          <w:i/>
          <w:iCs/>
          <w:sz w:val="27"/>
          <w:szCs w:val="27"/>
          <w:lang w:val="ru-RU"/>
        </w:rPr>
        <w:t xml:space="preserve"> 31</w:t>
      </w:r>
    </w:p>
    <w:p w:rsidR="00DE77B0" w:rsidRPr="00EE2440" w:rsidRDefault="0011059E"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Інформування компетентних органів</w:t>
      </w:r>
    </w:p>
    <w:p w:rsidR="00DE77B0" w:rsidRPr="00EE2440" w:rsidRDefault="00DE77B0" w:rsidP="00DD3E1F">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E2440">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A4019C">
        <w:rPr>
          <w:rFonts w:ascii="Times New Roman" w:eastAsia="Times New Roman" w:hAnsi="Times New Roman" w:cs="Times New Roman"/>
          <w:sz w:val="27"/>
          <w:szCs w:val="27"/>
          <w:lang w:val="uk-UA"/>
        </w:rPr>
        <w:t xml:space="preserve">ЦКА повідомляє своєму компетентному органові про всі зміни у своєму керівництві, а також надає компетентному органові всю інформацію, необхідну для оцінювання дотримання статті 27(1) та другого </w:t>
      </w:r>
      <w:r w:rsidR="00DD3E1F">
        <w:rPr>
          <w:rFonts w:ascii="Times New Roman" w:eastAsia="Times New Roman" w:hAnsi="Times New Roman" w:cs="Times New Roman"/>
          <w:sz w:val="27"/>
          <w:szCs w:val="27"/>
          <w:lang w:val="uk-UA"/>
        </w:rPr>
        <w:t>абзацу статті 27(2).</w:t>
      </w:r>
    </w:p>
    <w:p w:rsidR="00DE77B0" w:rsidRPr="00EE2440" w:rsidRDefault="00DD3E1F" w:rsidP="007951F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Якщо поведінка члена ради може завдати шкоди раціональному та розумному управлінню </w:t>
      </w:r>
      <w:r w:rsidR="007951F3">
        <w:rPr>
          <w:rFonts w:ascii="Times New Roman" w:eastAsia="Times New Roman" w:hAnsi="Times New Roman" w:cs="Times New Roman"/>
          <w:sz w:val="27"/>
          <w:szCs w:val="27"/>
          <w:lang w:val="uk-UA"/>
        </w:rPr>
        <w:t>ЦКА, то компетентний орган вживає відповідних заходів, зокрема, такий член ради може бути виключений з її складу.</w:t>
      </w:r>
    </w:p>
    <w:p w:rsidR="00DE77B0" w:rsidRPr="00EE2440" w:rsidRDefault="00DE77B0" w:rsidP="0031222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0737B7">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0740D8">
        <w:rPr>
          <w:rFonts w:ascii="Times New Roman" w:eastAsia="Times New Roman" w:hAnsi="Times New Roman" w:cs="Times New Roman"/>
          <w:sz w:val="27"/>
          <w:szCs w:val="27"/>
          <w:lang w:val="uk-UA"/>
        </w:rPr>
        <w:t xml:space="preserve">Будь-яка фізична або юридична особа або такі особи, що діють узгоджено (далі – «пропонований набувач»), які ухвалили рішення про придбання, пряме чи опосередковане, кваліфікованої частки участі у ЦКА або про подальше </w:t>
      </w:r>
      <w:r w:rsidR="000740D8">
        <w:rPr>
          <w:rFonts w:ascii="Times New Roman" w:eastAsia="Times New Roman" w:hAnsi="Times New Roman" w:cs="Times New Roman"/>
          <w:sz w:val="27"/>
          <w:szCs w:val="27"/>
          <w:lang w:val="uk-UA"/>
        </w:rPr>
        <w:lastRenderedPageBreak/>
        <w:t>збільшення, пряме чи опосередковане, такої кваліфікованої частки участі у ЦКА, в результаті</w:t>
      </w:r>
      <w:r w:rsidR="00EB12DC">
        <w:rPr>
          <w:rFonts w:ascii="Times New Roman" w:eastAsia="Times New Roman" w:hAnsi="Times New Roman" w:cs="Times New Roman"/>
          <w:sz w:val="27"/>
          <w:szCs w:val="27"/>
          <w:lang w:val="uk-UA"/>
        </w:rPr>
        <w:t xml:space="preserve"> чого частка у правах голосу або у наявному капіталі сягнула б або перевищила 10%, 20%, 30% або 50%, або ЦКА став би дочірнім підприємством такої особи</w:t>
      </w:r>
      <w:r w:rsidR="000740D8">
        <w:rPr>
          <w:rFonts w:ascii="Times New Roman" w:eastAsia="Times New Roman" w:hAnsi="Times New Roman" w:cs="Times New Roman"/>
          <w:sz w:val="27"/>
          <w:szCs w:val="27"/>
          <w:lang w:val="uk-UA"/>
        </w:rPr>
        <w:t xml:space="preserve"> або осіб (далі – «пропоноване придбання»), спочатку повідомляють у письмовому вигляді компетентний орган того ЦКА, в якому вони планують придбати чи збільшити кваліфіковану частку участі, зазначивши в повідомленні розмір відповідної частки участі та необхідну інформацію, згідно зі статтею 32(4).</w:t>
      </w:r>
    </w:p>
    <w:p w:rsidR="00DE77B0" w:rsidRPr="00A95977" w:rsidRDefault="000740D8" w:rsidP="00A95977">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Будь-яка фізична або юридична особа, як</w:t>
      </w:r>
      <w:r>
        <w:rPr>
          <w:rFonts w:ascii="Times New Roman" w:eastAsia="Times New Roman" w:hAnsi="Times New Roman" w:cs="Times New Roman"/>
          <w:sz w:val="27"/>
          <w:szCs w:val="27"/>
        </w:rPr>
        <w:t>f</w:t>
      </w:r>
      <w:r>
        <w:rPr>
          <w:rFonts w:ascii="Times New Roman" w:eastAsia="Times New Roman" w:hAnsi="Times New Roman" w:cs="Times New Roman"/>
          <w:sz w:val="27"/>
          <w:szCs w:val="27"/>
          <w:lang w:val="uk-UA"/>
        </w:rPr>
        <w:t xml:space="preserve"> ухвалили рішення про відчуження, пряме чи опосередковане, кваліфікованої частки участі у ЦКА (далі – «пропонований продавець»), спочатку повідомля</w:t>
      </w:r>
      <w:r w:rsidR="00EB12DC">
        <w:rPr>
          <w:rFonts w:ascii="Times New Roman" w:eastAsia="Times New Roman" w:hAnsi="Times New Roman" w:cs="Times New Roman"/>
          <w:sz w:val="27"/>
          <w:szCs w:val="27"/>
          <w:lang w:val="uk-UA"/>
        </w:rPr>
        <w:t>є про це</w:t>
      </w:r>
      <w:r>
        <w:rPr>
          <w:rFonts w:ascii="Times New Roman" w:eastAsia="Times New Roman" w:hAnsi="Times New Roman" w:cs="Times New Roman"/>
          <w:sz w:val="27"/>
          <w:szCs w:val="27"/>
          <w:lang w:val="uk-UA"/>
        </w:rPr>
        <w:t xml:space="preserve"> у письмовому вигляді компетентний орган того, зазначивши в повідомленні розмір відповідної частки участі</w:t>
      </w:r>
      <w:r w:rsidR="00EB12DC">
        <w:rPr>
          <w:rFonts w:ascii="Times New Roman" w:eastAsia="Times New Roman" w:hAnsi="Times New Roman" w:cs="Times New Roman"/>
          <w:sz w:val="27"/>
          <w:szCs w:val="27"/>
          <w:lang w:val="uk-UA"/>
        </w:rPr>
        <w:t xml:space="preserve">. Така особа також повідомляє компетентний орган, якщо вона ухвалила рішення про зменшення кваліфікованої частки участі, в результаті чого частка у правах голосу або у наявному капіталі впаде нижче 10%, 20%, 30% або 50%, або ЦКА </w:t>
      </w:r>
      <w:r w:rsidR="00A95977">
        <w:rPr>
          <w:rFonts w:ascii="Times New Roman" w:eastAsia="Times New Roman" w:hAnsi="Times New Roman" w:cs="Times New Roman"/>
          <w:sz w:val="27"/>
          <w:szCs w:val="27"/>
          <w:lang w:val="uk-UA"/>
        </w:rPr>
        <w:t>припинить бути</w:t>
      </w:r>
      <w:r w:rsidR="00EB12DC">
        <w:rPr>
          <w:rFonts w:ascii="Times New Roman" w:eastAsia="Times New Roman" w:hAnsi="Times New Roman" w:cs="Times New Roman"/>
          <w:sz w:val="27"/>
          <w:szCs w:val="27"/>
          <w:lang w:val="uk-UA"/>
        </w:rPr>
        <w:t xml:space="preserve"> дочірнім підприємством </w:t>
      </w:r>
      <w:r w:rsidR="00A95977">
        <w:rPr>
          <w:rFonts w:ascii="Times New Roman" w:eastAsia="Times New Roman" w:hAnsi="Times New Roman" w:cs="Times New Roman"/>
          <w:sz w:val="27"/>
          <w:szCs w:val="27"/>
          <w:lang w:val="uk-UA"/>
        </w:rPr>
        <w:t>цієї</w:t>
      </w:r>
      <w:r w:rsidR="00EB12DC">
        <w:rPr>
          <w:rFonts w:ascii="Times New Roman" w:eastAsia="Times New Roman" w:hAnsi="Times New Roman" w:cs="Times New Roman"/>
          <w:sz w:val="27"/>
          <w:szCs w:val="27"/>
          <w:lang w:val="uk-UA"/>
        </w:rPr>
        <w:t xml:space="preserve"> особи</w:t>
      </w:r>
      <w:r w:rsidR="00DE77B0" w:rsidRPr="00A95977">
        <w:rPr>
          <w:rFonts w:ascii="Times New Roman" w:eastAsia="Times New Roman" w:hAnsi="Times New Roman" w:cs="Times New Roman"/>
          <w:sz w:val="27"/>
          <w:szCs w:val="27"/>
          <w:lang w:val="uk-UA"/>
        </w:rPr>
        <w:t>.</w:t>
      </w:r>
    </w:p>
    <w:p w:rsidR="00A95977" w:rsidRPr="00A95977" w:rsidRDefault="00812EED"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A95977">
        <w:rPr>
          <w:rFonts w:ascii="Times New Roman" w:eastAsia="Times New Roman" w:hAnsi="Times New Roman" w:cs="Times New Roman"/>
          <w:sz w:val="27"/>
          <w:szCs w:val="27"/>
          <w:lang w:val="uk-UA"/>
        </w:rPr>
        <w:t>Компетентний орган</w:t>
      </w:r>
      <w:r w:rsidR="00A95977">
        <w:rPr>
          <w:rFonts w:ascii="Times New Roman" w:eastAsia="Times New Roman" w:hAnsi="Times New Roman" w:cs="Times New Roman"/>
          <w:sz w:val="27"/>
          <w:szCs w:val="27"/>
          <w:lang w:val="uk-UA"/>
        </w:rPr>
        <w:t xml:space="preserve"> невідкладно, і в будь-якому разі впродовж двох робочих днів з дня отримання повідомлення, згаданого в цьому пункті, та інформації, згаданої у пункті 3</w:t>
      </w:r>
      <w:r w:rsidR="007A4692">
        <w:rPr>
          <w:rFonts w:ascii="Times New Roman" w:eastAsia="Times New Roman" w:hAnsi="Times New Roman" w:cs="Times New Roman"/>
          <w:sz w:val="27"/>
          <w:szCs w:val="27"/>
          <w:lang w:val="uk-UA"/>
        </w:rPr>
        <w:t>, підтверджує пропонованому набувачеві чи продавцеві у письмовому вигляді її отримання.</w:t>
      </w:r>
    </w:p>
    <w:p w:rsidR="007A4692" w:rsidRPr="007A4692" w:rsidRDefault="00812EED"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7A4692">
        <w:rPr>
          <w:rFonts w:ascii="Times New Roman" w:eastAsia="Times New Roman" w:hAnsi="Times New Roman" w:cs="Times New Roman"/>
          <w:sz w:val="27"/>
          <w:szCs w:val="27"/>
          <w:lang w:val="uk-UA"/>
        </w:rPr>
        <w:t>Компетентний орган</w:t>
      </w:r>
      <w:r w:rsidR="00DE77B0" w:rsidRPr="007A4692">
        <w:rPr>
          <w:rFonts w:ascii="Times New Roman" w:eastAsia="Times New Roman" w:hAnsi="Times New Roman" w:cs="Times New Roman"/>
          <w:sz w:val="27"/>
          <w:szCs w:val="27"/>
          <w:lang w:val="uk-UA"/>
        </w:rPr>
        <w:t xml:space="preserve"> </w:t>
      </w:r>
      <w:r w:rsidR="007A4692">
        <w:rPr>
          <w:rFonts w:ascii="Times New Roman" w:eastAsia="Times New Roman" w:hAnsi="Times New Roman" w:cs="Times New Roman"/>
          <w:sz w:val="27"/>
          <w:szCs w:val="27"/>
          <w:lang w:val="uk-UA"/>
        </w:rPr>
        <w:t>має у своєму розпорядженні максимум 60 робочих днів із дати письмового підтвердження отримання повідомлення та всіх документів, які мають бути додані до повідомлення згідно з переліком, наведеним у статті 32(4) (</w:t>
      </w:r>
      <w:r w:rsidR="007B014C">
        <w:rPr>
          <w:rFonts w:ascii="Times New Roman" w:eastAsia="Times New Roman" w:hAnsi="Times New Roman" w:cs="Times New Roman"/>
          <w:sz w:val="27"/>
          <w:szCs w:val="27"/>
          <w:lang w:val="uk-UA"/>
        </w:rPr>
        <w:t>далі – «період оцінки»), для проведення оцінки, передбаченої у статті 32(1) (далі – «оцінка»).</w:t>
      </w:r>
    </w:p>
    <w:p w:rsidR="007B014C" w:rsidRPr="007B014C" w:rsidRDefault="00812EED"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proofErr w:type="spellStart"/>
      <w:r w:rsidRPr="007B014C">
        <w:rPr>
          <w:rFonts w:ascii="Times New Roman" w:eastAsia="Times New Roman" w:hAnsi="Times New Roman" w:cs="Times New Roman"/>
          <w:sz w:val="27"/>
          <w:szCs w:val="27"/>
          <w:lang w:val="ru-RU"/>
        </w:rPr>
        <w:t>Компетентний</w:t>
      </w:r>
      <w:proofErr w:type="spellEnd"/>
      <w:r w:rsidRPr="007B014C">
        <w:rPr>
          <w:rFonts w:ascii="Times New Roman" w:eastAsia="Times New Roman" w:hAnsi="Times New Roman" w:cs="Times New Roman"/>
          <w:sz w:val="27"/>
          <w:szCs w:val="27"/>
          <w:lang w:val="ru-RU"/>
        </w:rPr>
        <w:t xml:space="preserve"> орган</w:t>
      </w:r>
      <w:r w:rsidR="00DE77B0" w:rsidRPr="007B014C">
        <w:rPr>
          <w:rFonts w:ascii="Times New Roman" w:eastAsia="Times New Roman" w:hAnsi="Times New Roman" w:cs="Times New Roman"/>
          <w:sz w:val="27"/>
          <w:szCs w:val="27"/>
          <w:lang w:val="ru-RU"/>
        </w:rPr>
        <w:t xml:space="preserve"> </w:t>
      </w:r>
      <w:r w:rsidR="007B014C">
        <w:rPr>
          <w:rFonts w:ascii="Times New Roman" w:eastAsia="Times New Roman" w:hAnsi="Times New Roman" w:cs="Times New Roman"/>
          <w:sz w:val="27"/>
          <w:szCs w:val="27"/>
          <w:lang w:val="uk-UA"/>
        </w:rPr>
        <w:t>інформує пропонованого набувача або продавця про дату закінчення періоду оцінки в момент підтвердження отримання вищезгаданого повідомлення і документів.</w:t>
      </w:r>
    </w:p>
    <w:p w:rsidR="007B014C" w:rsidRPr="007B014C"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7B014C">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812EED" w:rsidRPr="007B014C">
        <w:rPr>
          <w:rFonts w:ascii="Times New Roman" w:eastAsia="Times New Roman" w:hAnsi="Times New Roman" w:cs="Times New Roman"/>
          <w:sz w:val="27"/>
          <w:szCs w:val="27"/>
          <w:lang w:val="uk-UA"/>
        </w:rPr>
        <w:t>Компетентний орган</w:t>
      </w:r>
      <w:r w:rsidRPr="007B014C">
        <w:rPr>
          <w:rFonts w:ascii="Times New Roman" w:eastAsia="Times New Roman" w:hAnsi="Times New Roman" w:cs="Times New Roman"/>
          <w:sz w:val="27"/>
          <w:szCs w:val="27"/>
          <w:lang w:val="uk-UA"/>
        </w:rPr>
        <w:t xml:space="preserve"> </w:t>
      </w:r>
      <w:r w:rsidR="007B014C">
        <w:rPr>
          <w:rFonts w:ascii="Times New Roman" w:eastAsia="Times New Roman" w:hAnsi="Times New Roman" w:cs="Times New Roman"/>
          <w:sz w:val="27"/>
          <w:szCs w:val="27"/>
          <w:lang w:val="uk-UA"/>
        </w:rPr>
        <w:t xml:space="preserve">упродовж періоду оцінки може, у необхідних випадках, але не пізніше, ніж на п’ятдесятий робочий день періоду оцінки, зажадати надання додаткової інформації, що необхідна для проведення оцінки. </w:t>
      </w:r>
      <w:r w:rsidR="00E7795A">
        <w:rPr>
          <w:rFonts w:ascii="Times New Roman" w:eastAsia="Times New Roman" w:hAnsi="Times New Roman" w:cs="Times New Roman"/>
          <w:sz w:val="27"/>
          <w:szCs w:val="27"/>
          <w:lang w:val="uk-UA"/>
        </w:rPr>
        <w:t>Такий запит оформлюється у письмовому вигляді з зазначенням необхідної додаткової інформації.</w:t>
      </w:r>
    </w:p>
    <w:p w:rsidR="00777DCF" w:rsidRPr="00777DCF" w:rsidRDefault="00777DCF"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Період оцінки переривається на період із дати запиту інформації компетентним органом до дати отримання відповіді на цей запит </w:t>
      </w:r>
      <w:r w:rsidR="00AC6077">
        <w:rPr>
          <w:rFonts w:ascii="Times New Roman" w:eastAsia="Times New Roman" w:hAnsi="Times New Roman" w:cs="Times New Roman"/>
          <w:sz w:val="27"/>
          <w:szCs w:val="27"/>
          <w:lang w:val="uk-UA"/>
        </w:rPr>
        <w:t>від пропонованого набувача. Така перерва не повинна перевищувати 20 робочих днів. Додаткові запити компетентного органу щодо доповнення або уточнення інформації надсилаються цим органом на його розсуд, але не можуть призводити до перерви у періоді оцінки.</w:t>
      </w:r>
    </w:p>
    <w:p w:rsidR="00DE77B0" w:rsidRPr="00EE2440"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D6B84">
        <w:rPr>
          <w:rFonts w:ascii="Times New Roman" w:eastAsia="Times New Roman" w:hAnsi="Times New Roman" w:cs="Times New Roman"/>
          <w:sz w:val="27"/>
          <w:szCs w:val="27"/>
          <w:lang w:val="ru-RU"/>
        </w:rPr>
        <w:lastRenderedPageBreak/>
        <w:t>4.</w:t>
      </w:r>
      <w:r w:rsidRPr="006279CF">
        <w:rPr>
          <w:rFonts w:ascii="Times New Roman" w:eastAsia="Times New Roman" w:hAnsi="Times New Roman" w:cs="Times New Roman"/>
          <w:sz w:val="27"/>
          <w:szCs w:val="27"/>
        </w:rPr>
        <w:t>   </w:t>
      </w:r>
      <w:proofErr w:type="spellStart"/>
      <w:r w:rsidR="00812EED" w:rsidRPr="00FD6B84">
        <w:rPr>
          <w:rFonts w:ascii="Times New Roman" w:eastAsia="Times New Roman" w:hAnsi="Times New Roman" w:cs="Times New Roman"/>
          <w:sz w:val="27"/>
          <w:szCs w:val="27"/>
          <w:lang w:val="ru-RU"/>
        </w:rPr>
        <w:t>Компетентний</w:t>
      </w:r>
      <w:proofErr w:type="spellEnd"/>
      <w:r w:rsidR="00812EED" w:rsidRPr="00FD6B84">
        <w:rPr>
          <w:rFonts w:ascii="Times New Roman" w:eastAsia="Times New Roman" w:hAnsi="Times New Roman" w:cs="Times New Roman"/>
          <w:sz w:val="27"/>
          <w:szCs w:val="27"/>
          <w:lang w:val="ru-RU"/>
        </w:rPr>
        <w:t xml:space="preserve"> орган</w:t>
      </w:r>
      <w:r w:rsidRPr="00FD6B84">
        <w:rPr>
          <w:rFonts w:ascii="Times New Roman" w:eastAsia="Times New Roman" w:hAnsi="Times New Roman" w:cs="Times New Roman"/>
          <w:sz w:val="27"/>
          <w:szCs w:val="27"/>
          <w:lang w:val="ru-RU"/>
        </w:rPr>
        <w:t xml:space="preserve"> </w:t>
      </w:r>
      <w:r w:rsidR="00FD6B84">
        <w:rPr>
          <w:rFonts w:ascii="Times New Roman" w:eastAsia="Times New Roman" w:hAnsi="Times New Roman" w:cs="Times New Roman"/>
          <w:sz w:val="27"/>
          <w:szCs w:val="27"/>
          <w:lang w:val="uk-UA"/>
        </w:rPr>
        <w:t>може продовжити перерву, згадану в другому абзаці пункту 3 цієї статті, до 30 робочих днів, якщо пропонований набувач або продавець:</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1864BF">
        <w:tc>
          <w:tcPr>
            <w:tcW w:w="214"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4786"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E2440" w:rsidRDefault="001864BF" w:rsidP="001864BF">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розташований поза межами Союзу або його діяльність регулюються поза межами Союзу;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D4ED8" w:rsidRDefault="001864BF" w:rsidP="00FD4ED8">
            <w:pPr>
              <w:spacing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є фізичною або юридичною особою, яка не підлягає наглядові за цим регламентом або за Директивою</w:t>
            </w:r>
            <w:r w:rsidR="00DE77B0" w:rsidRPr="001864BF">
              <w:rPr>
                <w:rFonts w:ascii="Times New Roman" w:eastAsia="Times New Roman" w:hAnsi="Times New Roman" w:cs="Times New Roman"/>
                <w:sz w:val="27"/>
                <w:szCs w:val="27"/>
                <w:lang w:val="ru-RU"/>
              </w:rPr>
              <w:t xml:space="preserve"> </w:t>
            </w:r>
            <w:r w:rsidR="00DE77B0" w:rsidRPr="00EE2440">
              <w:rPr>
                <w:rFonts w:ascii="Times New Roman" w:eastAsia="Times New Roman" w:hAnsi="Times New Roman" w:cs="Times New Roman"/>
                <w:sz w:val="27"/>
                <w:szCs w:val="27"/>
                <w:lang w:val="ru-RU"/>
              </w:rPr>
              <w:t>73/239/</w:t>
            </w:r>
            <w:r w:rsidR="00DE77B0" w:rsidRPr="006279CF">
              <w:rPr>
                <w:rFonts w:ascii="Times New Roman" w:eastAsia="Times New Roman" w:hAnsi="Times New Roman" w:cs="Times New Roman"/>
                <w:sz w:val="27"/>
                <w:szCs w:val="27"/>
              </w:rPr>
              <w:t>EEC</w:t>
            </w:r>
            <w:r w:rsidR="00DE77B0" w:rsidRPr="00EE2440">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Директивою Ради</w:t>
            </w:r>
            <w:r w:rsidR="00DE77B0" w:rsidRPr="001864BF">
              <w:rPr>
                <w:rFonts w:ascii="Times New Roman" w:eastAsia="Times New Roman" w:hAnsi="Times New Roman" w:cs="Times New Roman"/>
                <w:sz w:val="27"/>
                <w:szCs w:val="27"/>
                <w:lang w:val="uk-UA"/>
              </w:rPr>
              <w:t xml:space="preserve"> 92/49/</w:t>
            </w:r>
            <w:r w:rsidR="00DE77B0" w:rsidRPr="006279CF">
              <w:rPr>
                <w:rFonts w:ascii="Times New Roman" w:eastAsia="Times New Roman" w:hAnsi="Times New Roman" w:cs="Times New Roman"/>
                <w:sz w:val="27"/>
                <w:szCs w:val="27"/>
              </w:rPr>
              <w:t>EEC</w:t>
            </w:r>
            <w:r w:rsidR="00DE77B0" w:rsidRPr="001864BF">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від 18 червня 1992 р. щодо координації законів, нормативних актів і адміністративних положень, що стосуються іншого прямого страхування, ніж страхування життя</w:t>
            </w:r>
            <w:hyperlink r:id="rId34" w:anchor="ntr30-L_2012201EN.01000101-E0030" w:history="1">
              <w:r w:rsidR="00DE77B0" w:rsidRPr="006279CF">
                <w:rPr>
                  <w:rFonts w:ascii="Times New Roman" w:eastAsia="Times New Roman" w:hAnsi="Times New Roman" w:cs="Times New Roman"/>
                  <w:sz w:val="27"/>
                  <w:szCs w:val="27"/>
                  <w:bdr w:val="none" w:sz="0" w:space="0" w:color="auto" w:frame="1"/>
                </w:rPr>
                <w:t> </w:t>
              </w:r>
              <w:r w:rsidR="00DE77B0" w:rsidRPr="00FD4ED8">
                <w:rPr>
                  <w:rFonts w:ascii="Times New Roman" w:eastAsia="Times New Roman" w:hAnsi="Times New Roman" w:cs="Times New Roman"/>
                  <w:sz w:val="27"/>
                  <w:szCs w:val="27"/>
                  <w:bdr w:val="none" w:sz="0" w:space="0" w:color="auto" w:frame="1"/>
                  <w:lang w:val="uk-UA"/>
                </w:rPr>
                <w:t>(</w:t>
              </w:r>
              <w:r w:rsidR="00DE77B0" w:rsidRPr="00FD4ED8">
                <w:rPr>
                  <w:rFonts w:ascii="Times New Roman" w:eastAsia="Times New Roman" w:hAnsi="Times New Roman" w:cs="Times New Roman"/>
                  <w:sz w:val="19"/>
                  <w:szCs w:val="19"/>
                  <w:bdr w:val="none" w:sz="0" w:space="0" w:color="auto" w:frame="1"/>
                  <w:vertAlign w:val="superscript"/>
                  <w:lang w:val="uk-UA"/>
                </w:rPr>
                <w:t>30</w:t>
              </w:r>
              <w:r w:rsidR="00DE77B0" w:rsidRPr="00FD4ED8">
                <w:rPr>
                  <w:rFonts w:ascii="Times New Roman" w:eastAsia="Times New Roman" w:hAnsi="Times New Roman" w:cs="Times New Roman"/>
                  <w:sz w:val="27"/>
                  <w:szCs w:val="27"/>
                  <w:bdr w:val="none" w:sz="0" w:space="0" w:color="auto" w:frame="1"/>
                  <w:lang w:val="uk-UA"/>
                </w:rPr>
                <w:t>)</w:t>
              </w:r>
            </w:hyperlink>
            <w:r w:rsidR="00FD4ED8">
              <w:rPr>
                <w:rFonts w:ascii="Times New Roman" w:eastAsia="Times New Roman" w:hAnsi="Times New Roman" w:cs="Times New Roman"/>
                <w:sz w:val="27"/>
                <w:szCs w:val="27"/>
                <w:lang w:val="uk-UA"/>
              </w:rPr>
              <w:t>, або Директивами</w:t>
            </w:r>
            <w:r w:rsidR="00DE77B0" w:rsidRPr="00FD4ED8">
              <w:rPr>
                <w:rFonts w:ascii="Times New Roman" w:eastAsia="Times New Roman" w:hAnsi="Times New Roman" w:cs="Times New Roman"/>
                <w:sz w:val="27"/>
                <w:szCs w:val="27"/>
                <w:lang w:val="uk-UA"/>
              </w:rPr>
              <w:t xml:space="preserve"> 2002/83/</w:t>
            </w:r>
            <w:r w:rsidR="00DE77B0" w:rsidRPr="006279CF">
              <w:rPr>
                <w:rFonts w:ascii="Times New Roman" w:eastAsia="Times New Roman" w:hAnsi="Times New Roman" w:cs="Times New Roman"/>
                <w:sz w:val="27"/>
                <w:szCs w:val="27"/>
              </w:rPr>
              <w:t>EC</w:t>
            </w:r>
            <w:r w:rsidR="00DE77B0" w:rsidRPr="00FD4ED8">
              <w:rPr>
                <w:rFonts w:ascii="Times New Roman" w:eastAsia="Times New Roman" w:hAnsi="Times New Roman" w:cs="Times New Roman"/>
                <w:sz w:val="27"/>
                <w:szCs w:val="27"/>
                <w:lang w:val="uk-UA"/>
              </w:rPr>
              <w:t>, 2003/41/</w:t>
            </w:r>
            <w:r w:rsidR="00DE77B0" w:rsidRPr="006279CF">
              <w:rPr>
                <w:rFonts w:ascii="Times New Roman" w:eastAsia="Times New Roman" w:hAnsi="Times New Roman" w:cs="Times New Roman"/>
                <w:sz w:val="27"/>
                <w:szCs w:val="27"/>
              </w:rPr>
              <w:t>EC</w:t>
            </w:r>
            <w:r w:rsidR="00DE77B0" w:rsidRPr="00FD4ED8">
              <w:rPr>
                <w:rFonts w:ascii="Times New Roman" w:eastAsia="Times New Roman" w:hAnsi="Times New Roman" w:cs="Times New Roman"/>
                <w:sz w:val="27"/>
                <w:szCs w:val="27"/>
                <w:lang w:val="uk-UA"/>
              </w:rPr>
              <w:t>, 2004/39/</w:t>
            </w:r>
            <w:r w:rsidR="00DE77B0" w:rsidRPr="006279CF">
              <w:rPr>
                <w:rFonts w:ascii="Times New Roman" w:eastAsia="Times New Roman" w:hAnsi="Times New Roman" w:cs="Times New Roman"/>
                <w:sz w:val="27"/>
                <w:szCs w:val="27"/>
              </w:rPr>
              <w:t>EC</w:t>
            </w:r>
            <w:r w:rsidR="00DE77B0" w:rsidRPr="00FD4ED8">
              <w:rPr>
                <w:rFonts w:ascii="Times New Roman" w:eastAsia="Times New Roman" w:hAnsi="Times New Roman" w:cs="Times New Roman"/>
                <w:sz w:val="27"/>
                <w:szCs w:val="27"/>
                <w:lang w:val="uk-UA"/>
              </w:rPr>
              <w:t>, 2005/68/</w:t>
            </w:r>
            <w:r w:rsidR="00DE77B0" w:rsidRPr="006279CF">
              <w:rPr>
                <w:rFonts w:ascii="Times New Roman" w:eastAsia="Times New Roman" w:hAnsi="Times New Roman" w:cs="Times New Roman"/>
                <w:sz w:val="27"/>
                <w:szCs w:val="27"/>
              </w:rPr>
              <w:t>EC</w:t>
            </w:r>
            <w:r w:rsidR="00DE77B0" w:rsidRPr="00FD4ED8">
              <w:rPr>
                <w:rFonts w:ascii="Times New Roman" w:eastAsia="Times New Roman" w:hAnsi="Times New Roman" w:cs="Times New Roman"/>
                <w:sz w:val="27"/>
                <w:szCs w:val="27"/>
                <w:lang w:val="uk-UA"/>
              </w:rPr>
              <w:t>, 2006/48/</w:t>
            </w:r>
            <w:r w:rsidR="00DE77B0" w:rsidRPr="006279CF">
              <w:rPr>
                <w:rFonts w:ascii="Times New Roman" w:eastAsia="Times New Roman" w:hAnsi="Times New Roman" w:cs="Times New Roman"/>
                <w:sz w:val="27"/>
                <w:szCs w:val="27"/>
              </w:rPr>
              <w:t>EC</w:t>
            </w:r>
            <w:r w:rsidR="00DE77B0" w:rsidRPr="00FD4ED8">
              <w:rPr>
                <w:rFonts w:ascii="Times New Roman" w:eastAsia="Times New Roman" w:hAnsi="Times New Roman" w:cs="Times New Roman"/>
                <w:sz w:val="27"/>
                <w:szCs w:val="27"/>
                <w:lang w:val="uk-UA"/>
              </w:rPr>
              <w:t>, 2009/65/</w:t>
            </w:r>
            <w:r w:rsidR="00DE77B0" w:rsidRPr="006279CF">
              <w:rPr>
                <w:rFonts w:ascii="Times New Roman" w:eastAsia="Times New Roman" w:hAnsi="Times New Roman" w:cs="Times New Roman"/>
                <w:sz w:val="27"/>
                <w:szCs w:val="27"/>
              </w:rPr>
              <w:t>EC</w:t>
            </w:r>
            <w:r w:rsidR="00DE77B0" w:rsidRPr="00FD4ED8">
              <w:rPr>
                <w:rFonts w:ascii="Times New Roman" w:eastAsia="Times New Roman" w:hAnsi="Times New Roman" w:cs="Times New Roman"/>
                <w:sz w:val="27"/>
                <w:szCs w:val="27"/>
                <w:lang w:val="uk-UA"/>
              </w:rPr>
              <w:t xml:space="preserve"> </w:t>
            </w:r>
            <w:r w:rsidR="00FD4ED8">
              <w:rPr>
                <w:rFonts w:ascii="Times New Roman" w:eastAsia="Times New Roman" w:hAnsi="Times New Roman" w:cs="Times New Roman"/>
                <w:sz w:val="27"/>
                <w:szCs w:val="27"/>
                <w:lang w:val="uk-UA"/>
              </w:rPr>
              <w:t>чи</w:t>
            </w:r>
            <w:r w:rsidR="00DE77B0" w:rsidRPr="00FD4ED8">
              <w:rPr>
                <w:rFonts w:ascii="Times New Roman" w:eastAsia="Times New Roman" w:hAnsi="Times New Roman" w:cs="Times New Roman"/>
                <w:sz w:val="27"/>
                <w:szCs w:val="27"/>
                <w:lang w:val="uk-UA"/>
              </w:rPr>
              <w:t xml:space="preserve"> 2011/61/</w:t>
            </w:r>
            <w:r w:rsidR="00DE77B0" w:rsidRPr="006279CF">
              <w:rPr>
                <w:rFonts w:ascii="Times New Roman" w:eastAsia="Times New Roman" w:hAnsi="Times New Roman" w:cs="Times New Roman"/>
                <w:sz w:val="27"/>
                <w:szCs w:val="27"/>
              </w:rPr>
              <w:t>EU</w:t>
            </w:r>
            <w:r w:rsidR="00DE77B0" w:rsidRPr="00FD4ED8">
              <w:rPr>
                <w:rFonts w:ascii="Times New Roman" w:eastAsia="Times New Roman" w:hAnsi="Times New Roman" w:cs="Times New Roman"/>
                <w:sz w:val="27"/>
                <w:szCs w:val="27"/>
                <w:lang w:val="uk-UA"/>
              </w:rPr>
              <w:t>.</w:t>
            </w:r>
          </w:p>
        </w:tc>
      </w:tr>
    </w:tbl>
    <w:p w:rsidR="00FD4ED8" w:rsidRPr="00FD4ED8"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DC6693">
        <w:rPr>
          <w:rFonts w:ascii="Times New Roman" w:eastAsia="Times New Roman" w:hAnsi="Times New Roman" w:cs="Times New Roman"/>
          <w:sz w:val="27"/>
          <w:szCs w:val="27"/>
          <w:lang w:val="uk-UA"/>
        </w:rPr>
        <w:t>5.</w:t>
      </w:r>
      <w:r w:rsidRPr="006279CF">
        <w:rPr>
          <w:rFonts w:ascii="Times New Roman" w:eastAsia="Times New Roman" w:hAnsi="Times New Roman" w:cs="Times New Roman"/>
          <w:sz w:val="27"/>
          <w:szCs w:val="27"/>
        </w:rPr>
        <w:t>   </w:t>
      </w:r>
      <w:r w:rsidR="00FD4ED8">
        <w:rPr>
          <w:rFonts w:ascii="Times New Roman" w:eastAsia="Times New Roman" w:hAnsi="Times New Roman" w:cs="Times New Roman"/>
          <w:sz w:val="27"/>
          <w:szCs w:val="27"/>
          <w:lang w:val="uk-UA"/>
        </w:rPr>
        <w:t>Якщо</w:t>
      </w:r>
      <w:r w:rsidRPr="00DC6693">
        <w:rPr>
          <w:rFonts w:ascii="Times New Roman" w:eastAsia="Times New Roman" w:hAnsi="Times New Roman" w:cs="Times New Roman"/>
          <w:sz w:val="27"/>
          <w:szCs w:val="27"/>
          <w:lang w:val="uk-UA"/>
        </w:rPr>
        <w:t xml:space="preserve"> </w:t>
      </w:r>
      <w:r w:rsidR="00812EED" w:rsidRPr="00DC6693">
        <w:rPr>
          <w:rFonts w:ascii="Times New Roman" w:eastAsia="Times New Roman" w:hAnsi="Times New Roman" w:cs="Times New Roman"/>
          <w:sz w:val="27"/>
          <w:szCs w:val="27"/>
          <w:lang w:val="uk-UA"/>
        </w:rPr>
        <w:t>компетентний орган</w:t>
      </w:r>
      <w:r w:rsidR="00FD4ED8">
        <w:rPr>
          <w:rFonts w:ascii="Times New Roman" w:eastAsia="Times New Roman" w:hAnsi="Times New Roman" w:cs="Times New Roman"/>
          <w:sz w:val="27"/>
          <w:szCs w:val="27"/>
          <w:lang w:val="uk-UA"/>
        </w:rPr>
        <w:t xml:space="preserve"> після завершення проведення оцінки вирішив висловити </w:t>
      </w:r>
      <w:r w:rsidR="0066302A">
        <w:rPr>
          <w:rFonts w:ascii="Times New Roman" w:eastAsia="Times New Roman" w:hAnsi="Times New Roman" w:cs="Times New Roman"/>
          <w:sz w:val="27"/>
          <w:szCs w:val="27"/>
          <w:lang w:val="uk-UA"/>
        </w:rPr>
        <w:t xml:space="preserve">заперечення щодо пропонованого придбання, то він упродовж двох робочих днів, причому не пізніше закінчення періоду оцінки, інформує пропонованого набувача у письмовій формі про своє заперечення і викладає причини прийняття такого рішення. Компетентний орган відповідним чином повідомляє колегію, згадану в статті 18. </w:t>
      </w:r>
      <w:r w:rsidR="00C518A5">
        <w:rPr>
          <w:rFonts w:ascii="Times New Roman" w:eastAsia="Times New Roman" w:hAnsi="Times New Roman" w:cs="Times New Roman"/>
          <w:sz w:val="27"/>
          <w:szCs w:val="27"/>
          <w:lang w:val="uk-UA"/>
        </w:rPr>
        <w:t>З урахуванням національного законодавства відповідне викладення причин вищезгаданого рішення може бути оприлюднено для загального доступу на вимогу пропонованого набувача. Разом з тим, держави-члени Союзу можуть дозволити компетентному органові здійснювати таке розголошення причин і без вимоги з боку пропонованого набувача.</w:t>
      </w:r>
    </w:p>
    <w:p w:rsidR="00B70A21" w:rsidRPr="00B70A2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BA5B2D">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w:t>
      </w:r>
      <w:r w:rsidR="001523B3">
        <w:rPr>
          <w:rFonts w:ascii="Times New Roman" w:eastAsia="Times New Roman" w:hAnsi="Times New Roman" w:cs="Times New Roman"/>
          <w:sz w:val="27"/>
          <w:szCs w:val="27"/>
          <w:lang w:val="uk-UA"/>
        </w:rPr>
        <w:t>Якщо</w:t>
      </w:r>
      <w:r w:rsidRPr="00BA5B2D">
        <w:rPr>
          <w:rFonts w:ascii="Times New Roman" w:eastAsia="Times New Roman" w:hAnsi="Times New Roman" w:cs="Times New Roman"/>
          <w:sz w:val="27"/>
          <w:szCs w:val="27"/>
          <w:lang w:val="ru-RU"/>
        </w:rPr>
        <w:t xml:space="preserve"> </w:t>
      </w:r>
      <w:proofErr w:type="spellStart"/>
      <w:r w:rsidR="00812EED" w:rsidRPr="00BA5B2D">
        <w:rPr>
          <w:rFonts w:ascii="Times New Roman" w:eastAsia="Times New Roman" w:hAnsi="Times New Roman" w:cs="Times New Roman"/>
          <w:sz w:val="27"/>
          <w:szCs w:val="27"/>
          <w:lang w:val="ru-RU"/>
        </w:rPr>
        <w:t>компетентний</w:t>
      </w:r>
      <w:proofErr w:type="spellEnd"/>
      <w:r w:rsidR="00812EED" w:rsidRPr="00BA5B2D">
        <w:rPr>
          <w:rFonts w:ascii="Times New Roman" w:eastAsia="Times New Roman" w:hAnsi="Times New Roman" w:cs="Times New Roman"/>
          <w:sz w:val="27"/>
          <w:szCs w:val="27"/>
          <w:lang w:val="ru-RU"/>
        </w:rPr>
        <w:t xml:space="preserve"> орган</w:t>
      </w:r>
      <w:r w:rsidR="00BA5B2D">
        <w:rPr>
          <w:rFonts w:ascii="Times New Roman" w:eastAsia="Times New Roman" w:hAnsi="Times New Roman" w:cs="Times New Roman"/>
          <w:sz w:val="27"/>
          <w:szCs w:val="27"/>
          <w:lang w:val="uk-UA"/>
        </w:rPr>
        <w:t xml:space="preserve"> протягом періоду оц</w:t>
      </w:r>
      <w:r w:rsidR="00B70A21">
        <w:rPr>
          <w:rFonts w:ascii="Times New Roman" w:eastAsia="Times New Roman" w:hAnsi="Times New Roman" w:cs="Times New Roman"/>
          <w:sz w:val="27"/>
          <w:szCs w:val="27"/>
          <w:lang w:val="uk-UA"/>
        </w:rPr>
        <w:t>інки не висловив заперечення проти пропонованого придбання, воно вважається схваленим.</w:t>
      </w:r>
    </w:p>
    <w:p w:rsidR="00DE77B0" w:rsidRPr="00EE2CAD" w:rsidRDefault="00DE77B0" w:rsidP="00EE2CA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B70A21">
        <w:rPr>
          <w:rFonts w:ascii="Times New Roman" w:eastAsia="Times New Roman" w:hAnsi="Times New Roman" w:cs="Times New Roman"/>
          <w:sz w:val="27"/>
          <w:szCs w:val="27"/>
          <w:lang w:val="ru-RU"/>
        </w:rPr>
        <w:t>7.</w:t>
      </w:r>
      <w:r w:rsidRPr="006279CF">
        <w:rPr>
          <w:rFonts w:ascii="Times New Roman" w:eastAsia="Times New Roman" w:hAnsi="Times New Roman" w:cs="Times New Roman"/>
          <w:sz w:val="27"/>
          <w:szCs w:val="27"/>
        </w:rPr>
        <w:t>   </w:t>
      </w:r>
      <w:proofErr w:type="spellStart"/>
      <w:r w:rsidR="00812EED" w:rsidRPr="00B70A21">
        <w:rPr>
          <w:rFonts w:ascii="Times New Roman" w:eastAsia="Times New Roman" w:hAnsi="Times New Roman" w:cs="Times New Roman"/>
          <w:sz w:val="27"/>
          <w:szCs w:val="27"/>
          <w:lang w:val="ru-RU"/>
        </w:rPr>
        <w:t>Компетентний</w:t>
      </w:r>
      <w:proofErr w:type="spellEnd"/>
      <w:r w:rsidR="00812EED" w:rsidRPr="00B70A21">
        <w:rPr>
          <w:rFonts w:ascii="Times New Roman" w:eastAsia="Times New Roman" w:hAnsi="Times New Roman" w:cs="Times New Roman"/>
          <w:sz w:val="27"/>
          <w:szCs w:val="27"/>
          <w:lang w:val="ru-RU"/>
        </w:rPr>
        <w:t xml:space="preserve"> орган</w:t>
      </w:r>
      <w:r w:rsidRPr="00B70A21">
        <w:rPr>
          <w:rFonts w:ascii="Times New Roman" w:eastAsia="Times New Roman" w:hAnsi="Times New Roman" w:cs="Times New Roman"/>
          <w:sz w:val="27"/>
          <w:szCs w:val="27"/>
          <w:lang w:val="ru-RU"/>
        </w:rPr>
        <w:t xml:space="preserve"> </w:t>
      </w:r>
      <w:r w:rsidR="00B70A21">
        <w:rPr>
          <w:rFonts w:ascii="Times New Roman" w:eastAsia="Times New Roman" w:hAnsi="Times New Roman" w:cs="Times New Roman"/>
          <w:sz w:val="27"/>
          <w:szCs w:val="27"/>
          <w:lang w:val="uk-UA"/>
        </w:rPr>
        <w:t xml:space="preserve">може змінити максимальний строк прийняття рішення щодо пропонованого </w:t>
      </w:r>
      <w:r w:rsidR="00EE2CAD">
        <w:rPr>
          <w:rFonts w:ascii="Times New Roman" w:eastAsia="Times New Roman" w:hAnsi="Times New Roman" w:cs="Times New Roman"/>
          <w:sz w:val="27"/>
          <w:szCs w:val="27"/>
          <w:lang w:val="uk-UA"/>
        </w:rPr>
        <w:t>придбання і в необхідному випадку продовжити його.</w:t>
      </w:r>
    </w:p>
    <w:p w:rsidR="00DE77B0" w:rsidRPr="00EE2440" w:rsidRDefault="00DE77B0" w:rsidP="0044310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E2CAD">
        <w:rPr>
          <w:rFonts w:ascii="Times New Roman" w:eastAsia="Times New Roman" w:hAnsi="Times New Roman" w:cs="Times New Roman"/>
          <w:sz w:val="27"/>
          <w:szCs w:val="27"/>
          <w:lang w:val="ru-RU"/>
        </w:rPr>
        <w:t>8.</w:t>
      </w:r>
      <w:r w:rsidRPr="006279CF">
        <w:rPr>
          <w:rFonts w:ascii="Times New Roman" w:eastAsia="Times New Roman" w:hAnsi="Times New Roman" w:cs="Times New Roman"/>
          <w:sz w:val="27"/>
          <w:szCs w:val="27"/>
        </w:rPr>
        <w:t>   </w:t>
      </w:r>
      <w:r w:rsidR="00EE2CAD">
        <w:rPr>
          <w:rFonts w:ascii="Times New Roman" w:eastAsia="Times New Roman" w:hAnsi="Times New Roman" w:cs="Times New Roman"/>
          <w:sz w:val="27"/>
          <w:szCs w:val="27"/>
          <w:lang w:val="uk-UA"/>
        </w:rPr>
        <w:t>Держави-члени Союзу не встановлюють вимоги щодо повідомлення компетентного органу про пряме чи опосередковане придбання прав голосу чи капіталу або щодо затвердження компетентним органом такого придбання, що є жорсткішими, ніж вимоги, які встановлені у цьому регламенті.</w:t>
      </w:r>
    </w:p>
    <w:p w:rsidR="00DE77B0" w:rsidRPr="00EE2440"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EE2440">
        <w:rPr>
          <w:rFonts w:ascii="Times New Roman" w:eastAsia="Times New Roman" w:hAnsi="Times New Roman" w:cs="Times New Roman"/>
          <w:i/>
          <w:iCs/>
          <w:sz w:val="27"/>
          <w:szCs w:val="27"/>
          <w:lang w:val="ru-RU"/>
        </w:rPr>
        <w:t>Стаття</w:t>
      </w:r>
      <w:proofErr w:type="spellEnd"/>
      <w:r w:rsidR="00DE77B0" w:rsidRPr="00EE2440">
        <w:rPr>
          <w:rFonts w:ascii="Times New Roman" w:eastAsia="Times New Roman" w:hAnsi="Times New Roman" w:cs="Times New Roman"/>
          <w:i/>
          <w:iCs/>
          <w:sz w:val="27"/>
          <w:szCs w:val="27"/>
          <w:lang w:val="ru-RU"/>
        </w:rPr>
        <w:t xml:space="preserve"> 32</w:t>
      </w:r>
    </w:p>
    <w:p w:rsidR="00DE77B0" w:rsidRPr="00DD3E1F" w:rsidRDefault="00DD3E1F"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Оцінка</w:t>
      </w:r>
    </w:p>
    <w:p w:rsidR="00DE77B0" w:rsidRPr="00EE2440"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E2440">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97635A">
        <w:rPr>
          <w:rFonts w:ascii="Times New Roman" w:eastAsia="Times New Roman" w:hAnsi="Times New Roman" w:cs="Times New Roman"/>
          <w:sz w:val="27"/>
          <w:szCs w:val="27"/>
          <w:lang w:val="uk-UA"/>
        </w:rPr>
        <w:t xml:space="preserve">Проводячи оцінку повідомлення, передбаченого у статті 31(2), та інформації, зазначеної у статті 31(3), компетентний орган із метою забезпечення раціонального і розумного управління ЦКА, у якому пропонується здійснити придбання, та з урахуванням ймовірного впливу пропонованого набувача на </w:t>
      </w:r>
      <w:r w:rsidR="0097635A">
        <w:rPr>
          <w:rFonts w:ascii="Times New Roman" w:eastAsia="Times New Roman" w:hAnsi="Times New Roman" w:cs="Times New Roman"/>
          <w:sz w:val="27"/>
          <w:szCs w:val="27"/>
          <w:lang w:val="uk-UA"/>
        </w:rPr>
        <w:lastRenderedPageBreak/>
        <w:t>ЦКА аналізує придатність пропонованого набувача</w:t>
      </w:r>
      <w:r w:rsidR="007C46E5">
        <w:rPr>
          <w:rFonts w:ascii="Times New Roman" w:eastAsia="Times New Roman" w:hAnsi="Times New Roman" w:cs="Times New Roman"/>
          <w:sz w:val="27"/>
          <w:szCs w:val="27"/>
          <w:lang w:val="uk-UA"/>
        </w:rPr>
        <w:t xml:space="preserve"> і фінансову доречність пропонованого придбання за всіма наступними критеріями:</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0"/>
        <w:gridCol w:w="897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0A6028" w:rsidRDefault="000A6028" w:rsidP="00E418FF">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репутація та фінансова </w:t>
            </w:r>
            <w:r w:rsidR="00E418FF">
              <w:rPr>
                <w:rFonts w:ascii="Times New Roman" w:eastAsia="Times New Roman" w:hAnsi="Times New Roman" w:cs="Times New Roman"/>
                <w:sz w:val="27"/>
                <w:szCs w:val="27"/>
                <w:lang w:val="uk-UA"/>
              </w:rPr>
              <w:t>спроможність</w:t>
            </w:r>
            <w:r>
              <w:rPr>
                <w:rFonts w:ascii="Times New Roman" w:eastAsia="Times New Roman" w:hAnsi="Times New Roman" w:cs="Times New Roman"/>
                <w:sz w:val="27"/>
                <w:szCs w:val="27"/>
                <w:lang w:val="uk-UA"/>
              </w:rPr>
              <w:t xml:space="preserve"> пропонованого набувача;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0A6028" w:rsidRDefault="000A6028" w:rsidP="000A6028">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репутація та досвід особи, яка керуватиме діяльністю ЦКА в результаті пропонованого придбання;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E2440" w:rsidRDefault="000A6028" w:rsidP="000A6028">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чи зможе ЦКА дотриматися і продовжувати дотримуватися вимог цього регламенту;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418FF" w:rsidRDefault="007D1C07" w:rsidP="00E418FF">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ч</w:t>
            </w:r>
            <w:r w:rsidR="000A6028">
              <w:rPr>
                <w:rFonts w:ascii="Times New Roman" w:eastAsia="Times New Roman" w:hAnsi="Times New Roman" w:cs="Times New Roman"/>
                <w:sz w:val="27"/>
                <w:szCs w:val="27"/>
                <w:lang w:val="uk-UA"/>
              </w:rPr>
              <w:t xml:space="preserve">и існують вагомі підстави підозрювати, що у зв'язку з </w:t>
            </w:r>
            <w:r>
              <w:rPr>
                <w:rFonts w:ascii="Times New Roman" w:eastAsia="Times New Roman" w:hAnsi="Times New Roman" w:cs="Times New Roman"/>
                <w:sz w:val="27"/>
                <w:szCs w:val="27"/>
                <w:lang w:val="uk-UA"/>
              </w:rPr>
              <w:t xml:space="preserve">пропонованим придбанням </w:t>
            </w:r>
            <w:r w:rsidR="00E418FF">
              <w:rPr>
                <w:rFonts w:ascii="Times New Roman" w:eastAsia="Times New Roman" w:hAnsi="Times New Roman" w:cs="Times New Roman"/>
                <w:sz w:val="27"/>
                <w:szCs w:val="27"/>
                <w:lang w:val="uk-UA"/>
              </w:rPr>
              <w:t>вчиняється відмивання грошей або фінансування тероризму чи спроба таких дій у значенні, передбаченому статтею 1 Директиви</w:t>
            </w:r>
            <w:r w:rsidR="00DE77B0" w:rsidRPr="00E418FF">
              <w:rPr>
                <w:rFonts w:ascii="Times New Roman" w:eastAsia="Times New Roman" w:hAnsi="Times New Roman" w:cs="Times New Roman"/>
                <w:sz w:val="27"/>
                <w:szCs w:val="27"/>
                <w:lang w:val="ru-RU"/>
              </w:rPr>
              <w:t xml:space="preserve"> 2005/60/</w:t>
            </w:r>
            <w:r w:rsidR="00DE77B0" w:rsidRPr="006279CF">
              <w:rPr>
                <w:rFonts w:ascii="Times New Roman" w:eastAsia="Times New Roman" w:hAnsi="Times New Roman" w:cs="Times New Roman"/>
                <w:sz w:val="27"/>
                <w:szCs w:val="27"/>
              </w:rPr>
              <w:t>EC</w:t>
            </w:r>
            <w:r w:rsidR="00E418FF">
              <w:rPr>
                <w:rFonts w:ascii="Times New Roman" w:eastAsia="Times New Roman" w:hAnsi="Times New Roman" w:cs="Times New Roman"/>
                <w:sz w:val="27"/>
                <w:szCs w:val="27"/>
                <w:lang w:val="uk-UA"/>
              </w:rPr>
              <w:t>, або що пропоноване придбання може підвищити ризик учинення такий дій.</w:t>
            </w:r>
          </w:p>
        </w:tc>
      </w:tr>
    </w:tbl>
    <w:p w:rsidR="00E418FF" w:rsidRDefault="00E418FF"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Проводячи оцінку фінансової спроможності пропонованого набувача, компетентний орган приділяє особливу увагу виду діяльності, яка ведеться і передбачена у ЦКА, в якому пропонується здійснити придбання.</w:t>
      </w:r>
    </w:p>
    <w:p w:rsidR="00C74DFF" w:rsidRDefault="00C74DFF"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Проводячи оцінку здатності ЦКА дотримуватися вимог цього регламенту, компетентний орган приділяє особливу увагу тому, чи має група, до якої увійде ЦКА, структуру, яка уможливлює здійснення ефективного нагляду, ефективний обмін інформацією між компетентними органами і визначення розподілу обов’язків між компетентними органами.</w:t>
      </w:r>
    </w:p>
    <w:p w:rsidR="00DE77B0" w:rsidRPr="00EE2440" w:rsidRDefault="00DE77B0" w:rsidP="00C74DFF">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4DFF">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C74DFF">
        <w:rPr>
          <w:rFonts w:ascii="Times New Roman" w:eastAsia="Times New Roman" w:hAnsi="Times New Roman" w:cs="Times New Roman"/>
          <w:sz w:val="27"/>
          <w:szCs w:val="27"/>
          <w:lang w:val="uk-UA"/>
        </w:rPr>
        <w:t>Компетентні органи можуть висловлювати заперечення проти пропонованого придбання тільки у випадку, коли існують вагомі підстави для цього, виходячи з критеріїв, викладених у пункті 1 цієї статті, або якщо інформація, надана пропонованим набувачем, не повна.</w:t>
      </w:r>
    </w:p>
    <w:p w:rsidR="00DE77B0" w:rsidRPr="00381C87" w:rsidRDefault="00DE77B0" w:rsidP="00381C8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E2440">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381C87">
        <w:rPr>
          <w:rFonts w:ascii="Times New Roman" w:eastAsia="Times New Roman" w:hAnsi="Times New Roman" w:cs="Times New Roman"/>
          <w:sz w:val="27"/>
          <w:szCs w:val="27"/>
          <w:lang w:val="uk-UA"/>
        </w:rPr>
        <w:t>Держави-члени Союзу не встановлюють жодних попередніх умов стосовно розміру частки участі, придбання якої здійснюється, і не дозволяють своїм компетентним органам вивчати пропоноване придбання з точки зору економічних потреб ринку.</w:t>
      </w:r>
    </w:p>
    <w:p w:rsidR="00DE77B0" w:rsidRPr="00EE2440" w:rsidRDefault="00DE77B0" w:rsidP="00D342C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81C87">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381C87">
        <w:rPr>
          <w:rFonts w:ascii="Times New Roman" w:eastAsia="Times New Roman" w:hAnsi="Times New Roman" w:cs="Times New Roman"/>
          <w:sz w:val="27"/>
          <w:szCs w:val="27"/>
          <w:lang w:val="uk-UA"/>
        </w:rPr>
        <w:t xml:space="preserve">Держави-члени Союзу оприлюднюють для загального доступу перелік із зазначенням інформації, яка є необхідною для проведення вищезгаданої оцінки і яка надається компетентним органам під час надання повідомлення, </w:t>
      </w:r>
      <w:proofErr w:type="spellStart"/>
      <w:r w:rsidR="00812EED" w:rsidRPr="00EE2440">
        <w:rPr>
          <w:rFonts w:ascii="Times New Roman" w:eastAsia="Times New Roman" w:hAnsi="Times New Roman" w:cs="Times New Roman"/>
          <w:sz w:val="27"/>
          <w:szCs w:val="27"/>
          <w:lang w:val="ru-RU"/>
        </w:rPr>
        <w:t>згаданого</w:t>
      </w:r>
      <w:proofErr w:type="spellEnd"/>
      <w:r w:rsidR="00812EED" w:rsidRPr="00EE2440">
        <w:rPr>
          <w:rFonts w:ascii="Times New Roman" w:eastAsia="Times New Roman" w:hAnsi="Times New Roman" w:cs="Times New Roman"/>
          <w:sz w:val="27"/>
          <w:szCs w:val="27"/>
          <w:lang w:val="ru-RU"/>
        </w:rPr>
        <w:t xml:space="preserve"> у </w:t>
      </w:r>
      <w:proofErr w:type="spellStart"/>
      <w:r w:rsidR="00812EED" w:rsidRPr="00EE2440">
        <w:rPr>
          <w:rFonts w:ascii="Times New Roman" w:eastAsia="Times New Roman" w:hAnsi="Times New Roman" w:cs="Times New Roman"/>
          <w:sz w:val="27"/>
          <w:szCs w:val="27"/>
          <w:lang w:val="ru-RU"/>
        </w:rPr>
        <w:t>статті</w:t>
      </w:r>
      <w:proofErr w:type="spellEnd"/>
      <w:r w:rsidRPr="00EE2440">
        <w:rPr>
          <w:rFonts w:ascii="Times New Roman" w:eastAsia="Times New Roman" w:hAnsi="Times New Roman" w:cs="Times New Roman"/>
          <w:sz w:val="27"/>
          <w:szCs w:val="27"/>
          <w:lang w:val="ru-RU"/>
        </w:rPr>
        <w:t xml:space="preserve"> 31(2). </w:t>
      </w:r>
      <w:r w:rsidR="00381C87">
        <w:rPr>
          <w:rFonts w:ascii="Times New Roman" w:eastAsia="Times New Roman" w:hAnsi="Times New Roman" w:cs="Times New Roman"/>
          <w:sz w:val="27"/>
          <w:szCs w:val="27"/>
          <w:lang w:val="uk-UA"/>
        </w:rPr>
        <w:t>Потрібна інформація повинна бути сумірною</w:t>
      </w:r>
      <w:r w:rsidR="00D342CD">
        <w:rPr>
          <w:rFonts w:ascii="Times New Roman" w:eastAsia="Times New Roman" w:hAnsi="Times New Roman" w:cs="Times New Roman"/>
          <w:sz w:val="27"/>
          <w:szCs w:val="27"/>
          <w:lang w:val="uk-UA"/>
        </w:rPr>
        <w:t xml:space="preserve"> необхідності</w:t>
      </w:r>
      <w:r w:rsidR="00381C87">
        <w:rPr>
          <w:rFonts w:ascii="Times New Roman" w:eastAsia="Times New Roman" w:hAnsi="Times New Roman" w:cs="Times New Roman"/>
          <w:sz w:val="27"/>
          <w:szCs w:val="27"/>
          <w:lang w:val="uk-UA"/>
        </w:rPr>
        <w:t xml:space="preserve"> та адаптованою до характеру п</w:t>
      </w:r>
      <w:r w:rsidR="00D342CD">
        <w:rPr>
          <w:rFonts w:ascii="Times New Roman" w:eastAsia="Times New Roman" w:hAnsi="Times New Roman" w:cs="Times New Roman"/>
          <w:sz w:val="27"/>
          <w:szCs w:val="27"/>
          <w:lang w:val="uk-UA"/>
        </w:rPr>
        <w:t xml:space="preserve">ропонованого набувача і пропонованого придбання. Держави-члени Союзу не вимагають інформації, яка не є актуальною для </w:t>
      </w:r>
      <w:proofErr w:type="spellStart"/>
      <w:r w:rsidR="00D342CD">
        <w:rPr>
          <w:rFonts w:ascii="Times New Roman" w:eastAsia="Times New Roman" w:hAnsi="Times New Roman" w:cs="Times New Roman"/>
          <w:sz w:val="27"/>
          <w:szCs w:val="27"/>
          <w:lang w:val="uk-UA"/>
        </w:rPr>
        <w:t>пруденційної</w:t>
      </w:r>
      <w:proofErr w:type="spellEnd"/>
      <w:r w:rsidR="00D342CD">
        <w:rPr>
          <w:rFonts w:ascii="Times New Roman" w:eastAsia="Times New Roman" w:hAnsi="Times New Roman" w:cs="Times New Roman"/>
          <w:sz w:val="27"/>
          <w:szCs w:val="27"/>
          <w:lang w:val="uk-UA"/>
        </w:rPr>
        <w:t xml:space="preserve"> оцінки.</w:t>
      </w:r>
    </w:p>
    <w:p w:rsidR="00DE77B0" w:rsidRPr="00EE2440" w:rsidRDefault="00DE77B0" w:rsidP="00D342C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E2440">
        <w:rPr>
          <w:rFonts w:ascii="Times New Roman" w:eastAsia="Times New Roman" w:hAnsi="Times New Roman" w:cs="Times New Roman"/>
          <w:sz w:val="27"/>
          <w:szCs w:val="27"/>
          <w:lang w:val="ru-RU"/>
        </w:rPr>
        <w:lastRenderedPageBreak/>
        <w:t>5.</w:t>
      </w:r>
      <w:r w:rsidRPr="006279CF">
        <w:rPr>
          <w:rFonts w:ascii="Times New Roman" w:eastAsia="Times New Roman" w:hAnsi="Times New Roman" w:cs="Times New Roman"/>
          <w:sz w:val="27"/>
          <w:szCs w:val="27"/>
        </w:rPr>
        <w:t>   </w:t>
      </w:r>
      <w:r w:rsidR="00D342CD">
        <w:rPr>
          <w:rFonts w:ascii="Times New Roman" w:eastAsia="Times New Roman" w:hAnsi="Times New Roman" w:cs="Times New Roman"/>
          <w:sz w:val="27"/>
          <w:szCs w:val="27"/>
          <w:lang w:val="uk-UA"/>
        </w:rPr>
        <w:t xml:space="preserve">Незважаючи на </w:t>
      </w:r>
      <w:proofErr w:type="spellStart"/>
      <w:r w:rsidR="00D342CD">
        <w:rPr>
          <w:rFonts w:ascii="Times New Roman" w:eastAsia="Times New Roman" w:hAnsi="Times New Roman" w:cs="Times New Roman"/>
          <w:sz w:val="27"/>
          <w:szCs w:val="27"/>
          <w:lang w:val="uk-UA"/>
        </w:rPr>
        <w:t>пп</w:t>
      </w:r>
      <w:proofErr w:type="spellEnd"/>
      <w:r w:rsidR="00D342CD">
        <w:rPr>
          <w:rFonts w:ascii="Times New Roman" w:eastAsia="Times New Roman" w:hAnsi="Times New Roman" w:cs="Times New Roman"/>
          <w:sz w:val="27"/>
          <w:szCs w:val="27"/>
          <w:lang w:val="uk-UA"/>
        </w:rPr>
        <w:t>. (2), (3) та (4) статті 31, у випадках, якщо компетентний орган отримав повідомлення про дві чи більше пропозицій щодо придбання або збільшення кваліфікованої частки участі в одному й тому самому ЦКА, компетентний органи розглядає пропонованих набувачів без будь-якої дискримінації.</w:t>
      </w:r>
    </w:p>
    <w:p w:rsidR="00D342CD"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D342CD">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w:t>
      </w:r>
      <w:r w:rsidR="00D342CD">
        <w:rPr>
          <w:rFonts w:ascii="Times New Roman" w:eastAsia="Times New Roman" w:hAnsi="Times New Roman" w:cs="Times New Roman"/>
          <w:sz w:val="27"/>
          <w:szCs w:val="27"/>
          <w:lang w:val="uk-UA"/>
        </w:rPr>
        <w:t>Відповідні компетентні органи тісно співпрацюють один з одним у процесі проведення оцінки, якщо пропонований набувач є одним із наступних суб’єктів:</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546F9" w:rsidRPr="005546F9" w:rsidRDefault="00E51911" w:rsidP="00E51911">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інший ЦКА, кредитна установа, організація страхування життя, страхова компанія, організація перестрахування, інвестиційна фірма, оператор ринку, оператор системи розрахунків за цінними паперами, управляюча компанія</w:t>
            </w:r>
            <w:r w:rsidRPr="00E51911">
              <w:rPr>
                <w:rFonts w:ascii="Times New Roman" w:eastAsia="Times New Roman" w:hAnsi="Times New Roman" w:cs="Times New Roman"/>
                <w:sz w:val="27"/>
                <w:szCs w:val="27"/>
              </w:rPr>
              <w:t xml:space="preserve"> </w:t>
            </w:r>
            <w:r w:rsidRPr="006279CF">
              <w:rPr>
                <w:rFonts w:ascii="Times New Roman" w:eastAsia="Times New Roman" w:hAnsi="Times New Roman" w:cs="Times New Roman"/>
                <w:sz w:val="27"/>
                <w:szCs w:val="27"/>
              </w:rPr>
              <w:t>UCITS</w:t>
            </w:r>
            <w:r w:rsidRPr="00E51911">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lang w:val="ru-RU"/>
              </w:rPr>
              <w:t>або</w:t>
            </w:r>
            <w:proofErr w:type="spellEnd"/>
            <w:r w:rsidRPr="00E51911">
              <w:rPr>
                <w:rFonts w:ascii="Times New Roman" w:eastAsia="Times New Roman" w:hAnsi="Times New Roman" w:cs="Times New Roman"/>
                <w:sz w:val="27"/>
                <w:szCs w:val="27"/>
              </w:rPr>
              <w:t xml:space="preserve"> </w:t>
            </w:r>
            <w:r w:rsidRPr="006279CF">
              <w:rPr>
                <w:rFonts w:ascii="Times New Roman" w:eastAsia="Times New Roman" w:hAnsi="Times New Roman" w:cs="Times New Roman"/>
                <w:sz w:val="27"/>
                <w:szCs w:val="27"/>
              </w:rPr>
              <w:t>AIFM</w:t>
            </w:r>
            <w:r>
              <w:rPr>
                <w:rFonts w:ascii="Times New Roman" w:eastAsia="Times New Roman" w:hAnsi="Times New Roman" w:cs="Times New Roman"/>
                <w:sz w:val="27"/>
                <w:szCs w:val="27"/>
                <w:lang w:val="uk-UA"/>
              </w:rPr>
              <w:t>, уповноважений в іншій державі-члені ЄС;</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E51911" w:rsidP="00F134AA">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материнське підприємство іншого ЦКА, кредитної установи, організації страхування життя, страхової компанії, організації перестрахування, інвестиційної фірми, оператора ринку, оператора системи розрахунків за цінними паперами, управляюч</w:t>
            </w:r>
            <w:r w:rsidR="00F134AA">
              <w:rPr>
                <w:rFonts w:ascii="Times New Roman" w:eastAsia="Times New Roman" w:hAnsi="Times New Roman" w:cs="Times New Roman"/>
                <w:sz w:val="27"/>
                <w:szCs w:val="27"/>
                <w:lang w:val="uk-UA"/>
              </w:rPr>
              <w:t>ої</w:t>
            </w:r>
            <w:r>
              <w:rPr>
                <w:rFonts w:ascii="Times New Roman" w:eastAsia="Times New Roman" w:hAnsi="Times New Roman" w:cs="Times New Roman"/>
                <w:sz w:val="27"/>
                <w:szCs w:val="27"/>
                <w:lang w:val="uk-UA"/>
              </w:rPr>
              <w:t xml:space="preserve"> компанія</w:t>
            </w:r>
            <w:r w:rsidRPr="00E51911">
              <w:rPr>
                <w:rFonts w:ascii="Times New Roman" w:eastAsia="Times New Roman" w:hAnsi="Times New Roman" w:cs="Times New Roman"/>
                <w:sz w:val="27"/>
                <w:szCs w:val="27"/>
              </w:rPr>
              <w:t xml:space="preserve"> </w:t>
            </w:r>
            <w:r w:rsidRPr="006279CF">
              <w:rPr>
                <w:rFonts w:ascii="Times New Roman" w:eastAsia="Times New Roman" w:hAnsi="Times New Roman" w:cs="Times New Roman"/>
                <w:sz w:val="27"/>
                <w:szCs w:val="27"/>
              </w:rPr>
              <w:t>UCITS</w:t>
            </w:r>
            <w:r w:rsidRPr="00E51911">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lang w:val="ru-RU"/>
              </w:rPr>
              <w:t>або</w:t>
            </w:r>
            <w:proofErr w:type="spellEnd"/>
            <w:r w:rsidRPr="00E51911">
              <w:rPr>
                <w:rFonts w:ascii="Times New Roman" w:eastAsia="Times New Roman" w:hAnsi="Times New Roman" w:cs="Times New Roman"/>
                <w:sz w:val="27"/>
                <w:szCs w:val="27"/>
              </w:rPr>
              <w:t xml:space="preserve"> </w:t>
            </w:r>
            <w:r w:rsidRPr="006279CF">
              <w:rPr>
                <w:rFonts w:ascii="Times New Roman" w:eastAsia="Times New Roman" w:hAnsi="Times New Roman" w:cs="Times New Roman"/>
                <w:sz w:val="27"/>
                <w:szCs w:val="27"/>
              </w:rPr>
              <w:t>AIFM</w:t>
            </w:r>
            <w:r>
              <w:rPr>
                <w:rFonts w:ascii="Times New Roman" w:eastAsia="Times New Roman" w:hAnsi="Times New Roman" w:cs="Times New Roman"/>
                <w:sz w:val="27"/>
                <w:szCs w:val="27"/>
                <w:lang w:val="uk-UA"/>
              </w:rPr>
              <w:t>, уповноважен</w:t>
            </w:r>
            <w:r w:rsidR="00F134AA">
              <w:rPr>
                <w:rFonts w:ascii="Times New Roman" w:eastAsia="Times New Roman" w:hAnsi="Times New Roman" w:cs="Times New Roman"/>
                <w:sz w:val="27"/>
                <w:szCs w:val="27"/>
                <w:lang w:val="uk-UA"/>
              </w:rPr>
              <w:t>ого</w:t>
            </w:r>
            <w:r>
              <w:rPr>
                <w:rFonts w:ascii="Times New Roman" w:eastAsia="Times New Roman" w:hAnsi="Times New Roman" w:cs="Times New Roman"/>
                <w:sz w:val="27"/>
                <w:szCs w:val="27"/>
                <w:lang w:val="uk-UA"/>
              </w:rPr>
              <w:t xml:space="preserve"> в іншій державі-члені ЄС;</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F134AA" w:rsidP="00F134AA">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фізична або юридична особа, контролююча іншого ЦКА, кредитну установу, організацію страхування життя, страхову компанію, організацію перестрахування, інвестиційну фірму, оператора ринку, оператора системи розрахунків за цінними паперами, управляючу компанію</w:t>
            </w:r>
            <w:r w:rsidRPr="00F134AA">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UCITS</w:t>
            </w:r>
            <w:r w:rsidRPr="00F134AA">
              <w:rPr>
                <w:rFonts w:ascii="Times New Roman" w:eastAsia="Times New Roman" w:hAnsi="Times New Roman" w:cs="Times New Roman"/>
                <w:sz w:val="27"/>
                <w:szCs w:val="27"/>
                <w:lang w:val="uk-UA"/>
              </w:rPr>
              <w:t xml:space="preserve"> або </w:t>
            </w:r>
            <w:r w:rsidRPr="006279CF">
              <w:rPr>
                <w:rFonts w:ascii="Times New Roman" w:eastAsia="Times New Roman" w:hAnsi="Times New Roman" w:cs="Times New Roman"/>
                <w:sz w:val="27"/>
                <w:szCs w:val="27"/>
              </w:rPr>
              <w:t>AIFM</w:t>
            </w:r>
            <w:r>
              <w:rPr>
                <w:rFonts w:ascii="Times New Roman" w:eastAsia="Times New Roman" w:hAnsi="Times New Roman" w:cs="Times New Roman"/>
                <w:sz w:val="27"/>
                <w:szCs w:val="27"/>
                <w:lang w:val="uk-UA"/>
              </w:rPr>
              <w:t>, уповноважений в іншій державі-члені ЄС.</w:t>
            </w:r>
          </w:p>
        </w:tc>
      </w:tr>
    </w:tbl>
    <w:p w:rsidR="00DA530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EE2440">
        <w:rPr>
          <w:rFonts w:ascii="Times New Roman" w:eastAsia="Times New Roman" w:hAnsi="Times New Roman" w:cs="Times New Roman"/>
          <w:sz w:val="27"/>
          <w:szCs w:val="27"/>
          <w:lang w:val="ru-RU"/>
        </w:rPr>
        <w:t>7.</w:t>
      </w:r>
      <w:r w:rsidRPr="006279CF">
        <w:rPr>
          <w:rFonts w:ascii="Times New Roman" w:eastAsia="Times New Roman" w:hAnsi="Times New Roman" w:cs="Times New Roman"/>
          <w:sz w:val="27"/>
          <w:szCs w:val="27"/>
        </w:rPr>
        <w:t>   </w:t>
      </w:r>
      <w:r w:rsidR="00DA5301">
        <w:rPr>
          <w:rFonts w:ascii="Times New Roman" w:eastAsia="Times New Roman" w:hAnsi="Times New Roman" w:cs="Times New Roman"/>
          <w:sz w:val="27"/>
          <w:szCs w:val="27"/>
          <w:lang w:val="uk-UA"/>
        </w:rPr>
        <w:t xml:space="preserve">Компетентні органи без необґрунтованої затримки надають один одному будь-яку інформацію, що є істотною або актуальною для проведення оцінки. Компетентні органи на вимогу доводять усю актуальну інформацію до відома один одного, а всю </w:t>
      </w:r>
      <w:r w:rsidR="00BB3A7D">
        <w:rPr>
          <w:rFonts w:ascii="Times New Roman" w:eastAsia="Times New Roman" w:hAnsi="Times New Roman" w:cs="Times New Roman"/>
          <w:sz w:val="27"/>
          <w:szCs w:val="27"/>
          <w:lang w:val="uk-UA"/>
        </w:rPr>
        <w:t>істотну інформацію надають за власною ініціативою. У рішенні компетентного органу, який надав повноваження ЦКА, в якому пропонується здійснити придбання, наводяться думки та застереження, висловлені компетентним органом, який відповідає за пропонованого набувача.</w:t>
      </w:r>
    </w:p>
    <w:p w:rsidR="00DE77B0" w:rsidRPr="001416D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1416D3">
        <w:rPr>
          <w:rFonts w:ascii="Times New Roman" w:eastAsia="Times New Roman" w:hAnsi="Times New Roman" w:cs="Times New Roman"/>
          <w:i/>
          <w:iCs/>
          <w:sz w:val="27"/>
          <w:szCs w:val="27"/>
          <w:lang w:val="uk-UA"/>
        </w:rPr>
        <w:t>Стаття</w:t>
      </w:r>
      <w:r w:rsidR="00DE77B0" w:rsidRPr="001416D3">
        <w:rPr>
          <w:rFonts w:ascii="Times New Roman" w:eastAsia="Times New Roman" w:hAnsi="Times New Roman" w:cs="Times New Roman"/>
          <w:i/>
          <w:iCs/>
          <w:sz w:val="27"/>
          <w:szCs w:val="27"/>
          <w:lang w:val="uk-UA"/>
        </w:rPr>
        <w:t xml:space="preserve"> 33</w:t>
      </w:r>
    </w:p>
    <w:p w:rsidR="00DE77B0" w:rsidRPr="00DD3E1F" w:rsidRDefault="00DD3E1F"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Конфлікти інтересів</w:t>
      </w:r>
    </w:p>
    <w:p w:rsidR="001416D3" w:rsidRPr="001416D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1416D3">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0059BB">
        <w:rPr>
          <w:rFonts w:ascii="Times New Roman" w:eastAsia="Times New Roman" w:hAnsi="Times New Roman" w:cs="Times New Roman"/>
          <w:sz w:val="27"/>
          <w:szCs w:val="27"/>
          <w:lang w:val="uk-UA"/>
        </w:rPr>
        <w:t>ЦКА</w:t>
      </w:r>
      <w:r w:rsidR="000059BB" w:rsidRPr="001416D3">
        <w:rPr>
          <w:rFonts w:ascii="Times New Roman" w:eastAsia="Times New Roman" w:hAnsi="Times New Roman" w:cs="Times New Roman"/>
          <w:sz w:val="27"/>
          <w:szCs w:val="27"/>
          <w:lang w:val="uk-UA"/>
        </w:rPr>
        <w:t xml:space="preserve"> </w:t>
      </w:r>
      <w:r w:rsidR="000059BB">
        <w:rPr>
          <w:rFonts w:ascii="Times New Roman" w:eastAsia="Times New Roman" w:hAnsi="Times New Roman" w:cs="Times New Roman"/>
          <w:sz w:val="27"/>
          <w:szCs w:val="27"/>
          <w:lang w:val="uk-UA"/>
        </w:rPr>
        <w:t>запроваджує та виконує ефективні письмові організаційні та адміністративні правила щодо виявлення і усунення потенційних конфліктів інтересів між ЦКА, зокрема його керівниками, працівниками або будь-якою особою, що має прямий чи непрямий контроль або тісні зв'язки, та учасниками клірингу або їхніми клієнтами, відомими ЦКА. ЦКА запроваджує та виконує належні процедури, спрямовані на урегулювання можливих конфліктів інтересів.</w:t>
      </w:r>
    </w:p>
    <w:p w:rsidR="00DE77B0" w:rsidRPr="002E5FBE" w:rsidRDefault="00DE77B0" w:rsidP="005A6284">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2E5FBE">
        <w:rPr>
          <w:rFonts w:ascii="Times New Roman" w:eastAsia="Times New Roman" w:hAnsi="Times New Roman" w:cs="Times New Roman"/>
          <w:sz w:val="27"/>
          <w:szCs w:val="27"/>
          <w:lang w:val="uk-UA"/>
        </w:rPr>
        <w:lastRenderedPageBreak/>
        <w:t>2.</w:t>
      </w:r>
      <w:r w:rsidRPr="006279CF">
        <w:rPr>
          <w:rFonts w:ascii="Times New Roman" w:eastAsia="Times New Roman" w:hAnsi="Times New Roman" w:cs="Times New Roman"/>
          <w:sz w:val="27"/>
          <w:szCs w:val="27"/>
        </w:rPr>
        <w:t>   </w:t>
      </w:r>
      <w:r w:rsidR="00EE2440">
        <w:rPr>
          <w:rFonts w:ascii="Times New Roman" w:eastAsia="Times New Roman" w:hAnsi="Times New Roman" w:cs="Times New Roman"/>
          <w:sz w:val="27"/>
          <w:szCs w:val="27"/>
          <w:lang w:val="uk-UA"/>
        </w:rPr>
        <w:t>Якщо організаційні або адміністративні правила ЦКА щодо усунення конфліктів інтересів не достатні для того, щоб забезпечити, з прийнятною впевненістю, попередження ризиків завдання шкоди інтересам учасника кліринг</w:t>
      </w:r>
      <w:r w:rsidR="00787B78">
        <w:rPr>
          <w:rFonts w:ascii="Times New Roman" w:eastAsia="Times New Roman" w:hAnsi="Times New Roman" w:cs="Times New Roman"/>
          <w:sz w:val="27"/>
          <w:szCs w:val="27"/>
          <w:lang w:val="uk-UA"/>
        </w:rPr>
        <w:t xml:space="preserve">у або клієнта, то ЦКА чітко розкриває загальний характер або джерела конфліктів інтересів учасникові клірингу, перш ніж приймати нові угоди від цього учасника клірингу. Якщо клієнт відомий ЦКА, ЦКА інформує клієнта і </w:t>
      </w:r>
      <w:r w:rsidR="005A6284">
        <w:rPr>
          <w:rFonts w:ascii="Times New Roman" w:eastAsia="Times New Roman" w:hAnsi="Times New Roman" w:cs="Times New Roman"/>
          <w:sz w:val="27"/>
          <w:szCs w:val="27"/>
          <w:lang w:val="uk-UA"/>
        </w:rPr>
        <w:t xml:space="preserve">того </w:t>
      </w:r>
      <w:r w:rsidR="00787B78">
        <w:rPr>
          <w:rFonts w:ascii="Times New Roman" w:eastAsia="Times New Roman" w:hAnsi="Times New Roman" w:cs="Times New Roman"/>
          <w:sz w:val="27"/>
          <w:szCs w:val="27"/>
          <w:lang w:val="uk-UA"/>
        </w:rPr>
        <w:t xml:space="preserve">учасника клірингу, </w:t>
      </w:r>
      <w:r w:rsidR="005A6284">
        <w:rPr>
          <w:rFonts w:ascii="Times New Roman" w:eastAsia="Times New Roman" w:hAnsi="Times New Roman" w:cs="Times New Roman"/>
          <w:sz w:val="27"/>
          <w:szCs w:val="27"/>
          <w:lang w:val="uk-UA"/>
        </w:rPr>
        <w:t>клієнта якого стосується вищезгадане.</w:t>
      </w:r>
    </w:p>
    <w:p w:rsidR="005A6284" w:rsidRPr="005A6284"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2E5FBE">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5A6284">
        <w:rPr>
          <w:rFonts w:ascii="Times New Roman" w:eastAsia="Times New Roman" w:hAnsi="Times New Roman" w:cs="Times New Roman"/>
          <w:sz w:val="27"/>
          <w:szCs w:val="27"/>
          <w:lang w:val="uk-UA"/>
        </w:rPr>
        <w:t xml:space="preserve">Якщо ЦКА є материнським або дочірнім підприємством, то у письмових правилах також ураховуються всі обставини, про які ЦКА відомо або має бути відомо, </w:t>
      </w:r>
      <w:r w:rsidR="002A710B">
        <w:rPr>
          <w:rFonts w:ascii="Times New Roman" w:eastAsia="Times New Roman" w:hAnsi="Times New Roman" w:cs="Times New Roman"/>
          <w:sz w:val="27"/>
          <w:szCs w:val="27"/>
          <w:lang w:val="uk-UA"/>
        </w:rPr>
        <w:t xml:space="preserve">котрі можуть викликати виникнення конфлікту інтересів через структуру або ділову діяльність інших підприємств, з якими він </w:t>
      </w:r>
      <w:r w:rsidR="00DE7DCC">
        <w:rPr>
          <w:rFonts w:ascii="Times New Roman" w:eastAsia="Times New Roman" w:hAnsi="Times New Roman" w:cs="Times New Roman"/>
          <w:sz w:val="27"/>
          <w:szCs w:val="27"/>
          <w:lang w:val="uk-UA"/>
        </w:rPr>
        <w:t>має відносини як материнське або дочірнє підприємство.</w:t>
      </w:r>
    </w:p>
    <w:p w:rsidR="00DE77B0" w:rsidRPr="002E5FBE" w:rsidRDefault="00DE77B0" w:rsidP="00DE7DCC">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DE7DCC">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DE7DCC">
        <w:rPr>
          <w:rFonts w:ascii="Times New Roman" w:eastAsia="Times New Roman" w:hAnsi="Times New Roman" w:cs="Times New Roman"/>
          <w:sz w:val="27"/>
          <w:szCs w:val="27"/>
          <w:lang w:val="uk-UA"/>
        </w:rPr>
        <w:t>Письмові правила, встановлені відповідно до пункту 1 цієї статті, включають наступне:</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2E5FBE" w:rsidRDefault="00DE7DCC" w:rsidP="00DE7DCC">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обставини, які становлять або можуть спричинити конфлікт інтересів, який тягне за собою істотний ризик завдання шкоди інтересам одного чи декількох учасників клірингу або клієнтів;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2E5FBE" w:rsidRDefault="00DE7DCC" w:rsidP="00DE7DCC">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процедури, яких необхідно додержуватися, і заходи, яких необхідно вжити для усунення такого конфлікту.</w:t>
            </w:r>
          </w:p>
        </w:tc>
      </w:tr>
    </w:tbl>
    <w:p w:rsidR="00DE77B0" w:rsidRPr="002E5FBE" w:rsidRDefault="00DE77B0" w:rsidP="005A1FFD">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2E5FBE">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DE7DCC">
        <w:rPr>
          <w:rFonts w:ascii="Times New Roman" w:eastAsia="Times New Roman" w:hAnsi="Times New Roman" w:cs="Times New Roman"/>
          <w:sz w:val="27"/>
          <w:szCs w:val="27"/>
          <w:lang w:val="uk-UA"/>
        </w:rPr>
        <w:t xml:space="preserve">ЦКА вживає всіх розумних заходів для попередження будь-якого зловживання інформацією, що зберігається в його системах, і запобігає використанню такої інформації для іншої </w:t>
      </w:r>
      <w:r w:rsidR="005A1FFD">
        <w:rPr>
          <w:rFonts w:ascii="Times New Roman" w:eastAsia="Times New Roman" w:hAnsi="Times New Roman" w:cs="Times New Roman"/>
          <w:sz w:val="27"/>
          <w:szCs w:val="27"/>
          <w:lang w:val="uk-UA"/>
        </w:rPr>
        <w:t>господарської</w:t>
      </w:r>
      <w:r w:rsidR="00DE7DCC">
        <w:rPr>
          <w:rFonts w:ascii="Times New Roman" w:eastAsia="Times New Roman" w:hAnsi="Times New Roman" w:cs="Times New Roman"/>
          <w:sz w:val="27"/>
          <w:szCs w:val="27"/>
          <w:lang w:val="uk-UA"/>
        </w:rPr>
        <w:t xml:space="preserve"> діяльності.</w:t>
      </w:r>
      <w:r w:rsidR="005A1FFD">
        <w:rPr>
          <w:rFonts w:ascii="Times New Roman" w:eastAsia="Times New Roman" w:hAnsi="Times New Roman" w:cs="Times New Roman"/>
          <w:sz w:val="27"/>
          <w:szCs w:val="27"/>
          <w:lang w:val="uk-UA"/>
        </w:rPr>
        <w:t xml:space="preserve"> Фізична особа, яка має тісний зв'язок із ЦКА, або юридична особа, що має з ЦКА відносини як материнське або дочірнє підприємство, не повинна використовувати конфіденційну інформацію, зареєстровану в цьому ЦКА, у будь-яких комерційних цілях без попередньої письмової згоди клієнта, якому належить така конфіденційна інформація.</w:t>
      </w:r>
    </w:p>
    <w:p w:rsidR="00DE77B0" w:rsidRPr="002E5FBE"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2E5FBE">
        <w:rPr>
          <w:rFonts w:ascii="Times New Roman" w:eastAsia="Times New Roman" w:hAnsi="Times New Roman" w:cs="Times New Roman"/>
          <w:i/>
          <w:iCs/>
          <w:sz w:val="27"/>
          <w:szCs w:val="27"/>
          <w:lang w:val="uk-UA"/>
        </w:rPr>
        <w:t>Стаття</w:t>
      </w:r>
      <w:r w:rsidR="00DE77B0" w:rsidRPr="002E5FBE">
        <w:rPr>
          <w:rFonts w:ascii="Times New Roman" w:eastAsia="Times New Roman" w:hAnsi="Times New Roman" w:cs="Times New Roman"/>
          <w:i/>
          <w:iCs/>
          <w:sz w:val="27"/>
          <w:szCs w:val="27"/>
          <w:lang w:val="uk-UA"/>
        </w:rPr>
        <w:t xml:space="preserve"> 34</w:t>
      </w:r>
    </w:p>
    <w:p w:rsidR="00DE77B0" w:rsidRPr="00DD3E1F" w:rsidRDefault="00DD3E1F"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Безперервність ведення діяльності</w:t>
      </w:r>
    </w:p>
    <w:p w:rsidR="001523B3" w:rsidRPr="002E5FBE" w:rsidRDefault="00DE77B0" w:rsidP="001523B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2E5FBE">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036789">
        <w:rPr>
          <w:rFonts w:ascii="Times New Roman" w:eastAsia="Times New Roman" w:hAnsi="Times New Roman" w:cs="Times New Roman"/>
          <w:sz w:val="27"/>
          <w:szCs w:val="27"/>
          <w:lang w:val="uk-UA"/>
        </w:rPr>
        <w:t>ЦКА розробляє, запроваджує та реалізує належну</w:t>
      </w:r>
      <w:r w:rsidR="00515657" w:rsidRPr="00515657">
        <w:rPr>
          <w:rFonts w:ascii="Times New Roman" w:eastAsia="Times New Roman" w:hAnsi="Times New Roman" w:cs="Times New Roman"/>
          <w:sz w:val="27"/>
          <w:szCs w:val="27"/>
          <w:lang w:val="uk-UA"/>
        </w:rPr>
        <w:t xml:space="preserve"> </w:t>
      </w:r>
      <w:r w:rsidR="00515657">
        <w:rPr>
          <w:rFonts w:ascii="Times New Roman" w:eastAsia="Times New Roman" w:hAnsi="Times New Roman" w:cs="Times New Roman"/>
          <w:sz w:val="27"/>
          <w:szCs w:val="27"/>
          <w:lang w:val="uk-UA"/>
        </w:rPr>
        <w:t>політику щодо безперервності ведення діяльності та план відновлення у надзвичайних ситуаціях</w:t>
      </w:r>
      <w:r w:rsidR="00F323DF">
        <w:rPr>
          <w:rFonts w:ascii="Times New Roman" w:eastAsia="Times New Roman" w:hAnsi="Times New Roman" w:cs="Times New Roman"/>
          <w:sz w:val="27"/>
          <w:szCs w:val="27"/>
          <w:lang w:val="uk-UA"/>
        </w:rPr>
        <w:t xml:space="preserve">, спрямовані на забезпечення збереження його функцій, своєчасне відновлення діяльності та виконання зобов’язань ЦКА. Такий план </w:t>
      </w:r>
      <w:r w:rsidR="001523B3">
        <w:rPr>
          <w:rFonts w:ascii="Times New Roman" w:eastAsia="Times New Roman" w:hAnsi="Times New Roman" w:cs="Times New Roman"/>
          <w:sz w:val="27"/>
          <w:szCs w:val="27"/>
          <w:lang w:val="uk-UA"/>
        </w:rPr>
        <w:t>передбачає, як мінімум, відновлення всіх операцій, що здійснювалися на момент збою, щоб ЦКА міг упевнено продовжити роботу та провести розрахунки у плановий строк.</w:t>
      </w:r>
    </w:p>
    <w:p w:rsidR="00DE77B0" w:rsidRPr="002E5FBE"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p>
    <w:p w:rsidR="001523B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2E5FBE">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1523B3">
        <w:rPr>
          <w:rFonts w:ascii="Times New Roman" w:eastAsia="Times New Roman" w:hAnsi="Times New Roman" w:cs="Times New Roman"/>
          <w:sz w:val="27"/>
          <w:szCs w:val="27"/>
          <w:lang w:val="uk-UA"/>
        </w:rPr>
        <w:t>ЦКА розробляє, запроваджує та реалізує належну процедуру, що забезпечує своєчасні та впорядковані розрахунки або передачу активів та позицій клієнтів і учасників клірингу у випадку відкликання повноважень відповідно до рішення, прийнятого згідно зі статтею 20.</w:t>
      </w:r>
    </w:p>
    <w:p w:rsidR="00EB148B" w:rsidRDefault="001523B3" w:rsidP="00EB148B">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3</w:t>
      </w:r>
      <w:r w:rsidRPr="00BF52E6">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Для того, щоб забезпечити </w:t>
      </w:r>
      <w:r w:rsidR="00EB148B">
        <w:rPr>
          <w:rFonts w:ascii="Times New Roman" w:eastAsia="Times New Roman" w:hAnsi="Times New Roman" w:cs="Times New Roman"/>
          <w:sz w:val="27"/>
          <w:szCs w:val="27"/>
          <w:lang w:val="uk-UA"/>
        </w:rPr>
        <w:t xml:space="preserve">послідовне застосування цієї статті </w:t>
      </w:r>
      <w:r w:rsidR="00EB148B">
        <w:rPr>
          <w:rFonts w:ascii="Times New Roman" w:eastAsia="Times New Roman" w:hAnsi="Times New Roman" w:cs="Times New Roman"/>
          <w:sz w:val="27"/>
          <w:szCs w:val="27"/>
        </w:rPr>
        <w:t>ESMA</w:t>
      </w:r>
      <w:r w:rsidR="00EB148B" w:rsidRPr="002E5FBE">
        <w:rPr>
          <w:rFonts w:ascii="Times New Roman" w:eastAsia="Times New Roman" w:hAnsi="Times New Roman" w:cs="Times New Roman"/>
          <w:sz w:val="27"/>
          <w:szCs w:val="27"/>
          <w:lang w:val="uk-UA"/>
        </w:rPr>
        <w:t xml:space="preserve"> після консультацій з </w:t>
      </w:r>
      <w:r w:rsidR="00EB148B">
        <w:rPr>
          <w:rFonts w:ascii="Times New Roman" w:eastAsia="Times New Roman" w:hAnsi="Times New Roman" w:cs="Times New Roman"/>
          <w:sz w:val="27"/>
          <w:szCs w:val="27"/>
          <w:lang w:val="uk-UA"/>
        </w:rPr>
        <w:t xml:space="preserve">членами ЄСЦБ </w:t>
      </w:r>
      <w:r>
        <w:rPr>
          <w:rFonts w:ascii="Times New Roman" w:eastAsia="Times New Roman" w:hAnsi="Times New Roman" w:cs="Times New Roman"/>
          <w:sz w:val="27"/>
          <w:szCs w:val="27"/>
          <w:lang w:val="uk-UA"/>
        </w:rPr>
        <w:t xml:space="preserve">розробляє проекти регуляторних технічних стандартів із зазначенням </w:t>
      </w:r>
      <w:r w:rsidR="00EB148B">
        <w:rPr>
          <w:rFonts w:ascii="Times New Roman" w:eastAsia="Times New Roman" w:hAnsi="Times New Roman" w:cs="Times New Roman"/>
          <w:sz w:val="27"/>
          <w:szCs w:val="27"/>
          <w:lang w:val="uk-UA"/>
        </w:rPr>
        <w:t xml:space="preserve">мінімального змісту </w:t>
      </w:r>
      <w:r w:rsidR="00515657">
        <w:rPr>
          <w:rFonts w:ascii="Times New Roman" w:eastAsia="Times New Roman" w:hAnsi="Times New Roman" w:cs="Times New Roman"/>
          <w:sz w:val="27"/>
          <w:szCs w:val="27"/>
          <w:lang w:val="uk-UA"/>
        </w:rPr>
        <w:t>політики щодо безперервності ведення діяльності та плану відновлення у надзвичайних ситуаціях і вимог до цих документів.</w:t>
      </w:r>
    </w:p>
    <w:p w:rsidR="001523B3" w:rsidRPr="00A64037" w:rsidRDefault="001523B3" w:rsidP="001523B3">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Е</w:t>
      </w:r>
      <w:r>
        <w:rPr>
          <w:rFonts w:ascii="Times New Roman" w:eastAsia="Times New Roman" w:hAnsi="Times New Roman" w:cs="Times New Roman"/>
          <w:sz w:val="27"/>
          <w:szCs w:val="27"/>
        </w:rPr>
        <w:t>SMA</w:t>
      </w:r>
      <w:r>
        <w:rPr>
          <w:rFonts w:ascii="Times New Roman" w:eastAsia="Times New Roman" w:hAnsi="Times New Roman" w:cs="Times New Roman"/>
          <w:sz w:val="27"/>
          <w:szCs w:val="27"/>
          <w:lang w:val="uk-UA"/>
        </w:rPr>
        <w:t xml:space="preserve"> подає ці проекти регуляторних технічних стандартів Комісії до 30 вересня 2012 р.</w:t>
      </w:r>
    </w:p>
    <w:p w:rsidR="00DE77B0" w:rsidRPr="002E5FBE" w:rsidRDefault="001523B3" w:rsidP="0051565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Комісії надається повноваження на прийняття регуляторних технічних стандартів, згаданих у першому абзаці цього пункту, </w:t>
      </w:r>
      <w:proofErr w:type="spellStart"/>
      <w:r w:rsidRPr="009448A2">
        <w:rPr>
          <w:rFonts w:ascii="Times New Roman" w:eastAsia="Times New Roman" w:hAnsi="Times New Roman" w:cs="Times New Roman"/>
          <w:sz w:val="27"/>
          <w:szCs w:val="27"/>
          <w:lang w:val="ru-RU"/>
        </w:rPr>
        <w:t>відповідно</w:t>
      </w:r>
      <w:proofErr w:type="spellEnd"/>
      <w:r w:rsidRPr="009448A2">
        <w:rPr>
          <w:rFonts w:ascii="Times New Roman" w:eastAsia="Times New Roman" w:hAnsi="Times New Roman" w:cs="Times New Roman"/>
          <w:sz w:val="27"/>
          <w:szCs w:val="27"/>
          <w:lang w:val="ru-RU"/>
        </w:rPr>
        <w:t xml:space="preserve"> до стат</w:t>
      </w:r>
      <w:r w:rsidR="00515657">
        <w:rPr>
          <w:rFonts w:ascii="Times New Roman" w:eastAsia="Times New Roman" w:hAnsi="Times New Roman" w:cs="Times New Roman"/>
          <w:sz w:val="27"/>
          <w:szCs w:val="27"/>
          <w:lang w:val="ru-RU"/>
        </w:rPr>
        <w:t>ей 10-14</w:t>
      </w:r>
      <w:r w:rsidRPr="009448A2">
        <w:rPr>
          <w:rFonts w:ascii="Times New Roman" w:eastAsia="Times New Roman" w:hAnsi="Times New Roman" w:cs="Times New Roman"/>
          <w:sz w:val="27"/>
          <w:szCs w:val="27"/>
          <w:lang w:val="ru-RU"/>
        </w:rPr>
        <w:t xml:space="preserve"> Регламенту (</w:t>
      </w:r>
      <w:r>
        <w:rPr>
          <w:rFonts w:ascii="Times New Roman" w:eastAsia="Times New Roman" w:hAnsi="Times New Roman" w:cs="Times New Roman"/>
          <w:sz w:val="27"/>
          <w:szCs w:val="27"/>
        </w:rPr>
        <w:t>EU</w:t>
      </w:r>
      <w:r w:rsidRPr="009448A2">
        <w:rPr>
          <w:rFonts w:ascii="Times New Roman" w:eastAsia="Times New Roman" w:hAnsi="Times New Roman" w:cs="Times New Roman"/>
          <w:sz w:val="27"/>
          <w:szCs w:val="27"/>
          <w:lang w:val="ru-RU"/>
        </w:rPr>
        <w:t>) №</w:t>
      </w:r>
      <w:r w:rsidRPr="006279CF">
        <w:rPr>
          <w:rFonts w:ascii="Times New Roman" w:eastAsia="Times New Roman" w:hAnsi="Times New Roman" w:cs="Times New Roman"/>
          <w:sz w:val="27"/>
          <w:szCs w:val="27"/>
        </w:rPr>
        <w:t> </w:t>
      </w:r>
      <w:r w:rsidRPr="009448A2">
        <w:rPr>
          <w:rFonts w:ascii="Times New Roman" w:eastAsia="Times New Roman" w:hAnsi="Times New Roman" w:cs="Times New Roman"/>
          <w:sz w:val="27"/>
          <w:szCs w:val="27"/>
          <w:lang w:val="ru-RU"/>
        </w:rPr>
        <w:t>1095/2010.</w:t>
      </w:r>
    </w:p>
    <w:p w:rsidR="00DE77B0" w:rsidRPr="002E5FBE"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2E5FBE">
        <w:rPr>
          <w:rFonts w:ascii="Times New Roman" w:eastAsia="Times New Roman" w:hAnsi="Times New Roman" w:cs="Times New Roman"/>
          <w:i/>
          <w:iCs/>
          <w:sz w:val="27"/>
          <w:szCs w:val="27"/>
          <w:lang w:val="ru-RU"/>
        </w:rPr>
        <w:t>Стаття</w:t>
      </w:r>
      <w:proofErr w:type="spellEnd"/>
      <w:r w:rsidR="00DE77B0" w:rsidRPr="002E5FBE">
        <w:rPr>
          <w:rFonts w:ascii="Times New Roman" w:eastAsia="Times New Roman" w:hAnsi="Times New Roman" w:cs="Times New Roman"/>
          <w:i/>
          <w:iCs/>
          <w:sz w:val="27"/>
          <w:szCs w:val="27"/>
          <w:lang w:val="ru-RU"/>
        </w:rPr>
        <w:t xml:space="preserve"> 35</w:t>
      </w:r>
    </w:p>
    <w:p w:rsidR="00DE77B0" w:rsidRPr="00515657" w:rsidRDefault="00515657"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proofErr w:type="spellStart"/>
      <w:r>
        <w:rPr>
          <w:rFonts w:ascii="Times New Roman" w:eastAsia="Times New Roman" w:hAnsi="Times New Roman" w:cs="Times New Roman"/>
          <w:b/>
          <w:bCs/>
          <w:sz w:val="27"/>
          <w:szCs w:val="27"/>
          <w:lang w:val="uk-UA"/>
        </w:rPr>
        <w:t>Аутсорсинг</w:t>
      </w:r>
      <w:proofErr w:type="spellEnd"/>
    </w:p>
    <w:p w:rsidR="00515657" w:rsidRPr="00B23640"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2E5FBE">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515657">
        <w:rPr>
          <w:rFonts w:ascii="Times New Roman" w:eastAsia="Times New Roman" w:hAnsi="Times New Roman" w:cs="Times New Roman"/>
          <w:sz w:val="27"/>
          <w:szCs w:val="27"/>
          <w:lang w:val="uk-UA"/>
        </w:rPr>
        <w:t xml:space="preserve">Якщо ЦКА передає оперативні функції, послуги або види діяльності для виконання сторонній організації, ЦКА залишається повністю відповідальним за виконання всіх своїх зобов’язань за цим регламентом і </w:t>
      </w:r>
      <w:r w:rsidR="00B23640">
        <w:rPr>
          <w:rFonts w:ascii="Times New Roman" w:eastAsia="Times New Roman" w:hAnsi="Times New Roman" w:cs="Times New Roman"/>
          <w:sz w:val="27"/>
          <w:szCs w:val="27"/>
          <w:lang w:val="uk-UA"/>
        </w:rPr>
        <w:t>повсякчасно забезпечує, щоб:</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6"/>
        <w:gridCol w:w="8979"/>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2E5FBE" w:rsidRDefault="00B8348F" w:rsidP="00B8348F">
            <w:pPr>
              <w:spacing w:before="120" w:after="0" w:line="240" w:lineRule="auto"/>
              <w:jc w:val="both"/>
              <w:textAlignment w:val="baseline"/>
              <w:rPr>
                <w:rFonts w:ascii="Times New Roman" w:eastAsia="Times New Roman" w:hAnsi="Times New Roman" w:cs="Times New Roman"/>
                <w:sz w:val="27"/>
                <w:szCs w:val="27"/>
                <w:lang w:val="ru-RU"/>
              </w:rPr>
            </w:pPr>
            <w:proofErr w:type="spellStart"/>
            <w:r>
              <w:rPr>
                <w:rFonts w:ascii="Times New Roman" w:eastAsia="Times New Roman" w:hAnsi="Times New Roman" w:cs="Times New Roman"/>
                <w:sz w:val="27"/>
                <w:szCs w:val="27"/>
                <w:lang w:val="uk-UA"/>
              </w:rPr>
              <w:t>аутсорсинг</w:t>
            </w:r>
            <w:proofErr w:type="spellEnd"/>
            <w:r>
              <w:rPr>
                <w:rFonts w:ascii="Times New Roman" w:eastAsia="Times New Roman" w:hAnsi="Times New Roman" w:cs="Times New Roman"/>
                <w:sz w:val="27"/>
                <w:szCs w:val="27"/>
                <w:lang w:val="uk-UA"/>
              </w:rPr>
              <w:t xml:space="preserve"> не призводив до делегування його відповідальності;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2E5FBE" w:rsidRDefault="00B830AD" w:rsidP="00B830AD">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відносини ЦКА з учасниками клірингу або, де доречно, з їхніми клієнтами і обов’язки ЦКА перед ними не змінювалися;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9"/>
        <w:gridCol w:w="8936"/>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B830AD" w:rsidRDefault="00B830AD" w:rsidP="00B830AD">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умови надання ЦКА повноважень по суті не змінювалися;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B830AD" w:rsidP="00B830AD">
            <w:pPr>
              <w:spacing w:before="120" w:after="0" w:line="240" w:lineRule="auto"/>
              <w:jc w:val="both"/>
              <w:textAlignment w:val="baseline"/>
              <w:rPr>
                <w:rFonts w:ascii="Times New Roman" w:eastAsia="Times New Roman" w:hAnsi="Times New Roman" w:cs="Times New Roman"/>
                <w:sz w:val="27"/>
                <w:szCs w:val="27"/>
              </w:rPr>
            </w:pPr>
            <w:proofErr w:type="spellStart"/>
            <w:r>
              <w:rPr>
                <w:rFonts w:ascii="Times New Roman" w:eastAsia="Times New Roman" w:hAnsi="Times New Roman" w:cs="Times New Roman"/>
                <w:sz w:val="27"/>
                <w:szCs w:val="27"/>
                <w:lang w:val="uk-UA"/>
              </w:rPr>
              <w:t>аутсорсинг</w:t>
            </w:r>
            <w:proofErr w:type="spellEnd"/>
            <w:r>
              <w:rPr>
                <w:rFonts w:ascii="Times New Roman" w:eastAsia="Times New Roman" w:hAnsi="Times New Roman" w:cs="Times New Roman"/>
                <w:sz w:val="27"/>
                <w:szCs w:val="27"/>
                <w:lang w:val="uk-UA"/>
              </w:rPr>
              <w:t xml:space="preserve"> не запобігав виконанню наглядових і контрольних функцій, зокрема доступу на місця для отримання актуальної інформації, необхідної для виконання цих функцій;</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2E5FBE" w:rsidRDefault="00B830AD" w:rsidP="00B830AD">
            <w:pPr>
              <w:spacing w:before="120" w:after="0" w:line="240" w:lineRule="auto"/>
              <w:jc w:val="both"/>
              <w:textAlignment w:val="baseline"/>
              <w:rPr>
                <w:rFonts w:ascii="Times New Roman" w:eastAsia="Times New Roman" w:hAnsi="Times New Roman" w:cs="Times New Roman"/>
                <w:sz w:val="27"/>
                <w:szCs w:val="27"/>
                <w:lang w:val="ru-RU"/>
              </w:rPr>
            </w:pPr>
            <w:proofErr w:type="spellStart"/>
            <w:r>
              <w:rPr>
                <w:rFonts w:ascii="Times New Roman" w:eastAsia="Times New Roman" w:hAnsi="Times New Roman" w:cs="Times New Roman"/>
                <w:sz w:val="27"/>
                <w:szCs w:val="27"/>
                <w:lang w:val="uk-UA"/>
              </w:rPr>
              <w:t>аутсорсинг</w:t>
            </w:r>
            <w:proofErr w:type="spellEnd"/>
            <w:r>
              <w:rPr>
                <w:rFonts w:ascii="Times New Roman" w:eastAsia="Times New Roman" w:hAnsi="Times New Roman" w:cs="Times New Roman"/>
                <w:sz w:val="27"/>
                <w:szCs w:val="27"/>
                <w:lang w:val="uk-UA"/>
              </w:rPr>
              <w:t xml:space="preserve"> не призводив до позбавлення ЦКА необхідних систем і засобів контролю для управління ризиками, з якими він стикається;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F24656" w:rsidP="00F24656">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н</w:t>
            </w:r>
            <w:r w:rsidR="00B830AD">
              <w:rPr>
                <w:rFonts w:ascii="Times New Roman" w:eastAsia="Times New Roman" w:hAnsi="Times New Roman" w:cs="Times New Roman"/>
                <w:sz w:val="27"/>
                <w:szCs w:val="27"/>
                <w:lang w:val="uk-UA"/>
              </w:rPr>
              <w:t xml:space="preserve">адавач </w:t>
            </w:r>
            <w:r>
              <w:rPr>
                <w:rFonts w:ascii="Times New Roman" w:eastAsia="Times New Roman" w:hAnsi="Times New Roman" w:cs="Times New Roman"/>
                <w:sz w:val="27"/>
                <w:szCs w:val="27"/>
                <w:lang w:val="uk-UA"/>
              </w:rPr>
              <w:t>послуг запроваджував вимоги щодо безперервності ведення діяльності, еквівалентні тим, які ЦКА повинен виконувати за цим регламентом;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lastRenderedPageBreak/>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67DF7" w:rsidP="001D52B8">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ЦКА зберігав необхідні кадри та ресурси для оцінювання якості наданих послуг і організаційної спроможності та достатності капіталу надавача послуг, а також для </w:t>
            </w:r>
            <w:r w:rsidR="001D52B8">
              <w:rPr>
                <w:rFonts w:ascii="Times New Roman" w:eastAsia="Times New Roman" w:hAnsi="Times New Roman" w:cs="Times New Roman"/>
                <w:sz w:val="27"/>
                <w:szCs w:val="27"/>
                <w:lang w:val="uk-UA"/>
              </w:rPr>
              <w:t xml:space="preserve">ефективного контролю за виконанням функцій, переданих на сторону, і управління ризиками, пов'язаними з </w:t>
            </w:r>
            <w:proofErr w:type="spellStart"/>
            <w:r w:rsidR="001D52B8">
              <w:rPr>
                <w:rFonts w:ascii="Times New Roman" w:eastAsia="Times New Roman" w:hAnsi="Times New Roman" w:cs="Times New Roman"/>
                <w:sz w:val="27"/>
                <w:szCs w:val="27"/>
                <w:lang w:val="uk-UA"/>
              </w:rPr>
              <w:t>аутсорсингом</w:t>
            </w:r>
            <w:proofErr w:type="spellEnd"/>
            <w:r w:rsidR="001D52B8">
              <w:rPr>
                <w:rFonts w:ascii="Times New Roman" w:eastAsia="Times New Roman" w:hAnsi="Times New Roman" w:cs="Times New Roman"/>
                <w:sz w:val="27"/>
                <w:szCs w:val="27"/>
                <w:lang w:val="uk-UA"/>
              </w:rPr>
              <w:t>, наглядаючи за виконанням цих функцій та управляючи цими ризиками на постійній основі;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2E5FBE" w:rsidRDefault="001D52B8" w:rsidP="001D52B8">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ЦКА мав безпосередній доступ до відповідної інформації щодо функцій, переданих для виконання на сторону;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10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w:t>
            </w:r>
            <w:proofErr w:type="spellStart"/>
            <w:r w:rsidRPr="006279CF">
              <w:rPr>
                <w:rFonts w:ascii="Times New Roman" w:eastAsia="Times New Roman" w:hAnsi="Times New Roman" w:cs="Times New Roman"/>
                <w:sz w:val="27"/>
                <w:szCs w:val="27"/>
              </w:rPr>
              <w:t>i</w:t>
            </w:r>
            <w:proofErr w:type="spellEnd"/>
            <w:r w:rsidRPr="006279CF">
              <w:rPr>
                <w:rFonts w:ascii="Times New Roman" w:eastAsia="Times New Roman" w:hAnsi="Times New Roman" w:cs="Times New Roman"/>
                <w:sz w:val="27"/>
                <w:szCs w:val="27"/>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2E5FBE" w:rsidRDefault="00344B81" w:rsidP="00344B8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надавач послуг співпрацював з компетентним органом у зв'язку з діяльністю, переданою на сторону;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10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344B81" w:rsidP="00AE3C0F">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надавач послуг захищав конфіденційну інформацію стосовно ЦКА</w:t>
            </w:r>
            <w:r w:rsidR="004274B7">
              <w:rPr>
                <w:rFonts w:ascii="Times New Roman" w:eastAsia="Times New Roman" w:hAnsi="Times New Roman" w:cs="Times New Roman"/>
                <w:sz w:val="27"/>
                <w:szCs w:val="27"/>
                <w:lang w:val="uk-UA"/>
              </w:rPr>
              <w:t xml:space="preserve">, учасників клірингу та клієнтів або, якщо надавач послуг створений у третій країні, </w:t>
            </w:r>
            <w:r w:rsidR="00AE3C0F">
              <w:rPr>
                <w:rFonts w:ascii="Times New Roman" w:eastAsia="Times New Roman" w:hAnsi="Times New Roman" w:cs="Times New Roman"/>
                <w:sz w:val="27"/>
                <w:szCs w:val="27"/>
                <w:lang w:val="uk-UA"/>
              </w:rPr>
              <w:t>забезпечує, щоб стандарти цієї третьої країни щодо захисту даних або стандарти, встановлені в угоді між зацікавленими сторонами, були порівнянними зі стандартами захисту даних, чинними у Союзі.</w:t>
            </w:r>
          </w:p>
        </w:tc>
      </w:tr>
    </w:tbl>
    <w:p w:rsidR="00AE3C0F" w:rsidRDefault="00AE3C0F"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ЦКА не передає на сторону основні види діяльності, пов'язані з управлінням ризиками, якщо такий </w:t>
      </w:r>
      <w:proofErr w:type="spellStart"/>
      <w:r>
        <w:rPr>
          <w:rFonts w:ascii="Times New Roman" w:eastAsia="Times New Roman" w:hAnsi="Times New Roman" w:cs="Times New Roman"/>
          <w:sz w:val="27"/>
          <w:szCs w:val="27"/>
          <w:lang w:val="uk-UA"/>
        </w:rPr>
        <w:t>аутсорсинг</w:t>
      </w:r>
      <w:proofErr w:type="spellEnd"/>
      <w:r>
        <w:rPr>
          <w:rFonts w:ascii="Times New Roman" w:eastAsia="Times New Roman" w:hAnsi="Times New Roman" w:cs="Times New Roman"/>
          <w:sz w:val="27"/>
          <w:szCs w:val="27"/>
          <w:lang w:val="uk-UA"/>
        </w:rPr>
        <w:t xml:space="preserve"> не схвалений компетентним органом.</w:t>
      </w:r>
    </w:p>
    <w:p w:rsidR="00AE3C0F" w:rsidRPr="004C1F9C"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AE3C0F">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proofErr w:type="spellStart"/>
      <w:r w:rsidR="00812EED" w:rsidRPr="00AE3C0F">
        <w:rPr>
          <w:rFonts w:ascii="Times New Roman" w:eastAsia="Times New Roman" w:hAnsi="Times New Roman" w:cs="Times New Roman"/>
          <w:sz w:val="27"/>
          <w:szCs w:val="27"/>
          <w:lang w:val="ru-RU"/>
        </w:rPr>
        <w:t>Компетентний</w:t>
      </w:r>
      <w:proofErr w:type="spellEnd"/>
      <w:r w:rsidR="00812EED" w:rsidRPr="004C1F9C">
        <w:rPr>
          <w:rFonts w:ascii="Times New Roman" w:eastAsia="Times New Roman" w:hAnsi="Times New Roman" w:cs="Times New Roman"/>
          <w:sz w:val="27"/>
          <w:szCs w:val="27"/>
          <w:lang w:val="ru-RU"/>
        </w:rPr>
        <w:t xml:space="preserve"> </w:t>
      </w:r>
      <w:r w:rsidR="00812EED" w:rsidRPr="00AE3C0F">
        <w:rPr>
          <w:rFonts w:ascii="Times New Roman" w:eastAsia="Times New Roman" w:hAnsi="Times New Roman" w:cs="Times New Roman"/>
          <w:sz w:val="27"/>
          <w:szCs w:val="27"/>
          <w:lang w:val="ru-RU"/>
        </w:rPr>
        <w:t>орган</w:t>
      </w:r>
      <w:r w:rsidRPr="004C1F9C">
        <w:rPr>
          <w:rFonts w:ascii="Times New Roman" w:eastAsia="Times New Roman" w:hAnsi="Times New Roman" w:cs="Times New Roman"/>
          <w:sz w:val="27"/>
          <w:szCs w:val="27"/>
          <w:lang w:val="ru-RU"/>
        </w:rPr>
        <w:t xml:space="preserve"> </w:t>
      </w:r>
      <w:r w:rsidR="00AE3C0F">
        <w:rPr>
          <w:rFonts w:ascii="Times New Roman" w:eastAsia="Times New Roman" w:hAnsi="Times New Roman" w:cs="Times New Roman"/>
          <w:sz w:val="27"/>
          <w:szCs w:val="27"/>
          <w:lang w:val="uk-UA"/>
        </w:rPr>
        <w:t xml:space="preserve">вимагає від ЦКА </w:t>
      </w:r>
      <w:r w:rsidR="004C1F9C">
        <w:rPr>
          <w:rFonts w:ascii="Times New Roman" w:eastAsia="Times New Roman" w:hAnsi="Times New Roman" w:cs="Times New Roman"/>
          <w:sz w:val="27"/>
          <w:szCs w:val="27"/>
          <w:lang w:val="uk-UA"/>
        </w:rPr>
        <w:t>чітко розподілити та визначити свої права та обов’язки, а також права та обов’язки надавача послуг у письмовій угоді.</w:t>
      </w:r>
    </w:p>
    <w:p w:rsidR="00DE77B0" w:rsidRPr="002E5FBE" w:rsidRDefault="00DE77B0" w:rsidP="00EA27E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4C1F9C">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EA27E4">
        <w:rPr>
          <w:rFonts w:ascii="Times New Roman" w:eastAsia="Times New Roman" w:hAnsi="Times New Roman" w:cs="Times New Roman"/>
          <w:sz w:val="27"/>
          <w:szCs w:val="27"/>
          <w:lang w:val="uk-UA"/>
        </w:rPr>
        <w:t>ЦКА</w:t>
      </w:r>
      <w:r w:rsidR="004C1F9C">
        <w:rPr>
          <w:rFonts w:ascii="Times New Roman" w:eastAsia="Times New Roman" w:hAnsi="Times New Roman" w:cs="Times New Roman"/>
          <w:sz w:val="27"/>
          <w:szCs w:val="27"/>
          <w:lang w:val="uk-UA"/>
        </w:rPr>
        <w:t xml:space="preserve"> </w:t>
      </w:r>
      <w:r w:rsidR="00EA27E4">
        <w:rPr>
          <w:rFonts w:ascii="Times New Roman" w:eastAsia="Times New Roman" w:hAnsi="Times New Roman" w:cs="Times New Roman"/>
          <w:sz w:val="27"/>
          <w:szCs w:val="27"/>
          <w:lang w:val="uk-UA"/>
        </w:rPr>
        <w:t xml:space="preserve">на вимогу </w:t>
      </w:r>
      <w:r w:rsidR="004C1F9C">
        <w:rPr>
          <w:rFonts w:ascii="Times New Roman" w:eastAsia="Times New Roman" w:hAnsi="Times New Roman" w:cs="Times New Roman"/>
          <w:sz w:val="27"/>
          <w:szCs w:val="27"/>
          <w:lang w:val="uk-UA"/>
        </w:rPr>
        <w:t xml:space="preserve">надає </w:t>
      </w:r>
      <w:r w:rsidR="00EA27E4">
        <w:rPr>
          <w:rFonts w:ascii="Times New Roman" w:eastAsia="Times New Roman" w:hAnsi="Times New Roman" w:cs="Times New Roman"/>
          <w:sz w:val="27"/>
          <w:szCs w:val="27"/>
          <w:lang w:val="uk-UA"/>
        </w:rPr>
        <w:t xml:space="preserve">компетентному органові </w:t>
      </w:r>
      <w:r w:rsidR="004C1F9C">
        <w:rPr>
          <w:rFonts w:ascii="Times New Roman" w:eastAsia="Times New Roman" w:hAnsi="Times New Roman" w:cs="Times New Roman"/>
          <w:sz w:val="27"/>
          <w:szCs w:val="27"/>
          <w:lang w:val="uk-UA"/>
        </w:rPr>
        <w:t xml:space="preserve">всю інформацію, необхідну </w:t>
      </w:r>
      <w:r w:rsidR="00EA27E4">
        <w:rPr>
          <w:rFonts w:ascii="Times New Roman" w:eastAsia="Times New Roman" w:hAnsi="Times New Roman" w:cs="Times New Roman"/>
          <w:sz w:val="27"/>
          <w:szCs w:val="27"/>
          <w:lang w:val="uk-UA"/>
        </w:rPr>
        <w:t>останньому</w:t>
      </w:r>
      <w:r w:rsidR="004C1F9C">
        <w:rPr>
          <w:rFonts w:ascii="Times New Roman" w:eastAsia="Times New Roman" w:hAnsi="Times New Roman" w:cs="Times New Roman"/>
          <w:sz w:val="27"/>
          <w:szCs w:val="27"/>
          <w:lang w:val="uk-UA"/>
        </w:rPr>
        <w:t xml:space="preserve"> для проведення оцінки </w:t>
      </w:r>
      <w:r w:rsidR="00EA27E4">
        <w:rPr>
          <w:rFonts w:ascii="Times New Roman" w:eastAsia="Times New Roman" w:hAnsi="Times New Roman" w:cs="Times New Roman"/>
          <w:sz w:val="27"/>
          <w:szCs w:val="27"/>
          <w:lang w:val="uk-UA"/>
        </w:rPr>
        <w:t>відповідності виконання видів діяльності, переданих сторонній організації, цьому регламенту.</w:t>
      </w:r>
    </w:p>
    <w:p w:rsidR="007951F3" w:rsidRDefault="007951F3" w:rsidP="00187079">
      <w:pPr>
        <w:shd w:val="clear" w:color="auto" w:fill="FFFFFF"/>
        <w:spacing w:after="0" w:line="240" w:lineRule="auto"/>
        <w:jc w:val="center"/>
        <w:textAlignment w:val="baseline"/>
        <w:rPr>
          <w:rFonts w:ascii="Times New Roman" w:eastAsia="Times New Roman" w:hAnsi="Times New Roman" w:cs="Times New Roman"/>
          <w:b/>
          <w:bCs/>
          <w:i/>
          <w:iCs/>
          <w:sz w:val="27"/>
          <w:szCs w:val="27"/>
          <w:bdr w:val="none" w:sz="0" w:space="0" w:color="auto" w:frame="1"/>
          <w:lang w:val="uk-UA"/>
        </w:rPr>
      </w:pPr>
    </w:p>
    <w:p w:rsidR="00DE77B0" w:rsidRPr="002E5FBE" w:rsidRDefault="007951F3"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i/>
          <w:iCs/>
          <w:sz w:val="27"/>
          <w:szCs w:val="27"/>
          <w:bdr w:val="none" w:sz="0" w:space="0" w:color="auto" w:frame="1"/>
          <w:lang w:val="uk-UA"/>
        </w:rPr>
        <w:t>ГЛАВА</w:t>
      </w:r>
      <w:r w:rsidR="00DE77B0" w:rsidRPr="002E5FBE">
        <w:rPr>
          <w:rFonts w:ascii="Times New Roman" w:eastAsia="Times New Roman" w:hAnsi="Times New Roman" w:cs="Times New Roman"/>
          <w:b/>
          <w:bCs/>
          <w:i/>
          <w:iCs/>
          <w:sz w:val="27"/>
          <w:szCs w:val="27"/>
          <w:bdr w:val="none" w:sz="0" w:space="0" w:color="auto" w:frame="1"/>
          <w:lang w:val="ru-RU"/>
        </w:rPr>
        <w:t xml:space="preserve"> 2</w:t>
      </w:r>
    </w:p>
    <w:p w:rsidR="00DE77B0" w:rsidRPr="005467AA" w:rsidRDefault="005467AA"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i/>
          <w:iCs/>
          <w:sz w:val="27"/>
          <w:szCs w:val="27"/>
          <w:bdr w:val="none" w:sz="0" w:space="0" w:color="auto" w:frame="1"/>
          <w:lang w:val="uk-UA"/>
        </w:rPr>
        <w:t>Правила ведення бізнесу</w:t>
      </w:r>
    </w:p>
    <w:p w:rsidR="00DE77B0" w:rsidRPr="002E5FBE"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2E5FBE">
        <w:rPr>
          <w:rFonts w:ascii="Times New Roman" w:eastAsia="Times New Roman" w:hAnsi="Times New Roman" w:cs="Times New Roman"/>
          <w:i/>
          <w:iCs/>
          <w:sz w:val="27"/>
          <w:szCs w:val="27"/>
          <w:lang w:val="ru-RU"/>
        </w:rPr>
        <w:t>Стаття</w:t>
      </w:r>
      <w:proofErr w:type="spellEnd"/>
      <w:r w:rsidR="00DE77B0" w:rsidRPr="002E5FBE">
        <w:rPr>
          <w:rFonts w:ascii="Times New Roman" w:eastAsia="Times New Roman" w:hAnsi="Times New Roman" w:cs="Times New Roman"/>
          <w:i/>
          <w:iCs/>
          <w:sz w:val="27"/>
          <w:szCs w:val="27"/>
          <w:lang w:val="ru-RU"/>
        </w:rPr>
        <w:t xml:space="preserve"> 36</w:t>
      </w:r>
    </w:p>
    <w:p w:rsidR="00DE77B0" w:rsidRPr="007951F3" w:rsidRDefault="007951F3"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Загальні положення</w:t>
      </w:r>
    </w:p>
    <w:p w:rsidR="00DE77B0" w:rsidRPr="002E5FBE" w:rsidRDefault="00DE77B0" w:rsidP="00334A4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2E5FBE">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5467AA">
        <w:rPr>
          <w:rFonts w:ascii="Times New Roman" w:eastAsia="Times New Roman" w:hAnsi="Times New Roman" w:cs="Times New Roman"/>
          <w:sz w:val="27"/>
          <w:szCs w:val="27"/>
          <w:lang w:val="uk-UA"/>
        </w:rPr>
        <w:t xml:space="preserve">Надаючи послуги учасникам клірингу та, де доречно, їхнім клієнтам, ЦКА діє чесно і </w:t>
      </w:r>
      <w:proofErr w:type="spellStart"/>
      <w:r w:rsidR="005467AA">
        <w:rPr>
          <w:rFonts w:ascii="Times New Roman" w:eastAsia="Times New Roman" w:hAnsi="Times New Roman" w:cs="Times New Roman"/>
          <w:sz w:val="27"/>
          <w:szCs w:val="27"/>
          <w:lang w:val="uk-UA"/>
        </w:rPr>
        <w:t>професійно</w:t>
      </w:r>
      <w:proofErr w:type="spellEnd"/>
      <w:r w:rsidR="005467AA">
        <w:rPr>
          <w:rFonts w:ascii="Times New Roman" w:eastAsia="Times New Roman" w:hAnsi="Times New Roman" w:cs="Times New Roman"/>
          <w:sz w:val="27"/>
          <w:szCs w:val="27"/>
          <w:lang w:val="uk-UA"/>
        </w:rPr>
        <w:t xml:space="preserve">, щоб якнайкраще задовольнити інтереси учасників </w:t>
      </w:r>
      <w:r w:rsidR="00334A4D">
        <w:rPr>
          <w:rFonts w:ascii="Times New Roman" w:eastAsia="Times New Roman" w:hAnsi="Times New Roman" w:cs="Times New Roman"/>
          <w:sz w:val="27"/>
          <w:szCs w:val="27"/>
          <w:lang w:val="uk-UA"/>
        </w:rPr>
        <w:t>клірингу та клієнтів і забезпечити раціональне управління ризиками.</w:t>
      </w:r>
    </w:p>
    <w:p w:rsidR="00DE77B0" w:rsidRPr="002E5FBE" w:rsidRDefault="00DE77B0" w:rsidP="00334A4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34A4D">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334A4D">
        <w:rPr>
          <w:rFonts w:ascii="Times New Roman" w:eastAsia="Times New Roman" w:hAnsi="Times New Roman" w:cs="Times New Roman"/>
          <w:sz w:val="27"/>
          <w:szCs w:val="27"/>
          <w:lang w:val="uk-UA"/>
        </w:rPr>
        <w:t>ЦКА запроваджує доступні, прозорі та справедливі правила невідкладного розгляду скарг.</w:t>
      </w:r>
    </w:p>
    <w:p w:rsidR="00EC6F50" w:rsidRDefault="00EC6F50"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p>
    <w:p w:rsidR="00DE77B0" w:rsidRPr="002E5FBE"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2E5FBE">
        <w:rPr>
          <w:rFonts w:ascii="Times New Roman" w:eastAsia="Times New Roman" w:hAnsi="Times New Roman" w:cs="Times New Roman"/>
          <w:i/>
          <w:iCs/>
          <w:sz w:val="27"/>
          <w:szCs w:val="27"/>
          <w:lang w:val="uk-UA"/>
        </w:rPr>
        <w:lastRenderedPageBreak/>
        <w:t>Стаття</w:t>
      </w:r>
      <w:r w:rsidR="00DE77B0" w:rsidRPr="002E5FBE">
        <w:rPr>
          <w:rFonts w:ascii="Times New Roman" w:eastAsia="Times New Roman" w:hAnsi="Times New Roman" w:cs="Times New Roman"/>
          <w:i/>
          <w:iCs/>
          <w:sz w:val="27"/>
          <w:szCs w:val="27"/>
          <w:lang w:val="uk-UA"/>
        </w:rPr>
        <w:t xml:space="preserve"> 37</w:t>
      </w:r>
    </w:p>
    <w:p w:rsidR="00DE77B0" w:rsidRPr="00334A4D" w:rsidRDefault="00334A4D"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Вимоги до участі</w:t>
      </w:r>
    </w:p>
    <w:p w:rsidR="00DE77B0" w:rsidRPr="002E5FBE" w:rsidRDefault="00DE77B0" w:rsidP="008809E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2E5FBE">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151F59" w:rsidRPr="002E5FBE">
        <w:rPr>
          <w:rFonts w:ascii="Times New Roman" w:eastAsia="Times New Roman" w:hAnsi="Times New Roman" w:cs="Times New Roman"/>
          <w:sz w:val="27"/>
          <w:szCs w:val="27"/>
          <w:lang w:val="uk-UA"/>
        </w:rPr>
        <w:t>ЦКА</w:t>
      </w:r>
      <w:r w:rsidRPr="002E5FBE">
        <w:rPr>
          <w:rFonts w:ascii="Times New Roman" w:eastAsia="Times New Roman" w:hAnsi="Times New Roman" w:cs="Times New Roman"/>
          <w:sz w:val="27"/>
          <w:szCs w:val="27"/>
          <w:lang w:val="uk-UA"/>
        </w:rPr>
        <w:t xml:space="preserve"> </w:t>
      </w:r>
      <w:r w:rsidR="00DF707C">
        <w:rPr>
          <w:rFonts w:ascii="Times New Roman" w:eastAsia="Times New Roman" w:hAnsi="Times New Roman" w:cs="Times New Roman"/>
          <w:sz w:val="27"/>
          <w:szCs w:val="27"/>
          <w:lang w:val="uk-UA"/>
        </w:rPr>
        <w:t>у доречних випадках вводить, по типах продуктів</w:t>
      </w:r>
      <w:r w:rsidR="008809E9">
        <w:rPr>
          <w:rFonts w:ascii="Times New Roman" w:eastAsia="Times New Roman" w:hAnsi="Times New Roman" w:cs="Times New Roman"/>
          <w:sz w:val="27"/>
          <w:szCs w:val="27"/>
          <w:lang w:val="uk-UA"/>
        </w:rPr>
        <w:t>, кліринг яких здійснюється,</w:t>
      </w:r>
      <w:r w:rsidR="00DF707C">
        <w:rPr>
          <w:rFonts w:ascii="Times New Roman" w:eastAsia="Times New Roman" w:hAnsi="Times New Roman" w:cs="Times New Roman"/>
          <w:sz w:val="27"/>
          <w:szCs w:val="27"/>
          <w:lang w:val="uk-UA"/>
        </w:rPr>
        <w:t xml:space="preserve"> категорії допустимих учасників клірингу та критерії допуску, керуючись рекомендаціями комітету з ризиків відповідно до статті 28(3).</w:t>
      </w:r>
      <w:r w:rsidR="008809E9">
        <w:rPr>
          <w:rFonts w:ascii="Times New Roman" w:eastAsia="Times New Roman" w:hAnsi="Times New Roman" w:cs="Times New Roman"/>
          <w:sz w:val="27"/>
          <w:szCs w:val="27"/>
          <w:lang w:val="uk-UA"/>
        </w:rPr>
        <w:t xml:space="preserve"> Такі критерії мають недискримінаційний, прозорий та об’єктивний характер з тим, щоб забезпечити справедливий та відкритий доступ до ЦКА, і забезпечують, щоб учасники клірингу мали достатні фінансові ресурси та оперативну спроможність для виконання зобов’язань, що випливають із участі в ЦКА. </w:t>
      </w:r>
      <w:r w:rsidR="00E44C74">
        <w:rPr>
          <w:rFonts w:ascii="Times New Roman" w:eastAsia="Times New Roman" w:hAnsi="Times New Roman" w:cs="Times New Roman"/>
          <w:sz w:val="27"/>
          <w:szCs w:val="27"/>
          <w:lang w:val="uk-UA"/>
        </w:rPr>
        <w:t>Критерії, що обмежують доступ, дозволяються тільки у тому випадку, якщо їхня мета полягає у контролюванні ризику для ЦКА.</w:t>
      </w:r>
    </w:p>
    <w:p w:rsidR="00DE77B0" w:rsidRPr="002E5FBE" w:rsidRDefault="00DE77B0" w:rsidP="00D108B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2E5FBE">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151F59" w:rsidRPr="002E5FBE">
        <w:rPr>
          <w:rFonts w:ascii="Times New Roman" w:eastAsia="Times New Roman" w:hAnsi="Times New Roman" w:cs="Times New Roman"/>
          <w:sz w:val="27"/>
          <w:szCs w:val="27"/>
          <w:lang w:val="ru-RU"/>
        </w:rPr>
        <w:t>ЦКА</w:t>
      </w:r>
      <w:r w:rsidRPr="002E5FBE">
        <w:rPr>
          <w:rFonts w:ascii="Times New Roman" w:eastAsia="Times New Roman" w:hAnsi="Times New Roman" w:cs="Times New Roman"/>
          <w:sz w:val="27"/>
          <w:szCs w:val="27"/>
          <w:lang w:val="ru-RU"/>
        </w:rPr>
        <w:t xml:space="preserve"> </w:t>
      </w:r>
      <w:r w:rsidR="008809E9">
        <w:rPr>
          <w:rFonts w:ascii="Times New Roman" w:eastAsia="Times New Roman" w:hAnsi="Times New Roman" w:cs="Times New Roman"/>
          <w:sz w:val="27"/>
          <w:szCs w:val="27"/>
          <w:lang w:val="uk-UA"/>
        </w:rPr>
        <w:t xml:space="preserve">забезпечує, щоб </w:t>
      </w:r>
      <w:r w:rsidR="00D108B2">
        <w:rPr>
          <w:rFonts w:ascii="Times New Roman" w:eastAsia="Times New Roman" w:hAnsi="Times New Roman" w:cs="Times New Roman"/>
          <w:sz w:val="27"/>
          <w:szCs w:val="27"/>
          <w:lang w:val="uk-UA"/>
        </w:rPr>
        <w:t>застосування критеріїв, згаданих у пункті 1 цієї статті, здійснювалося на постійній основі, і має своєчасний доступ до інформації, необхідної для такої оцінки. ЦКА проводить, як мінімум один раз на рік, комплексну перевірку дотримання учасниками клірингу вимог цієї статті.</w:t>
      </w:r>
    </w:p>
    <w:p w:rsidR="00DE77B0" w:rsidRPr="002E5FBE" w:rsidRDefault="00DE77B0" w:rsidP="00D76AE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2E5FBE">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D108B2">
        <w:rPr>
          <w:rFonts w:ascii="Times New Roman" w:eastAsia="Times New Roman" w:hAnsi="Times New Roman" w:cs="Times New Roman"/>
          <w:sz w:val="27"/>
          <w:szCs w:val="27"/>
          <w:lang w:val="uk-UA"/>
        </w:rPr>
        <w:t>Учасники клірингу, які здійснюють кліринг угод від імені своїх клієнтів, мають необхідні додаткові фінансові ресурси і оперативну спроможність для ведення цієї діяльності. Правила ЦКА для учасників клірингу дозволяють йому збирати необхідну базову інформацію для виявлення, моніторингу та управління відповідними к</w:t>
      </w:r>
      <w:r w:rsidR="00D76AEE">
        <w:rPr>
          <w:rFonts w:ascii="Times New Roman" w:eastAsia="Times New Roman" w:hAnsi="Times New Roman" w:cs="Times New Roman"/>
          <w:sz w:val="27"/>
          <w:szCs w:val="27"/>
          <w:lang w:val="uk-UA"/>
        </w:rPr>
        <w:t>онцентраціями ризиків стосовно надання послуг клієнтам. Учасники клірингу на вимогу інформують ЦКА про критерії та правила, запроваджені ними для забезпечення доступу їхніх клієнтів до послуг ЦКА. Відповідальність за забезпечення дотримання клієнтами їхніх зобов’язань покладається на учасників клірингу.</w:t>
      </w:r>
    </w:p>
    <w:p w:rsidR="00DE77B0" w:rsidRPr="002E5FBE" w:rsidRDefault="00DE77B0" w:rsidP="00E717A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D76AEE">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151F59" w:rsidRPr="00D76AEE">
        <w:rPr>
          <w:rFonts w:ascii="Times New Roman" w:eastAsia="Times New Roman" w:hAnsi="Times New Roman" w:cs="Times New Roman"/>
          <w:sz w:val="27"/>
          <w:szCs w:val="27"/>
          <w:lang w:val="ru-RU"/>
        </w:rPr>
        <w:t>ЦКА</w:t>
      </w:r>
      <w:r w:rsidRPr="002E5FBE">
        <w:rPr>
          <w:rFonts w:ascii="Times New Roman" w:eastAsia="Times New Roman" w:hAnsi="Times New Roman" w:cs="Times New Roman"/>
          <w:sz w:val="27"/>
          <w:szCs w:val="27"/>
          <w:lang w:val="ru-RU"/>
        </w:rPr>
        <w:t xml:space="preserve"> </w:t>
      </w:r>
      <w:r w:rsidR="00D76AEE">
        <w:rPr>
          <w:rFonts w:ascii="Times New Roman" w:eastAsia="Times New Roman" w:hAnsi="Times New Roman" w:cs="Times New Roman"/>
          <w:sz w:val="27"/>
          <w:szCs w:val="27"/>
          <w:lang w:val="uk-UA"/>
        </w:rPr>
        <w:t>має об’єктивні та прозорі процедури при</w:t>
      </w:r>
      <w:r w:rsidR="00E717A3">
        <w:rPr>
          <w:rFonts w:ascii="Times New Roman" w:eastAsia="Times New Roman" w:hAnsi="Times New Roman" w:cs="Times New Roman"/>
          <w:sz w:val="27"/>
          <w:szCs w:val="27"/>
          <w:lang w:val="uk-UA"/>
        </w:rPr>
        <w:t>п</w:t>
      </w:r>
      <w:r w:rsidR="00D76AEE">
        <w:rPr>
          <w:rFonts w:ascii="Times New Roman" w:eastAsia="Times New Roman" w:hAnsi="Times New Roman" w:cs="Times New Roman"/>
          <w:sz w:val="27"/>
          <w:szCs w:val="27"/>
          <w:lang w:val="uk-UA"/>
        </w:rPr>
        <w:t xml:space="preserve">инення діяльності та впорядкованого виходу учасників </w:t>
      </w:r>
      <w:r w:rsidR="00E717A3">
        <w:rPr>
          <w:rFonts w:ascii="Times New Roman" w:eastAsia="Times New Roman" w:hAnsi="Times New Roman" w:cs="Times New Roman"/>
          <w:sz w:val="27"/>
          <w:szCs w:val="27"/>
          <w:lang w:val="uk-UA"/>
        </w:rPr>
        <w:t>клірингу, які вже не відповідають критеріям, згаданим у пункті 1 цієї статті.</w:t>
      </w:r>
    </w:p>
    <w:p w:rsidR="00DE77B0" w:rsidRPr="002E5FBE" w:rsidRDefault="00DE77B0" w:rsidP="00E717A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717A3">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E717A3">
        <w:rPr>
          <w:rFonts w:ascii="Times New Roman" w:eastAsia="Times New Roman" w:hAnsi="Times New Roman" w:cs="Times New Roman"/>
          <w:sz w:val="27"/>
          <w:szCs w:val="27"/>
          <w:lang w:val="uk-UA"/>
        </w:rPr>
        <w:t>ЦКА може відмовити у доступі учасникам клірингу, які відповідають критеріям, згаданим у пункті 1 цієї статті, лише за умови належного обґрунтування доступу в письмовій формі й за результатами комплексного аналізу ризиків.</w:t>
      </w:r>
    </w:p>
    <w:p w:rsidR="00DE77B0" w:rsidRPr="002E5FBE" w:rsidRDefault="00DE77B0" w:rsidP="00EC6F50">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3712C4">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w:t>
      </w:r>
      <w:r w:rsidR="003712C4">
        <w:rPr>
          <w:rFonts w:ascii="Times New Roman" w:eastAsia="Times New Roman" w:hAnsi="Times New Roman" w:cs="Times New Roman"/>
          <w:sz w:val="27"/>
          <w:szCs w:val="27"/>
          <w:lang w:val="uk-UA"/>
        </w:rPr>
        <w:t xml:space="preserve">ЦКА може встановити для учасників клірингу конкретні додаткові зобов’язання, як-от участь в аукціонах позиції </w:t>
      </w:r>
      <w:r w:rsidR="00EC6F50">
        <w:rPr>
          <w:rFonts w:ascii="Times New Roman" w:eastAsia="Times New Roman" w:hAnsi="Times New Roman" w:cs="Times New Roman"/>
          <w:sz w:val="27"/>
          <w:szCs w:val="27"/>
          <w:lang w:val="uk-UA"/>
        </w:rPr>
        <w:t>неплатоспроможного учасника клірингу. Такі додаткові зобов’язання повинні бути сумірними ризику, створеному цим учасником клірингу, і не повинні обмежувати коло учасників певними категоріями учасників клірингу.</w:t>
      </w:r>
    </w:p>
    <w:p w:rsidR="00EC6F50" w:rsidRDefault="00EC6F50"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p>
    <w:p w:rsidR="00DE77B0" w:rsidRPr="002E5FBE"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2E5FBE">
        <w:rPr>
          <w:rFonts w:ascii="Times New Roman" w:eastAsia="Times New Roman" w:hAnsi="Times New Roman" w:cs="Times New Roman"/>
          <w:i/>
          <w:iCs/>
          <w:sz w:val="27"/>
          <w:szCs w:val="27"/>
          <w:lang w:val="uk-UA"/>
        </w:rPr>
        <w:lastRenderedPageBreak/>
        <w:t>Стаття</w:t>
      </w:r>
      <w:r w:rsidR="00DE77B0" w:rsidRPr="002E5FBE">
        <w:rPr>
          <w:rFonts w:ascii="Times New Roman" w:eastAsia="Times New Roman" w:hAnsi="Times New Roman" w:cs="Times New Roman"/>
          <w:i/>
          <w:iCs/>
          <w:sz w:val="27"/>
          <w:szCs w:val="27"/>
          <w:lang w:val="uk-UA"/>
        </w:rPr>
        <w:t xml:space="preserve"> 38</w:t>
      </w:r>
    </w:p>
    <w:p w:rsidR="00DE77B0" w:rsidRPr="00334A4D" w:rsidRDefault="00334A4D"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Прозорість</w:t>
      </w:r>
    </w:p>
    <w:p w:rsidR="00DE77B0" w:rsidRPr="002B4F4A" w:rsidRDefault="00DE77B0" w:rsidP="002B4F4A">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2E5FBE">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191828">
        <w:rPr>
          <w:rFonts w:ascii="Times New Roman" w:eastAsia="Times New Roman" w:hAnsi="Times New Roman" w:cs="Times New Roman"/>
          <w:sz w:val="27"/>
          <w:szCs w:val="27"/>
          <w:lang w:val="uk-UA"/>
        </w:rPr>
        <w:t xml:space="preserve">ЦКА та учасники клірингу публічно розголошують ціни та комісійні, пов'язані з наданими послугами. Вони повідомляють ціни та комісійні за кожну надану послугу окремо, включаючи </w:t>
      </w:r>
      <w:r w:rsidR="002B4F4A">
        <w:rPr>
          <w:rFonts w:ascii="Times New Roman" w:eastAsia="Times New Roman" w:hAnsi="Times New Roman" w:cs="Times New Roman"/>
          <w:sz w:val="27"/>
          <w:szCs w:val="27"/>
          <w:lang w:val="uk-UA"/>
        </w:rPr>
        <w:t>знижки й компенсації та умови користування такими пільгами. ЦКА дозволяє учасникам клірингу та, де доречно, їхнім клієнтам окремо отримувати доступ до певних послуг.</w:t>
      </w:r>
    </w:p>
    <w:p w:rsidR="00DE77B0" w:rsidRPr="00A62700" w:rsidRDefault="00151F59" w:rsidP="002B4F4A">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2B4F4A">
        <w:rPr>
          <w:rFonts w:ascii="Times New Roman" w:eastAsia="Times New Roman" w:hAnsi="Times New Roman" w:cs="Times New Roman"/>
          <w:sz w:val="27"/>
          <w:szCs w:val="27"/>
          <w:lang w:val="ru-RU"/>
        </w:rPr>
        <w:t>ЦКА</w:t>
      </w:r>
      <w:r w:rsidR="00DE77B0" w:rsidRPr="002B4F4A">
        <w:rPr>
          <w:rFonts w:ascii="Times New Roman" w:eastAsia="Times New Roman" w:hAnsi="Times New Roman" w:cs="Times New Roman"/>
          <w:sz w:val="27"/>
          <w:szCs w:val="27"/>
          <w:lang w:val="ru-RU"/>
        </w:rPr>
        <w:t xml:space="preserve"> </w:t>
      </w:r>
      <w:r w:rsidR="002B4F4A">
        <w:rPr>
          <w:rFonts w:ascii="Times New Roman" w:eastAsia="Times New Roman" w:hAnsi="Times New Roman" w:cs="Times New Roman"/>
          <w:sz w:val="27"/>
          <w:szCs w:val="27"/>
          <w:lang w:val="uk-UA"/>
        </w:rPr>
        <w:t>веде окремий облік витрат і доходів за нада</w:t>
      </w:r>
      <w:r w:rsidR="00A62700">
        <w:rPr>
          <w:rFonts w:ascii="Times New Roman" w:eastAsia="Times New Roman" w:hAnsi="Times New Roman" w:cs="Times New Roman"/>
          <w:sz w:val="27"/>
          <w:szCs w:val="27"/>
          <w:lang w:val="uk-UA"/>
        </w:rPr>
        <w:t>ва</w:t>
      </w:r>
      <w:r w:rsidR="002B4F4A">
        <w:rPr>
          <w:rFonts w:ascii="Times New Roman" w:eastAsia="Times New Roman" w:hAnsi="Times New Roman" w:cs="Times New Roman"/>
          <w:sz w:val="27"/>
          <w:szCs w:val="27"/>
          <w:lang w:val="uk-UA"/>
        </w:rPr>
        <w:t>ними послугами й повідомляє цю інформацію компетентному органові.</w:t>
      </w:r>
    </w:p>
    <w:p w:rsidR="00DE77B0" w:rsidRPr="002E5FBE" w:rsidRDefault="00DE77B0" w:rsidP="00A62700">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A62700">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151F59" w:rsidRPr="00A62700">
        <w:rPr>
          <w:rFonts w:ascii="Times New Roman" w:eastAsia="Times New Roman" w:hAnsi="Times New Roman" w:cs="Times New Roman"/>
          <w:sz w:val="27"/>
          <w:szCs w:val="27"/>
          <w:lang w:val="ru-RU"/>
        </w:rPr>
        <w:t>ЦКА</w:t>
      </w:r>
      <w:r w:rsidRPr="00A62700">
        <w:rPr>
          <w:rFonts w:ascii="Times New Roman" w:eastAsia="Times New Roman" w:hAnsi="Times New Roman" w:cs="Times New Roman"/>
          <w:sz w:val="27"/>
          <w:szCs w:val="27"/>
          <w:lang w:val="ru-RU"/>
        </w:rPr>
        <w:t xml:space="preserve"> </w:t>
      </w:r>
      <w:r w:rsidR="00A62700">
        <w:rPr>
          <w:rFonts w:ascii="Times New Roman" w:eastAsia="Times New Roman" w:hAnsi="Times New Roman" w:cs="Times New Roman"/>
          <w:sz w:val="27"/>
          <w:szCs w:val="27"/>
          <w:lang w:val="uk-UA"/>
        </w:rPr>
        <w:t>повідомляє учасникам клірингу та клієнтам про ризики, пов'язані з надаваними послугами.</w:t>
      </w:r>
    </w:p>
    <w:p w:rsidR="00DE77B0" w:rsidRPr="002E5FBE" w:rsidRDefault="00DE77B0" w:rsidP="00120EF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A62700">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151F59" w:rsidRPr="00A62700">
        <w:rPr>
          <w:rFonts w:ascii="Times New Roman" w:eastAsia="Times New Roman" w:hAnsi="Times New Roman" w:cs="Times New Roman"/>
          <w:sz w:val="27"/>
          <w:szCs w:val="27"/>
          <w:lang w:val="ru-RU"/>
        </w:rPr>
        <w:t>ЦКА</w:t>
      </w:r>
      <w:r w:rsidRPr="00A62700">
        <w:rPr>
          <w:rFonts w:ascii="Times New Roman" w:eastAsia="Times New Roman" w:hAnsi="Times New Roman" w:cs="Times New Roman"/>
          <w:sz w:val="27"/>
          <w:szCs w:val="27"/>
          <w:lang w:val="ru-RU"/>
        </w:rPr>
        <w:t xml:space="preserve"> </w:t>
      </w:r>
      <w:r w:rsidR="00A62700">
        <w:rPr>
          <w:rFonts w:ascii="Times New Roman" w:eastAsia="Times New Roman" w:hAnsi="Times New Roman" w:cs="Times New Roman"/>
          <w:sz w:val="27"/>
          <w:szCs w:val="27"/>
          <w:lang w:val="uk-UA"/>
        </w:rPr>
        <w:t>повідомляє учасникам клірингу та своєму компетентному органові інформацію про ціни, використовуван</w:t>
      </w:r>
      <w:r w:rsidR="00120EF2">
        <w:rPr>
          <w:rFonts w:ascii="Times New Roman" w:eastAsia="Times New Roman" w:hAnsi="Times New Roman" w:cs="Times New Roman"/>
          <w:sz w:val="27"/>
          <w:szCs w:val="27"/>
          <w:lang w:val="uk-UA"/>
        </w:rPr>
        <w:t>у для розрахунку його зобов’язань перед учасниками клірингу станом на кінець дня.</w:t>
      </w:r>
    </w:p>
    <w:p w:rsidR="00DE77B0" w:rsidRPr="005D7AC3" w:rsidRDefault="00151F59" w:rsidP="00440A7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120EF2">
        <w:rPr>
          <w:rFonts w:ascii="Times New Roman" w:eastAsia="Times New Roman" w:hAnsi="Times New Roman" w:cs="Times New Roman"/>
          <w:sz w:val="27"/>
          <w:szCs w:val="27"/>
          <w:lang w:val="ru-RU"/>
        </w:rPr>
        <w:t>ЦКА</w:t>
      </w:r>
      <w:r w:rsidR="00DE77B0" w:rsidRPr="005D7AC3">
        <w:rPr>
          <w:rFonts w:ascii="Times New Roman" w:eastAsia="Times New Roman" w:hAnsi="Times New Roman" w:cs="Times New Roman"/>
          <w:sz w:val="27"/>
          <w:szCs w:val="27"/>
          <w:lang w:val="ru-RU"/>
        </w:rPr>
        <w:t xml:space="preserve"> </w:t>
      </w:r>
      <w:r w:rsidR="00120EF2">
        <w:rPr>
          <w:rFonts w:ascii="Times New Roman" w:eastAsia="Times New Roman" w:hAnsi="Times New Roman" w:cs="Times New Roman"/>
          <w:sz w:val="27"/>
          <w:szCs w:val="27"/>
          <w:lang w:val="uk-UA"/>
        </w:rPr>
        <w:t xml:space="preserve">публічно розголошує інформацію про обсяги угод, кліринг яких здійснено, по кожному класу інструментів, </w:t>
      </w:r>
      <w:r w:rsidR="00440A77">
        <w:rPr>
          <w:rFonts w:ascii="Times New Roman" w:eastAsia="Times New Roman" w:hAnsi="Times New Roman" w:cs="Times New Roman"/>
          <w:sz w:val="27"/>
          <w:szCs w:val="27"/>
          <w:lang w:val="uk-UA"/>
        </w:rPr>
        <w:t>кліринг яких здійснює ЦКА, на сукупній основі.</w:t>
      </w:r>
    </w:p>
    <w:p w:rsidR="00DE77B0" w:rsidRPr="005D7AC3" w:rsidRDefault="00DE77B0" w:rsidP="00440A7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151F59" w:rsidRPr="00440A77">
        <w:rPr>
          <w:rFonts w:ascii="Times New Roman" w:eastAsia="Times New Roman" w:hAnsi="Times New Roman" w:cs="Times New Roman"/>
          <w:sz w:val="27"/>
          <w:szCs w:val="27"/>
          <w:lang w:val="ru-RU"/>
        </w:rPr>
        <w:t>ЦКА</w:t>
      </w:r>
      <w:r w:rsidRPr="005D7AC3">
        <w:rPr>
          <w:rFonts w:ascii="Times New Roman" w:eastAsia="Times New Roman" w:hAnsi="Times New Roman" w:cs="Times New Roman"/>
          <w:sz w:val="27"/>
          <w:szCs w:val="27"/>
          <w:lang w:val="ru-RU"/>
        </w:rPr>
        <w:t xml:space="preserve"> </w:t>
      </w:r>
      <w:r w:rsidR="00440A77">
        <w:rPr>
          <w:rFonts w:ascii="Times New Roman" w:eastAsia="Times New Roman" w:hAnsi="Times New Roman" w:cs="Times New Roman"/>
          <w:sz w:val="27"/>
          <w:szCs w:val="27"/>
          <w:lang w:val="uk-UA"/>
        </w:rPr>
        <w:t>публічно розголошує оперативні та технічні вимоги стосовно протоколів передачі даних, які включають формати змісту та повідомлень, що їх він використовує для взаємодії з третіми сторонами, в тому числі оперативні та технічні вимоги, згадані у статті 7.</w:t>
      </w:r>
    </w:p>
    <w:p w:rsidR="00DE77B0" w:rsidRPr="005D7AC3" w:rsidRDefault="00DE77B0" w:rsidP="00633F9A">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151F59" w:rsidRPr="00440A77">
        <w:rPr>
          <w:rFonts w:ascii="Times New Roman" w:eastAsia="Times New Roman" w:hAnsi="Times New Roman" w:cs="Times New Roman"/>
          <w:sz w:val="27"/>
          <w:szCs w:val="27"/>
          <w:lang w:val="ru-RU"/>
        </w:rPr>
        <w:t>ЦКА</w:t>
      </w:r>
      <w:r w:rsidRPr="005D7AC3">
        <w:rPr>
          <w:rFonts w:ascii="Times New Roman" w:eastAsia="Times New Roman" w:hAnsi="Times New Roman" w:cs="Times New Roman"/>
          <w:sz w:val="27"/>
          <w:szCs w:val="27"/>
          <w:lang w:val="ru-RU"/>
        </w:rPr>
        <w:t xml:space="preserve"> </w:t>
      </w:r>
      <w:r w:rsidR="00440A77">
        <w:rPr>
          <w:rFonts w:ascii="Times New Roman" w:eastAsia="Times New Roman" w:hAnsi="Times New Roman" w:cs="Times New Roman"/>
          <w:sz w:val="27"/>
          <w:szCs w:val="27"/>
          <w:lang w:val="uk-UA"/>
        </w:rPr>
        <w:t xml:space="preserve">публічно розголошує інформацію про порушення учасниками клірингу критеріїв, згаданих у статті 37(1), і вимог, викладених у пункті 1 цієї статті, крім випадків, коли компетентний орган, після консультацій з </w:t>
      </w:r>
      <w:r w:rsidR="00440A77">
        <w:rPr>
          <w:rFonts w:ascii="Times New Roman" w:eastAsia="Times New Roman" w:hAnsi="Times New Roman" w:cs="Times New Roman"/>
          <w:sz w:val="27"/>
          <w:szCs w:val="27"/>
        </w:rPr>
        <w:t>ESMA</w:t>
      </w:r>
      <w:r w:rsidR="00440A77">
        <w:rPr>
          <w:rFonts w:ascii="Times New Roman" w:eastAsia="Times New Roman" w:hAnsi="Times New Roman" w:cs="Times New Roman"/>
          <w:sz w:val="27"/>
          <w:szCs w:val="27"/>
          <w:lang w:val="uk-UA"/>
        </w:rPr>
        <w:t xml:space="preserve">, вважає, що таке розголошення </w:t>
      </w:r>
      <w:r w:rsidR="00633F9A">
        <w:rPr>
          <w:rFonts w:ascii="Times New Roman" w:eastAsia="Times New Roman" w:hAnsi="Times New Roman" w:cs="Times New Roman"/>
          <w:sz w:val="27"/>
          <w:szCs w:val="27"/>
          <w:lang w:val="uk-UA"/>
        </w:rPr>
        <w:t>створило</w:t>
      </w:r>
      <w:r w:rsidR="00440A77">
        <w:rPr>
          <w:rFonts w:ascii="Times New Roman" w:eastAsia="Times New Roman" w:hAnsi="Times New Roman" w:cs="Times New Roman"/>
          <w:sz w:val="27"/>
          <w:szCs w:val="27"/>
          <w:lang w:val="uk-UA"/>
        </w:rPr>
        <w:t xml:space="preserve"> </w:t>
      </w:r>
      <w:r w:rsidR="00633F9A">
        <w:rPr>
          <w:rFonts w:ascii="Times New Roman" w:eastAsia="Times New Roman" w:hAnsi="Times New Roman" w:cs="Times New Roman"/>
          <w:sz w:val="27"/>
          <w:szCs w:val="27"/>
          <w:lang w:val="uk-UA"/>
        </w:rPr>
        <w:t>б небезпеку</w:t>
      </w:r>
      <w:r w:rsidR="00440A77">
        <w:rPr>
          <w:rFonts w:ascii="Times New Roman" w:eastAsia="Times New Roman" w:hAnsi="Times New Roman" w:cs="Times New Roman"/>
          <w:sz w:val="27"/>
          <w:szCs w:val="27"/>
          <w:lang w:val="uk-UA"/>
        </w:rPr>
        <w:t xml:space="preserve"> для фінансової стабільності або </w:t>
      </w:r>
      <w:r w:rsidR="00633F9A">
        <w:rPr>
          <w:rFonts w:ascii="Times New Roman" w:eastAsia="Times New Roman" w:hAnsi="Times New Roman" w:cs="Times New Roman"/>
          <w:sz w:val="27"/>
          <w:szCs w:val="27"/>
          <w:lang w:val="uk-UA"/>
        </w:rPr>
        <w:t>довіри учасників ринку, поставило б під серйозну загрозу фінансові ринки або спричинило б несумірну шкоду зацікавленим сторонам.</w:t>
      </w:r>
    </w:p>
    <w:p w:rsidR="00DE77B0" w:rsidRPr="002E5FBE"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2E5FBE">
        <w:rPr>
          <w:rFonts w:ascii="Times New Roman" w:eastAsia="Times New Roman" w:hAnsi="Times New Roman" w:cs="Times New Roman"/>
          <w:i/>
          <w:iCs/>
          <w:sz w:val="27"/>
          <w:szCs w:val="27"/>
          <w:lang w:val="ru-RU"/>
        </w:rPr>
        <w:t>Стаття</w:t>
      </w:r>
      <w:proofErr w:type="spellEnd"/>
      <w:r w:rsidR="00DE77B0" w:rsidRPr="002E5FBE">
        <w:rPr>
          <w:rFonts w:ascii="Times New Roman" w:eastAsia="Times New Roman" w:hAnsi="Times New Roman" w:cs="Times New Roman"/>
          <w:i/>
          <w:iCs/>
          <w:sz w:val="27"/>
          <w:szCs w:val="27"/>
          <w:lang w:val="ru-RU"/>
        </w:rPr>
        <w:t xml:space="preserve"> 39</w:t>
      </w:r>
    </w:p>
    <w:p w:rsidR="00DE77B0" w:rsidRPr="002E5FBE" w:rsidRDefault="00151F59"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Відокремлення та можливість перенесення</w:t>
      </w:r>
    </w:p>
    <w:p w:rsidR="002E5FBE" w:rsidRPr="00FE7072"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2E5FBE">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151F59" w:rsidRPr="002E5FBE">
        <w:rPr>
          <w:rFonts w:ascii="Times New Roman" w:eastAsia="Times New Roman" w:hAnsi="Times New Roman" w:cs="Times New Roman"/>
          <w:sz w:val="27"/>
          <w:szCs w:val="27"/>
          <w:lang w:val="ru-RU"/>
        </w:rPr>
        <w:t>ЦКА</w:t>
      </w:r>
      <w:r w:rsidR="002E5FBE">
        <w:rPr>
          <w:rFonts w:ascii="Times New Roman" w:eastAsia="Times New Roman" w:hAnsi="Times New Roman" w:cs="Times New Roman"/>
          <w:sz w:val="27"/>
          <w:szCs w:val="27"/>
          <w:lang w:val="uk-UA"/>
        </w:rPr>
        <w:t xml:space="preserve"> веде окремі рахунки та звітність, що дозволяє йому в будь-який момент і без затримки </w:t>
      </w:r>
      <w:r w:rsidR="00FE7072">
        <w:rPr>
          <w:rFonts w:ascii="Times New Roman" w:eastAsia="Times New Roman" w:hAnsi="Times New Roman" w:cs="Times New Roman"/>
          <w:sz w:val="27"/>
          <w:szCs w:val="27"/>
          <w:lang w:val="uk-UA"/>
        </w:rPr>
        <w:t>від</w:t>
      </w:r>
      <w:r w:rsidR="002E5FBE">
        <w:rPr>
          <w:rFonts w:ascii="Times New Roman" w:eastAsia="Times New Roman" w:hAnsi="Times New Roman" w:cs="Times New Roman"/>
          <w:sz w:val="27"/>
          <w:szCs w:val="27"/>
          <w:lang w:val="uk-UA"/>
        </w:rPr>
        <w:t>різн</w:t>
      </w:r>
      <w:r w:rsidR="00FE7072">
        <w:rPr>
          <w:rFonts w:ascii="Times New Roman" w:eastAsia="Times New Roman" w:hAnsi="Times New Roman" w:cs="Times New Roman"/>
          <w:sz w:val="27"/>
          <w:szCs w:val="27"/>
          <w:lang w:val="uk-UA"/>
        </w:rPr>
        <w:t>и</w:t>
      </w:r>
      <w:r w:rsidR="002E5FBE">
        <w:rPr>
          <w:rFonts w:ascii="Times New Roman" w:eastAsia="Times New Roman" w:hAnsi="Times New Roman" w:cs="Times New Roman"/>
          <w:sz w:val="27"/>
          <w:szCs w:val="27"/>
          <w:lang w:val="uk-UA"/>
        </w:rPr>
        <w:t xml:space="preserve">ти в рахунках </w:t>
      </w:r>
      <w:r w:rsidR="00FE7072">
        <w:rPr>
          <w:rFonts w:ascii="Times New Roman" w:eastAsia="Times New Roman" w:hAnsi="Times New Roman" w:cs="Times New Roman"/>
          <w:sz w:val="27"/>
          <w:szCs w:val="27"/>
          <w:lang w:val="uk-UA"/>
        </w:rPr>
        <w:t xml:space="preserve">у </w:t>
      </w:r>
      <w:r w:rsidR="002E5FBE">
        <w:rPr>
          <w:rFonts w:ascii="Times New Roman" w:eastAsia="Times New Roman" w:hAnsi="Times New Roman" w:cs="Times New Roman"/>
          <w:sz w:val="27"/>
          <w:szCs w:val="27"/>
          <w:lang w:val="uk-UA"/>
        </w:rPr>
        <w:t xml:space="preserve">ЦКА активи та позиції, </w:t>
      </w:r>
      <w:r w:rsidR="00FE7072">
        <w:rPr>
          <w:rFonts w:ascii="Times New Roman" w:eastAsia="Times New Roman" w:hAnsi="Times New Roman" w:cs="Times New Roman"/>
          <w:sz w:val="27"/>
          <w:szCs w:val="27"/>
          <w:lang w:val="uk-UA"/>
        </w:rPr>
        <w:t>що знаходяться на рахунку одного учасника клірингу, від активів та позицій, що знаходяться на рахунку будь-якого іншого учасника клірингу та від власних активів.</w:t>
      </w:r>
    </w:p>
    <w:p w:rsidR="00DE77B0" w:rsidRPr="005D7AC3" w:rsidRDefault="00DE77B0" w:rsidP="00FC2BE6">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FC2BE6" w:rsidRPr="005D7AC3">
        <w:rPr>
          <w:rFonts w:ascii="Times New Roman" w:eastAsia="Times New Roman" w:hAnsi="Times New Roman" w:cs="Times New Roman"/>
          <w:sz w:val="27"/>
          <w:szCs w:val="27"/>
          <w:lang w:val="uk-UA"/>
        </w:rPr>
        <w:t xml:space="preserve">ЦКА </w:t>
      </w:r>
      <w:r w:rsidR="00FC2BE6">
        <w:rPr>
          <w:rFonts w:ascii="Times New Roman" w:eastAsia="Times New Roman" w:hAnsi="Times New Roman" w:cs="Times New Roman"/>
          <w:sz w:val="27"/>
          <w:szCs w:val="27"/>
          <w:lang w:val="uk-UA"/>
        </w:rPr>
        <w:t xml:space="preserve">пропонує вести окремі рахунки та звітність, що дозволяє кожному учасникові клірингу розрізнити в рахунках у ЦКА активи та позиції цього </w:t>
      </w:r>
      <w:r w:rsidR="00FC2BE6">
        <w:rPr>
          <w:rFonts w:ascii="Times New Roman" w:eastAsia="Times New Roman" w:hAnsi="Times New Roman" w:cs="Times New Roman"/>
          <w:sz w:val="27"/>
          <w:szCs w:val="27"/>
          <w:lang w:val="uk-UA"/>
        </w:rPr>
        <w:lastRenderedPageBreak/>
        <w:t>учасника клірингу від активів та позицій, що знаходяться на рахунках його клієнтів (далі – «об’єднане відокремлення клієнтів»).</w:t>
      </w:r>
    </w:p>
    <w:p w:rsidR="00FC2BE6"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FC2BE6" w:rsidRPr="005D7AC3">
        <w:rPr>
          <w:rFonts w:ascii="Times New Roman" w:eastAsia="Times New Roman" w:hAnsi="Times New Roman" w:cs="Times New Roman"/>
          <w:sz w:val="27"/>
          <w:szCs w:val="27"/>
          <w:lang w:val="uk-UA"/>
        </w:rPr>
        <w:t xml:space="preserve">ЦКА </w:t>
      </w:r>
      <w:r w:rsidR="00FC2BE6">
        <w:rPr>
          <w:rFonts w:ascii="Times New Roman" w:eastAsia="Times New Roman" w:hAnsi="Times New Roman" w:cs="Times New Roman"/>
          <w:sz w:val="27"/>
          <w:szCs w:val="27"/>
          <w:lang w:val="uk-UA"/>
        </w:rPr>
        <w:t>пропонує вести окремі рахунки та звітність, що дозволяє кожному учасникові клірингу розрізнити в рахунках у ЦКА активи та позиції</w:t>
      </w:r>
      <w:r w:rsidR="00034679">
        <w:rPr>
          <w:rFonts w:ascii="Times New Roman" w:eastAsia="Times New Roman" w:hAnsi="Times New Roman" w:cs="Times New Roman"/>
          <w:sz w:val="27"/>
          <w:szCs w:val="27"/>
          <w:lang w:val="uk-UA"/>
        </w:rPr>
        <w:t>, що знаходяться на рахунку</w:t>
      </w:r>
      <w:r w:rsidR="00FC2BE6">
        <w:rPr>
          <w:rFonts w:ascii="Times New Roman" w:eastAsia="Times New Roman" w:hAnsi="Times New Roman" w:cs="Times New Roman"/>
          <w:sz w:val="27"/>
          <w:szCs w:val="27"/>
          <w:lang w:val="uk-UA"/>
        </w:rPr>
        <w:t xml:space="preserve"> цього учасника клірингу</w:t>
      </w:r>
      <w:r w:rsidR="00034679">
        <w:rPr>
          <w:rFonts w:ascii="Times New Roman" w:eastAsia="Times New Roman" w:hAnsi="Times New Roman" w:cs="Times New Roman"/>
          <w:sz w:val="27"/>
          <w:szCs w:val="27"/>
          <w:lang w:val="uk-UA"/>
        </w:rPr>
        <w:t>,</w:t>
      </w:r>
      <w:r w:rsidR="00FC2BE6">
        <w:rPr>
          <w:rFonts w:ascii="Times New Roman" w:eastAsia="Times New Roman" w:hAnsi="Times New Roman" w:cs="Times New Roman"/>
          <w:sz w:val="27"/>
          <w:szCs w:val="27"/>
          <w:lang w:val="uk-UA"/>
        </w:rPr>
        <w:t xml:space="preserve"> від активів та позицій, що знаходяться на рахунках </w:t>
      </w:r>
      <w:r w:rsidR="00034679">
        <w:rPr>
          <w:rFonts w:ascii="Times New Roman" w:eastAsia="Times New Roman" w:hAnsi="Times New Roman" w:cs="Times New Roman"/>
          <w:sz w:val="27"/>
          <w:szCs w:val="27"/>
          <w:lang w:val="uk-UA"/>
        </w:rPr>
        <w:t>інших</w:t>
      </w:r>
      <w:r w:rsidR="00FC2BE6">
        <w:rPr>
          <w:rFonts w:ascii="Times New Roman" w:eastAsia="Times New Roman" w:hAnsi="Times New Roman" w:cs="Times New Roman"/>
          <w:sz w:val="27"/>
          <w:szCs w:val="27"/>
          <w:lang w:val="uk-UA"/>
        </w:rPr>
        <w:t xml:space="preserve"> клієнтів (далі – «</w:t>
      </w:r>
      <w:r w:rsidR="00034679">
        <w:rPr>
          <w:rFonts w:ascii="Times New Roman" w:eastAsia="Times New Roman" w:hAnsi="Times New Roman" w:cs="Times New Roman"/>
          <w:sz w:val="27"/>
          <w:szCs w:val="27"/>
          <w:lang w:val="uk-UA"/>
        </w:rPr>
        <w:t>індивідуальне</w:t>
      </w:r>
      <w:r w:rsidR="00FC2BE6">
        <w:rPr>
          <w:rFonts w:ascii="Times New Roman" w:eastAsia="Times New Roman" w:hAnsi="Times New Roman" w:cs="Times New Roman"/>
          <w:sz w:val="27"/>
          <w:szCs w:val="27"/>
          <w:lang w:val="uk-UA"/>
        </w:rPr>
        <w:t xml:space="preserve"> відокремлення клієнтів»).</w:t>
      </w:r>
      <w:r w:rsidR="00347542">
        <w:rPr>
          <w:rFonts w:ascii="Times New Roman" w:eastAsia="Times New Roman" w:hAnsi="Times New Roman" w:cs="Times New Roman"/>
          <w:sz w:val="27"/>
          <w:szCs w:val="27"/>
          <w:lang w:val="uk-UA"/>
        </w:rPr>
        <w:t xml:space="preserve"> ЦКА на вимогу надає учасникам клірингу можливість відкривати додаткові рахунки на їхнє </w:t>
      </w:r>
      <w:r w:rsidR="00A97151">
        <w:rPr>
          <w:rFonts w:ascii="Times New Roman" w:eastAsia="Times New Roman" w:hAnsi="Times New Roman" w:cs="Times New Roman"/>
          <w:sz w:val="27"/>
          <w:szCs w:val="27"/>
          <w:lang w:val="uk-UA"/>
        </w:rPr>
        <w:t>ім’я</w:t>
      </w:r>
      <w:r w:rsidR="00347542">
        <w:rPr>
          <w:rFonts w:ascii="Times New Roman" w:eastAsia="Times New Roman" w:hAnsi="Times New Roman" w:cs="Times New Roman"/>
          <w:sz w:val="27"/>
          <w:szCs w:val="27"/>
          <w:lang w:val="uk-UA"/>
        </w:rPr>
        <w:t xml:space="preserve"> або у рахунок їхніх клієнтів.</w:t>
      </w:r>
    </w:p>
    <w:p w:rsidR="00DE77B0" w:rsidRPr="005D7AC3" w:rsidRDefault="00DE77B0" w:rsidP="00A97151">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A97151">
        <w:rPr>
          <w:rFonts w:ascii="Times New Roman" w:eastAsia="Times New Roman" w:hAnsi="Times New Roman" w:cs="Times New Roman"/>
          <w:sz w:val="27"/>
          <w:szCs w:val="27"/>
          <w:lang w:val="uk-UA"/>
        </w:rPr>
        <w:t>4.</w:t>
      </w:r>
      <w:r w:rsidRPr="006279CF">
        <w:rPr>
          <w:rFonts w:ascii="Times New Roman" w:eastAsia="Times New Roman" w:hAnsi="Times New Roman" w:cs="Times New Roman"/>
          <w:sz w:val="27"/>
          <w:szCs w:val="27"/>
        </w:rPr>
        <w:t>   </w:t>
      </w:r>
      <w:r w:rsidR="00A97151">
        <w:rPr>
          <w:rFonts w:ascii="Times New Roman" w:eastAsia="Times New Roman" w:hAnsi="Times New Roman" w:cs="Times New Roman"/>
          <w:sz w:val="27"/>
          <w:szCs w:val="27"/>
          <w:lang w:val="uk-UA"/>
        </w:rPr>
        <w:t>Учасник клірингу веде окремі рахунки та звітність, що дозволяє йому відрізняти як у рахунках, що знаходяться у ЦКА, так і на власних рахунках свої активи та позиції від активів та позицій, що знаходяться на рахунку його клієнтів у ЦКА.</w:t>
      </w:r>
    </w:p>
    <w:p w:rsidR="008B2CE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5.</w:t>
      </w:r>
      <w:r w:rsidRPr="006279CF">
        <w:rPr>
          <w:rFonts w:ascii="Times New Roman" w:eastAsia="Times New Roman" w:hAnsi="Times New Roman" w:cs="Times New Roman"/>
          <w:sz w:val="27"/>
          <w:szCs w:val="27"/>
        </w:rPr>
        <w:t>   </w:t>
      </w:r>
      <w:r w:rsidR="008B2CE1">
        <w:rPr>
          <w:rFonts w:ascii="Times New Roman" w:eastAsia="Times New Roman" w:hAnsi="Times New Roman" w:cs="Times New Roman"/>
          <w:sz w:val="27"/>
          <w:szCs w:val="27"/>
          <w:lang w:val="uk-UA"/>
        </w:rPr>
        <w:t xml:space="preserve">Учасник клірингу пропонує своїм клієнтам як мінімум вибір між </w:t>
      </w:r>
      <w:r w:rsidR="005C3435">
        <w:rPr>
          <w:rFonts w:ascii="Times New Roman" w:eastAsia="Times New Roman" w:hAnsi="Times New Roman" w:cs="Times New Roman"/>
          <w:sz w:val="27"/>
          <w:szCs w:val="27"/>
          <w:lang w:val="uk-UA"/>
        </w:rPr>
        <w:t>об’єднаним</w:t>
      </w:r>
      <w:r w:rsidR="008B2CE1">
        <w:rPr>
          <w:rFonts w:ascii="Times New Roman" w:eastAsia="Times New Roman" w:hAnsi="Times New Roman" w:cs="Times New Roman"/>
          <w:sz w:val="27"/>
          <w:szCs w:val="27"/>
          <w:lang w:val="uk-UA"/>
        </w:rPr>
        <w:t xml:space="preserve"> відокремленням клієнтів і індивідуа</w:t>
      </w:r>
      <w:r w:rsidR="005C3435">
        <w:rPr>
          <w:rFonts w:ascii="Times New Roman" w:eastAsia="Times New Roman" w:hAnsi="Times New Roman" w:cs="Times New Roman"/>
          <w:sz w:val="27"/>
          <w:szCs w:val="27"/>
          <w:lang w:val="uk-UA"/>
        </w:rPr>
        <w:t>льним відокремленням клієнтів та інформує їх про витрати і рівень захисту, згаданого у пункті 7 цієї статті, пов'язаного з кожним із вищенаведених варіантів. Клієнт підтверджує свій вибір письмово.</w:t>
      </w:r>
    </w:p>
    <w:p w:rsidR="00DE77B0" w:rsidRPr="005D7AC3" w:rsidRDefault="00DE77B0" w:rsidP="000631AD">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6.</w:t>
      </w:r>
      <w:r w:rsidRPr="006279CF">
        <w:rPr>
          <w:rFonts w:ascii="Times New Roman" w:eastAsia="Times New Roman" w:hAnsi="Times New Roman" w:cs="Times New Roman"/>
          <w:sz w:val="27"/>
          <w:szCs w:val="27"/>
        </w:rPr>
        <w:t>   </w:t>
      </w:r>
      <w:r w:rsidR="005C3435">
        <w:rPr>
          <w:rFonts w:ascii="Times New Roman" w:eastAsia="Times New Roman" w:hAnsi="Times New Roman" w:cs="Times New Roman"/>
          <w:sz w:val="27"/>
          <w:szCs w:val="27"/>
          <w:lang w:val="uk-UA"/>
        </w:rPr>
        <w:t xml:space="preserve">Якщо клієнт віддав перевагу індивідуальному </w:t>
      </w:r>
      <w:r w:rsidR="00217ECD">
        <w:rPr>
          <w:rFonts w:ascii="Times New Roman" w:eastAsia="Times New Roman" w:hAnsi="Times New Roman" w:cs="Times New Roman"/>
          <w:sz w:val="27"/>
          <w:szCs w:val="27"/>
          <w:lang w:val="uk-UA"/>
        </w:rPr>
        <w:t xml:space="preserve">відокремленню, то будь-яка маржа, що перевищує вимогу цього клієнта, також </w:t>
      </w:r>
      <w:r w:rsidR="000631AD">
        <w:rPr>
          <w:rFonts w:ascii="Times New Roman" w:eastAsia="Times New Roman" w:hAnsi="Times New Roman" w:cs="Times New Roman"/>
          <w:sz w:val="27"/>
          <w:szCs w:val="27"/>
          <w:lang w:val="uk-UA"/>
        </w:rPr>
        <w:t>заноситься на рахунок ЦКА і відрізняється від маржі інших клієнтів або учасників клірингу та не використовується для покриття збитків, пов'язаних із позиціями, що обліковуються на іншому рахунку.</w:t>
      </w:r>
    </w:p>
    <w:p w:rsidR="00DE77B0" w:rsidRPr="005D7AC3" w:rsidRDefault="00DE77B0" w:rsidP="00040CA8">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7.</w:t>
      </w:r>
      <w:r w:rsidRPr="006279CF">
        <w:rPr>
          <w:rFonts w:ascii="Times New Roman" w:eastAsia="Times New Roman" w:hAnsi="Times New Roman" w:cs="Times New Roman"/>
          <w:sz w:val="27"/>
          <w:szCs w:val="27"/>
        </w:rPr>
        <w:t>   </w:t>
      </w:r>
      <w:r w:rsidR="000631AD">
        <w:rPr>
          <w:rFonts w:ascii="Times New Roman" w:eastAsia="Times New Roman" w:hAnsi="Times New Roman" w:cs="Times New Roman"/>
          <w:sz w:val="27"/>
          <w:szCs w:val="27"/>
          <w:lang w:val="uk-UA"/>
        </w:rPr>
        <w:t xml:space="preserve">ЦКА і учасники клірингу публічно розголошують інформацію про рівні захисту і витрати, пов'язані з різними рівнями </w:t>
      </w:r>
      <w:r w:rsidR="009A1246">
        <w:rPr>
          <w:rFonts w:ascii="Times New Roman" w:eastAsia="Times New Roman" w:hAnsi="Times New Roman" w:cs="Times New Roman"/>
          <w:sz w:val="27"/>
          <w:szCs w:val="27"/>
          <w:lang w:val="uk-UA"/>
        </w:rPr>
        <w:t xml:space="preserve">відокремлення, </w:t>
      </w:r>
      <w:r w:rsidR="0001546C">
        <w:rPr>
          <w:rFonts w:ascii="Times New Roman" w:eastAsia="Times New Roman" w:hAnsi="Times New Roman" w:cs="Times New Roman"/>
          <w:sz w:val="27"/>
          <w:szCs w:val="27"/>
          <w:lang w:val="uk-UA"/>
        </w:rPr>
        <w:t>що їх вони забезпечують, і пропонують ці послуги на прийнятних комерційних умовах. Детальні відомості про різні рівні відокремлення включають опис основних юридичних наслідків відповідних пр</w:t>
      </w:r>
      <w:r w:rsidR="00040CA8">
        <w:rPr>
          <w:rFonts w:ascii="Times New Roman" w:eastAsia="Times New Roman" w:hAnsi="Times New Roman" w:cs="Times New Roman"/>
          <w:sz w:val="27"/>
          <w:szCs w:val="27"/>
          <w:lang w:val="uk-UA"/>
        </w:rPr>
        <w:t>опонованих рівнів відокремлення, зокрема інформацію про законодавство щодо неплатоспроможності, застосовне у різних юрисдикціях.</w:t>
      </w:r>
    </w:p>
    <w:p w:rsidR="00DE77B0" w:rsidRPr="002A3DAB" w:rsidRDefault="00DE77B0" w:rsidP="002A3DAB">
      <w:pPr>
        <w:shd w:val="clear" w:color="auto" w:fill="FFFFFF"/>
        <w:spacing w:after="0" w:line="240" w:lineRule="auto"/>
        <w:jc w:val="both"/>
        <w:textAlignment w:val="baseline"/>
        <w:rPr>
          <w:rFonts w:ascii="Times New Roman" w:eastAsia="Times New Roman" w:hAnsi="Times New Roman" w:cs="Times New Roman"/>
          <w:sz w:val="27"/>
          <w:szCs w:val="27"/>
          <w:lang w:val="ru-RU"/>
        </w:rPr>
      </w:pPr>
      <w:r w:rsidRPr="001149C3">
        <w:rPr>
          <w:rFonts w:ascii="Times New Roman" w:eastAsia="Times New Roman" w:hAnsi="Times New Roman" w:cs="Times New Roman"/>
          <w:sz w:val="27"/>
          <w:szCs w:val="27"/>
          <w:lang w:val="ru-RU"/>
        </w:rPr>
        <w:t>8.</w:t>
      </w:r>
      <w:r w:rsidRPr="006279CF">
        <w:rPr>
          <w:rFonts w:ascii="Times New Roman" w:eastAsia="Times New Roman" w:hAnsi="Times New Roman" w:cs="Times New Roman"/>
          <w:sz w:val="27"/>
          <w:szCs w:val="27"/>
        </w:rPr>
        <w:t>   </w:t>
      </w:r>
      <w:r w:rsidR="00151F59" w:rsidRPr="001149C3">
        <w:rPr>
          <w:rFonts w:ascii="Times New Roman" w:eastAsia="Times New Roman" w:hAnsi="Times New Roman" w:cs="Times New Roman"/>
          <w:sz w:val="27"/>
          <w:szCs w:val="27"/>
          <w:lang w:val="ru-RU"/>
        </w:rPr>
        <w:t>ЦКА</w:t>
      </w:r>
      <w:r w:rsidRPr="001149C3">
        <w:rPr>
          <w:rFonts w:ascii="Times New Roman" w:eastAsia="Times New Roman" w:hAnsi="Times New Roman" w:cs="Times New Roman"/>
          <w:sz w:val="27"/>
          <w:szCs w:val="27"/>
          <w:lang w:val="ru-RU"/>
        </w:rPr>
        <w:t xml:space="preserve"> </w:t>
      </w:r>
      <w:r w:rsidR="00040CA8">
        <w:rPr>
          <w:rFonts w:ascii="Times New Roman" w:eastAsia="Times New Roman" w:hAnsi="Times New Roman" w:cs="Times New Roman"/>
          <w:sz w:val="27"/>
          <w:szCs w:val="27"/>
          <w:lang w:val="uk-UA"/>
        </w:rPr>
        <w:t>має право</w:t>
      </w:r>
      <w:r w:rsidR="001149C3">
        <w:rPr>
          <w:rFonts w:ascii="Times New Roman" w:eastAsia="Times New Roman" w:hAnsi="Times New Roman" w:cs="Times New Roman"/>
          <w:sz w:val="27"/>
          <w:szCs w:val="27"/>
          <w:lang w:val="uk-UA"/>
        </w:rPr>
        <w:t xml:space="preserve"> використовувати по відношенню до маржі або гарантійного фонду внески, зібрані </w:t>
      </w:r>
      <w:r w:rsidR="000C6DF3">
        <w:rPr>
          <w:rFonts w:ascii="Times New Roman" w:eastAsia="Times New Roman" w:hAnsi="Times New Roman" w:cs="Times New Roman"/>
          <w:sz w:val="27"/>
          <w:szCs w:val="27"/>
          <w:lang w:val="uk-UA"/>
        </w:rPr>
        <w:t>за допомогою угоди про фінансове забезпечення цінними паперами у значенні, передбаченому статтею 2(1)(с) Директиви</w:t>
      </w:r>
      <w:r w:rsidRPr="002A3DAB">
        <w:rPr>
          <w:rFonts w:ascii="Times New Roman" w:eastAsia="Times New Roman" w:hAnsi="Times New Roman" w:cs="Times New Roman"/>
          <w:sz w:val="27"/>
          <w:szCs w:val="27"/>
          <w:lang w:val="ru-RU"/>
        </w:rPr>
        <w:t xml:space="preserve"> 2002/47/</w:t>
      </w:r>
      <w:r w:rsidRPr="006279CF">
        <w:rPr>
          <w:rFonts w:ascii="Times New Roman" w:eastAsia="Times New Roman" w:hAnsi="Times New Roman" w:cs="Times New Roman"/>
          <w:sz w:val="27"/>
          <w:szCs w:val="27"/>
        </w:rPr>
        <w:t>EC</w:t>
      </w:r>
      <w:r w:rsidRPr="002A3DAB">
        <w:rPr>
          <w:rFonts w:ascii="Times New Roman" w:eastAsia="Times New Roman" w:hAnsi="Times New Roman" w:cs="Times New Roman"/>
          <w:sz w:val="27"/>
          <w:szCs w:val="27"/>
          <w:lang w:val="ru-RU"/>
        </w:rPr>
        <w:t xml:space="preserve"> </w:t>
      </w:r>
      <w:proofErr w:type="spellStart"/>
      <w:r w:rsidR="00B46108" w:rsidRPr="002A3DAB">
        <w:rPr>
          <w:rFonts w:ascii="Times New Roman" w:eastAsia="Times New Roman" w:hAnsi="Times New Roman" w:cs="Times New Roman"/>
          <w:sz w:val="27"/>
          <w:szCs w:val="27"/>
          <w:lang w:val="ru-RU"/>
        </w:rPr>
        <w:t>Європейського</w:t>
      </w:r>
      <w:proofErr w:type="spellEnd"/>
      <w:r w:rsidR="00B46108" w:rsidRPr="002A3DAB">
        <w:rPr>
          <w:rFonts w:ascii="Times New Roman" w:eastAsia="Times New Roman" w:hAnsi="Times New Roman" w:cs="Times New Roman"/>
          <w:sz w:val="27"/>
          <w:szCs w:val="27"/>
          <w:lang w:val="ru-RU"/>
        </w:rPr>
        <w:t xml:space="preserve"> Парламенту та Ради</w:t>
      </w:r>
      <w:r w:rsidRPr="002A3DAB">
        <w:rPr>
          <w:rFonts w:ascii="Times New Roman" w:eastAsia="Times New Roman" w:hAnsi="Times New Roman" w:cs="Times New Roman"/>
          <w:sz w:val="27"/>
          <w:szCs w:val="27"/>
          <w:lang w:val="ru-RU"/>
        </w:rPr>
        <w:t xml:space="preserve"> </w:t>
      </w:r>
      <w:r w:rsidR="002A3DAB">
        <w:rPr>
          <w:rFonts w:ascii="Times New Roman" w:eastAsia="Times New Roman" w:hAnsi="Times New Roman" w:cs="Times New Roman"/>
          <w:sz w:val="27"/>
          <w:szCs w:val="27"/>
          <w:lang w:val="uk-UA"/>
        </w:rPr>
        <w:t>від 6 червня 2002 р. щодо угод про фінансове забезпечення</w:t>
      </w:r>
      <w:hyperlink r:id="rId35" w:anchor="ntr31-L_2012201EN.01000101-E0031" w:history="1">
        <w:r w:rsidRPr="006279CF">
          <w:rPr>
            <w:rFonts w:ascii="Times New Roman" w:eastAsia="Times New Roman" w:hAnsi="Times New Roman" w:cs="Times New Roman"/>
            <w:sz w:val="27"/>
            <w:szCs w:val="27"/>
            <w:bdr w:val="none" w:sz="0" w:space="0" w:color="auto" w:frame="1"/>
          </w:rPr>
          <w:t> </w:t>
        </w:r>
        <w:r w:rsidRPr="002A3DAB">
          <w:rPr>
            <w:rFonts w:ascii="Times New Roman" w:eastAsia="Times New Roman" w:hAnsi="Times New Roman" w:cs="Times New Roman"/>
            <w:sz w:val="27"/>
            <w:szCs w:val="27"/>
            <w:bdr w:val="none" w:sz="0" w:space="0" w:color="auto" w:frame="1"/>
            <w:lang w:val="ru-RU"/>
          </w:rPr>
          <w:t>(</w:t>
        </w:r>
        <w:r w:rsidRPr="002A3DAB">
          <w:rPr>
            <w:rFonts w:ascii="Times New Roman" w:eastAsia="Times New Roman" w:hAnsi="Times New Roman" w:cs="Times New Roman"/>
            <w:sz w:val="19"/>
            <w:szCs w:val="19"/>
            <w:bdr w:val="none" w:sz="0" w:space="0" w:color="auto" w:frame="1"/>
            <w:vertAlign w:val="superscript"/>
            <w:lang w:val="ru-RU"/>
          </w:rPr>
          <w:t>31</w:t>
        </w:r>
        <w:r w:rsidRPr="002A3DAB">
          <w:rPr>
            <w:rFonts w:ascii="Times New Roman" w:eastAsia="Times New Roman" w:hAnsi="Times New Roman" w:cs="Times New Roman"/>
            <w:sz w:val="27"/>
            <w:szCs w:val="27"/>
            <w:bdr w:val="none" w:sz="0" w:space="0" w:color="auto" w:frame="1"/>
            <w:lang w:val="ru-RU"/>
          </w:rPr>
          <w:t>)</w:t>
        </w:r>
      </w:hyperlink>
      <w:r w:rsidR="002A3DAB">
        <w:rPr>
          <w:rFonts w:ascii="Times New Roman" w:eastAsia="Times New Roman" w:hAnsi="Times New Roman" w:cs="Times New Roman"/>
          <w:sz w:val="27"/>
          <w:szCs w:val="27"/>
          <w:bdr w:val="none" w:sz="0" w:space="0" w:color="auto" w:frame="1"/>
          <w:lang w:val="uk-UA"/>
        </w:rPr>
        <w:t xml:space="preserve">, за умови, що використання цих угод передбачено у його операційних правилах. Учасник клірингу підтверджує свою згоду з цими операційними правилами у письмовій формі. ЦКА публічно розголошує інформацію про це право використання, що має здійснюватися </w:t>
      </w:r>
      <w:proofErr w:type="spellStart"/>
      <w:r w:rsidR="001842E4" w:rsidRPr="002A3DAB">
        <w:rPr>
          <w:rFonts w:ascii="Times New Roman" w:eastAsia="Times New Roman" w:hAnsi="Times New Roman" w:cs="Times New Roman"/>
          <w:sz w:val="27"/>
          <w:szCs w:val="27"/>
          <w:lang w:val="ru-RU"/>
        </w:rPr>
        <w:t>відповідно</w:t>
      </w:r>
      <w:proofErr w:type="spellEnd"/>
      <w:r w:rsidR="001842E4" w:rsidRPr="002A3DAB">
        <w:rPr>
          <w:rFonts w:ascii="Times New Roman" w:eastAsia="Times New Roman" w:hAnsi="Times New Roman" w:cs="Times New Roman"/>
          <w:sz w:val="27"/>
          <w:szCs w:val="27"/>
          <w:lang w:val="ru-RU"/>
        </w:rPr>
        <w:t xml:space="preserve"> до </w:t>
      </w:r>
      <w:proofErr w:type="spellStart"/>
      <w:r w:rsidR="001842E4" w:rsidRPr="002A3DAB">
        <w:rPr>
          <w:rFonts w:ascii="Times New Roman" w:eastAsia="Times New Roman" w:hAnsi="Times New Roman" w:cs="Times New Roman"/>
          <w:sz w:val="27"/>
          <w:szCs w:val="27"/>
          <w:lang w:val="ru-RU"/>
        </w:rPr>
        <w:t>статті</w:t>
      </w:r>
      <w:proofErr w:type="spellEnd"/>
      <w:r w:rsidRPr="002A3DAB">
        <w:rPr>
          <w:rFonts w:ascii="Times New Roman" w:eastAsia="Times New Roman" w:hAnsi="Times New Roman" w:cs="Times New Roman"/>
          <w:sz w:val="27"/>
          <w:szCs w:val="27"/>
          <w:lang w:val="ru-RU"/>
        </w:rPr>
        <w:t xml:space="preserve"> 47.</w:t>
      </w:r>
    </w:p>
    <w:p w:rsidR="00DE77B0" w:rsidRPr="005D7AC3" w:rsidRDefault="00DE77B0" w:rsidP="005B3AE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9.</w:t>
      </w:r>
      <w:r w:rsidRPr="006279CF">
        <w:rPr>
          <w:rFonts w:ascii="Times New Roman" w:eastAsia="Times New Roman" w:hAnsi="Times New Roman" w:cs="Times New Roman"/>
          <w:sz w:val="27"/>
          <w:szCs w:val="27"/>
        </w:rPr>
        <w:t>   </w:t>
      </w:r>
      <w:r w:rsidR="002A3DAB">
        <w:rPr>
          <w:rFonts w:ascii="Times New Roman" w:eastAsia="Times New Roman" w:hAnsi="Times New Roman" w:cs="Times New Roman"/>
          <w:sz w:val="27"/>
          <w:szCs w:val="27"/>
          <w:lang w:val="uk-UA"/>
        </w:rPr>
        <w:t xml:space="preserve">Вимога про відрізнення активів та позицій на рахунках </w:t>
      </w:r>
      <w:r w:rsidR="005B3AED">
        <w:rPr>
          <w:rFonts w:ascii="Times New Roman" w:eastAsia="Times New Roman" w:hAnsi="Times New Roman" w:cs="Times New Roman"/>
          <w:sz w:val="27"/>
          <w:szCs w:val="27"/>
          <w:lang w:val="uk-UA"/>
        </w:rPr>
        <w:t>ЦКА задовольняється, якщо:</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1"/>
        <w:gridCol w:w="8904"/>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5D7AC3" w:rsidRDefault="005B3AED" w:rsidP="005B3AED">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активи та позиції обліковуються на окремих рахунках;</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5D7AC3" w:rsidRDefault="005B3AED" w:rsidP="005B3AED">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не допускається взаємний залік позицій, що обліковуються на різних рахунках;</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5D7AC3" w:rsidRDefault="005B3AED" w:rsidP="007E206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активи, </w:t>
            </w:r>
            <w:r w:rsidR="00E92675">
              <w:rPr>
                <w:rFonts w:ascii="Times New Roman" w:eastAsia="Times New Roman" w:hAnsi="Times New Roman" w:cs="Times New Roman"/>
                <w:sz w:val="27"/>
                <w:szCs w:val="27"/>
                <w:lang w:val="uk-UA"/>
              </w:rPr>
              <w:t>які покривають позиції, що обліковуються на рахунку, не використовуються для покриття збитків, пов'язаних із позиціями, що обліковуються на іншому рахунку.</w:t>
            </w:r>
          </w:p>
        </w:tc>
      </w:tr>
    </w:tbl>
    <w:p w:rsidR="00B04212" w:rsidRPr="005D7AC3" w:rsidRDefault="00DE77B0" w:rsidP="00B0421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10.</w:t>
      </w:r>
      <w:r w:rsidRPr="006279CF">
        <w:rPr>
          <w:rFonts w:ascii="Times New Roman" w:eastAsia="Times New Roman" w:hAnsi="Times New Roman" w:cs="Times New Roman"/>
          <w:sz w:val="27"/>
          <w:szCs w:val="27"/>
        </w:rPr>
        <w:t>   </w:t>
      </w:r>
      <w:r w:rsidR="007E2069">
        <w:rPr>
          <w:rFonts w:ascii="Times New Roman" w:eastAsia="Times New Roman" w:hAnsi="Times New Roman" w:cs="Times New Roman"/>
          <w:sz w:val="27"/>
          <w:szCs w:val="27"/>
          <w:lang w:val="uk-UA"/>
        </w:rPr>
        <w:t xml:space="preserve">Активи </w:t>
      </w:r>
      <w:r w:rsidR="00B04212">
        <w:rPr>
          <w:rFonts w:ascii="Times New Roman" w:eastAsia="Times New Roman" w:hAnsi="Times New Roman" w:cs="Times New Roman"/>
          <w:sz w:val="27"/>
          <w:szCs w:val="27"/>
          <w:lang w:val="uk-UA"/>
        </w:rPr>
        <w:t>означають</w:t>
      </w:r>
      <w:r w:rsidR="007E2069">
        <w:rPr>
          <w:rFonts w:ascii="Times New Roman" w:eastAsia="Times New Roman" w:hAnsi="Times New Roman" w:cs="Times New Roman"/>
          <w:sz w:val="27"/>
          <w:szCs w:val="27"/>
          <w:lang w:val="uk-UA"/>
        </w:rPr>
        <w:t xml:space="preserve"> забезпечення, признач</w:t>
      </w:r>
      <w:r w:rsidR="00B04212">
        <w:rPr>
          <w:rFonts w:ascii="Times New Roman" w:eastAsia="Times New Roman" w:hAnsi="Times New Roman" w:cs="Times New Roman"/>
          <w:sz w:val="27"/>
          <w:szCs w:val="27"/>
          <w:lang w:val="uk-UA"/>
        </w:rPr>
        <w:t>ене для покриття позицій, та включають право передачі активів, еквівалентних цьому забезпеченню, або виручки від реалізації будь-якого забезпечення, але не включають внески до гарантійного фонду.</w:t>
      </w:r>
    </w:p>
    <w:p w:rsidR="00DE77B0" w:rsidRPr="005D7AC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p>
    <w:p w:rsidR="00DE77B0" w:rsidRPr="005D7AC3" w:rsidRDefault="00B04212"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i/>
          <w:iCs/>
          <w:sz w:val="27"/>
          <w:szCs w:val="27"/>
          <w:bdr w:val="none" w:sz="0" w:space="0" w:color="auto" w:frame="1"/>
          <w:lang w:val="uk-UA"/>
        </w:rPr>
        <w:t>ГЛАВА</w:t>
      </w:r>
      <w:r w:rsidR="00DE77B0" w:rsidRPr="005D7AC3">
        <w:rPr>
          <w:rFonts w:ascii="Times New Roman" w:eastAsia="Times New Roman" w:hAnsi="Times New Roman" w:cs="Times New Roman"/>
          <w:b/>
          <w:bCs/>
          <w:i/>
          <w:iCs/>
          <w:sz w:val="27"/>
          <w:szCs w:val="27"/>
          <w:bdr w:val="none" w:sz="0" w:space="0" w:color="auto" w:frame="1"/>
          <w:lang w:val="ru-RU"/>
        </w:rPr>
        <w:t xml:space="preserve"> 3</w:t>
      </w:r>
    </w:p>
    <w:p w:rsidR="00DE77B0" w:rsidRPr="00B04212" w:rsidRDefault="00B04212"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uk-UA"/>
        </w:rPr>
      </w:pPr>
      <w:proofErr w:type="spellStart"/>
      <w:r>
        <w:rPr>
          <w:rFonts w:ascii="Times New Roman" w:eastAsia="Times New Roman" w:hAnsi="Times New Roman" w:cs="Times New Roman"/>
          <w:b/>
          <w:bCs/>
          <w:i/>
          <w:iCs/>
          <w:sz w:val="27"/>
          <w:szCs w:val="27"/>
          <w:bdr w:val="none" w:sz="0" w:space="0" w:color="auto" w:frame="1"/>
          <w:lang w:val="uk-UA"/>
        </w:rPr>
        <w:t>Пруденційні</w:t>
      </w:r>
      <w:proofErr w:type="spellEnd"/>
      <w:r>
        <w:rPr>
          <w:rFonts w:ascii="Times New Roman" w:eastAsia="Times New Roman" w:hAnsi="Times New Roman" w:cs="Times New Roman"/>
          <w:b/>
          <w:bCs/>
          <w:i/>
          <w:iCs/>
          <w:sz w:val="27"/>
          <w:szCs w:val="27"/>
          <w:bdr w:val="none" w:sz="0" w:space="0" w:color="auto" w:frame="1"/>
          <w:lang w:val="uk-UA"/>
        </w:rPr>
        <w:t xml:space="preserve"> вимоги</w:t>
      </w:r>
    </w:p>
    <w:p w:rsidR="00DE77B0" w:rsidRPr="005D7AC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5D7AC3">
        <w:rPr>
          <w:rFonts w:ascii="Times New Roman" w:eastAsia="Times New Roman" w:hAnsi="Times New Roman" w:cs="Times New Roman"/>
          <w:i/>
          <w:iCs/>
          <w:sz w:val="27"/>
          <w:szCs w:val="27"/>
          <w:lang w:val="ru-RU"/>
        </w:rPr>
        <w:t>Стаття</w:t>
      </w:r>
      <w:proofErr w:type="spellEnd"/>
      <w:r w:rsidR="00DE77B0" w:rsidRPr="005D7AC3">
        <w:rPr>
          <w:rFonts w:ascii="Times New Roman" w:eastAsia="Times New Roman" w:hAnsi="Times New Roman" w:cs="Times New Roman"/>
          <w:i/>
          <w:iCs/>
          <w:sz w:val="27"/>
          <w:szCs w:val="27"/>
          <w:lang w:val="ru-RU"/>
        </w:rPr>
        <w:t xml:space="preserve"> 40</w:t>
      </w:r>
    </w:p>
    <w:p w:rsidR="00DE77B0" w:rsidRPr="001722B1" w:rsidRDefault="001722B1"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Управління відкритими позиціями</w:t>
      </w:r>
    </w:p>
    <w:p w:rsidR="00DE77B0" w:rsidRPr="005D7AC3" w:rsidRDefault="00151F59" w:rsidP="00911F3F">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B064D">
        <w:rPr>
          <w:rFonts w:ascii="Times New Roman" w:eastAsia="Times New Roman" w:hAnsi="Times New Roman" w:cs="Times New Roman"/>
          <w:sz w:val="27"/>
          <w:szCs w:val="27"/>
          <w:lang w:val="uk-UA"/>
        </w:rPr>
        <w:t>ЦКА</w:t>
      </w:r>
      <w:r w:rsidR="00DE77B0" w:rsidRPr="003B064D">
        <w:rPr>
          <w:rFonts w:ascii="Times New Roman" w:eastAsia="Times New Roman" w:hAnsi="Times New Roman" w:cs="Times New Roman"/>
          <w:sz w:val="27"/>
          <w:szCs w:val="27"/>
          <w:lang w:val="uk-UA"/>
        </w:rPr>
        <w:t xml:space="preserve"> </w:t>
      </w:r>
      <w:r w:rsidR="003B064D">
        <w:rPr>
          <w:rFonts w:ascii="Times New Roman" w:eastAsia="Times New Roman" w:hAnsi="Times New Roman" w:cs="Times New Roman"/>
          <w:sz w:val="27"/>
          <w:szCs w:val="27"/>
          <w:lang w:val="uk-UA"/>
        </w:rPr>
        <w:t xml:space="preserve">вимірює та оцінює свої відкриті ліквідні та кредитні позиції щодо кожного учасника клірингу та, у доречних випадках, щодо іншого ЦКА, з яким він уклав угоду про сумісність, у режимі, наближеному до реального часу. ЦКА </w:t>
      </w:r>
      <w:r w:rsidR="006E4FB6">
        <w:rPr>
          <w:rFonts w:ascii="Times New Roman" w:eastAsia="Times New Roman" w:hAnsi="Times New Roman" w:cs="Times New Roman"/>
          <w:sz w:val="27"/>
          <w:szCs w:val="27"/>
          <w:lang w:val="uk-UA"/>
        </w:rPr>
        <w:t xml:space="preserve">без будь-якої дискримінації </w:t>
      </w:r>
      <w:r w:rsidR="00911F3F">
        <w:rPr>
          <w:rFonts w:ascii="Times New Roman" w:eastAsia="Times New Roman" w:hAnsi="Times New Roman" w:cs="Times New Roman"/>
          <w:sz w:val="27"/>
          <w:szCs w:val="27"/>
          <w:lang w:val="uk-UA"/>
        </w:rPr>
        <w:t>має своєчасний</w:t>
      </w:r>
      <w:r w:rsidR="006E4FB6">
        <w:rPr>
          <w:rFonts w:ascii="Times New Roman" w:eastAsia="Times New Roman" w:hAnsi="Times New Roman" w:cs="Times New Roman"/>
          <w:sz w:val="27"/>
          <w:szCs w:val="27"/>
          <w:lang w:val="uk-UA"/>
        </w:rPr>
        <w:t xml:space="preserve"> доступ до відповідних джерел інформації про ціни для ефективного вимірювання своїх відкритих позицій</w:t>
      </w:r>
      <w:r w:rsidR="00911F3F" w:rsidRPr="00911F3F">
        <w:rPr>
          <w:rFonts w:ascii="Times New Roman" w:eastAsia="Times New Roman" w:hAnsi="Times New Roman" w:cs="Times New Roman"/>
          <w:sz w:val="27"/>
          <w:szCs w:val="27"/>
          <w:lang w:val="uk-UA"/>
        </w:rPr>
        <w:t xml:space="preserve">. </w:t>
      </w:r>
      <w:r w:rsidR="00911F3F">
        <w:rPr>
          <w:rFonts w:ascii="Times New Roman" w:eastAsia="Times New Roman" w:hAnsi="Times New Roman" w:cs="Times New Roman"/>
          <w:sz w:val="27"/>
          <w:szCs w:val="27"/>
          <w:lang w:val="uk-UA"/>
        </w:rPr>
        <w:t>Це здійснюється на основі доречних витрат.</w:t>
      </w:r>
    </w:p>
    <w:p w:rsidR="00DE77B0" w:rsidRPr="005D7AC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5D7AC3">
        <w:rPr>
          <w:rFonts w:ascii="Times New Roman" w:eastAsia="Times New Roman" w:hAnsi="Times New Roman" w:cs="Times New Roman"/>
          <w:i/>
          <w:iCs/>
          <w:sz w:val="27"/>
          <w:szCs w:val="27"/>
          <w:lang w:val="ru-RU"/>
        </w:rPr>
        <w:t>Стаття</w:t>
      </w:r>
      <w:proofErr w:type="spellEnd"/>
      <w:r w:rsidR="00DE77B0" w:rsidRPr="005D7AC3">
        <w:rPr>
          <w:rFonts w:ascii="Times New Roman" w:eastAsia="Times New Roman" w:hAnsi="Times New Roman" w:cs="Times New Roman"/>
          <w:i/>
          <w:iCs/>
          <w:sz w:val="27"/>
          <w:szCs w:val="27"/>
          <w:lang w:val="ru-RU"/>
        </w:rPr>
        <w:t xml:space="preserve"> 41</w:t>
      </w:r>
    </w:p>
    <w:p w:rsidR="00DE77B0" w:rsidRPr="005D7AC3" w:rsidRDefault="001722B1"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Вимоги до маржі</w:t>
      </w:r>
    </w:p>
    <w:p w:rsidR="006C0B86" w:rsidRPr="00D954A9"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151F59">
        <w:rPr>
          <w:rFonts w:ascii="Times New Roman" w:eastAsia="Times New Roman" w:hAnsi="Times New Roman" w:cs="Times New Roman"/>
          <w:sz w:val="27"/>
          <w:szCs w:val="27"/>
        </w:rPr>
        <w:t>ЦКА</w:t>
      </w:r>
      <w:r w:rsidRPr="006279CF">
        <w:rPr>
          <w:rFonts w:ascii="Times New Roman" w:eastAsia="Times New Roman" w:hAnsi="Times New Roman" w:cs="Times New Roman"/>
          <w:sz w:val="27"/>
          <w:szCs w:val="27"/>
        </w:rPr>
        <w:t xml:space="preserve"> </w:t>
      </w:r>
      <w:r w:rsidR="006C0B86">
        <w:rPr>
          <w:rFonts w:ascii="Times New Roman" w:eastAsia="Times New Roman" w:hAnsi="Times New Roman" w:cs="Times New Roman"/>
          <w:sz w:val="27"/>
          <w:szCs w:val="27"/>
          <w:lang w:val="uk-UA"/>
        </w:rPr>
        <w:t xml:space="preserve">встановлює, вимагає та стягує маржу для обмеження своїх відкритих кредитних позицій з учасників клірингу та, у доречних випадках, з ЦКА, з якими в нього є угоди про сумісність. </w:t>
      </w:r>
      <w:r w:rsidR="009E1D07">
        <w:rPr>
          <w:rFonts w:ascii="Times New Roman" w:eastAsia="Times New Roman" w:hAnsi="Times New Roman" w:cs="Times New Roman"/>
          <w:sz w:val="27"/>
          <w:szCs w:val="27"/>
          <w:lang w:val="uk-UA"/>
        </w:rPr>
        <w:t xml:space="preserve">Така маржа є достатньою для покриття потенційних </w:t>
      </w:r>
      <w:r w:rsidR="0088292B">
        <w:rPr>
          <w:rFonts w:ascii="Times New Roman" w:eastAsia="Times New Roman" w:hAnsi="Times New Roman" w:cs="Times New Roman"/>
          <w:sz w:val="27"/>
          <w:szCs w:val="27"/>
          <w:lang w:val="uk-UA"/>
        </w:rPr>
        <w:t>ризиків</w:t>
      </w:r>
      <w:r w:rsidR="009E1D07">
        <w:rPr>
          <w:rFonts w:ascii="Times New Roman" w:eastAsia="Times New Roman" w:hAnsi="Times New Roman" w:cs="Times New Roman"/>
          <w:sz w:val="27"/>
          <w:szCs w:val="27"/>
          <w:lang w:val="uk-UA"/>
        </w:rPr>
        <w:t xml:space="preserve">, які, за оцінками ЦКА, </w:t>
      </w:r>
      <w:proofErr w:type="spellStart"/>
      <w:r w:rsidR="0088292B">
        <w:rPr>
          <w:rFonts w:ascii="Times New Roman" w:eastAsia="Times New Roman" w:hAnsi="Times New Roman" w:cs="Times New Roman"/>
          <w:sz w:val="27"/>
          <w:szCs w:val="27"/>
          <w:lang w:val="uk-UA"/>
        </w:rPr>
        <w:t>матимут</w:t>
      </w:r>
      <w:proofErr w:type="spellEnd"/>
      <w:r w:rsidR="0088292B">
        <w:rPr>
          <w:rFonts w:ascii="Times New Roman" w:eastAsia="Times New Roman" w:hAnsi="Times New Roman" w:cs="Times New Roman"/>
          <w:sz w:val="27"/>
          <w:szCs w:val="27"/>
          <w:lang w:val="ru-RU"/>
        </w:rPr>
        <w:t xml:space="preserve">ь </w:t>
      </w:r>
      <w:proofErr w:type="spellStart"/>
      <w:r w:rsidR="0088292B">
        <w:rPr>
          <w:rFonts w:ascii="Times New Roman" w:eastAsia="Times New Roman" w:hAnsi="Times New Roman" w:cs="Times New Roman"/>
          <w:sz w:val="27"/>
          <w:szCs w:val="27"/>
          <w:lang w:val="ru-RU"/>
        </w:rPr>
        <w:t>місце</w:t>
      </w:r>
      <w:proofErr w:type="spellEnd"/>
      <w:r w:rsidR="0088292B">
        <w:rPr>
          <w:rFonts w:ascii="Times New Roman" w:eastAsia="Times New Roman" w:hAnsi="Times New Roman" w:cs="Times New Roman"/>
          <w:sz w:val="27"/>
          <w:szCs w:val="27"/>
          <w:lang w:val="ru-RU"/>
        </w:rPr>
        <w:t xml:space="preserve"> до</w:t>
      </w:r>
      <w:r w:rsidR="0088292B">
        <w:rPr>
          <w:rFonts w:ascii="Times New Roman" w:eastAsia="Times New Roman" w:hAnsi="Times New Roman" w:cs="Times New Roman"/>
          <w:sz w:val="27"/>
          <w:szCs w:val="27"/>
          <w:lang w:val="uk-UA"/>
        </w:rPr>
        <w:t xml:space="preserve"> ліквідації відповідних позицій. Вона також є достатньою для покриття збитків, які є результат</w:t>
      </w:r>
      <w:r w:rsidR="00312721">
        <w:rPr>
          <w:rFonts w:ascii="Times New Roman" w:eastAsia="Times New Roman" w:hAnsi="Times New Roman" w:cs="Times New Roman"/>
          <w:sz w:val="27"/>
          <w:szCs w:val="27"/>
          <w:lang w:val="uk-UA"/>
        </w:rPr>
        <w:t xml:space="preserve">ом </w:t>
      </w:r>
      <w:r w:rsidR="0088292B">
        <w:rPr>
          <w:rFonts w:ascii="Times New Roman" w:eastAsia="Times New Roman" w:hAnsi="Times New Roman" w:cs="Times New Roman"/>
          <w:sz w:val="27"/>
          <w:szCs w:val="27"/>
          <w:lang w:val="uk-UA"/>
        </w:rPr>
        <w:t xml:space="preserve">принаймні 99% </w:t>
      </w:r>
      <w:r w:rsidR="00312721">
        <w:rPr>
          <w:rFonts w:ascii="Times New Roman" w:eastAsia="Times New Roman" w:hAnsi="Times New Roman" w:cs="Times New Roman"/>
          <w:sz w:val="27"/>
          <w:szCs w:val="27"/>
          <w:lang w:val="uk-UA"/>
        </w:rPr>
        <w:t xml:space="preserve">руху відкритих позицій за відповідний період часу, і забезпечує, щоб ЦКА повністю </w:t>
      </w:r>
      <w:r w:rsidR="000A6E55">
        <w:rPr>
          <w:rFonts w:ascii="Times New Roman" w:eastAsia="Times New Roman" w:hAnsi="Times New Roman" w:cs="Times New Roman"/>
          <w:sz w:val="27"/>
          <w:szCs w:val="27"/>
          <w:lang w:val="uk-UA"/>
        </w:rPr>
        <w:t xml:space="preserve">покрив забезпеченням свої відкриті позиції з усіма учасниками клірингу та, де доречно, з ЦКА, з якими в нього є угоди про сумісність, принаймні у щоденному розрізі. ЦКА здійснює регулярний моніторинг і, за потреби, перегляд рівня своєї маржі на предмет відображення поточної ринкової </w:t>
      </w:r>
      <w:r w:rsidR="00D954A9">
        <w:rPr>
          <w:rFonts w:ascii="Times New Roman" w:eastAsia="Times New Roman" w:hAnsi="Times New Roman" w:cs="Times New Roman"/>
          <w:sz w:val="27"/>
          <w:szCs w:val="27"/>
          <w:lang w:val="uk-UA"/>
        </w:rPr>
        <w:t xml:space="preserve">кон’юнктури з урахуванням усіх потенційно </w:t>
      </w:r>
      <w:proofErr w:type="spellStart"/>
      <w:r w:rsidR="00D954A9">
        <w:rPr>
          <w:rFonts w:ascii="Times New Roman" w:eastAsia="Times New Roman" w:hAnsi="Times New Roman" w:cs="Times New Roman"/>
          <w:sz w:val="27"/>
          <w:szCs w:val="27"/>
          <w:lang w:val="uk-UA"/>
        </w:rPr>
        <w:t>проциклічних</w:t>
      </w:r>
      <w:proofErr w:type="spellEnd"/>
      <w:r w:rsidR="00D954A9">
        <w:rPr>
          <w:rFonts w:ascii="Times New Roman" w:eastAsia="Times New Roman" w:hAnsi="Times New Roman" w:cs="Times New Roman"/>
          <w:sz w:val="27"/>
          <w:szCs w:val="27"/>
          <w:lang w:val="uk-UA"/>
        </w:rPr>
        <w:t xml:space="preserve"> ефектів такого перегляду.</w:t>
      </w:r>
    </w:p>
    <w:p w:rsidR="00D954A9" w:rsidRPr="0094235B"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lastRenderedPageBreak/>
        <w:t>2.</w:t>
      </w:r>
      <w:r w:rsidRPr="006279CF">
        <w:rPr>
          <w:rFonts w:ascii="Times New Roman" w:eastAsia="Times New Roman" w:hAnsi="Times New Roman" w:cs="Times New Roman"/>
          <w:sz w:val="27"/>
          <w:szCs w:val="27"/>
        </w:rPr>
        <w:t>   </w:t>
      </w:r>
      <w:r w:rsidR="00760EAB">
        <w:rPr>
          <w:rFonts w:ascii="Times New Roman" w:eastAsia="Times New Roman" w:hAnsi="Times New Roman" w:cs="Times New Roman"/>
          <w:sz w:val="27"/>
          <w:szCs w:val="27"/>
          <w:lang w:val="uk-UA"/>
        </w:rPr>
        <w:t>У процесі встановлення своїх вимог до маржі Ц</w:t>
      </w:r>
      <w:r w:rsidR="00151F59" w:rsidRPr="005D7AC3">
        <w:rPr>
          <w:rFonts w:ascii="Times New Roman" w:eastAsia="Times New Roman" w:hAnsi="Times New Roman" w:cs="Times New Roman"/>
          <w:sz w:val="27"/>
          <w:szCs w:val="27"/>
          <w:lang w:val="uk-UA"/>
        </w:rPr>
        <w:t>КА</w:t>
      </w:r>
      <w:r w:rsidRPr="005D7AC3">
        <w:rPr>
          <w:rFonts w:ascii="Times New Roman" w:eastAsia="Times New Roman" w:hAnsi="Times New Roman" w:cs="Times New Roman"/>
          <w:sz w:val="27"/>
          <w:szCs w:val="27"/>
          <w:lang w:val="uk-UA"/>
        </w:rPr>
        <w:t xml:space="preserve"> </w:t>
      </w:r>
      <w:r w:rsidR="00760EAB">
        <w:rPr>
          <w:rFonts w:ascii="Times New Roman" w:eastAsia="Times New Roman" w:hAnsi="Times New Roman" w:cs="Times New Roman"/>
          <w:sz w:val="27"/>
          <w:szCs w:val="27"/>
          <w:lang w:val="uk-UA"/>
        </w:rPr>
        <w:t xml:space="preserve">приймає моделі та параметри, які враховують характеристики ризиків продуктів, кліринг яких здійснюється, та беруть </w:t>
      </w:r>
      <w:r w:rsidR="0094235B">
        <w:rPr>
          <w:rFonts w:ascii="Times New Roman" w:eastAsia="Times New Roman" w:hAnsi="Times New Roman" w:cs="Times New Roman"/>
          <w:sz w:val="27"/>
          <w:szCs w:val="27"/>
          <w:lang w:val="uk-UA"/>
        </w:rPr>
        <w:t>до уваги часовий інтервал між стягуванням маржі, ліквідність ринку та можливість змін протягом терміну дії угоди. Ці моделі та параметри перевіряються компетентним органом і є предметом висновку відповідно до статті 19.</w:t>
      </w:r>
    </w:p>
    <w:p w:rsidR="00DE77B0" w:rsidRPr="005D7AC3" w:rsidRDefault="00DE77B0" w:rsidP="0094235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151F59" w:rsidRPr="0094235B">
        <w:rPr>
          <w:rFonts w:ascii="Times New Roman" w:eastAsia="Times New Roman" w:hAnsi="Times New Roman" w:cs="Times New Roman"/>
          <w:sz w:val="27"/>
          <w:szCs w:val="27"/>
          <w:lang w:val="ru-RU"/>
        </w:rPr>
        <w:t>ЦКА</w:t>
      </w:r>
      <w:r w:rsidRPr="0094235B">
        <w:rPr>
          <w:rFonts w:ascii="Times New Roman" w:eastAsia="Times New Roman" w:hAnsi="Times New Roman" w:cs="Times New Roman"/>
          <w:sz w:val="27"/>
          <w:szCs w:val="27"/>
          <w:lang w:val="ru-RU"/>
        </w:rPr>
        <w:t xml:space="preserve"> </w:t>
      </w:r>
      <w:r w:rsidR="0094235B">
        <w:rPr>
          <w:rFonts w:ascii="Times New Roman" w:eastAsia="Times New Roman" w:hAnsi="Times New Roman" w:cs="Times New Roman"/>
          <w:sz w:val="27"/>
          <w:szCs w:val="27"/>
          <w:lang w:val="uk-UA"/>
        </w:rPr>
        <w:t xml:space="preserve">вимагає та стягує маржу за </w:t>
      </w:r>
      <w:proofErr w:type="spellStart"/>
      <w:r w:rsidR="0094235B">
        <w:rPr>
          <w:rFonts w:ascii="Times New Roman" w:eastAsia="Times New Roman" w:hAnsi="Times New Roman" w:cs="Times New Roman"/>
          <w:sz w:val="27"/>
          <w:szCs w:val="27"/>
          <w:lang w:val="uk-UA"/>
        </w:rPr>
        <w:t>внутрішньоденним</w:t>
      </w:r>
      <w:proofErr w:type="spellEnd"/>
      <w:r w:rsidR="0094235B">
        <w:rPr>
          <w:rFonts w:ascii="Times New Roman" w:eastAsia="Times New Roman" w:hAnsi="Times New Roman" w:cs="Times New Roman"/>
          <w:sz w:val="27"/>
          <w:szCs w:val="27"/>
          <w:lang w:val="uk-UA"/>
        </w:rPr>
        <w:t xml:space="preserve"> принципом, принаймні у випадку, коли перевищені встановлені пороги.</w:t>
      </w:r>
    </w:p>
    <w:p w:rsidR="00DE77B0" w:rsidRPr="005D7AC3" w:rsidRDefault="00DE77B0" w:rsidP="00835571">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151F59" w:rsidRPr="005D7AC3">
        <w:rPr>
          <w:rFonts w:ascii="Times New Roman" w:eastAsia="Times New Roman" w:hAnsi="Times New Roman" w:cs="Times New Roman"/>
          <w:sz w:val="27"/>
          <w:szCs w:val="27"/>
          <w:lang w:val="ru-RU"/>
        </w:rPr>
        <w:t>ЦКА</w:t>
      </w:r>
      <w:r w:rsidRPr="005D7AC3">
        <w:rPr>
          <w:rFonts w:ascii="Times New Roman" w:eastAsia="Times New Roman" w:hAnsi="Times New Roman" w:cs="Times New Roman"/>
          <w:sz w:val="27"/>
          <w:szCs w:val="27"/>
          <w:lang w:val="ru-RU"/>
        </w:rPr>
        <w:t xml:space="preserve"> </w:t>
      </w:r>
      <w:r w:rsidR="0094235B">
        <w:rPr>
          <w:rFonts w:ascii="Times New Roman" w:eastAsia="Times New Roman" w:hAnsi="Times New Roman" w:cs="Times New Roman"/>
          <w:sz w:val="27"/>
          <w:szCs w:val="27"/>
          <w:lang w:val="uk-UA"/>
        </w:rPr>
        <w:t xml:space="preserve">вимагає та стягує маржу, що є достатньою для покриття ризику, який випливає з позицій, зареєстрованих по кожному рахунку, що ведеться відповідно до статті 39 стосовно конкретних фінансових інструментів. ЦКА може розраховувати маржу по відношенню до портфелю фінансових інструментів за умови, що методика, яка застосовується, є </w:t>
      </w:r>
      <w:r w:rsidR="00835571">
        <w:rPr>
          <w:rFonts w:ascii="Times New Roman" w:eastAsia="Times New Roman" w:hAnsi="Times New Roman" w:cs="Times New Roman"/>
          <w:sz w:val="27"/>
          <w:szCs w:val="27"/>
          <w:lang w:val="uk-UA"/>
        </w:rPr>
        <w:t>зваженою та надійною.</w:t>
      </w:r>
    </w:p>
    <w:p w:rsidR="00835571" w:rsidRPr="00835571" w:rsidRDefault="003E4821" w:rsidP="00835571">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після консультацій з ЕВА та </w:t>
      </w:r>
      <w:r>
        <w:rPr>
          <w:rFonts w:ascii="Times New Roman" w:eastAsia="Times New Roman" w:hAnsi="Times New Roman" w:cs="Times New Roman"/>
          <w:sz w:val="27"/>
          <w:szCs w:val="27"/>
          <w:lang w:val="ru-RU"/>
        </w:rPr>
        <w:t>ЄСЦБ</w:t>
      </w:r>
      <w:r w:rsidRPr="005D7AC3">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 xml:space="preserve">розробляє проекти регуляторних технічних стандартів, де зазначає відповідні відсоткові частки та часові межі періоду ліквідації, а також розрахунок історичної </w:t>
      </w:r>
      <w:proofErr w:type="spellStart"/>
      <w:r>
        <w:rPr>
          <w:rFonts w:ascii="Times New Roman" w:eastAsia="Times New Roman" w:hAnsi="Times New Roman" w:cs="Times New Roman"/>
          <w:sz w:val="27"/>
          <w:szCs w:val="27"/>
          <w:lang w:val="uk-UA"/>
        </w:rPr>
        <w:t>волатильності</w:t>
      </w:r>
      <w:proofErr w:type="spellEnd"/>
      <w:r>
        <w:rPr>
          <w:rFonts w:ascii="Times New Roman" w:eastAsia="Times New Roman" w:hAnsi="Times New Roman" w:cs="Times New Roman"/>
          <w:sz w:val="27"/>
          <w:szCs w:val="27"/>
          <w:lang w:val="uk-UA"/>
        </w:rPr>
        <w:t xml:space="preserve">, згаданої у пункті 1 цієї статті, що повинен розглядатися для різних класів фінансових інструментів, ураховуючи ціль щодо обмеження </w:t>
      </w:r>
      <w:proofErr w:type="spellStart"/>
      <w:r>
        <w:rPr>
          <w:rFonts w:ascii="Times New Roman" w:eastAsia="Times New Roman" w:hAnsi="Times New Roman" w:cs="Times New Roman"/>
          <w:sz w:val="27"/>
          <w:szCs w:val="27"/>
          <w:lang w:val="uk-UA"/>
        </w:rPr>
        <w:t>проциклічності</w:t>
      </w:r>
      <w:proofErr w:type="spellEnd"/>
      <w:r>
        <w:rPr>
          <w:rFonts w:ascii="Times New Roman" w:eastAsia="Times New Roman" w:hAnsi="Times New Roman" w:cs="Times New Roman"/>
          <w:sz w:val="27"/>
          <w:szCs w:val="27"/>
          <w:lang w:val="uk-UA"/>
        </w:rPr>
        <w:t xml:space="preserve"> та умови, за яких можна запровадити практичні методи встановлення портфельної маржі, згаданої у пункті 4 цієї статті.</w:t>
      </w:r>
    </w:p>
    <w:p w:rsidR="00EB148B" w:rsidRPr="00A64037" w:rsidRDefault="00EB148B" w:rsidP="00EB148B">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Е</w:t>
      </w:r>
      <w:r>
        <w:rPr>
          <w:rFonts w:ascii="Times New Roman" w:eastAsia="Times New Roman" w:hAnsi="Times New Roman" w:cs="Times New Roman"/>
          <w:sz w:val="27"/>
          <w:szCs w:val="27"/>
        </w:rPr>
        <w:t>SMA</w:t>
      </w:r>
      <w:r>
        <w:rPr>
          <w:rFonts w:ascii="Times New Roman" w:eastAsia="Times New Roman" w:hAnsi="Times New Roman" w:cs="Times New Roman"/>
          <w:sz w:val="27"/>
          <w:szCs w:val="27"/>
          <w:lang w:val="uk-UA"/>
        </w:rPr>
        <w:t xml:space="preserve"> подає ці проекти регуляторних технічних стандартів Комісії до 30 вересня 2012 р.</w:t>
      </w:r>
    </w:p>
    <w:p w:rsidR="00DE77B0" w:rsidRPr="005D7AC3" w:rsidRDefault="00EB148B" w:rsidP="00D95AFF">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Комісії надається повноваження на прийняття регуляторних технічних стандартів, згаданих у першому абзаці цього пункту, </w:t>
      </w:r>
      <w:proofErr w:type="spellStart"/>
      <w:r w:rsidRPr="009448A2">
        <w:rPr>
          <w:rFonts w:ascii="Times New Roman" w:eastAsia="Times New Roman" w:hAnsi="Times New Roman" w:cs="Times New Roman"/>
          <w:sz w:val="27"/>
          <w:szCs w:val="27"/>
          <w:lang w:val="ru-RU"/>
        </w:rPr>
        <w:t>відповідно</w:t>
      </w:r>
      <w:proofErr w:type="spellEnd"/>
      <w:r w:rsidRPr="009448A2">
        <w:rPr>
          <w:rFonts w:ascii="Times New Roman" w:eastAsia="Times New Roman" w:hAnsi="Times New Roman" w:cs="Times New Roman"/>
          <w:sz w:val="27"/>
          <w:szCs w:val="27"/>
          <w:lang w:val="ru-RU"/>
        </w:rPr>
        <w:t xml:space="preserve"> до стат</w:t>
      </w:r>
      <w:r w:rsidR="00D95AFF">
        <w:rPr>
          <w:rFonts w:ascii="Times New Roman" w:eastAsia="Times New Roman" w:hAnsi="Times New Roman" w:cs="Times New Roman"/>
          <w:sz w:val="27"/>
          <w:szCs w:val="27"/>
          <w:lang w:val="ru-RU"/>
        </w:rPr>
        <w:t>ей 10-14</w:t>
      </w:r>
      <w:r w:rsidRPr="009448A2">
        <w:rPr>
          <w:rFonts w:ascii="Times New Roman" w:eastAsia="Times New Roman" w:hAnsi="Times New Roman" w:cs="Times New Roman"/>
          <w:sz w:val="27"/>
          <w:szCs w:val="27"/>
          <w:lang w:val="ru-RU"/>
        </w:rPr>
        <w:t xml:space="preserve"> Регламенту (</w:t>
      </w:r>
      <w:r>
        <w:rPr>
          <w:rFonts w:ascii="Times New Roman" w:eastAsia="Times New Roman" w:hAnsi="Times New Roman" w:cs="Times New Roman"/>
          <w:sz w:val="27"/>
          <w:szCs w:val="27"/>
        </w:rPr>
        <w:t>EU</w:t>
      </w:r>
      <w:r w:rsidRPr="009448A2">
        <w:rPr>
          <w:rFonts w:ascii="Times New Roman" w:eastAsia="Times New Roman" w:hAnsi="Times New Roman" w:cs="Times New Roman"/>
          <w:sz w:val="27"/>
          <w:szCs w:val="27"/>
          <w:lang w:val="ru-RU"/>
        </w:rPr>
        <w:t>) №</w:t>
      </w:r>
      <w:r w:rsidRPr="006279CF">
        <w:rPr>
          <w:rFonts w:ascii="Times New Roman" w:eastAsia="Times New Roman" w:hAnsi="Times New Roman" w:cs="Times New Roman"/>
          <w:sz w:val="27"/>
          <w:szCs w:val="27"/>
        </w:rPr>
        <w:t> </w:t>
      </w:r>
      <w:r w:rsidRPr="009448A2">
        <w:rPr>
          <w:rFonts w:ascii="Times New Roman" w:eastAsia="Times New Roman" w:hAnsi="Times New Roman" w:cs="Times New Roman"/>
          <w:sz w:val="27"/>
          <w:szCs w:val="27"/>
          <w:lang w:val="ru-RU"/>
        </w:rPr>
        <w:t>1095/2010.</w:t>
      </w:r>
    </w:p>
    <w:p w:rsidR="00DE77B0" w:rsidRPr="005D7AC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5D7AC3">
        <w:rPr>
          <w:rFonts w:ascii="Times New Roman" w:eastAsia="Times New Roman" w:hAnsi="Times New Roman" w:cs="Times New Roman"/>
          <w:i/>
          <w:iCs/>
          <w:sz w:val="27"/>
          <w:szCs w:val="27"/>
          <w:lang w:val="ru-RU"/>
        </w:rPr>
        <w:t>Стаття</w:t>
      </w:r>
      <w:proofErr w:type="spellEnd"/>
      <w:r w:rsidR="00DE77B0" w:rsidRPr="005D7AC3">
        <w:rPr>
          <w:rFonts w:ascii="Times New Roman" w:eastAsia="Times New Roman" w:hAnsi="Times New Roman" w:cs="Times New Roman"/>
          <w:i/>
          <w:iCs/>
          <w:sz w:val="27"/>
          <w:szCs w:val="27"/>
          <w:lang w:val="ru-RU"/>
        </w:rPr>
        <w:t xml:space="preserve"> 42</w:t>
      </w:r>
    </w:p>
    <w:p w:rsidR="00DE77B0" w:rsidRPr="00D0482C" w:rsidRDefault="00D0482C"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Гарантійний фонд</w:t>
      </w:r>
    </w:p>
    <w:p w:rsidR="002C13F4" w:rsidRPr="002C13F4"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2C13F4">
        <w:rPr>
          <w:rFonts w:ascii="Times New Roman" w:eastAsia="Times New Roman" w:hAnsi="Times New Roman" w:cs="Times New Roman"/>
          <w:sz w:val="27"/>
          <w:szCs w:val="27"/>
          <w:lang w:val="uk-UA"/>
        </w:rPr>
        <w:t xml:space="preserve">Щоб ще більше обмежити свої відкриті кредитні позиції у відношеннях з учасниками клірингу, ЦКА підтримує авансований гарантійний фонд, призначений для покриття збитків, які перевищують збитки, </w:t>
      </w:r>
      <w:r w:rsidR="00364801">
        <w:rPr>
          <w:rFonts w:ascii="Times New Roman" w:eastAsia="Times New Roman" w:hAnsi="Times New Roman" w:cs="Times New Roman"/>
          <w:sz w:val="27"/>
          <w:szCs w:val="27"/>
          <w:lang w:val="uk-UA"/>
        </w:rPr>
        <w:t>котрі</w:t>
      </w:r>
      <w:r w:rsidR="002C13F4">
        <w:rPr>
          <w:rFonts w:ascii="Times New Roman" w:eastAsia="Times New Roman" w:hAnsi="Times New Roman" w:cs="Times New Roman"/>
          <w:sz w:val="27"/>
          <w:szCs w:val="27"/>
          <w:lang w:val="uk-UA"/>
        </w:rPr>
        <w:t xml:space="preserve"> мають покриватися </w:t>
      </w:r>
      <w:r w:rsidR="00364801">
        <w:rPr>
          <w:rFonts w:ascii="Times New Roman" w:eastAsia="Times New Roman" w:hAnsi="Times New Roman" w:cs="Times New Roman"/>
          <w:sz w:val="27"/>
          <w:szCs w:val="27"/>
          <w:lang w:val="uk-UA"/>
        </w:rPr>
        <w:t>вимогами до маржі, викладеними у статті 41, що виникають у результаті неплатоспроможності</w:t>
      </w:r>
      <w:r w:rsidR="00604E86">
        <w:rPr>
          <w:rFonts w:ascii="Times New Roman" w:eastAsia="Times New Roman" w:hAnsi="Times New Roman" w:cs="Times New Roman"/>
          <w:sz w:val="27"/>
          <w:szCs w:val="27"/>
          <w:lang w:val="uk-UA"/>
        </w:rPr>
        <w:t>, включаючи відкриття процедури неплатоспроможності, одного чи декількох учасників клірингу.</w:t>
      </w:r>
    </w:p>
    <w:p w:rsidR="00604E86" w:rsidRDefault="00604E86"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ЦКА створює мінімальну суму, менше якої розмір гарантійного фонду не повинен бути за жодних обставин.</w:t>
      </w:r>
    </w:p>
    <w:p w:rsidR="0014310F" w:rsidRPr="0014310F"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14310F">
        <w:rPr>
          <w:rFonts w:ascii="Times New Roman" w:eastAsia="Times New Roman" w:hAnsi="Times New Roman" w:cs="Times New Roman"/>
          <w:sz w:val="27"/>
          <w:szCs w:val="27"/>
          <w:lang w:val="uk-UA"/>
        </w:rPr>
        <w:lastRenderedPageBreak/>
        <w:t>2.</w:t>
      </w:r>
      <w:r w:rsidRPr="006279CF">
        <w:rPr>
          <w:rFonts w:ascii="Times New Roman" w:eastAsia="Times New Roman" w:hAnsi="Times New Roman" w:cs="Times New Roman"/>
          <w:sz w:val="27"/>
          <w:szCs w:val="27"/>
        </w:rPr>
        <w:t>   </w:t>
      </w:r>
      <w:r w:rsidR="00151F59" w:rsidRPr="0014310F">
        <w:rPr>
          <w:rFonts w:ascii="Times New Roman" w:eastAsia="Times New Roman" w:hAnsi="Times New Roman" w:cs="Times New Roman"/>
          <w:sz w:val="27"/>
          <w:szCs w:val="27"/>
          <w:lang w:val="uk-UA"/>
        </w:rPr>
        <w:t>ЦКА</w:t>
      </w:r>
      <w:r w:rsidRPr="0014310F">
        <w:rPr>
          <w:rFonts w:ascii="Times New Roman" w:eastAsia="Times New Roman" w:hAnsi="Times New Roman" w:cs="Times New Roman"/>
          <w:sz w:val="27"/>
          <w:szCs w:val="27"/>
          <w:lang w:val="uk-UA"/>
        </w:rPr>
        <w:t xml:space="preserve"> </w:t>
      </w:r>
      <w:r w:rsidR="0014310F">
        <w:rPr>
          <w:rFonts w:ascii="Times New Roman" w:eastAsia="Times New Roman" w:hAnsi="Times New Roman" w:cs="Times New Roman"/>
          <w:sz w:val="27"/>
          <w:szCs w:val="27"/>
          <w:lang w:val="uk-UA"/>
        </w:rPr>
        <w:t xml:space="preserve">встановлює мінімальний розмір внесків до гарантійного фонду та критерії розрахунку внесків окремих учасників клірингу. </w:t>
      </w:r>
      <w:r w:rsidR="005F0B9D">
        <w:rPr>
          <w:rFonts w:ascii="Times New Roman" w:eastAsia="Times New Roman" w:hAnsi="Times New Roman" w:cs="Times New Roman"/>
          <w:sz w:val="27"/>
          <w:szCs w:val="27"/>
          <w:lang w:val="uk-UA"/>
        </w:rPr>
        <w:t>Внески до гарантійного фонду пропорційні відкритим позиціям кожного учасника клірингу.</w:t>
      </w:r>
    </w:p>
    <w:p w:rsidR="00DE77B0" w:rsidRPr="005D7AC3" w:rsidRDefault="00DE77B0" w:rsidP="00FA1848">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5F0B9D">
        <w:rPr>
          <w:rFonts w:ascii="Times New Roman" w:eastAsia="Times New Roman" w:hAnsi="Times New Roman" w:cs="Times New Roman"/>
          <w:sz w:val="27"/>
          <w:szCs w:val="27"/>
          <w:lang w:val="uk-UA"/>
        </w:rPr>
        <w:t xml:space="preserve">Гарантійний фонд, як мінімум, дозволяє ЦКА витримувати, за крайніх, але ймовірних </w:t>
      </w:r>
      <w:r w:rsidR="00FA1848">
        <w:rPr>
          <w:rFonts w:ascii="Times New Roman" w:eastAsia="Times New Roman" w:hAnsi="Times New Roman" w:cs="Times New Roman"/>
          <w:sz w:val="27"/>
          <w:szCs w:val="27"/>
          <w:lang w:val="uk-UA"/>
        </w:rPr>
        <w:t xml:space="preserve">ринкових </w:t>
      </w:r>
      <w:r w:rsidR="005F0B9D">
        <w:rPr>
          <w:rFonts w:ascii="Times New Roman" w:eastAsia="Times New Roman" w:hAnsi="Times New Roman" w:cs="Times New Roman"/>
          <w:sz w:val="27"/>
          <w:szCs w:val="27"/>
          <w:lang w:val="uk-UA"/>
        </w:rPr>
        <w:t xml:space="preserve">умов, наслідки </w:t>
      </w:r>
      <w:r w:rsidR="00173B6E">
        <w:rPr>
          <w:rFonts w:ascii="Times New Roman" w:eastAsia="Times New Roman" w:hAnsi="Times New Roman" w:cs="Times New Roman"/>
          <w:sz w:val="27"/>
          <w:szCs w:val="27"/>
          <w:lang w:val="uk-UA"/>
        </w:rPr>
        <w:t>неплатоспроможності учасника клірингу, щодо якого ЦКА має найбільші відкриті позиції, або другого та третього найбільших учасників кліринг</w:t>
      </w:r>
      <w:r w:rsidR="00FA1848">
        <w:rPr>
          <w:rFonts w:ascii="Times New Roman" w:eastAsia="Times New Roman" w:hAnsi="Times New Roman" w:cs="Times New Roman"/>
          <w:sz w:val="27"/>
          <w:szCs w:val="27"/>
          <w:lang w:val="uk-UA"/>
        </w:rPr>
        <w:t xml:space="preserve">у, якщо сума їхніх часток більше. ЦКА розробляє сценарії крайніх, але ймовірних ринкових умов. Ці сценарії включають найбільш </w:t>
      </w:r>
      <w:proofErr w:type="spellStart"/>
      <w:r w:rsidR="00FA1848">
        <w:rPr>
          <w:rFonts w:ascii="Times New Roman" w:eastAsia="Times New Roman" w:hAnsi="Times New Roman" w:cs="Times New Roman"/>
          <w:sz w:val="27"/>
          <w:szCs w:val="27"/>
          <w:lang w:val="uk-UA"/>
        </w:rPr>
        <w:t>волатильні</w:t>
      </w:r>
      <w:proofErr w:type="spellEnd"/>
      <w:r w:rsidR="00FA1848">
        <w:rPr>
          <w:rFonts w:ascii="Times New Roman" w:eastAsia="Times New Roman" w:hAnsi="Times New Roman" w:cs="Times New Roman"/>
          <w:sz w:val="27"/>
          <w:szCs w:val="27"/>
          <w:lang w:val="uk-UA"/>
        </w:rPr>
        <w:t xml:space="preserve"> періоди, які мали місце на ринках, яким ЦКА надає свої послуги, та ряд потенційних перспективних сценаріїв. Вони враховують раптовий продаж фінансових ресурсів і швидке зменшення ліквідності ринку.</w:t>
      </w:r>
    </w:p>
    <w:p w:rsidR="00FA1848" w:rsidRPr="00FA1848"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FA1848">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FA1848">
        <w:rPr>
          <w:rFonts w:ascii="Times New Roman" w:eastAsia="Times New Roman" w:hAnsi="Times New Roman" w:cs="Times New Roman"/>
          <w:sz w:val="27"/>
          <w:szCs w:val="27"/>
          <w:lang w:val="uk-UA"/>
        </w:rPr>
        <w:t>ЦКА може створити не один, а декілька гарантійних фондів для різних класів інструментів, кліринг яких він здійснює.</w:t>
      </w:r>
    </w:p>
    <w:p w:rsidR="00C95587" w:rsidRDefault="00C95587" w:rsidP="00C95587">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3E4821">
        <w:rPr>
          <w:rFonts w:ascii="Times New Roman" w:eastAsia="Times New Roman" w:hAnsi="Times New Roman" w:cs="Times New Roman"/>
          <w:sz w:val="27"/>
          <w:szCs w:val="27"/>
          <w:lang w:val="uk-UA"/>
        </w:rPr>
        <w:t>5.</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у тісному співробітництві з ЄСЦБ та після консультацій з ЕВА</w:t>
      </w:r>
      <w:r w:rsidRPr="003E4821">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розробляє проекти регуляторних технічних стандартів, де зазначає засади визначення крайніх, але ймовірних ринкових умов, згаданих у пункті 3 цієї статті, що мають використовуватися для визначення розміру гарантійного фонду та інших фінансових ресурсів, згаданих у статті 43.</w:t>
      </w:r>
    </w:p>
    <w:p w:rsidR="00C95587" w:rsidRPr="00A64037" w:rsidRDefault="00C95587" w:rsidP="00C95587">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Е</w:t>
      </w:r>
      <w:r>
        <w:rPr>
          <w:rFonts w:ascii="Times New Roman" w:eastAsia="Times New Roman" w:hAnsi="Times New Roman" w:cs="Times New Roman"/>
          <w:sz w:val="27"/>
          <w:szCs w:val="27"/>
        </w:rPr>
        <w:t>SMA</w:t>
      </w:r>
      <w:r>
        <w:rPr>
          <w:rFonts w:ascii="Times New Roman" w:eastAsia="Times New Roman" w:hAnsi="Times New Roman" w:cs="Times New Roman"/>
          <w:sz w:val="27"/>
          <w:szCs w:val="27"/>
          <w:lang w:val="uk-UA"/>
        </w:rPr>
        <w:t xml:space="preserve"> подає ці проекти регуляторних технічних стандартів Комісії до 30 вересня 2012 р.</w:t>
      </w:r>
    </w:p>
    <w:p w:rsidR="00C95587" w:rsidRPr="00C95587" w:rsidRDefault="00C95587" w:rsidP="00C9558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Комісії надається повноваження на прийняття регуляторних технічних стандартів, згаданих у першому абзаці цього пункту, </w:t>
      </w:r>
      <w:r w:rsidRPr="00620DC3">
        <w:rPr>
          <w:rFonts w:ascii="Times New Roman" w:eastAsia="Times New Roman" w:hAnsi="Times New Roman" w:cs="Times New Roman"/>
          <w:sz w:val="27"/>
          <w:szCs w:val="27"/>
          <w:lang w:val="uk-UA"/>
        </w:rPr>
        <w:t xml:space="preserve">відповідно до </w:t>
      </w:r>
      <w:proofErr w:type="spellStart"/>
      <w:r w:rsidRPr="00620DC3">
        <w:rPr>
          <w:rFonts w:ascii="Times New Roman" w:eastAsia="Times New Roman" w:hAnsi="Times New Roman" w:cs="Times New Roman"/>
          <w:sz w:val="27"/>
          <w:szCs w:val="27"/>
          <w:lang w:val="uk-UA"/>
        </w:rPr>
        <w:t>статтей</w:t>
      </w:r>
      <w:proofErr w:type="spellEnd"/>
      <w:r w:rsidRPr="00620DC3">
        <w:rPr>
          <w:rFonts w:ascii="Times New Roman" w:eastAsia="Times New Roman" w:hAnsi="Times New Roman" w:cs="Times New Roman"/>
          <w:sz w:val="27"/>
          <w:szCs w:val="27"/>
          <w:lang w:val="uk-UA"/>
        </w:rPr>
        <w:t xml:space="preserve"> 10-14 Регламенту (</w:t>
      </w:r>
      <w:r>
        <w:rPr>
          <w:rFonts w:ascii="Times New Roman" w:eastAsia="Times New Roman" w:hAnsi="Times New Roman" w:cs="Times New Roman"/>
          <w:sz w:val="27"/>
          <w:szCs w:val="27"/>
        </w:rPr>
        <w:t>EU</w:t>
      </w:r>
      <w:r w:rsidRPr="00620DC3">
        <w:rPr>
          <w:rFonts w:ascii="Times New Roman" w:eastAsia="Times New Roman" w:hAnsi="Times New Roman" w:cs="Times New Roman"/>
          <w:sz w:val="27"/>
          <w:szCs w:val="27"/>
          <w:lang w:val="uk-UA"/>
        </w:rPr>
        <w:t>) №</w:t>
      </w:r>
      <w:r w:rsidRPr="006279CF">
        <w:rPr>
          <w:rFonts w:ascii="Times New Roman" w:eastAsia="Times New Roman" w:hAnsi="Times New Roman" w:cs="Times New Roman"/>
          <w:sz w:val="27"/>
          <w:szCs w:val="27"/>
        </w:rPr>
        <w:t> </w:t>
      </w:r>
      <w:r w:rsidRPr="00620DC3">
        <w:rPr>
          <w:rFonts w:ascii="Times New Roman" w:eastAsia="Times New Roman" w:hAnsi="Times New Roman" w:cs="Times New Roman"/>
          <w:sz w:val="27"/>
          <w:szCs w:val="27"/>
          <w:lang w:val="uk-UA"/>
        </w:rPr>
        <w:t>1095/2010.</w:t>
      </w:r>
    </w:p>
    <w:p w:rsidR="00DE77B0" w:rsidRPr="005D7AC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5D7AC3">
        <w:rPr>
          <w:rFonts w:ascii="Times New Roman" w:eastAsia="Times New Roman" w:hAnsi="Times New Roman" w:cs="Times New Roman"/>
          <w:i/>
          <w:iCs/>
          <w:sz w:val="27"/>
          <w:szCs w:val="27"/>
          <w:lang w:val="ru-RU"/>
        </w:rPr>
        <w:t>Стаття</w:t>
      </w:r>
      <w:proofErr w:type="spellEnd"/>
      <w:r w:rsidR="00DE77B0" w:rsidRPr="005D7AC3">
        <w:rPr>
          <w:rFonts w:ascii="Times New Roman" w:eastAsia="Times New Roman" w:hAnsi="Times New Roman" w:cs="Times New Roman"/>
          <w:i/>
          <w:iCs/>
          <w:sz w:val="27"/>
          <w:szCs w:val="27"/>
          <w:lang w:val="ru-RU"/>
        </w:rPr>
        <w:t xml:space="preserve"> 43</w:t>
      </w:r>
    </w:p>
    <w:p w:rsidR="00DE77B0" w:rsidRPr="00D0482C" w:rsidRDefault="00D0482C"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Інші фінансові ресурси</w:t>
      </w:r>
    </w:p>
    <w:p w:rsidR="00DE77B0" w:rsidRPr="005D7AC3" w:rsidRDefault="00DE77B0" w:rsidP="00D04F7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151F59" w:rsidRPr="00FB7AE1">
        <w:rPr>
          <w:rFonts w:ascii="Times New Roman" w:eastAsia="Times New Roman" w:hAnsi="Times New Roman" w:cs="Times New Roman"/>
          <w:sz w:val="27"/>
          <w:szCs w:val="27"/>
          <w:lang w:val="ru-RU"/>
        </w:rPr>
        <w:t>ЦКА</w:t>
      </w:r>
      <w:r w:rsidRPr="005D7AC3">
        <w:rPr>
          <w:rFonts w:ascii="Times New Roman" w:eastAsia="Times New Roman" w:hAnsi="Times New Roman" w:cs="Times New Roman"/>
          <w:sz w:val="27"/>
          <w:szCs w:val="27"/>
          <w:lang w:val="ru-RU"/>
        </w:rPr>
        <w:t xml:space="preserve"> </w:t>
      </w:r>
      <w:r w:rsidR="00FB7AE1">
        <w:rPr>
          <w:rFonts w:ascii="Times New Roman" w:eastAsia="Times New Roman" w:hAnsi="Times New Roman" w:cs="Times New Roman"/>
          <w:sz w:val="27"/>
          <w:szCs w:val="27"/>
          <w:lang w:val="uk-UA"/>
        </w:rPr>
        <w:t xml:space="preserve">підтримує </w:t>
      </w:r>
      <w:proofErr w:type="spellStart"/>
      <w:r w:rsidR="00FB7AE1">
        <w:rPr>
          <w:rFonts w:ascii="Times New Roman" w:eastAsia="Times New Roman" w:hAnsi="Times New Roman" w:cs="Times New Roman"/>
          <w:sz w:val="27"/>
          <w:szCs w:val="27"/>
          <w:lang w:val="uk-UA"/>
        </w:rPr>
        <w:t>передоплачені</w:t>
      </w:r>
      <w:proofErr w:type="spellEnd"/>
      <w:r w:rsidR="00FB7AE1">
        <w:rPr>
          <w:rFonts w:ascii="Times New Roman" w:eastAsia="Times New Roman" w:hAnsi="Times New Roman" w:cs="Times New Roman"/>
          <w:sz w:val="27"/>
          <w:szCs w:val="27"/>
          <w:lang w:val="uk-UA"/>
        </w:rPr>
        <w:t xml:space="preserve"> наявні фінансові ресурси для покриття потенційних збитків, </w:t>
      </w:r>
      <w:r w:rsidR="007174EC">
        <w:rPr>
          <w:rFonts w:ascii="Times New Roman" w:eastAsia="Times New Roman" w:hAnsi="Times New Roman" w:cs="Times New Roman"/>
          <w:sz w:val="27"/>
          <w:szCs w:val="27"/>
          <w:lang w:val="uk-UA"/>
        </w:rPr>
        <w:t xml:space="preserve">які перевищують збитки, що мають покриватися вимогами до маржі, встановленими у статті 41, та гарантійним фондом, згаданим у статті 42. Такі </w:t>
      </w:r>
      <w:proofErr w:type="spellStart"/>
      <w:r w:rsidR="007174EC">
        <w:rPr>
          <w:rFonts w:ascii="Times New Roman" w:eastAsia="Times New Roman" w:hAnsi="Times New Roman" w:cs="Times New Roman"/>
          <w:sz w:val="27"/>
          <w:szCs w:val="27"/>
          <w:lang w:val="uk-UA"/>
        </w:rPr>
        <w:t>передоплачені</w:t>
      </w:r>
      <w:proofErr w:type="spellEnd"/>
      <w:r w:rsidR="007174EC">
        <w:rPr>
          <w:rFonts w:ascii="Times New Roman" w:eastAsia="Times New Roman" w:hAnsi="Times New Roman" w:cs="Times New Roman"/>
          <w:sz w:val="27"/>
          <w:szCs w:val="27"/>
          <w:lang w:val="uk-UA"/>
        </w:rPr>
        <w:t xml:space="preserve"> фінансові ресурси включають цільові кошти ЦКА</w:t>
      </w:r>
      <w:r w:rsidR="00D04F75">
        <w:rPr>
          <w:rFonts w:ascii="Times New Roman" w:eastAsia="Times New Roman" w:hAnsi="Times New Roman" w:cs="Times New Roman"/>
          <w:sz w:val="27"/>
          <w:szCs w:val="27"/>
          <w:lang w:val="uk-UA"/>
        </w:rPr>
        <w:t>, є високоліквідними для ЦКА і не використовуються для виконання вимог до капіталу, встановлених статтею 16.</w:t>
      </w:r>
    </w:p>
    <w:p w:rsidR="00DE77B0" w:rsidRPr="005D7AC3" w:rsidRDefault="00DE77B0" w:rsidP="00D04F7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D04F75">
        <w:rPr>
          <w:rFonts w:ascii="Times New Roman" w:eastAsia="Times New Roman" w:hAnsi="Times New Roman" w:cs="Times New Roman"/>
          <w:sz w:val="27"/>
          <w:szCs w:val="27"/>
          <w:lang w:val="uk-UA"/>
        </w:rPr>
        <w:t xml:space="preserve">Гарантійний фонд, згаданий у статті 42, та інші фінансові ресурси, згадані у пункті 1 цієї статті, повинен за будь-яких обставин дозволяти ЦКА витримувати наслідки неплатоспроможності щонайменше двох учасників клірингу, щодо </w:t>
      </w:r>
      <w:r w:rsidR="00D04F75">
        <w:rPr>
          <w:rFonts w:ascii="Times New Roman" w:eastAsia="Times New Roman" w:hAnsi="Times New Roman" w:cs="Times New Roman"/>
          <w:sz w:val="27"/>
          <w:szCs w:val="27"/>
          <w:lang w:val="uk-UA"/>
        </w:rPr>
        <w:lastRenderedPageBreak/>
        <w:t>яких він має найбільші відкриті позиції, за крайніх, але ймовірних ринкових умов.</w:t>
      </w:r>
    </w:p>
    <w:p w:rsidR="00DE77B0" w:rsidRPr="005D7AC3" w:rsidRDefault="00DE77B0" w:rsidP="000434DF">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D04F75">
        <w:rPr>
          <w:rFonts w:ascii="Times New Roman" w:eastAsia="Times New Roman" w:hAnsi="Times New Roman" w:cs="Times New Roman"/>
          <w:sz w:val="27"/>
          <w:szCs w:val="27"/>
          <w:lang w:val="uk-UA"/>
        </w:rPr>
        <w:t>ЦКА може зажадати від учасників кліринг</w:t>
      </w:r>
      <w:r w:rsidR="00BF6A39">
        <w:rPr>
          <w:rFonts w:ascii="Times New Roman" w:eastAsia="Times New Roman" w:hAnsi="Times New Roman" w:cs="Times New Roman"/>
          <w:sz w:val="27"/>
          <w:szCs w:val="27"/>
          <w:lang w:val="uk-UA"/>
        </w:rPr>
        <w:t>у, які виконують свої зобов’язання, надати додаткові кошти у випадку неплатоспроможності іншого учасника клірингу. Учасники</w:t>
      </w:r>
      <w:r w:rsidR="000434DF" w:rsidRPr="005D7AC3">
        <w:rPr>
          <w:rFonts w:ascii="Times New Roman" w:eastAsia="Times New Roman" w:hAnsi="Times New Roman" w:cs="Times New Roman"/>
          <w:sz w:val="27"/>
          <w:szCs w:val="27"/>
          <w:lang w:val="uk-UA"/>
        </w:rPr>
        <w:t xml:space="preserve"> </w:t>
      </w:r>
      <w:r w:rsidR="000434DF">
        <w:rPr>
          <w:rFonts w:ascii="Times New Roman" w:eastAsia="Times New Roman" w:hAnsi="Times New Roman" w:cs="Times New Roman"/>
          <w:sz w:val="27"/>
          <w:szCs w:val="27"/>
          <w:lang w:val="uk-UA"/>
        </w:rPr>
        <w:t>клірингу ЦКА мають обмежені відкриті позиції щодо</w:t>
      </w:r>
      <w:r w:rsidR="000434DF" w:rsidRPr="005D7AC3">
        <w:rPr>
          <w:rFonts w:ascii="Times New Roman" w:eastAsia="Times New Roman" w:hAnsi="Times New Roman" w:cs="Times New Roman"/>
          <w:sz w:val="27"/>
          <w:szCs w:val="27"/>
          <w:lang w:val="uk-UA"/>
        </w:rPr>
        <w:t xml:space="preserve"> ЦКА.</w:t>
      </w:r>
    </w:p>
    <w:p w:rsidR="00DE77B0" w:rsidRPr="005D7AC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5D7AC3">
        <w:rPr>
          <w:rFonts w:ascii="Times New Roman" w:eastAsia="Times New Roman" w:hAnsi="Times New Roman" w:cs="Times New Roman"/>
          <w:i/>
          <w:iCs/>
          <w:sz w:val="27"/>
          <w:szCs w:val="27"/>
          <w:lang w:val="uk-UA"/>
        </w:rPr>
        <w:t>Стаття</w:t>
      </w:r>
      <w:r w:rsidR="00DE77B0" w:rsidRPr="005D7AC3">
        <w:rPr>
          <w:rFonts w:ascii="Times New Roman" w:eastAsia="Times New Roman" w:hAnsi="Times New Roman" w:cs="Times New Roman"/>
          <w:i/>
          <w:iCs/>
          <w:sz w:val="27"/>
          <w:szCs w:val="27"/>
          <w:lang w:val="uk-UA"/>
        </w:rPr>
        <w:t xml:space="preserve"> 44</w:t>
      </w:r>
    </w:p>
    <w:p w:rsidR="00DE77B0" w:rsidRPr="005D7AC3" w:rsidRDefault="00D0482C"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Контроль за ризиком утрати ліквідності</w:t>
      </w:r>
    </w:p>
    <w:p w:rsidR="00704B7D" w:rsidRPr="00704B7D"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151F59" w:rsidRPr="00704B7D">
        <w:rPr>
          <w:rFonts w:ascii="Times New Roman" w:eastAsia="Times New Roman" w:hAnsi="Times New Roman" w:cs="Times New Roman"/>
          <w:sz w:val="27"/>
          <w:szCs w:val="27"/>
          <w:lang w:val="ru-RU"/>
        </w:rPr>
        <w:t>ЦКА</w:t>
      </w:r>
      <w:r w:rsidRPr="00704B7D">
        <w:rPr>
          <w:rFonts w:ascii="Times New Roman" w:eastAsia="Times New Roman" w:hAnsi="Times New Roman" w:cs="Times New Roman"/>
          <w:sz w:val="27"/>
          <w:szCs w:val="27"/>
          <w:lang w:val="ru-RU"/>
        </w:rPr>
        <w:t xml:space="preserve"> </w:t>
      </w:r>
      <w:r w:rsidR="00704B7D">
        <w:rPr>
          <w:rFonts w:ascii="Times New Roman" w:eastAsia="Times New Roman" w:hAnsi="Times New Roman" w:cs="Times New Roman"/>
          <w:sz w:val="27"/>
          <w:szCs w:val="27"/>
          <w:lang w:val="uk-UA"/>
        </w:rPr>
        <w:t>постійно має доступ до достатнього обсягу ліквідних коштів для надання послуг і ведення діяльності. З цією метою він отримує необхідні кредитні лінії або аналогічні механізми для покриття своїх потреб у ліквідних коштах</w:t>
      </w:r>
      <w:r w:rsidR="001C25EE">
        <w:rPr>
          <w:rFonts w:ascii="Times New Roman" w:eastAsia="Times New Roman" w:hAnsi="Times New Roman" w:cs="Times New Roman"/>
          <w:sz w:val="27"/>
          <w:szCs w:val="27"/>
          <w:lang w:val="uk-UA"/>
        </w:rPr>
        <w:t xml:space="preserve"> у випадку, якщо фінансові ресурси, які він має у своєму розпорядженні, неможливо використати негайно. </w:t>
      </w:r>
      <w:r w:rsidR="00E35759">
        <w:rPr>
          <w:rFonts w:ascii="Times New Roman" w:eastAsia="Times New Roman" w:hAnsi="Times New Roman" w:cs="Times New Roman"/>
          <w:sz w:val="27"/>
          <w:szCs w:val="27"/>
          <w:lang w:val="uk-UA"/>
        </w:rPr>
        <w:t>Учасник клірингу, материнське або дочірнє підприємство цього учаснику клірингу разом не надають більш як 25% кредитних ліній, потрібних ЦКА.</w:t>
      </w:r>
    </w:p>
    <w:p w:rsidR="00DE77B0" w:rsidRPr="005D7AC3" w:rsidRDefault="00151F59" w:rsidP="00E3575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E35759">
        <w:rPr>
          <w:rFonts w:ascii="Times New Roman" w:eastAsia="Times New Roman" w:hAnsi="Times New Roman" w:cs="Times New Roman"/>
          <w:sz w:val="27"/>
          <w:szCs w:val="27"/>
          <w:lang w:val="ru-RU"/>
        </w:rPr>
        <w:t>ЦКА</w:t>
      </w:r>
      <w:r w:rsidR="00DE77B0" w:rsidRPr="00E35759">
        <w:rPr>
          <w:rFonts w:ascii="Times New Roman" w:eastAsia="Times New Roman" w:hAnsi="Times New Roman" w:cs="Times New Roman"/>
          <w:sz w:val="27"/>
          <w:szCs w:val="27"/>
          <w:lang w:val="ru-RU"/>
        </w:rPr>
        <w:t xml:space="preserve"> </w:t>
      </w:r>
      <w:r w:rsidR="00E35759">
        <w:rPr>
          <w:rFonts w:ascii="Times New Roman" w:eastAsia="Times New Roman" w:hAnsi="Times New Roman" w:cs="Times New Roman"/>
          <w:sz w:val="27"/>
          <w:szCs w:val="27"/>
          <w:lang w:val="uk-UA"/>
        </w:rPr>
        <w:t>щоденно вимірює свої потенційні потреби у ліквідних коштах. Він ураховує ризик утрати ліквідності, викликаний неплатоспроможністю щонайменше двох учасників клірингу, щодо яких він має найбільші відкриті позиції.</w:t>
      </w:r>
    </w:p>
    <w:p w:rsidR="006B42E5" w:rsidRDefault="006B42E5" w:rsidP="006B42E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після консультацій з відповідними органами та членами ЄСЦБ розробляє проекти регуляторних технічних стандартів, де зазначає засади управління ризиком утрати ліквідності, який ЦКА повинні витримувати відповідно до пункту 1 цієї статті.</w:t>
      </w:r>
    </w:p>
    <w:p w:rsidR="006B42E5" w:rsidRPr="00A64037" w:rsidRDefault="006B42E5" w:rsidP="006B42E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Е</w:t>
      </w:r>
      <w:r>
        <w:rPr>
          <w:rFonts w:ascii="Times New Roman" w:eastAsia="Times New Roman" w:hAnsi="Times New Roman" w:cs="Times New Roman"/>
          <w:sz w:val="27"/>
          <w:szCs w:val="27"/>
        </w:rPr>
        <w:t>SMA</w:t>
      </w:r>
      <w:r>
        <w:rPr>
          <w:rFonts w:ascii="Times New Roman" w:eastAsia="Times New Roman" w:hAnsi="Times New Roman" w:cs="Times New Roman"/>
          <w:sz w:val="27"/>
          <w:szCs w:val="27"/>
          <w:lang w:val="uk-UA"/>
        </w:rPr>
        <w:t xml:space="preserve"> подає ці проекти регуляторних технічних стандартів Комісії до 30 вересня 2012 р.</w:t>
      </w:r>
    </w:p>
    <w:p w:rsidR="006B42E5" w:rsidRPr="00C95587" w:rsidRDefault="006B42E5" w:rsidP="006B42E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Комісії надається повноваження на прийняття регуляторних технічних стандартів, згаданих у першому абзаці цього пункту, </w:t>
      </w:r>
      <w:r w:rsidRPr="00620DC3">
        <w:rPr>
          <w:rFonts w:ascii="Times New Roman" w:eastAsia="Times New Roman" w:hAnsi="Times New Roman" w:cs="Times New Roman"/>
          <w:sz w:val="27"/>
          <w:szCs w:val="27"/>
          <w:lang w:val="uk-UA"/>
        </w:rPr>
        <w:t xml:space="preserve">відповідно до </w:t>
      </w:r>
      <w:proofErr w:type="spellStart"/>
      <w:r w:rsidRPr="00620DC3">
        <w:rPr>
          <w:rFonts w:ascii="Times New Roman" w:eastAsia="Times New Roman" w:hAnsi="Times New Roman" w:cs="Times New Roman"/>
          <w:sz w:val="27"/>
          <w:szCs w:val="27"/>
          <w:lang w:val="uk-UA"/>
        </w:rPr>
        <w:t>статтей</w:t>
      </w:r>
      <w:proofErr w:type="spellEnd"/>
      <w:r w:rsidRPr="00620DC3">
        <w:rPr>
          <w:rFonts w:ascii="Times New Roman" w:eastAsia="Times New Roman" w:hAnsi="Times New Roman" w:cs="Times New Roman"/>
          <w:sz w:val="27"/>
          <w:szCs w:val="27"/>
          <w:lang w:val="uk-UA"/>
        </w:rPr>
        <w:t xml:space="preserve"> 10-14 Регламенту (</w:t>
      </w:r>
      <w:r>
        <w:rPr>
          <w:rFonts w:ascii="Times New Roman" w:eastAsia="Times New Roman" w:hAnsi="Times New Roman" w:cs="Times New Roman"/>
          <w:sz w:val="27"/>
          <w:szCs w:val="27"/>
        </w:rPr>
        <w:t>EU</w:t>
      </w:r>
      <w:r w:rsidRPr="00620DC3">
        <w:rPr>
          <w:rFonts w:ascii="Times New Roman" w:eastAsia="Times New Roman" w:hAnsi="Times New Roman" w:cs="Times New Roman"/>
          <w:sz w:val="27"/>
          <w:szCs w:val="27"/>
          <w:lang w:val="uk-UA"/>
        </w:rPr>
        <w:t>) №</w:t>
      </w:r>
      <w:r w:rsidRPr="006279CF">
        <w:rPr>
          <w:rFonts w:ascii="Times New Roman" w:eastAsia="Times New Roman" w:hAnsi="Times New Roman" w:cs="Times New Roman"/>
          <w:sz w:val="27"/>
          <w:szCs w:val="27"/>
        </w:rPr>
        <w:t> </w:t>
      </w:r>
      <w:r w:rsidRPr="00620DC3">
        <w:rPr>
          <w:rFonts w:ascii="Times New Roman" w:eastAsia="Times New Roman" w:hAnsi="Times New Roman" w:cs="Times New Roman"/>
          <w:sz w:val="27"/>
          <w:szCs w:val="27"/>
          <w:lang w:val="uk-UA"/>
        </w:rPr>
        <w:t>1095/2010.</w:t>
      </w:r>
    </w:p>
    <w:p w:rsidR="00DE77B0" w:rsidRPr="00B521A4"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B521A4">
        <w:rPr>
          <w:rFonts w:ascii="Times New Roman" w:eastAsia="Times New Roman" w:hAnsi="Times New Roman" w:cs="Times New Roman"/>
          <w:i/>
          <w:iCs/>
          <w:sz w:val="27"/>
          <w:szCs w:val="27"/>
          <w:lang w:val="ru-RU"/>
        </w:rPr>
        <w:t>Стаття</w:t>
      </w:r>
      <w:proofErr w:type="spellEnd"/>
      <w:r w:rsidR="00DE77B0" w:rsidRPr="00B521A4">
        <w:rPr>
          <w:rFonts w:ascii="Times New Roman" w:eastAsia="Times New Roman" w:hAnsi="Times New Roman" w:cs="Times New Roman"/>
          <w:i/>
          <w:iCs/>
          <w:sz w:val="27"/>
          <w:szCs w:val="27"/>
          <w:lang w:val="ru-RU"/>
        </w:rPr>
        <w:t xml:space="preserve"> 45</w:t>
      </w:r>
    </w:p>
    <w:p w:rsidR="00DE77B0" w:rsidRPr="00B521A4" w:rsidRDefault="00B521A4"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Черговість використання коштів у випадку неплатоспроможності</w:t>
      </w:r>
    </w:p>
    <w:p w:rsidR="00DE77B0" w:rsidRPr="007513EB" w:rsidRDefault="00DE77B0" w:rsidP="007513E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B521A4">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B521A4">
        <w:rPr>
          <w:rFonts w:ascii="Times New Roman" w:eastAsia="Times New Roman" w:hAnsi="Times New Roman" w:cs="Times New Roman"/>
          <w:sz w:val="27"/>
          <w:szCs w:val="27"/>
          <w:lang w:val="uk-UA"/>
        </w:rPr>
        <w:t xml:space="preserve">Для покриття збитків ЦКА використовує маржу, </w:t>
      </w:r>
      <w:r w:rsidR="007513EB">
        <w:rPr>
          <w:rFonts w:ascii="Times New Roman" w:eastAsia="Times New Roman" w:hAnsi="Times New Roman" w:cs="Times New Roman"/>
          <w:sz w:val="27"/>
          <w:szCs w:val="27"/>
          <w:lang w:val="uk-UA"/>
        </w:rPr>
        <w:t>перераховану невиправним учасником клірингу, а потім усі інші фінансові ресурси.</w:t>
      </w:r>
    </w:p>
    <w:p w:rsidR="00DE77B0" w:rsidRPr="005D7AC3" w:rsidRDefault="00DE77B0" w:rsidP="007513E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7513EB">
        <w:rPr>
          <w:rFonts w:ascii="Times New Roman" w:eastAsia="Times New Roman" w:hAnsi="Times New Roman" w:cs="Times New Roman"/>
          <w:sz w:val="27"/>
          <w:szCs w:val="27"/>
          <w:lang w:val="ru-RU"/>
        </w:rPr>
        <w:lastRenderedPageBreak/>
        <w:t>2.</w:t>
      </w:r>
      <w:r w:rsidRPr="006279CF">
        <w:rPr>
          <w:rFonts w:ascii="Times New Roman" w:eastAsia="Times New Roman" w:hAnsi="Times New Roman" w:cs="Times New Roman"/>
          <w:sz w:val="27"/>
          <w:szCs w:val="27"/>
        </w:rPr>
        <w:t>   </w:t>
      </w:r>
      <w:r w:rsidR="007513EB">
        <w:rPr>
          <w:rFonts w:ascii="Times New Roman" w:eastAsia="Times New Roman" w:hAnsi="Times New Roman" w:cs="Times New Roman"/>
          <w:sz w:val="27"/>
          <w:szCs w:val="27"/>
          <w:lang w:val="uk-UA"/>
        </w:rPr>
        <w:t>Якщо маржа, перерахована невиправним учасником клірингу, не достатня для покриття збитків, понесених ЦКА, то ЦКА використовує для покриття цих збитків внесок цього невиправного учасника клірингу до гарантійного фонду.</w:t>
      </w:r>
    </w:p>
    <w:p w:rsidR="00DE77B0" w:rsidRPr="005D7AC3" w:rsidRDefault="00DE77B0" w:rsidP="004D438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151F59" w:rsidRPr="005D7AC3">
        <w:rPr>
          <w:rFonts w:ascii="Times New Roman" w:eastAsia="Times New Roman" w:hAnsi="Times New Roman" w:cs="Times New Roman"/>
          <w:sz w:val="27"/>
          <w:szCs w:val="27"/>
          <w:lang w:val="ru-RU"/>
        </w:rPr>
        <w:t>ЦКА</w:t>
      </w:r>
      <w:r w:rsidRPr="005D7AC3">
        <w:rPr>
          <w:rFonts w:ascii="Times New Roman" w:eastAsia="Times New Roman" w:hAnsi="Times New Roman" w:cs="Times New Roman"/>
          <w:sz w:val="27"/>
          <w:szCs w:val="27"/>
          <w:lang w:val="ru-RU"/>
        </w:rPr>
        <w:t xml:space="preserve"> </w:t>
      </w:r>
      <w:r w:rsidR="007513EB">
        <w:rPr>
          <w:rFonts w:ascii="Times New Roman" w:eastAsia="Times New Roman" w:hAnsi="Times New Roman" w:cs="Times New Roman"/>
          <w:sz w:val="27"/>
          <w:szCs w:val="27"/>
          <w:lang w:val="uk-UA"/>
        </w:rPr>
        <w:t xml:space="preserve">використовує внески </w:t>
      </w:r>
      <w:r w:rsidR="004D4383">
        <w:rPr>
          <w:rFonts w:ascii="Times New Roman" w:eastAsia="Times New Roman" w:hAnsi="Times New Roman" w:cs="Times New Roman"/>
          <w:sz w:val="27"/>
          <w:szCs w:val="27"/>
          <w:lang w:val="uk-UA"/>
        </w:rPr>
        <w:t>учасників клірингу, що виконують свої зобов’язання, до гарантійного фонду та всі інші фінансові ресурси, згадані у пункті 1 статті 43, тільки після того, як вичерпані всі внески невиправного учасника клірингу.</w:t>
      </w:r>
    </w:p>
    <w:p w:rsidR="00DE77B0" w:rsidRPr="005D7AC3" w:rsidRDefault="00DE77B0" w:rsidP="00D6397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4D4383">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151F59" w:rsidRPr="004D4383">
        <w:rPr>
          <w:rFonts w:ascii="Times New Roman" w:eastAsia="Times New Roman" w:hAnsi="Times New Roman" w:cs="Times New Roman"/>
          <w:sz w:val="27"/>
          <w:szCs w:val="27"/>
          <w:lang w:val="ru-RU"/>
        </w:rPr>
        <w:t>ЦКА</w:t>
      </w:r>
      <w:r w:rsidRPr="005D7AC3">
        <w:rPr>
          <w:rFonts w:ascii="Times New Roman" w:eastAsia="Times New Roman" w:hAnsi="Times New Roman" w:cs="Times New Roman"/>
          <w:sz w:val="27"/>
          <w:szCs w:val="27"/>
          <w:lang w:val="ru-RU"/>
        </w:rPr>
        <w:t xml:space="preserve"> </w:t>
      </w:r>
      <w:r w:rsidR="004D4383">
        <w:rPr>
          <w:rFonts w:ascii="Times New Roman" w:eastAsia="Times New Roman" w:hAnsi="Times New Roman" w:cs="Times New Roman"/>
          <w:sz w:val="27"/>
          <w:szCs w:val="27"/>
          <w:lang w:val="uk-UA"/>
        </w:rPr>
        <w:t xml:space="preserve">використовує власні цільові ресурси, перш ніж використовувати внески </w:t>
      </w:r>
      <w:r w:rsidR="003A6EFC">
        <w:rPr>
          <w:rFonts w:ascii="Times New Roman" w:eastAsia="Times New Roman" w:hAnsi="Times New Roman" w:cs="Times New Roman"/>
          <w:sz w:val="27"/>
          <w:szCs w:val="27"/>
          <w:lang w:val="uk-UA"/>
        </w:rPr>
        <w:t>учасників клірингу, що виконують свої зобов’язання,</w:t>
      </w:r>
      <w:r w:rsidR="003A6EFC" w:rsidRPr="005D7AC3">
        <w:rPr>
          <w:rFonts w:ascii="Times New Roman" w:eastAsia="Times New Roman" w:hAnsi="Times New Roman" w:cs="Times New Roman"/>
          <w:sz w:val="27"/>
          <w:szCs w:val="27"/>
          <w:lang w:val="ru-RU"/>
        </w:rPr>
        <w:t xml:space="preserve"> </w:t>
      </w:r>
      <w:r w:rsidR="004D4383">
        <w:rPr>
          <w:rFonts w:ascii="Times New Roman" w:eastAsia="Times New Roman" w:hAnsi="Times New Roman" w:cs="Times New Roman"/>
          <w:sz w:val="27"/>
          <w:szCs w:val="27"/>
          <w:lang w:val="uk-UA"/>
        </w:rPr>
        <w:t>до гарантійного фонду</w:t>
      </w:r>
      <w:r w:rsidR="003A6EFC">
        <w:rPr>
          <w:rFonts w:ascii="Times New Roman" w:eastAsia="Times New Roman" w:hAnsi="Times New Roman" w:cs="Times New Roman"/>
          <w:sz w:val="27"/>
          <w:szCs w:val="27"/>
          <w:lang w:val="uk-UA"/>
        </w:rPr>
        <w:t>. ЦКА не використовує маржу, перераховану учасниками клірингу, що виконують свої зобов’язання, для покриття збитків, спричинених неплатоспроможністю</w:t>
      </w:r>
      <w:r w:rsidR="00D63977">
        <w:rPr>
          <w:rFonts w:ascii="Times New Roman" w:eastAsia="Times New Roman" w:hAnsi="Times New Roman" w:cs="Times New Roman"/>
          <w:sz w:val="27"/>
          <w:szCs w:val="27"/>
          <w:lang w:val="uk-UA"/>
        </w:rPr>
        <w:t xml:space="preserve"> іншого учасника клірингу.</w:t>
      </w:r>
    </w:p>
    <w:p w:rsidR="00D63977" w:rsidRDefault="00D63977" w:rsidP="006B42E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5</w:t>
      </w:r>
      <w:r w:rsidR="006B42E5" w:rsidRPr="005D7AC3">
        <w:rPr>
          <w:rFonts w:ascii="Times New Roman" w:eastAsia="Times New Roman" w:hAnsi="Times New Roman" w:cs="Times New Roman"/>
          <w:sz w:val="27"/>
          <w:szCs w:val="27"/>
          <w:lang w:val="ru-RU"/>
        </w:rPr>
        <w:t>.</w:t>
      </w:r>
      <w:r w:rsidR="006B42E5" w:rsidRPr="006279CF">
        <w:rPr>
          <w:rFonts w:ascii="Times New Roman" w:eastAsia="Times New Roman" w:hAnsi="Times New Roman" w:cs="Times New Roman"/>
          <w:sz w:val="27"/>
          <w:szCs w:val="27"/>
        </w:rPr>
        <w:t>   </w:t>
      </w:r>
      <w:r w:rsidR="006B42E5">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sidR="006B42E5">
        <w:rPr>
          <w:rFonts w:ascii="Times New Roman" w:eastAsia="Times New Roman" w:hAnsi="Times New Roman" w:cs="Times New Roman"/>
          <w:sz w:val="27"/>
          <w:szCs w:val="27"/>
        </w:rPr>
        <w:t>ESMA</w:t>
      </w:r>
      <w:r w:rsidR="006B42E5">
        <w:rPr>
          <w:rFonts w:ascii="Times New Roman" w:eastAsia="Times New Roman" w:hAnsi="Times New Roman" w:cs="Times New Roman"/>
          <w:sz w:val="27"/>
          <w:szCs w:val="27"/>
          <w:lang w:val="uk-UA"/>
        </w:rPr>
        <w:t xml:space="preserve"> після консультацій з відповідними </w:t>
      </w:r>
      <w:r>
        <w:rPr>
          <w:rFonts w:ascii="Times New Roman" w:eastAsia="Times New Roman" w:hAnsi="Times New Roman" w:cs="Times New Roman"/>
          <w:sz w:val="27"/>
          <w:szCs w:val="27"/>
          <w:lang w:val="uk-UA"/>
        </w:rPr>
        <w:t xml:space="preserve">компетентними </w:t>
      </w:r>
      <w:r w:rsidR="006B42E5">
        <w:rPr>
          <w:rFonts w:ascii="Times New Roman" w:eastAsia="Times New Roman" w:hAnsi="Times New Roman" w:cs="Times New Roman"/>
          <w:sz w:val="27"/>
          <w:szCs w:val="27"/>
          <w:lang w:val="uk-UA"/>
        </w:rPr>
        <w:t xml:space="preserve">органами та членами ЄСЦБ розробляє проекти регуляторних технічних стандартів, де зазначає </w:t>
      </w:r>
      <w:r>
        <w:rPr>
          <w:rFonts w:ascii="Times New Roman" w:eastAsia="Times New Roman" w:hAnsi="Times New Roman" w:cs="Times New Roman"/>
          <w:sz w:val="27"/>
          <w:szCs w:val="27"/>
          <w:lang w:val="uk-UA"/>
        </w:rPr>
        <w:t>методику розрахунку та підтримання обсягу</w:t>
      </w:r>
      <w:r w:rsidR="008138EA">
        <w:rPr>
          <w:rFonts w:ascii="Times New Roman" w:eastAsia="Times New Roman" w:hAnsi="Times New Roman" w:cs="Times New Roman"/>
          <w:sz w:val="27"/>
          <w:szCs w:val="27"/>
          <w:lang w:val="uk-UA"/>
        </w:rPr>
        <w:t xml:space="preserve"> власних ресурсів ЦКА, що мають застосовуватися згідно з пунктом 4 цієї статті. </w:t>
      </w:r>
    </w:p>
    <w:p w:rsidR="006B42E5" w:rsidRPr="00A64037" w:rsidRDefault="006B42E5" w:rsidP="006B42E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Е</w:t>
      </w:r>
      <w:r>
        <w:rPr>
          <w:rFonts w:ascii="Times New Roman" w:eastAsia="Times New Roman" w:hAnsi="Times New Roman" w:cs="Times New Roman"/>
          <w:sz w:val="27"/>
          <w:szCs w:val="27"/>
        </w:rPr>
        <w:t>SMA</w:t>
      </w:r>
      <w:r>
        <w:rPr>
          <w:rFonts w:ascii="Times New Roman" w:eastAsia="Times New Roman" w:hAnsi="Times New Roman" w:cs="Times New Roman"/>
          <w:sz w:val="27"/>
          <w:szCs w:val="27"/>
          <w:lang w:val="uk-UA"/>
        </w:rPr>
        <w:t xml:space="preserve"> подає ці проекти регуляторних технічних стандартів Комісії до 30 вересня 2012 р.</w:t>
      </w:r>
    </w:p>
    <w:p w:rsidR="006B42E5" w:rsidRPr="00C95587" w:rsidRDefault="006B42E5" w:rsidP="006B42E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Комісії надається повноваження на прийняття регуляторних технічних стандартів, згаданих у першому абзаці цього пункту, </w:t>
      </w:r>
      <w:r w:rsidRPr="00620DC3">
        <w:rPr>
          <w:rFonts w:ascii="Times New Roman" w:eastAsia="Times New Roman" w:hAnsi="Times New Roman" w:cs="Times New Roman"/>
          <w:sz w:val="27"/>
          <w:szCs w:val="27"/>
          <w:lang w:val="uk-UA"/>
        </w:rPr>
        <w:t xml:space="preserve">відповідно до </w:t>
      </w:r>
      <w:proofErr w:type="spellStart"/>
      <w:r w:rsidRPr="00620DC3">
        <w:rPr>
          <w:rFonts w:ascii="Times New Roman" w:eastAsia="Times New Roman" w:hAnsi="Times New Roman" w:cs="Times New Roman"/>
          <w:sz w:val="27"/>
          <w:szCs w:val="27"/>
          <w:lang w:val="uk-UA"/>
        </w:rPr>
        <w:t>статтей</w:t>
      </w:r>
      <w:proofErr w:type="spellEnd"/>
      <w:r w:rsidRPr="00620DC3">
        <w:rPr>
          <w:rFonts w:ascii="Times New Roman" w:eastAsia="Times New Roman" w:hAnsi="Times New Roman" w:cs="Times New Roman"/>
          <w:sz w:val="27"/>
          <w:szCs w:val="27"/>
          <w:lang w:val="uk-UA"/>
        </w:rPr>
        <w:t xml:space="preserve"> 10-14 Регламенту (</w:t>
      </w:r>
      <w:r>
        <w:rPr>
          <w:rFonts w:ascii="Times New Roman" w:eastAsia="Times New Roman" w:hAnsi="Times New Roman" w:cs="Times New Roman"/>
          <w:sz w:val="27"/>
          <w:szCs w:val="27"/>
        </w:rPr>
        <w:t>EU</w:t>
      </w:r>
      <w:r w:rsidRPr="00620DC3">
        <w:rPr>
          <w:rFonts w:ascii="Times New Roman" w:eastAsia="Times New Roman" w:hAnsi="Times New Roman" w:cs="Times New Roman"/>
          <w:sz w:val="27"/>
          <w:szCs w:val="27"/>
          <w:lang w:val="uk-UA"/>
        </w:rPr>
        <w:t>) №</w:t>
      </w:r>
      <w:r w:rsidRPr="006279CF">
        <w:rPr>
          <w:rFonts w:ascii="Times New Roman" w:eastAsia="Times New Roman" w:hAnsi="Times New Roman" w:cs="Times New Roman"/>
          <w:sz w:val="27"/>
          <w:szCs w:val="27"/>
        </w:rPr>
        <w:t> </w:t>
      </w:r>
      <w:r w:rsidRPr="00620DC3">
        <w:rPr>
          <w:rFonts w:ascii="Times New Roman" w:eastAsia="Times New Roman" w:hAnsi="Times New Roman" w:cs="Times New Roman"/>
          <w:sz w:val="27"/>
          <w:szCs w:val="27"/>
          <w:lang w:val="uk-UA"/>
        </w:rPr>
        <w:t>1095/2010.</w:t>
      </w:r>
    </w:p>
    <w:p w:rsidR="00DE77B0" w:rsidRPr="005D7AC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5D7AC3">
        <w:rPr>
          <w:rFonts w:ascii="Times New Roman" w:eastAsia="Times New Roman" w:hAnsi="Times New Roman" w:cs="Times New Roman"/>
          <w:i/>
          <w:iCs/>
          <w:sz w:val="27"/>
          <w:szCs w:val="27"/>
          <w:lang w:val="ru-RU"/>
        </w:rPr>
        <w:t>Стаття</w:t>
      </w:r>
      <w:proofErr w:type="spellEnd"/>
      <w:r w:rsidR="00DE77B0" w:rsidRPr="005D7AC3">
        <w:rPr>
          <w:rFonts w:ascii="Times New Roman" w:eastAsia="Times New Roman" w:hAnsi="Times New Roman" w:cs="Times New Roman"/>
          <w:i/>
          <w:iCs/>
          <w:sz w:val="27"/>
          <w:szCs w:val="27"/>
          <w:lang w:val="ru-RU"/>
        </w:rPr>
        <w:t xml:space="preserve"> 46</w:t>
      </w:r>
    </w:p>
    <w:p w:rsidR="00DE77B0" w:rsidRPr="008138EA" w:rsidRDefault="008138EA"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Вимоги до забезпечення</w:t>
      </w:r>
    </w:p>
    <w:p w:rsidR="00DE77B0" w:rsidRPr="005C6EEB" w:rsidRDefault="00DE77B0" w:rsidP="005C6EEB">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151F59" w:rsidRPr="005D7AC3">
        <w:rPr>
          <w:rFonts w:ascii="Times New Roman" w:eastAsia="Times New Roman" w:hAnsi="Times New Roman" w:cs="Times New Roman"/>
          <w:sz w:val="27"/>
          <w:szCs w:val="27"/>
          <w:lang w:val="ru-RU"/>
        </w:rPr>
        <w:t>ЦКА</w:t>
      </w:r>
      <w:r w:rsidRPr="005D7AC3">
        <w:rPr>
          <w:rFonts w:ascii="Times New Roman" w:eastAsia="Times New Roman" w:hAnsi="Times New Roman" w:cs="Times New Roman"/>
          <w:sz w:val="27"/>
          <w:szCs w:val="27"/>
          <w:lang w:val="ru-RU"/>
        </w:rPr>
        <w:t xml:space="preserve"> </w:t>
      </w:r>
      <w:r w:rsidR="000B7FD7">
        <w:rPr>
          <w:rFonts w:ascii="Times New Roman" w:eastAsia="Times New Roman" w:hAnsi="Times New Roman" w:cs="Times New Roman"/>
          <w:sz w:val="27"/>
          <w:szCs w:val="27"/>
          <w:lang w:val="uk-UA"/>
        </w:rPr>
        <w:t xml:space="preserve">приймає високоліквідне забезпечення з мінімальним кредитним і ринковим ризиком для покриття своїх початкових і поточних зобов’язань перед учасниками клірингу. Для нефінансових контрагентів ЦКА може приймати банківські гарантії, враховуючи такі гарантії при розрахунку своїх зобов’язань перед банком, який є учасником клірингу. ЦКА застосовує відповідні </w:t>
      </w:r>
      <w:r w:rsidR="00A359F8">
        <w:rPr>
          <w:rFonts w:ascii="Times New Roman" w:eastAsia="Times New Roman" w:hAnsi="Times New Roman" w:cs="Times New Roman"/>
          <w:sz w:val="27"/>
          <w:szCs w:val="27"/>
          <w:lang w:val="uk-UA"/>
        </w:rPr>
        <w:t xml:space="preserve">дисконти до вартості активів, які відображають можливість зменшення їхньої вартості впродовж проміжку часу з їхньої останньої переоцінки до моменту, коли вони </w:t>
      </w:r>
      <w:r w:rsidR="005C6EEB">
        <w:rPr>
          <w:rFonts w:ascii="Times New Roman" w:eastAsia="Times New Roman" w:hAnsi="Times New Roman" w:cs="Times New Roman"/>
          <w:sz w:val="27"/>
          <w:szCs w:val="27"/>
          <w:lang w:val="uk-UA"/>
        </w:rPr>
        <w:t>обґрунтовано</w:t>
      </w:r>
      <w:r w:rsidR="00A359F8">
        <w:rPr>
          <w:rFonts w:ascii="Times New Roman" w:eastAsia="Times New Roman" w:hAnsi="Times New Roman" w:cs="Times New Roman"/>
          <w:sz w:val="27"/>
          <w:szCs w:val="27"/>
          <w:lang w:val="uk-UA"/>
        </w:rPr>
        <w:t xml:space="preserve"> можуть вважатися ліквідованими. </w:t>
      </w:r>
      <w:r w:rsidR="005C6EEB">
        <w:rPr>
          <w:rFonts w:ascii="Times New Roman" w:eastAsia="Times New Roman" w:hAnsi="Times New Roman" w:cs="Times New Roman"/>
          <w:sz w:val="27"/>
          <w:szCs w:val="27"/>
          <w:lang w:val="uk-UA"/>
        </w:rPr>
        <w:t>ЦКА враховує ризик утрати ліквідності після неплатоспроможності учасника ринку та ризик концентрації певних активів, що може призвести до встановлення прийнятного забезпечення та відповідних дисконтів.</w:t>
      </w:r>
    </w:p>
    <w:p w:rsidR="00DE77B0" w:rsidRPr="005D7AC3" w:rsidRDefault="00DE77B0" w:rsidP="00053BF1">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5C6EEB">
        <w:rPr>
          <w:rFonts w:ascii="Times New Roman" w:eastAsia="Times New Roman" w:hAnsi="Times New Roman" w:cs="Times New Roman"/>
          <w:sz w:val="27"/>
          <w:szCs w:val="27"/>
          <w:lang w:val="uk-UA"/>
        </w:rPr>
        <w:t>ЦКА може приймати, де це є доречним і достатньо</w:t>
      </w:r>
      <w:r w:rsidR="005C6EEB" w:rsidRPr="005D7AC3">
        <w:rPr>
          <w:rFonts w:ascii="Times New Roman" w:eastAsia="Times New Roman" w:hAnsi="Times New Roman" w:cs="Times New Roman"/>
          <w:sz w:val="27"/>
          <w:szCs w:val="27"/>
          <w:lang w:val="uk-UA"/>
        </w:rPr>
        <w:t xml:space="preserve"> </w:t>
      </w:r>
      <w:r w:rsidR="005C6EEB">
        <w:rPr>
          <w:rFonts w:ascii="Times New Roman" w:eastAsia="Times New Roman" w:hAnsi="Times New Roman" w:cs="Times New Roman"/>
          <w:sz w:val="27"/>
          <w:szCs w:val="27"/>
          <w:lang w:val="uk-UA"/>
        </w:rPr>
        <w:t xml:space="preserve">розважним, </w:t>
      </w:r>
      <w:r w:rsidR="00053BF1" w:rsidRPr="005D7AC3">
        <w:rPr>
          <w:rFonts w:ascii="Times New Roman" w:eastAsia="Times New Roman" w:hAnsi="Times New Roman" w:cs="Times New Roman"/>
          <w:sz w:val="27"/>
          <w:szCs w:val="27"/>
          <w:lang w:val="uk-UA"/>
        </w:rPr>
        <w:t xml:space="preserve">базис контракту на </w:t>
      </w:r>
      <w:r w:rsidR="00053BF1">
        <w:rPr>
          <w:rFonts w:ascii="Times New Roman" w:eastAsia="Times New Roman" w:hAnsi="Times New Roman" w:cs="Times New Roman"/>
          <w:sz w:val="27"/>
          <w:szCs w:val="27"/>
          <w:lang w:val="uk-UA"/>
        </w:rPr>
        <w:t xml:space="preserve">дериватив або фінансовий інструмент, який передбачає </w:t>
      </w:r>
      <w:r w:rsidR="00053BF1">
        <w:rPr>
          <w:rFonts w:ascii="Times New Roman" w:eastAsia="Times New Roman" w:hAnsi="Times New Roman" w:cs="Times New Roman"/>
          <w:sz w:val="27"/>
          <w:szCs w:val="27"/>
          <w:lang w:val="uk-UA"/>
        </w:rPr>
        <w:lastRenderedPageBreak/>
        <w:t>застосування зобов’язань ЦКА як забезпечення, для задоволення своїх вимог до маржі.</w:t>
      </w:r>
    </w:p>
    <w:p w:rsidR="00DE77B0" w:rsidRPr="005D7AC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10286A">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sidR="0010286A">
        <w:rPr>
          <w:rFonts w:ascii="Times New Roman" w:eastAsia="Times New Roman" w:hAnsi="Times New Roman" w:cs="Times New Roman"/>
          <w:sz w:val="27"/>
          <w:szCs w:val="27"/>
        </w:rPr>
        <w:t>ESMA</w:t>
      </w:r>
      <w:r w:rsidR="0010286A">
        <w:rPr>
          <w:rFonts w:ascii="Times New Roman" w:eastAsia="Times New Roman" w:hAnsi="Times New Roman" w:cs="Times New Roman"/>
          <w:sz w:val="27"/>
          <w:szCs w:val="27"/>
          <w:lang w:val="uk-UA"/>
        </w:rPr>
        <w:t xml:space="preserve"> після консультацій з ЕВА, </w:t>
      </w:r>
      <w:r w:rsidR="0010286A">
        <w:rPr>
          <w:rFonts w:ascii="Times New Roman" w:eastAsia="Times New Roman" w:hAnsi="Times New Roman" w:cs="Times New Roman"/>
          <w:sz w:val="27"/>
          <w:szCs w:val="27"/>
        </w:rPr>
        <w:t>ESRB</w:t>
      </w:r>
      <w:r w:rsidR="0010286A">
        <w:rPr>
          <w:rFonts w:ascii="Times New Roman" w:eastAsia="Times New Roman" w:hAnsi="Times New Roman" w:cs="Times New Roman"/>
          <w:sz w:val="27"/>
          <w:szCs w:val="27"/>
          <w:lang w:val="uk-UA"/>
        </w:rPr>
        <w:t xml:space="preserve"> та ЄСЦБ розробляє проекти регуляторних технічних стандартів, де зазначає</w:t>
      </w:r>
      <w:r w:rsidRPr="005D7AC3">
        <w:rPr>
          <w:rFonts w:ascii="Times New Roman" w:eastAsia="Times New Roman" w:hAnsi="Times New Roman" w:cs="Times New Roman"/>
          <w:sz w:val="27"/>
          <w:szCs w:val="27"/>
          <w:lang w:val="uk-UA"/>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10286A" w:rsidP="0010286A">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тип забезпечення, що може вважатися високоліквідним, як-от грошові кошти, золото, державні або високоліквідні корпоративні облігації та забезпечені облігації;</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8963"/>
      </w:tblGrid>
      <w:tr w:rsidR="00763E3E" w:rsidRPr="00113714" w:rsidTr="002A4125">
        <w:tc>
          <w:tcPr>
            <w:tcW w:w="26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47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2A4125" w:rsidRDefault="002A4125" w:rsidP="002A4125">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дисконти, згадані у пункті 1 цієї статті;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5D7AC3" w:rsidRDefault="002A4125" w:rsidP="002A4125">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умови, за яких гарантії комерційних банків можуть прийматися як забезпечення за пунктом 1 цієї статті.</w:t>
            </w:r>
          </w:p>
        </w:tc>
      </w:tr>
    </w:tbl>
    <w:p w:rsidR="006B42E5" w:rsidRPr="00A64037" w:rsidRDefault="006B42E5" w:rsidP="006B42E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Е</w:t>
      </w:r>
      <w:r>
        <w:rPr>
          <w:rFonts w:ascii="Times New Roman" w:eastAsia="Times New Roman" w:hAnsi="Times New Roman" w:cs="Times New Roman"/>
          <w:sz w:val="27"/>
          <w:szCs w:val="27"/>
        </w:rPr>
        <w:t>SMA</w:t>
      </w:r>
      <w:r>
        <w:rPr>
          <w:rFonts w:ascii="Times New Roman" w:eastAsia="Times New Roman" w:hAnsi="Times New Roman" w:cs="Times New Roman"/>
          <w:sz w:val="27"/>
          <w:szCs w:val="27"/>
          <w:lang w:val="uk-UA"/>
        </w:rPr>
        <w:t xml:space="preserve"> подає ці проекти регуляторних технічних стандартів Комісії до 30 вересня 2012 р.</w:t>
      </w:r>
    </w:p>
    <w:p w:rsidR="006B42E5" w:rsidRPr="00C95587" w:rsidRDefault="006B42E5" w:rsidP="006B42E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Комісії надається повноваження на прийняття регуляторних технічних стандартів, згаданих у першому абзаці цього пункту, </w:t>
      </w:r>
      <w:r w:rsidRPr="00620DC3">
        <w:rPr>
          <w:rFonts w:ascii="Times New Roman" w:eastAsia="Times New Roman" w:hAnsi="Times New Roman" w:cs="Times New Roman"/>
          <w:sz w:val="27"/>
          <w:szCs w:val="27"/>
          <w:lang w:val="uk-UA"/>
        </w:rPr>
        <w:t xml:space="preserve">відповідно до </w:t>
      </w:r>
      <w:proofErr w:type="spellStart"/>
      <w:r w:rsidRPr="00620DC3">
        <w:rPr>
          <w:rFonts w:ascii="Times New Roman" w:eastAsia="Times New Roman" w:hAnsi="Times New Roman" w:cs="Times New Roman"/>
          <w:sz w:val="27"/>
          <w:szCs w:val="27"/>
          <w:lang w:val="uk-UA"/>
        </w:rPr>
        <w:t>статтей</w:t>
      </w:r>
      <w:proofErr w:type="spellEnd"/>
      <w:r w:rsidRPr="00620DC3">
        <w:rPr>
          <w:rFonts w:ascii="Times New Roman" w:eastAsia="Times New Roman" w:hAnsi="Times New Roman" w:cs="Times New Roman"/>
          <w:sz w:val="27"/>
          <w:szCs w:val="27"/>
          <w:lang w:val="uk-UA"/>
        </w:rPr>
        <w:t xml:space="preserve"> 10-14 Регламенту (</w:t>
      </w:r>
      <w:r>
        <w:rPr>
          <w:rFonts w:ascii="Times New Roman" w:eastAsia="Times New Roman" w:hAnsi="Times New Roman" w:cs="Times New Roman"/>
          <w:sz w:val="27"/>
          <w:szCs w:val="27"/>
        </w:rPr>
        <w:t>EU</w:t>
      </w:r>
      <w:r w:rsidRPr="00620DC3">
        <w:rPr>
          <w:rFonts w:ascii="Times New Roman" w:eastAsia="Times New Roman" w:hAnsi="Times New Roman" w:cs="Times New Roman"/>
          <w:sz w:val="27"/>
          <w:szCs w:val="27"/>
          <w:lang w:val="uk-UA"/>
        </w:rPr>
        <w:t>) №</w:t>
      </w:r>
      <w:r w:rsidRPr="006279CF">
        <w:rPr>
          <w:rFonts w:ascii="Times New Roman" w:eastAsia="Times New Roman" w:hAnsi="Times New Roman" w:cs="Times New Roman"/>
          <w:sz w:val="27"/>
          <w:szCs w:val="27"/>
        </w:rPr>
        <w:t> </w:t>
      </w:r>
      <w:r w:rsidRPr="00620DC3">
        <w:rPr>
          <w:rFonts w:ascii="Times New Roman" w:eastAsia="Times New Roman" w:hAnsi="Times New Roman" w:cs="Times New Roman"/>
          <w:sz w:val="27"/>
          <w:szCs w:val="27"/>
          <w:lang w:val="uk-UA"/>
        </w:rPr>
        <w:t>1095/2010.</w:t>
      </w:r>
    </w:p>
    <w:p w:rsidR="00DE77B0" w:rsidRPr="005D7AC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5D7AC3">
        <w:rPr>
          <w:rFonts w:ascii="Times New Roman" w:eastAsia="Times New Roman" w:hAnsi="Times New Roman" w:cs="Times New Roman"/>
          <w:i/>
          <w:iCs/>
          <w:sz w:val="27"/>
          <w:szCs w:val="27"/>
          <w:lang w:val="ru-RU"/>
        </w:rPr>
        <w:t>Стаття</w:t>
      </w:r>
      <w:proofErr w:type="spellEnd"/>
      <w:r w:rsidR="00DE77B0" w:rsidRPr="005D7AC3">
        <w:rPr>
          <w:rFonts w:ascii="Times New Roman" w:eastAsia="Times New Roman" w:hAnsi="Times New Roman" w:cs="Times New Roman"/>
          <w:i/>
          <w:iCs/>
          <w:sz w:val="27"/>
          <w:szCs w:val="27"/>
          <w:lang w:val="ru-RU"/>
        </w:rPr>
        <w:t xml:space="preserve"> 47</w:t>
      </w:r>
    </w:p>
    <w:p w:rsidR="00DE77B0" w:rsidRPr="002A5592" w:rsidRDefault="002A5592"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Інвестиційна політика</w:t>
      </w:r>
    </w:p>
    <w:p w:rsidR="00DE77B0" w:rsidRPr="005D7AC3" w:rsidRDefault="00DE77B0" w:rsidP="002A559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151F59" w:rsidRPr="005D7AC3">
        <w:rPr>
          <w:rFonts w:ascii="Times New Roman" w:eastAsia="Times New Roman" w:hAnsi="Times New Roman" w:cs="Times New Roman"/>
          <w:sz w:val="27"/>
          <w:szCs w:val="27"/>
          <w:lang w:val="ru-RU"/>
        </w:rPr>
        <w:t>ЦКА</w:t>
      </w:r>
      <w:r w:rsidRPr="005D7AC3">
        <w:rPr>
          <w:rFonts w:ascii="Times New Roman" w:eastAsia="Times New Roman" w:hAnsi="Times New Roman" w:cs="Times New Roman"/>
          <w:sz w:val="27"/>
          <w:szCs w:val="27"/>
          <w:lang w:val="ru-RU"/>
        </w:rPr>
        <w:t xml:space="preserve"> </w:t>
      </w:r>
      <w:r w:rsidR="002A5592">
        <w:rPr>
          <w:rFonts w:ascii="Times New Roman" w:eastAsia="Times New Roman" w:hAnsi="Times New Roman" w:cs="Times New Roman"/>
          <w:sz w:val="27"/>
          <w:szCs w:val="27"/>
          <w:lang w:val="uk-UA"/>
        </w:rPr>
        <w:t>інвестує свої фінансові ресурси тільки у грошові кошти або у високоліквідні фінансові інструменти з мінімальним ринковим і кредитним ризиком. Інвестиції ЦКА можуть бути швидко ліквідовані з мінімальним негативним впливом на ціни.</w:t>
      </w:r>
    </w:p>
    <w:p w:rsidR="00DE77B0" w:rsidRPr="005D7AC3" w:rsidRDefault="00DE77B0" w:rsidP="009303F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2A5592">
        <w:rPr>
          <w:rFonts w:ascii="Times New Roman" w:eastAsia="Times New Roman" w:hAnsi="Times New Roman" w:cs="Times New Roman"/>
          <w:sz w:val="27"/>
          <w:szCs w:val="27"/>
          <w:lang w:val="uk-UA"/>
        </w:rPr>
        <w:t xml:space="preserve">Сума капіталу, включаючи нерозподілений прибуток і резерви ЦКА, що не інвестовані згідно з пунктом 1 цієї статті, не враховується </w:t>
      </w:r>
      <w:r w:rsidR="009303F7">
        <w:rPr>
          <w:rFonts w:ascii="Times New Roman" w:eastAsia="Times New Roman" w:hAnsi="Times New Roman" w:cs="Times New Roman"/>
          <w:sz w:val="27"/>
          <w:szCs w:val="27"/>
          <w:lang w:val="uk-UA"/>
        </w:rPr>
        <w:t>в цілях статті 16(2) або статті 45(4).</w:t>
      </w:r>
    </w:p>
    <w:p w:rsidR="009303F7" w:rsidRPr="009303F7"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9303F7">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9303F7">
        <w:rPr>
          <w:rFonts w:ascii="Times New Roman" w:eastAsia="Times New Roman" w:hAnsi="Times New Roman" w:cs="Times New Roman"/>
          <w:sz w:val="27"/>
          <w:szCs w:val="27"/>
          <w:lang w:val="uk-UA"/>
        </w:rPr>
        <w:t xml:space="preserve">Фінансові інструменти, надані як маржа або внески у гарантійний фонд, якщо вони наявні, депонуються у операторів систем розрахунків за цінними паперами, які забезпечують повний захист цих фінансових інструментів. Як варіант, можуть використовуватися інші </w:t>
      </w:r>
      <w:proofErr w:type="spellStart"/>
      <w:r w:rsidR="00043107">
        <w:rPr>
          <w:rFonts w:ascii="Times New Roman" w:eastAsia="Times New Roman" w:hAnsi="Times New Roman" w:cs="Times New Roman"/>
          <w:sz w:val="27"/>
          <w:szCs w:val="27"/>
          <w:lang w:val="uk-UA"/>
        </w:rPr>
        <w:t>високо</w:t>
      </w:r>
      <w:r w:rsidR="009303F7">
        <w:rPr>
          <w:rFonts w:ascii="Times New Roman" w:eastAsia="Times New Roman" w:hAnsi="Times New Roman" w:cs="Times New Roman"/>
          <w:sz w:val="27"/>
          <w:szCs w:val="27"/>
          <w:lang w:val="uk-UA"/>
        </w:rPr>
        <w:t>захищені</w:t>
      </w:r>
      <w:proofErr w:type="spellEnd"/>
      <w:r w:rsidR="009303F7">
        <w:rPr>
          <w:rFonts w:ascii="Times New Roman" w:eastAsia="Times New Roman" w:hAnsi="Times New Roman" w:cs="Times New Roman"/>
          <w:sz w:val="27"/>
          <w:szCs w:val="27"/>
          <w:lang w:val="uk-UA"/>
        </w:rPr>
        <w:t xml:space="preserve"> угоди з уповноваженими фінансовими установами.</w:t>
      </w:r>
    </w:p>
    <w:p w:rsidR="00043107" w:rsidRPr="00EC52F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4.</w:t>
      </w:r>
      <w:r w:rsidRPr="006279CF">
        <w:rPr>
          <w:rFonts w:ascii="Times New Roman" w:eastAsia="Times New Roman" w:hAnsi="Times New Roman" w:cs="Times New Roman"/>
          <w:sz w:val="27"/>
          <w:szCs w:val="27"/>
        </w:rPr>
        <w:t>   </w:t>
      </w:r>
      <w:r w:rsidR="00043107">
        <w:rPr>
          <w:rFonts w:ascii="Times New Roman" w:eastAsia="Times New Roman" w:hAnsi="Times New Roman" w:cs="Times New Roman"/>
          <w:sz w:val="27"/>
          <w:szCs w:val="27"/>
          <w:lang w:val="uk-UA"/>
        </w:rPr>
        <w:t xml:space="preserve">Внесення грошових коштів ЦКА може здійснюватися через </w:t>
      </w:r>
      <w:proofErr w:type="spellStart"/>
      <w:r w:rsidR="00043107">
        <w:rPr>
          <w:rFonts w:ascii="Times New Roman" w:eastAsia="Times New Roman" w:hAnsi="Times New Roman" w:cs="Times New Roman"/>
          <w:sz w:val="27"/>
          <w:szCs w:val="27"/>
          <w:lang w:val="uk-UA"/>
        </w:rPr>
        <w:t>високозахищені</w:t>
      </w:r>
      <w:proofErr w:type="spellEnd"/>
      <w:r w:rsidR="00043107">
        <w:rPr>
          <w:rFonts w:ascii="Times New Roman" w:eastAsia="Times New Roman" w:hAnsi="Times New Roman" w:cs="Times New Roman"/>
          <w:sz w:val="27"/>
          <w:szCs w:val="27"/>
          <w:lang w:val="uk-UA"/>
        </w:rPr>
        <w:t xml:space="preserve"> </w:t>
      </w:r>
      <w:r w:rsidR="00EC52F1">
        <w:rPr>
          <w:rFonts w:ascii="Times New Roman" w:eastAsia="Times New Roman" w:hAnsi="Times New Roman" w:cs="Times New Roman"/>
          <w:sz w:val="27"/>
          <w:szCs w:val="27"/>
          <w:lang w:val="uk-UA"/>
        </w:rPr>
        <w:t>угоди з уповноваженими фінансовими установами або, як варіант, шляхом використання довгострокових депозитних механізмів центральних банків чи інших порівнянних засобів, передбачених центральними банками.</w:t>
      </w:r>
    </w:p>
    <w:p w:rsidR="00027A64" w:rsidRPr="00060097"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lastRenderedPageBreak/>
        <w:t>5.</w:t>
      </w:r>
      <w:r w:rsidRPr="006279CF">
        <w:rPr>
          <w:rFonts w:ascii="Times New Roman" w:eastAsia="Times New Roman" w:hAnsi="Times New Roman" w:cs="Times New Roman"/>
          <w:sz w:val="27"/>
          <w:szCs w:val="27"/>
        </w:rPr>
        <w:t>   </w:t>
      </w:r>
      <w:r w:rsidR="00027A64">
        <w:rPr>
          <w:rFonts w:ascii="Times New Roman" w:eastAsia="Times New Roman" w:hAnsi="Times New Roman" w:cs="Times New Roman"/>
          <w:sz w:val="27"/>
          <w:szCs w:val="27"/>
          <w:lang w:val="uk-UA"/>
        </w:rPr>
        <w:t>Якщо ЦКА вносить</w:t>
      </w:r>
      <w:r w:rsidR="00027A64" w:rsidRPr="005D7AC3">
        <w:rPr>
          <w:rFonts w:ascii="Times New Roman" w:eastAsia="Times New Roman" w:hAnsi="Times New Roman" w:cs="Times New Roman"/>
          <w:sz w:val="27"/>
          <w:szCs w:val="27"/>
          <w:lang w:val="uk-UA"/>
        </w:rPr>
        <w:t xml:space="preserve"> </w:t>
      </w:r>
      <w:r w:rsidR="00027A64">
        <w:rPr>
          <w:rFonts w:ascii="Times New Roman" w:eastAsia="Times New Roman" w:hAnsi="Times New Roman" w:cs="Times New Roman"/>
          <w:sz w:val="27"/>
          <w:szCs w:val="27"/>
          <w:lang w:val="uk-UA"/>
        </w:rPr>
        <w:t xml:space="preserve">активи в установу третьої сторони, він забезпечує, щоб активи, що належать учасникам клірингу, можна було відрізнити від активів, що належать ЦКА, і активів, що належать цій третій стороні, за допомогою рахунків під різними назвами у </w:t>
      </w:r>
      <w:r w:rsidR="00060097">
        <w:rPr>
          <w:rFonts w:ascii="Times New Roman" w:eastAsia="Times New Roman" w:hAnsi="Times New Roman" w:cs="Times New Roman"/>
          <w:sz w:val="27"/>
          <w:szCs w:val="27"/>
          <w:lang w:val="uk-UA"/>
        </w:rPr>
        <w:t>системі бухгалтерського обліку цієї третьої сторони або інших еквівалентних заходів, які забезпечують такий самий рівень захисту. ЦКА за потреби має негайний доступ до цих фінансових інструментів.</w:t>
      </w:r>
    </w:p>
    <w:p w:rsidR="00DE77B0" w:rsidRPr="005D7AC3" w:rsidRDefault="00DE77B0" w:rsidP="00060097">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6.</w:t>
      </w:r>
      <w:r w:rsidRPr="006279CF">
        <w:rPr>
          <w:rFonts w:ascii="Times New Roman" w:eastAsia="Times New Roman" w:hAnsi="Times New Roman" w:cs="Times New Roman"/>
          <w:sz w:val="27"/>
          <w:szCs w:val="27"/>
        </w:rPr>
        <w:t>   </w:t>
      </w:r>
      <w:r w:rsidR="00151F59" w:rsidRPr="005D7AC3">
        <w:rPr>
          <w:rFonts w:ascii="Times New Roman" w:eastAsia="Times New Roman" w:hAnsi="Times New Roman" w:cs="Times New Roman"/>
          <w:sz w:val="27"/>
          <w:szCs w:val="27"/>
          <w:lang w:val="uk-UA"/>
        </w:rPr>
        <w:t>ЦКА</w:t>
      </w:r>
      <w:r w:rsidRPr="005D7AC3">
        <w:rPr>
          <w:rFonts w:ascii="Times New Roman" w:eastAsia="Times New Roman" w:hAnsi="Times New Roman" w:cs="Times New Roman"/>
          <w:sz w:val="27"/>
          <w:szCs w:val="27"/>
          <w:lang w:val="uk-UA"/>
        </w:rPr>
        <w:t xml:space="preserve"> </w:t>
      </w:r>
      <w:r w:rsidR="00060097">
        <w:rPr>
          <w:rFonts w:ascii="Times New Roman" w:eastAsia="Times New Roman" w:hAnsi="Times New Roman" w:cs="Times New Roman"/>
          <w:sz w:val="27"/>
          <w:szCs w:val="27"/>
          <w:lang w:val="uk-UA"/>
        </w:rPr>
        <w:t xml:space="preserve">не інвестує свій капітал і суми, що виникають у результаті вимог, викладених у статтях </w:t>
      </w:r>
      <w:r w:rsidRPr="005D7AC3">
        <w:rPr>
          <w:rFonts w:ascii="Times New Roman" w:eastAsia="Times New Roman" w:hAnsi="Times New Roman" w:cs="Times New Roman"/>
          <w:sz w:val="27"/>
          <w:szCs w:val="27"/>
          <w:lang w:val="uk-UA"/>
        </w:rPr>
        <w:t xml:space="preserve">41, 42, 43 </w:t>
      </w:r>
      <w:r w:rsidR="00060097">
        <w:rPr>
          <w:rFonts w:ascii="Times New Roman" w:eastAsia="Times New Roman" w:hAnsi="Times New Roman" w:cs="Times New Roman"/>
          <w:sz w:val="27"/>
          <w:szCs w:val="27"/>
          <w:lang w:val="uk-UA"/>
        </w:rPr>
        <w:t>або</w:t>
      </w:r>
      <w:r w:rsidRPr="005D7AC3">
        <w:rPr>
          <w:rFonts w:ascii="Times New Roman" w:eastAsia="Times New Roman" w:hAnsi="Times New Roman" w:cs="Times New Roman"/>
          <w:sz w:val="27"/>
          <w:szCs w:val="27"/>
          <w:lang w:val="uk-UA"/>
        </w:rPr>
        <w:t xml:space="preserve"> 44</w:t>
      </w:r>
      <w:r w:rsidR="00060097">
        <w:rPr>
          <w:rFonts w:ascii="Times New Roman" w:eastAsia="Times New Roman" w:hAnsi="Times New Roman" w:cs="Times New Roman"/>
          <w:sz w:val="27"/>
          <w:szCs w:val="27"/>
          <w:lang w:val="uk-UA"/>
        </w:rPr>
        <w:t>, у власні цінні папери чи у цінні папери свого материнського підприємства або свого дочірнього підприємства.</w:t>
      </w:r>
    </w:p>
    <w:p w:rsidR="00DE77B0" w:rsidRPr="005D7AC3" w:rsidRDefault="00DE77B0" w:rsidP="005C5B71">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7.</w:t>
      </w:r>
      <w:r w:rsidRPr="006279CF">
        <w:rPr>
          <w:rFonts w:ascii="Times New Roman" w:eastAsia="Times New Roman" w:hAnsi="Times New Roman" w:cs="Times New Roman"/>
          <w:sz w:val="27"/>
          <w:szCs w:val="27"/>
        </w:rPr>
        <w:t>   </w:t>
      </w:r>
      <w:r w:rsidR="00151F59" w:rsidRPr="005D7AC3">
        <w:rPr>
          <w:rFonts w:ascii="Times New Roman" w:eastAsia="Times New Roman" w:hAnsi="Times New Roman" w:cs="Times New Roman"/>
          <w:sz w:val="27"/>
          <w:szCs w:val="27"/>
          <w:lang w:val="uk-UA"/>
        </w:rPr>
        <w:t>ЦКА</w:t>
      </w:r>
      <w:r w:rsidRPr="005D7AC3">
        <w:rPr>
          <w:rFonts w:ascii="Times New Roman" w:eastAsia="Times New Roman" w:hAnsi="Times New Roman" w:cs="Times New Roman"/>
          <w:sz w:val="27"/>
          <w:szCs w:val="27"/>
          <w:lang w:val="uk-UA"/>
        </w:rPr>
        <w:t xml:space="preserve"> </w:t>
      </w:r>
      <w:r w:rsidR="00060097">
        <w:rPr>
          <w:rFonts w:ascii="Times New Roman" w:eastAsia="Times New Roman" w:hAnsi="Times New Roman" w:cs="Times New Roman"/>
          <w:sz w:val="27"/>
          <w:szCs w:val="27"/>
          <w:lang w:val="uk-UA"/>
        </w:rPr>
        <w:t>враховує св</w:t>
      </w:r>
      <w:r w:rsidR="005C5B71">
        <w:rPr>
          <w:rFonts w:ascii="Times New Roman" w:eastAsia="Times New Roman" w:hAnsi="Times New Roman" w:cs="Times New Roman"/>
          <w:sz w:val="27"/>
          <w:szCs w:val="27"/>
          <w:lang w:val="uk-UA"/>
        </w:rPr>
        <w:t>ою</w:t>
      </w:r>
      <w:r w:rsidR="00060097">
        <w:rPr>
          <w:rFonts w:ascii="Times New Roman" w:eastAsia="Times New Roman" w:hAnsi="Times New Roman" w:cs="Times New Roman"/>
          <w:sz w:val="27"/>
          <w:szCs w:val="27"/>
          <w:lang w:val="uk-UA"/>
        </w:rPr>
        <w:t xml:space="preserve"> загал</w:t>
      </w:r>
      <w:r w:rsidR="005C5B71">
        <w:rPr>
          <w:rFonts w:ascii="Times New Roman" w:eastAsia="Times New Roman" w:hAnsi="Times New Roman" w:cs="Times New Roman"/>
          <w:sz w:val="27"/>
          <w:szCs w:val="27"/>
          <w:lang w:val="uk-UA"/>
        </w:rPr>
        <w:t xml:space="preserve">ьну кредитну </w:t>
      </w:r>
      <w:proofErr w:type="spellStart"/>
      <w:r w:rsidR="005C5B71">
        <w:rPr>
          <w:rFonts w:ascii="Times New Roman" w:eastAsia="Times New Roman" w:hAnsi="Times New Roman" w:cs="Times New Roman"/>
          <w:sz w:val="27"/>
          <w:szCs w:val="27"/>
          <w:lang w:val="uk-UA"/>
        </w:rPr>
        <w:t>ризикозалежність</w:t>
      </w:r>
      <w:proofErr w:type="spellEnd"/>
      <w:r w:rsidR="005C5B71">
        <w:rPr>
          <w:rFonts w:ascii="Times New Roman" w:eastAsia="Times New Roman" w:hAnsi="Times New Roman" w:cs="Times New Roman"/>
          <w:sz w:val="27"/>
          <w:szCs w:val="27"/>
          <w:lang w:val="uk-UA"/>
        </w:rPr>
        <w:t xml:space="preserve"> від окремих</w:t>
      </w:r>
      <w:r w:rsidR="005C5B71" w:rsidRPr="005D7AC3">
        <w:rPr>
          <w:rFonts w:ascii="Times New Roman" w:eastAsia="Times New Roman" w:hAnsi="Times New Roman" w:cs="Times New Roman"/>
          <w:sz w:val="27"/>
          <w:szCs w:val="27"/>
          <w:lang w:val="uk-UA"/>
        </w:rPr>
        <w:t xml:space="preserve"> </w:t>
      </w:r>
      <w:r w:rsidR="005C5B71">
        <w:rPr>
          <w:rFonts w:ascii="Times New Roman" w:eastAsia="Times New Roman" w:hAnsi="Times New Roman" w:cs="Times New Roman"/>
          <w:sz w:val="27"/>
          <w:szCs w:val="27"/>
          <w:lang w:val="uk-UA"/>
        </w:rPr>
        <w:t xml:space="preserve">дебіторів при ухваленні ним своїх інвестиційних рішень і забезпечує, що його загальна </w:t>
      </w:r>
      <w:proofErr w:type="spellStart"/>
      <w:r w:rsidR="005C5B71">
        <w:rPr>
          <w:rFonts w:ascii="Times New Roman" w:eastAsia="Times New Roman" w:hAnsi="Times New Roman" w:cs="Times New Roman"/>
          <w:sz w:val="27"/>
          <w:szCs w:val="27"/>
          <w:lang w:val="uk-UA"/>
        </w:rPr>
        <w:t>ризикозалежність</w:t>
      </w:r>
      <w:proofErr w:type="spellEnd"/>
      <w:r w:rsidR="005C5B71">
        <w:rPr>
          <w:rFonts w:ascii="Times New Roman" w:eastAsia="Times New Roman" w:hAnsi="Times New Roman" w:cs="Times New Roman"/>
          <w:sz w:val="27"/>
          <w:szCs w:val="27"/>
          <w:lang w:val="uk-UA"/>
        </w:rPr>
        <w:t xml:space="preserve"> від будь-якого окремого дебітора залишалася у прийнятних межах концентрації.</w:t>
      </w:r>
    </w:p>
    <w:p w:rsidR="00AB4AB8" w:rsidRPr="00AB4AB8" w:rsidRDefault="00AB4AB8" w:rsidP="006B42E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8</w:t>
      </w:r>
      <w:r w:rsidR="006B42E5" w:rsidRPr="005D7AC3">
        <w:rPr>
          <w:rFonts w:ascii="Times New Roman" w:eastAsia="Times New Roman" w:hAnsi="Times New Roman" w:cs="Times New Roman"/>
          <w:sz w:val="27"/>
          <w:szCs w:val="27"/>
          <w:lang w:val="uk-UA"/>
        </w:rPr>
        <w:t>.</w:t>
      </w:r>
      <w:r w:rsidR="006B42E5" w:rsidRPr="006279CF">
        <w:rPr>
          <w:rFonts w:ascii="Times New Roman" w:eastAsia="Times New Roman" w:hAnsi="Times New Roman" w:cs="Times New Roman"/>
          <w:sz w:val="27"/>
          <w:szCs w:val="27"/>
        </w:rPr>
        <w:t>   </w:t>
      </w:r>
      <w:r w:rsidR="00066E60">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sidR="00066E60">
        <w:rPr>
          <w:rFonts w:ascii="Times New Roman" w:eastAsia="Times New Roman" w:hAnsi="Times New Roman" w:cs="Times New Roman"/>
          <w:sz w:val="27"/>
          <w:szCs w:val="27"/>
        </w:rPr>
        <w:t>ESMA</w:t>
      </w:r>
      <w:r w:rsidR="00066E60">
        <w:rPr>
          <w:rFonts w:ascii="Times New Roman" w:eastAsia="Times New Roman" w:hAnsi="Times New Roman" w:cs="Times New Roman"/>
          <w:sz w:val="27"/>
          <w:szCs w:val="27"/>
          <w:lang w:val="uk-UA"/>
        </w:rPr>
        <w:t xml:space="preserve"> після консультацій з ЕВА та ЄСЦБ розробляє проекти регуляторних технічних стандартів, де зазначає</w:t>
      </w:r>
      <w:r w:rsidR="006B42E5">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 xml:space="preserve">фінансові інструменти, що можуть вважатися високоліквідними, такими, що несуть мінімальний кредитний та ринковий ризик, як зазначено у пункті 1 цієї статті, </w:t>
      </w:r>
      <w:proofErr w:type="spellStart"/>
      <w:r>
        <w:rPr>
          <w:rFonts w:ascii="Times New Roman" w:eastAsia="Times New Roman" w:hAnsi="Times New Roman" w:cs="Times New Roman"/>
          <w:sz w:val="27"/>
          <w:szCs w:val="27"/>
          <w:lang w:val="uk-UA"/>
        </w:rPr>
        <w:t>високозахищені</w:t>
      </w:r>
      <w:proofErr w:type="spellEnd"/>
      <w:r>
        <w:rPr>
          <w:rFonts w:ascii="Times New Roman" w:eastAsia="Times New Roman" w:hAnsi="Times New Roman" w:cs="Times New Roman"/>
          <w:sz w:val="27"/>
          <w:szCs w:val="27"/>
          <w:lang w:val="uk-UA"/>
        </w:rPr>
        <w:t xml:space="preserve"> угоди, згадані у пунктах 3 та 4 цієї статті, та межі концентрації, згадані у пункті 7.</w:t>
      </w:r>
    </w:p>
    <w:p w:rsidR="006B42E5" w:rsidRPr="00A64037" w:rsidRDefault="006B42E5" w:rsidP="006B42E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Е</w:t>
      </w:r>
      <w:r>
        <w:rPr>
          <w:rFonts w:ascii="Times New Roman" w:eastAsia="Times New Roman" w:hAnsi="Times New Roman" w:cs="Times New Roman"/>
          <w:sz w:val="27"/>
          <w:szCs w:val="27"/>
        </w:rPr>
        <w:t>SMA</w:t>
      </w:r>
      <w:r>
        <w:rPr>
          <w:rFonts w:ascii="Times New Roman" w:eastAsia="Times New Roman" w:hAnsi="Times New Roman" w:cs="Times New Roman"/>
          <w:sz w:val="27"/>
          <w:szCs w:val="27"/>
          <w:lang w:val="uk-UA"/>
        </w:rPr>
        <w:t xml:space="preserve"> подає ці проекти регуляторних технічних стандартів Комісії до 30 вересня 2012 р.</w:t>
      </w:r>
    </w:p>
    <w:p w:rsidR="006B42E5" w:rsidRPr="00C95587" w:rsidRDefault="00BF59AF" w:rsidP="006B42E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Комісії надається повноваження на прийняття регуляторних технічних стандартів, згаданих у першому абзаці цього пункту, </w:t>
      </w:r>
      <w:r w:rsidRPr="00620DC3">
        <w:rPr>
          <w:rFonts w:ascii="Times New Roman" w:eastAsia="Times New Roman" w:hAnsi="Times New Roman" w:cs="Times New Roman"/>
          <w:sz w:val="27"/>
          <w:szCs w:val="27"/>
          <w:lang w:val="uk-UA"/>
        </w:rPr>
        <w:t xml:space="preserve">відповідно до </w:t>
      </w:r>
      <w:proofErr w:type="spellStart"/>
      <w:r w:rsidRPr="00620DC3">
        <w:rPr>
          <w:rFonts w:ascii="Times New Roman" w:eastAsia="Times New Roman" w:hAnsi="Times New Roman" w:cs="Times New Roman"/>
          <w:sz w:val="27"/>
          <w:szCs w:val="27"/>
          <w:lang w:val="uk-UA"/>
        </w:rPr>
        <w:t>статтей</w:t>
      </w:r>
      <w:proofErr w:type="spellEnd"/>
      <w:r w:rsidRPr="00620DC3">
        <w:rPr>
          <w:rFonts w:ascii="Times New Roman" w:eastAsia="Times New Roman" w:hAnsi="Times New Roman" w:cs="Times New Roman"/>
          <w:sz w:val="27"/>
          <w:szCs w:val="27"/>
          <w:lang w:val="uk-UA"/>
        </w:rPr>
        <w:t xml:space="preserve"> 10-14 Регламенту (</w:t>
      </w:r>
      <w:r>
        <w:rPr>
          <w:rFonts w:ascii="Times New Roman" w:eastAsia="Times New Roman" w:hAnsi="Times New Roman" w:cs="Times New Roman"/>
          <w:sz w:val="27"/>
          <w:szCs w:val="27"/>
        </w:rPr>
        <w:t>EU</w:t>
      </w:r>
      <w:r w:rsidRPr="00620DC3">
        <w:rPr>
          <w:rFonts w:ascii="Times New Roman" w:eastAsia="Times New Roman" w:hAnsi="Times New Roman" w:cs="Times New Roman"/>
          <w:sz w:val="27"/>
          <w:szCs w:val="27"/>
          <w:lang w:val="uk-UA"/>
        </w:rPr>
        <w:t>) №</w:t>
      </w:r>
      <w:r w:rsidRPr="006279CF">
        <w:rPr>
          <w:rFonts w:ascii="Times New Roman" w:eastAsia="Times New Roman" w:hAnsi="Times New Roman" w:cs="Times New Roman"/>
          <w:sz w:val="27"/>
          <w:szCs w:val="27"/>
        </w:rPr>
        <w:t> </w:t>
      </w:r>
      <w:r w:rsidRPr="00620DC3">
        <w:rPr>
          <w:rFonts w:ascii="Times New Roman" w:eastAsia="Times New Roman" w:hAnsi="Times New Roman" w:cs="Times New Roman"/>
          <w:sz w:val="27"/>
          <w:szCs w:val="27"/>
          <w:lang w:val="uk-UA"/>
        </w:rPr>
        <w:t>1095/2010.</w:t>
      </w:r>
    </w:p>
    <w:p w:rsidR="00DE77B0" w:rsidRPr="005D7AC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5D7AC3">
        <w:rPr>
          <w:rFonts w:ascii="Times New Roman" w:eastAsia="Times New Roman" w:hAnsi="Times New Roman" w:cs="Times New Roman"/>
          <w:i/>
          <w:iCs/>
          <w:sz w:val="27"/>
          <w:szCs w:val="27"/>
          <w:lang w:val="ru-RU"/>
        </w:rPr>
        <w:t>Стаття</w:t>
      </w:r>
      <w:proofErr w:type="spellEnd"/>
      <w:r w:rsidR="00DE77B0" w:rsidRPr="005D7AC3">
        <w:rPr>
          <w:rFonts w:ascii="Times New Roman" w:eastAsia="Times New Roman" w:hAnsi="Times New Roman" w:cs="Times New Roman"/>
          <w:i/>
          <w:iCs/>
          <w:sz w:val="27"/>
          <w:szCs w:val="27"/>
          <w:lang w:val="ru-RU"/>
        </w:rPr>
        <w:t xml:space="preserve"> 48</w:t>
      </w:r>
    </w:p>
    <w:p w:rsidR="00DE77B0" w:rsidRPr="00784F60" w:rsidRDefault="00784F60"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 xml:space="preserve">Процедури встановлення </w:t>
      </w:r>
      <w:r w:rsidR="00C426F3">
        <w:rPr>
          <w:rFonts w:ascii="Times New Roman" w:eastAsia="Times New Roman" w:hAnsi="Times New Roman" w:cs="Times New Roman"/>
          <w:b/>
          <w:bCs/>
          <w:sz w:val="27"/>
          <w:szCs w:val="27"/>
          <w:lang w:val="uk-UA"/>
        </w:rPr>
        <w:t>неплатоспроможності</w:t>
      </w:r>
    </w:p>
    <w:p w:rsidR="00784F60" w:rsidRPr="005D6FCE"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151F59" w:rsidRPr="00784F60">
        <w:rPr>
          <w:rFonts w:ascii="Times New Roman" w:eastAsia="Times New Roman" w:hAnsi="Times New Roman" w:cs="Times New Roman"/>
          <w:sz w:val="27"/>
          <w:szCs w:val="27"/>
          <w:lang w:val="ru-RU"/>
        </w:rPr>
        <w:t>ЦКА</w:t>
      </w:r>
      <w:r w:rsidRPr="00784F60">
        <w:rPr>
          <w:rFonts w:ascii="Times New Roman" w:eastAsia="Times New Roman" w:hAnsi="Times New Roman" w:cs="Times New Roman"/>
          <w:sz w:val="27"/>
          <w:szCs w:val="27"/>
          <w:lang w:val="ru-RU"/>
        </w:rPr>
        <w:t xml:space="preserve"> </w:t>
      </w:r>
      <w:r w:rsidR="00784F60">
        <w:rPr>
          <w:rFonts w:ascii="Times New Roman" w:eastAsia="Times New Roman" w:hAnsi="Times New Roman" w:cs="Times New Roman"/>
          <w:sz w:val="27"/>
          <w:szCs w:val="27"/>
          <w:lang w:val="uk-UA"/>
        </w:rPr>
        <w:t>запроваджує детальні процедури, яких необхідно дотримуватися, якщо учасник клірингу не виконав вимог до участі у ЦКА, викладених у статті 37, у строк т</w:t>
      </w:r>
      <w:r w:rsidR="000600F8">
        <w:rPr>
          <w:rFonts w:ascii="Times New Roman" w:eastAsia="Times New Roman" w:hAnsi="Times New Roman" w:cs="Times New Roman"/>
          <w:sz w:val="27"/>
          <w:szCs w:val="27"/>
          <w:lang w:val="uk-UA"/>
        </w:rPr>
        <w:t>а у порядку, встановленому ЦКА. ЦКА встановлює детальні процедури, яких необхідн</w:t>
      </w:r>
      <w:r w:rsidR="00332278">
        <w:rPr>
          <w:rFonts w:ascii="Times New Roman" w:eastAsia="Times New Roman" w:hAnsi="Times New Roman" w:cs="Times New Roman"/>
          <w:sz w:val="27"/>
          <w:szCs w:val="27"/>
          <w:lang w:val="uk-UA"/>
        </w:rPr>
        <w:t xml:space="preserve">о дотримуватися у випадку, якщо про </w:t>
      </w:r>
      <w:r w:rsidR="00C426F3">
        <w:rPr>
          <w:rFonts w:ascii="Times New Roman" w:eastAsia="Times New Roman" w:hAnsi="Times New Roman" w:cs="Times New Roman"/>
          <w:sz w:val="27"/>
          <w:szCs w:val="27"/>
          <w:lang w:val="uk-UA"/>
        </w:rPr>
        <w:t>неплатоспроможність</w:t>
      </w:r>
      <w:r w:rsidR="00332278">
        <w:rPr>
          <w:rFonts w:ascii="Times New Roman" w:eastAsia="Times New Roman" w:hAnsi="Times New Roman" w:cs="Times New Roman"/>
          <w:sz w:val="27"/>
          <w:szCs w:val="27"/>
          <w:lang w:val="uk-UA"/>
        </w:rPr>
        <w:t xml:space="preserve"> учасника клірингу заявив не ЦКА. Ці процедури підлягають щорічному перегляду.</w:t>
      </w:r>
    </w:p>
    <w:p w:rsidR="00DE77B0" w:rsidRPr="005D7AC3" w:rsidRDefault="00DE77B0" w:rsidP="00C426F3">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151F59" w:rsidRPr="005D7AC3">
        <w:rPr>
          <w:rFonts w:ascii="Times New Roman" w:eastAsia="Times New Roman" w:hAnsi="Times New Roman" w:cs="Times New Roman"/>
          <w:sz w:val="27"/>
          <w:szCs w:val="27"/>
          <w:lang w:val="uk-UA"/>
        </w:rPr>
        <w:t>ЦКА</w:t>
      </w:r>
      <w:r w:rsidRPr="005D7AC3">
        <w:rPr>
          <w:rFonts w:ascii="Times New Roman" w:eastAsia="Times New Roman" w:hAnsi="Times New Roman" w:cs="Times New Roman"/>
          <w:sz w:val="27"/>
          <w:szCs w:val="27"/>
          <w:lang w:val="uk-UA"/>
        </w:rPr>
        <w:t xml:space="preserve"> </w:t>
      </w:r>
      <w:r w:rsidR="00C426F3">
        <w:rPr>
          <w:rFonts w:ascii="Times New Roman" w:eastAsia="Times New Roman" w:hAnsi="Times New Roman" w:cs="Times New Roman"/>
          <w:sz w:val="27"/>
          <w:szCs w:val="27"/>
          <w:lang w:val="uk-UA"/>
        </w:rPr>
        <w:t>невідкладно вживає заходів для зменшення збитків і тиску на ліквідність у результаті неплатоспроможності учасника клірингу, а також забезпечує, щоб закриття всіх позицій учасника клірингу не порушувало його діяльність і не наражало учасників клірингу, що виконують свої зобов’язання, на збитки, котрі вони не можуть передбачити або контролювати</w:t>
      </w:r>
    </w:p>
    <w:p w:rsidR="00C426F3" w:rsidRPr="00F54C6B"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lastRenderedPageBreak/>
        <w:t>3.</w:t>
      </w:r>
      <w:r w:rsidRPr="006279CF">
        <w:rPr>
          <w:rFonts w:ascii="Times New Roman" w:eastAsia="Times New Roman" w:hAnsi="Times New Roman" w:cs="Times New Roman"/>
          <w:sz w:val="27"/>
          <w:szCs w:val="27"/>
        </w:rPr>
        <w:t>   </w:t>
      </w:r>
      <w:r w:rsidR="00C426F3">
        <w:rPr>
          <w:rFonts w:ascii="Times New Roman" w:eastAsia="Times New Roman" w:hAnsi="Times New Roman" w:cs="Times New Roman"/>
          <w:sz w:val="27"/>
          <w:szCs w:val="27"/>
          <w:lang w:val="uk-UA"/>
        </w:rPr>
        <w:t>Якщо ЦКА вважає, що учасник клірингу не зможе виконати свої зобов’язання у майбутньому, він невідкладно інформує компетентний орган</w:t>
      </w:r>
      <w:r w:rsidR="00F54C6B">
        <w:rPr>
          <w:rFonts w:ascii="Times New Roman" w:eastAsia="Times New Roman" w:hAnsi="Times New Roman" w:cs="Times New Roman"/>
          <w:sz w:val="27"/>
          <w:szCs w:val="27"/>
          <w:lang w:val="uk-UA"/>
        </w:rPr>
        <w:t xml:space="preserve">, перш ніж буде оголошено або ініційовано процедуру встановлення неплатоспроможності. Компетентний орган невідкладно доводить цю інформацію до відома </w:t>
      </w:r>
      <w:r w:rsidR="00F54C6B">
        <w:rPr>
          <w:rFonts w:ascii="Times New Roman" w:eastAsia="Times New Roman" w:hAnsi="Times New Roman" w:cs="Times New Roman"/>
          <w:sz w:val="27"/>
          <w:szCs w:val="27"/>
        </w:rPr>
        <w:t>ESMA</w:t>
      </w:r>
      <w:r w:rsidR="00F54C6B">
        <w:rPr>
          <w:rFonts w:ascii="Times New Roman" w:eastAsia="Times New Roman" w:hAnsi="Times New Roman" w:cs="Times New Roman"/>
          <w:sz w:val="27"/>
          <w:szCs w:val="27"/>
          <w:lang w:val="uk-UA"/>
        </w:rPr>
        <w:t>, відповідних членів ЄСЦБ і органу, відповідальному за нагляд за діяльністю неплатоспроможного учасника клірингу.</w:t>
      </w:r>
    </w:p>
    <w:p w:rsidR="00DE77B0" w:rsidRPr="009C75A4" w:rsidRDefault="00DE77B0" w:rsidP="009C75A4">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1C493C">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151F59" w:rsidRPr="001C493C">
        <w:rPr>
          <w:rFonts w:ascii="Times New Roman" w:eastAsia="Times New Roman" w:hAnsi="Times New Roman" w:cs="Times New Roman"/>
          <w:sz w:val="27"/>
          <w:szCs w:val="27"/>
          <w:lang w:val="ru-RU"/>
        </w:rPr>
        <w:t>ЦКА</w:t>
      </w:r>
      <w:r w:rsidRPr="001C493C">
        <w:rPr>
          <w:rFonts w:ascii="Times New Roman" w:eastAsia="Times New Roman" w:hAnsi="Times New Roman" w:cs="Times New Roman"/>
          <w:sz w:val="27"/>
          <w:szCs w:val="27"/>
          <w:lang w:val="ru-RU"/>
        </w:rPr>
        <w:t xml:space="preserve"> </w:t>
      </w:r>
      <w:r w:rsidR="001C493C">
        <w:rPr>
          <w:rFonts w:ascii="Times New Roman" w:eastAsia="Times New Roman" w:hAnsi="Times New Roman" w:cs="Times New Roman"/>
          <w:sz w:val="27"/>
          <w:szCs w:val="27"/>
          <w:lang w:val="uk-UA"/>
        </w:rPr>
        <w:t>перевіряє, щоб передбачені у нього процедури встановлення неплатоспроможності могли бути примусово виконані.</w:t>
      </w:r>
      <w:r w:rsidR="009C75A4">
        <w:rPr>
          <w:rFonts w:ascii="Times New Roman" w:eastAsia="Times New Roman" w:hAnsi="Times New Roman" w:cs="Times New Roman"/>
          <w:sz w:val="27"/>
          <w:szCs w:val="27"/>
          <w:lang w:val="uk-UA"/>
        </w:rPr>
        <w:t xml:space="preserve"> Він уживає всіх доречних заходів для забезпечення наявності у нього юридичних повноважень на ліквідацію власних позицій неплатоспроможного учасника клірингу і на передачу чи ліквідацію позиції клієнтів неплатоспроможного учасника клірингу</w:t>
      </w:r>
      <w:r w:rsidRPr="009C75A4">
        <w:rPr>
          <w:rFonts w:ascii="Times New Roman" w:eastAsia="Times New Roman" w:hAnsi="Times New Roman" w:cs="Times New Roman"/>
          <w:sz w:val="27"/>
          <w:szCs w:val="27"/>
          <w:lang w:val="uk-UA"/>
        </w:rPr>
        <w:t>.</w:t>
      </w:r>
    </w:p>
    <w:p w:rsidR="00FA1489" w:rsidRPr="00FA1489" w:rsidRDefault="00FA1489" w:rsidP="00FA148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A1489">
        <w:rPr>
          <w:rFonts w:ascii="Times New Roman" w:eastAsia="Times New Roman" w:hAnsi="Times New Roman" w:cs="Times New Roman"/>
          <w:sz w:val="27"/>
          <w:szCs w:val="27"/>
          <w:lang w:val="uk-UA"/>
        </w:rPr>
        <w:t>5.</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Якщо активи та позиції обліковуються на рахунках і у звітності ЦКА як такі, що </w:t>
      </w:r>
      <w:r w:rsidR="00C43AAE">
        <w:rPr>
          <w:rFonts w:ascii="Times New Roman" w:eastAsia="Times New Roman" w:hAnsi="Times New Roman" w:cs="Times New Roman"/>
          <w:sz w:val="27"/>
          <w:szCs w:val="27"/>
          <w:lang w:val="uk-UA"/>
        </w:rPr>
        <w:t>утримуються</w:t>
      </w:r>
      <w:r>
        <w:rPr>
          <w:rFonts w:ascii="Times New Roman" w:eastAsia="Times New Roman" w:hAnsi="Times New Roman" w:cs="Times New Roman"/>
          <w:sz w:val="27"/>
          <w:szCs w:val="27"/>
          <w:lang w:val="uk-UA"/>
        </w:rPr>
        <w:t xml:space="preserve"> на рахунку клієнтів неплатоспроможного учасника клірингу відповідно до статті 39(2), то ЦКА, як мінімум, зобов’язується на договірних засадах ініціювати процедури передачі активів і позицій, що знаходяться у неплатоспроможного учасника клірингу на користь його клієнтів, іншому учаснику клірингу, зазначеному всіма його клієнтами, на їхню вимогу та без згоди неплатоспроможного учасника клірингу. Цей інший учасник клірингу зобов’язаний прийняти ці активи та позиції тільки за умови, що він раніше встановив договірні відносини з клієнтами, згідно з якими він зобов’язався це зробити. Якщо передача цьому іншому учаснику клірингу з якоїсь причини не відбулася в установлені строки, зазначені у його операційних правилах, то ЦКА може вжити всіх заходів, дозволених його правилами, для активного управління своїми ризиками по відношенню до цих позицій, включаючи ліквідацію активів та позицій, що знаходяться у неплатоспроможного учасника клірингу на користь його клієнтів.</w:t>
      </w:r>
    </w:p>
    <w:p w:rsidR="00FA1489" w:rsidRPr="00FA1489" w:rsidRDefault="00FA1489" w:rsidP="00FA148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6</w:t>
      </w:r>
      <w:r w:rsidRPr="00FA1489">
        <w:rPr>
          <w:rFonts w:ascii="Times New Roman" w:eastAsia="Times New Roman" w:hAnsi="Times New Roman" w:cs="Times New Roman"/>
          <w:sz w:val="27"/>
          <w:szCs w:val="27"/>
          <w:lang w:val="ru-RU"/>
        </w:rPr>
        <w:t>.</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Якщо активи та позиції обліковуються на рахунках і у звітності ЦКА як такі, що </w:t>
      </w:r>
      <w:r w:rsidR="0034216D">
        <w:rPr>
          <w:rFonts w:ascii="Times New Roman" w:eastAsia="Times New Roman" w:hAnsi="Times New Roman" w:cs="Times New Roman"/>
          <w:sz w:val="27"/>
          <w:szCs w:val="27"/>
          <w:lang w:val="uk-UA"/>
        </w:rPr>
        <w:t>утримуються</w:t>
      </w:r>
      <w:r>
        <w:rPr>
          <w:rFonts w:ascii="Times New Roman" w:eastAsia="Times New Roman" w:hAnsi="Times New Roman" w:cs="Times New Roman"/>
          <w:sz w:val="27"/>
          <w:szCs w:val="27"/>
          <w:lang w:val="uk-UA"/>
        </w:rPr>
        <w:t xml:space="preserve"> на рахунку клієнта неплатоспроможного учасника клірингу відповідно до статті 39(3), то ЦКА, як мінімум, зобов’язується на договірних засадах ініціювати процедури передачі активів і позицій, що знаходяться у неплатоспроможного учасника клірингу на користь його клієнтів, іншому учаснику клірингу, зазначеному вищезгаданим клієнтом</w:t>
      </w:r>
      <w:r w:rsidR="00C43AAE">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 xml:space="preserve">на вимогу </w:t>
      </w:r>
      <w:r w:rsidR="00C43AAE">
        <w:rPr>
          <w:rFonts w:ascii="Times New Roman" w:eastAsia="Times New Roman" w:hAnsi="Times New Roman" w:cs="Times New Roman"/>
          <w:sz w:val="27"/>
          <w:szCs w:val="27"/>
          <w:lang w:val="uk-UA"/>
        </w:rPr>
        <w:t xml:space="preserve">цього клієнта </w:t>
      </w:r>
      <w:r>
        <w:rPr>
          <w:rFonts w:ascii="Times New Roman" w:eastAsia="Times New Roman" w:hAnsi="Times New Roman" w:cs="Times New Roman"/>
          <w:sz w:val="27"/>
          <w:szCs w:val="27"/>
          <w:lang w:val="uk-UA"/>
        </w:rPr>
        <w:t>та без згоди неплатоспроможного учасника клірингу. Цей інший учасник клірингу зобов’язаний прийняти ці активи та позиції тільки за умови, що він раніше встановив договірні відносини з клієнт</w:t>
      </w:r>
      <w:r w:rsidR="00C43AAE">
        <w:rPr>
          <w:rFonts w:ascii="Times New Roman" w:eastAsia="Times New Roman" w:hAnsi="Times New Roman" w:cs="Times New Roman"/>
          <w:sz w:val="27"/>
          <w:szCs w:val="27"/>
          <w:lang w:val="uk-UA"/>
        </w:rPr>
        <w:t>ом</w:t>
      </w:r>
      <w:r>
        <w:rPr>
          <w:rFonts w:ascii="Times New Roman" w:eastAsia="Times New Roman" w:hAnsi="Times New Roman" w:cs="Times New Roman"/>
          <w:sz w:val="27"/>
          <w:szCs w:val="27"/>
          <w:lang w:val="uk-UA"/>
        </w:rPr>
        <w:t xml:space="preserve">, згідно з якими він зобов’язався це зробити. Якщо передача цьому іншому учаснику клірингу з якоїсь причини не відбулася в установлені строки, зазначені у його операційних правилах, то ЦКА може вжити всіх заходів, дозволених його правилами, для </w:t>
      </w:r>
      <w:r>
        <w:rPr>
          <w:rFonts w:ascii="Times New Roman" w:eastAsia="Times New Roman" w:hAnsi="Times New Roman" w:cs="Times New Roman"/>
          <w:sz w:val="27"/>
          <w:szCs w:val="27"/>
          <w:lang w:val="uk-UA"/>
        </w:rPr>
        <w:lastRenderedPageBreak/>
        <w:t xml:space="preserve">активного управління своїми ризиками по відношенню до цих позицій, включаючи ліквідацію активів та позицій, що знаходяться у неплатоспроможного учасника клірингу на користь </w:t>
      </w:r>
      <w:r w:rsidR="00C43AAE">
        <w:rPr>
          <w:rFonts w:ascii="Times New Roman" w:eastAsia="Times New Roman" w:hAnsi="Times New Roman" w:cs="Times New Roman"/>
          <w:sz w:val="27"/>
          <w:szCs w:val="27"/>
          <w:lang w:val="uk-UA"/>
        </w:rPr>
        <w:t>вищезгаданого клієнта.</w:t>
      </w:r>
    </w:p>
    <w:p w:rsidR="00C43AAE" w:rsidRPr="0034216D" w:rsidRDefault="00DE77B0" w:rsidP="00C43AAE">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ru-RU"/>
        </w:rPr>
        <w:t>7.</w:t>
      </w:r>
      <w:r w:rsidRPr="006279CF">
        <w:rPr>
          <w:rFonts w:ascii="Times New Roman" w:eastAsia="Times New Roman" w:hAnsi="Times New Roman" w:cs="Times New Roman"/>
          <w:sz w:val="27"/>
          <w:szCs w:val="27"/>
        </w:rPr>
        <w:t>   </w:t>
      </w:r>
      <w:r w:rsidR="00C43AAE">
        <w:rPr>
          <w:rFonts w:ascii="Times New Roman" w:eastAsia="Times New Roman" w:hAnsi="Times New Roman" w:cs="Times New Roman"/>
          <w:sz w:val="27"/>
          <w:szCs w:val="27"/>
          <w:lang w:val="uk-UA"/>
        </w:rPr>
        <w:t xml:space="preserve">Забезпечення клієнтів, що розрізняється </w:t>
      </w:r>
      <w:proofErr w:type="spellStart"/>
      <w:r w:rsidR="001842E4" w:rsidRPr="00C43AAE">
        <w:rPr>
          <w:rFonts w:ascii="Times New Roman" w:eastAsia="Times New Roman" w:hAnsi="Times New Roman" w:cs="Times New Roman"/>
          <w:sz w:val="27"/>
          <w:szCs w:val="27"/>
          <w:lang w:val="ru-RU"/>
        </w:rPr>
        <w:t>відповідно</w:t>
      </w:r>
      <w:proofErr w:type="spellEnd"/>
      <w:r w:rsidR="001842E4" w:rsidRPr="00C43AAE">
        <w:rPr>
          <w:rFonts w:ascii="Times New Roman" w:eastAsia="Times New Roman" w:hAnsi="Times New Roman" w:cs="Times New Roman"/>
          <w:sz w:val="27"/>
          <w:szCs w:val="27"/>
          <w:lang w:val="ru-RU"/>
        </w:rPr>
        <w:t xml:space="preserve"> до </w:t>
      </w:r>
      <w:proofErr w:type="spellStart"/>
      <w:r w:rsidR="001842E4" w:rsidRPr="00C43AAE">
        <w:rPr>
          <w:rFonts w:ascii="Times New Roman" w:eastAsia="Times New Roman" w:hAnsi="Times New Roman" w:cs="Times New Roman"/>
          <w:sz w:val="27"/>
          <w:szCs w:val="27"/>
          <w:lang w:val="ru-RU"/>
        </w:rPr>
        <w:t>статті</w:t>
      </w:r>
      <w:proofErr w:type="spellEnd"/>
      <w:r w:rsidRPr="00C43AAE">
        <w:rPr>
          <w:rFonts w:ascii="Times New Roman" w:eastAsia="Times New Roman" w:hAnsi="Times New Roman" w:cs="Times New Roman"/>
          <w:sz w:val="27"/>
          <w:szCs w:val="27"/>
          <w:lang w:val="ru-RU"/>
        </w:rPr>
        <w:t xml:space="preserve"> 39(2) </w:t>
      </w:r>
      <w:r w:rsidR="00C43AAE">
        <w:rPr>
          <w:rFonts w:ascii="Times New Roman" w:eastAsia="Times New Roman" w:hAnsi="Times New Roman" w:cs="Times New Roman"/>
          <w:sz w:val="27"/>
          <w:szCs w:val="27"/>
          <w:lang w:val="uk-UA"/>
        </w:rPr>
        <w:t>та</w:t>
      </w:r>
      <w:r w:rsidRPr="00C43AAE">
        <w:rPr>
          <w:rFonts w:ascii="Times New Roman" w:eastAsia="Times New Roman" w:hAnsi="Times New Roman" w:cs="Times New Roman"/>
          <w:sz w:val="27"/>
          <w:szCs w:val="27"/>
          <w:lang w:val="ru-RU"/>
        </w:rPr>
        <w:t xml:space="preserve"> (3)</w:t>
      </w:r>
      <w:r w:rsidR="00C43AAE">
        <w:rPr>
          <w:rFonts w:ascii="Times New Roman" w:eastAsia="Times New Roman" w:hAnsi="Times New Roman" w:cs="Times New Roman"/>
          <w:sz w:val="27"/>
          <w:szCs w:val="27"/>
          <w:lang w:val="uk-UA"/>
        </w:rPr>
        <w:t>, використовується виключно для покриття позицій, що утримуються на їхню користь.</w:t>
      </w:r>
      <w:r w:rsidR="0034216D">
        <w:rPr>
          <w:rFonts w:ascii="Times New Roman" w:eastAsia="Times New Roman" w:hAnsi="Times New Roman" w:cs="Times New Roman"/>
          <w:sz w:val="27"/>
          <w:szCs w:val="27"/>
          <w:lang w:val="uk-UA"/>
        </w:rPr>
        <w:t xml:space="preserve"> Будь-який залишок, що належить ЦКА після завершення</w:t>
      </w:r>
      <w:r w:rsidR="0034216D" w:rsidRPr="0034216D">
        <w:rPr>
          <w:rFonts w:ascii="Times New Roman" w:eastAsia="Times New Roman" w:hAnsi="Times New Roman" w:cs="Times New Roman"/>
          <w:sz w:val="27"/>
          <w:szCs w:val="27"/>
          <w:lang w:val="uk-UA"/>
        </w:rPr>
        <w:t xml:space="preserve"> </w:t>
      </w:r>
      <w:r w:rsidR="0034216D">
        <w:rPr>
          <w:rFonts w:ascii="Times New Roman" w:eastAsia="Times New Roman" w:hAnsi="Times New Roman" w:cs="Times New Roman"/>
          <w:sz w:val="27"/>
          <w:szCs w:val="27"/>
          <w:lang w:val="uk-UA"/>
        </w:rPr>
        <w:t>процедури управління неплатоспроможністю учасника клірингу, невідкладно повертається цим клієнтам, якщо вони відомі ЦКА, або, якщо вони не відомі ЦКА, учаснику клірингу на користь його клієнтів.</w:t>
      </w:r>
    </w:p>
    <w:p w:rsidR="00DE77B0" w:rsidRPr="00DF37AF"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DF37AF">
        <w:rPr>
          <w:rFonts w:ascii="Times New Roman" w:eastAsia="Times New Roman" w:hAnsi="Times New Roman" w:cs="Times New Roman"/>
          <w:i/>
          <w:iCs/>
          <w:sz w:val="27"/>
          <w:szCs w:val="27"/>
          <w:lang w:val="ru-RU"/>
        </w:rPr>
        <w:t>Стаття</w:t>
      </w:r>
      <w:proofErr w:type="spellEnd"/>
      <w:r w:rsidR="00DE77B0" w:rsidRPr="00DF37AF">
        <w:rPr>
          <w:rFonts w:ascii="Times New Roman" w:eastAsia="Times New Roman" w:hAnsi="Times New Roman" w:cs="Times New Roman"/>
          <w:i/>
          <w:iCs/>
          <w:sz w:val="27"/>
          <w:szCs w:val="27"/>
          <w:lang w:val="ru-RU"/>
        </w:rPr>
        <w:t xml:space="preserve"> 49</w:t>
      </w:r>
    </w:p>
    <w:p w:rsidR="00DE77B0" w:rsidRPr="005D7AC3" w:rsidRDefault="00DF37AF" w:rsidP="00DF37AF">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Перегляд моделей, стрес-тестування та зворотне тестування</w:t>
      </w:r>
    </w:p>
    <w:p w:rsidR="00DE77B0" w:rsidRPr="005D7AC3" w:rsidRDefault="00DE77B0" w:rsidP="00277462">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151F59" w:rsidRPr="006D2FFA">
        <w:rPr>
          <w:rFonts w:ascii="Times New Roman" w:eastAsia="Times New Roman" w:hAnsi="Times New Roman" w:cs="Times New Roman"/>
          <w:sz w:val="27"/>
          <w:szCs w:val="27"/>
          <w:lang w:val="ru-RU"/>
        </w:rPr>
        <w:t>ЦКА</w:t>
      </w:r>
      <w:r w:rsidRPr="006D2FFA">
        <w:rPr>
          <w:rFonts w:ascii="Times New Roman" w:eastAsia="Times New Roman" w:hAnsi="Times New Roman" w:cs="Times New Roman"/>
          <w:sz w:val="27"/>
          <w:szCs w:val="27"/>
          <w:lang w:val="ru-RU"/>
        </w:rPr>
        <w:t xml:space="preserve"> </w:t>
      </w:r>
      <w:r w:rsidR="006D2FFA">
        <w:rPr>
          <w:rFonts w:ascii="Times New Roman" w:eastAsia="Times New Roman" w:hAnsi="Times New Roman" w:cs="Times New Roman"/>
          <w:sz w:val="27"/>
          <w:szCs w:val="27"/>
          <w:lang w:val="uk-UA"/>
        </w:rPr>
        <w:t>регулярно переглядає моделі та параметри, прийняті для розрахунку його вимог до маржі, внесків у гарантійний фонд, вимог до забезпечення та інших механізмів контролю ризиків. ЦКА піддає згадані моделі</w:t>
      </w:r>
      <w:r w:rsidR="006D2FFA" w:rsidRPr="006D2FFA">
        <w:rPr>
          <w:rFonts w:ascii="Times New Roman" w:eastAsia="Times New Roman" w:hAnsi="Times New Roman" w:cs="Times New Roman"/>
          <w:sz w:val="27"/>
          <w:szCs w:val="27"/>
          <w:lang w:val="uk-UA"/>
        </w:rPr>
        <w:t xml:space="preserve"> </w:t>
      </w:r>
      <w:r w:rsidR="006D2FFA">
        <w:rPr>
          <w:rFonts w:ascii="Times New Roman" w:eastAsia="Times New Roman" w:hAnsi="Times New Roman" w:cs="Times New Roman"/>
          <w:sz w:val="27"/>
          <w:szCs w:val="27"/>
          <w:lang w:val="uk-UA"/>
        </w:rPr>
        <w:t xml:space="preserve">суворим і частим стрес-тестам із метою оцінити їхню стійкість у крайніх, але ймовірних ринкових умовах, і проводить зворотні тести з метою оцінити </w:t>
      </w:r>
      <w:r w:rsidR="00277462">
        <w:rPr>
          <w:rFonts w:ascii="Times New Roman" w:eastAsia="Times New Roman" w:hAnsi="Times New Roman" w:cs="Times New Roman"/>
          <w:sz w:val="27"/>
          <w:szCs w:val="27"/>
          <w:lang w:val="uk-UA"/>
        </w:rPr>
        <w:t xml:space="preserve">надійність прийнятої методики. ЦКА забезпечує проведення незалежної експертизи, інформує свій компетентний орган і </w:t>
      </w:r>
      <w:r w:rsidR="00277462">
        <w:rPr>
          <w:rFonts w:ascii="Times New Roman" w:eastAsia="Times New Roman" w:hAnsi="Times New Roman" w:cs="Times New Roman"/>
          <w:sz w:val="27"/>
          <w:szCs w:val="27"/>
        </w:rPr>
        <w:t>ESMA</w:t>
      </w:r>
      <w:r w:rsidR="00277462">
        <w:rPr>
          <w:rFonts w:ascii="Times New Roman" w:eastAsia="Times New Roman" w:hAnsi="Times New Roman" w:cs="Times New Roman"/>
          <w:sz w:val="27"/>
          <w:szCs w:val="27"/>
          <w:lang w:val="uk-UA"/>
        </w:rPr>
        <w:t xml:space="preserve"> про результати проведених тестів і отримує від них схвалення, перш ніж вносити будь-які значні зміни у моделі та параметри.</w:t>
      </w:r>
    </w:p>
    <w:p w:rsidR="00DE77B0" w:rsidRPr="005D7AC3" w:rsidRDefault="00277462" w:rsidP="00811B40">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Прийняті моделі та параметри, включаючи всі значні зміни до них, </w:t>
      </w:r>
      <w:r w:rsidR="00811B40">
        <w:rPr>
          <w:rFonts w:ascii="Times New Roman" w:eastAsia="Times New Roman" w:hAnsi="Times New Roman" w:cs="Times New Roman"/>
          <w:sz w:val="27"/>
          <w:szCs w:val="27"/>
          <w:lang w:val="uk-UA"/>
        </w:rPr>
        <w:t>повинні отримати висновок колегії відповідно до статті 19.</w:t>
      </w:r>
    </w:p>
    <w:p w:rsidR="00DE77B0" w:rsidRPr="005D7AC3" w:rsidRDefault="00DE77B0" w:rsidP="00811B40">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t>ESMA</w:t>
      </w:r>
      <w:r w:rsidRPr="00811B40">
        <w:rPr>
          <w:rFonts w:ascii="Times New Roman" w:eastAsia="Times New Roman" w:hAnsi="Times New Roman" w:cs="Times New Roman"/>
          <w:sz w:val="27"/>
          <w:szCs w:val="27"/>
          <w:lang w:val="ru-RU"/>
        </w:rPr>
        <w:t xml:space="preserve"> </w:t>
      </w:r>
      <w:r w:rsidR="00811B40">
        <w:rPr>
          <w:rFonts w:ascii="Times New Roman" w:eastAsia="Times New Roman" w:hAnsi="Times New Roman" w:cs="Times New Roman"/>
          <w:sz w:val="27"/>
          <w:szCs w:val="27"/>
          <w:lang w:val="uk-UA"/>
        </w:rPr>
        <w:t>забезпечує, щоб інформація про результати стрес-тестів була передана ЄНО, завдяки чому вони зможуть оцінити вразливість фінансових установ до неплатоспроможності ЦКА.</w:t>
      </w:r>
    </w:p>
    <w:p w:rsidR="00DE77B0" w:rsidRPr="005D7AC3" w:rsidRDefault="00DE77B0" w:rsidP="0036424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151F59" w:rsidRPr="005D7AC3">
        <w:rPr>
          <w:rFonts w:ascii="Times New Roman" w:eastAsia="Times New Roman" w:hAnsi="Times New Roman" w:cs="Times New Roman"/>
          <w:sz w:val="27"/>
          <w:szCs w:val="27"/>
          <w:lang w:val="ru-RU"/>
        </w:rPr>
        <w:t>ЦКА</w:t>
      </w:r>
      <w:r w:rsidRPr="005D7AC3">
        <w:rPr>
          <w:rFonts w:ascii="Times New Roman" w:eastAsia="Times New Roman" w:hAnsi="Times New Roman" w:cs="Times New Roman"/>
          <w:sz w:val="27"/>
          <w:szCs w:val="27"/>
          <w:lang w:val="ru-RU"/>
        </w:rPr>
        <w:t xml:space="preserve"> </w:t>
      </w:r>
      <w:r w:rsidR="00811B40">
        <w:rPr>
          <w:rFonts w:ascii="Times New Roman" w:eastAsia="Times New Roman" w:hAnsi="Times New Roman" w:cs="Times New Roman"/>
          <w:sz w:val="27"/>
          <w:szCs w:val="27"/>
          <w:lang w:val="uk-UA"/>
        </w:rPr>
        <w:t>регулярно перевіряє основні аспекти своїх процедур установлення неплатоспроможності та вживає всіх доречних заходів для забезпечення того, щоб усі учасники клірингу розуміли їх і запровадили</w:t>
      </w:r>
      <w:r w:rsidR="00364242">
        <w:rPr>
          <w:rFonts w:ascii="Times New Roman" w:eastAsia="Times New Roman" w:hAnsi="Times New Roman" w:cs="Times New Roman"/>
          <w:sz w:val="27"/>
          <w:szCs w:val="27"/>
          <w:lang w:val="uk-UA"/>
        </w:rPr>
        <w:t xml:space="preserve"> належні механізми реагування на випадок неплатоспроможності.</w:t>
      </w:r>
    </w:p>
    <w:p w:rsidR="00DE77B0" w:rsidRPr="005D7AC3" w:rsidRDefault="00DE77B0" w:rsidP="0036424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64242">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151F59" w:rsidRPr="00364242">
        <w:rPr>
          <w:rFonts w:ascii="Times New Roman" w:eastAsia="Times New Roman" w:hAnsi="Times New Roman" w:cs="Times New Roman"/>
          <w:sz w:val="27"/>
          <w:szCs w:val="27"/>
          <w:lang w:val="ru-RU"/>
        </w:rPr>
        <w:t>ЦКА</w:t>
      </w:r>
      <w:r w:rsidRPr="00364242">
        <w:rPr>
          <w:rFonts w:ascii="Times New Roman" w:eastAsia="Times New Roman" w:hAnsi="Times New Roman" w:cs="Times New Roman"/>
          <w:sz w:val="27"/>
          <w:szCs w:val="27"/>
          <w:lang w:val="ru-RU"/>
        </w:rPr>
        <w:t xml:space="preserve"> </w:t>
      </w:r>
      <w:r w:rsidR="00364242">
        <w:rPr>
          <w:rFonts w:ascii="Times New Roman" w:eastAsia="Times New Roman" w:hAnsi="Times New Roman" w:cs="Times New Roman"/>
          <w:sz w:val="27"/>
          <w:szCs w:val="27"/>
          <w:lang w:val="uk-UA"/>
        </w:rPr>
        <w:t>публічно розголошує основну інформацію про свою модель управління ризиками та припущення, прийняті для проведення стрес-тестів, згаданих у пункті 1.</w:t>
      </w:r>
    </w:p>
    <w:p w:rsidR="00066E60" w:rsidRPr="00C17235" w:rsidRDefault="00DE77B0" w:rsidP="00066E60">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156A8E">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sidR="00156A8E">
        <w:rPr>
          <w:rFonts w:ascii="Times New Roman" w:eastAsia="Times New Roman" w:hAnsi="Times New Roman" w:cs="Times New Roman"/>
          <w:sz w:val="27"/>
          <w:szCs w:val="27"/>
        </w:rPr>
        <w:t>ESMA</w:t>
      </w:r>
      <w:r w:rsidR="00156A8E">
        <w:rPr>
          <w:rFonts w:ascii="Times New Roman" w:eastAsia="Times New Roman" w:hAnsi="Times New Roman" w:cs="Times New Roman"/>
          <w:sz w:val="27"/>
          <w:szCs w:val="27"/>
          <w:lang w:val="uk-UA"/>
        </w:rPr>
        <w:t xml:space="preserve"> після консультацій з ЕВА, іншими відповідними компетентними органами та членами ЄСЦБ розробляє проекти регуляторних технічних стандартів, де зазначає</w:t>
      </w:r>
      <w:r w:rsidR="00156A8E" w:rsidRPr="00C17235">
        <w:rPr>
          <w:rFonts w:ascii="Times New Roman" w:eastAsia="Times New Roman" w:hAnsi="Times New Roman" w:cs="Times New Roman"/>
          <w:sz w:val="27"/>
          <w:szCs w:val="27"/>
          <w:lang w:val="ru-RU"/>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5D7AC3" w:rsidRDefault="00066E60" w:rsidP="00066E60">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вид тестів, які мають проводитися для різних класів фінансових інструментів </w:t>
            </w:r>
            <w:r>
              <w:rPr>
                <w:rFonts w:ascii="Times New Roman" w:eastAsia="Times New Roman" w:hAnsi="Times New Roman" w:cs="Times New Roman"/>
                <w:sz w:val="27"/>
                <w:szCs w:val="27"/>
                <w:lang w:val="uk-UA"/>
              </w:rPr>
              <w:lastRenderedPageBreak/>
              <w:t>та портфелів;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4"/>
        <w:gridCol w:w="9001"/>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5D7AC3" w:rsidRDefault="00D37C41" w:rsidP="00D37C4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залучення учасників клірингу або інших сторін до проведення тестів;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2"/>
        <w:gridCol w:w="8823"/>
      </w:tblGrid>
      <w:tr w:rsidR="00763E3E" w:rsidRPr="006279CF" w:rsidTr="00F352A9">
        <w:tc>
          <w:tcPr>
            <w:tcW w:w="33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466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D37C41" w:rsidRDefault="00D37C41" w:rsidP="00187079">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періодичність тестів;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2"/>
        <w:gridCol w:w="8823"/>
      </w:tblGrid>
      <w:tr w:rsidR="00763E3E" w:rsidRPr="006279CF" w:rsidTr="00F352A9">
        <w:tc>
          <w:tcPr>
            <w:tcW w:w="33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466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37C41" w:rsidP="0018707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строки проведення тестів</w:t>
            </w:r>
            <w:r w:rsidR="00DE77B0" w:rsidRPr="006279CF">
              <w:rPr>
                <w:rFonts w:ascii="Times New Roman" w:eastAsia="Times New Roman" w:hAnsi="Times New Roman" w:cs="Times New Roman"/>
                <w:sz w:val="27"/>
                <w:szCs w:val="27"/>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39"/>
        <w:gridCol w:w="8726"/>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D37C41" w:rsidRDefault="00D37C41" w:rsidP="00D37C4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основну інформацію, згадану в пункті 3</w:t>
            </w:r>
            <w:r w:rsidR="00DE77B0" w:rsidRPr="00D37C41">
              <w:rPr>
                <w:rFonts w:ascii="Times New Roman" w:eastAsia="Times New Roman" w:hAnsi="Times New Roman" w:cs="Times New Roman"/>
                <w:sz w:val="27"/>
                <w:szCs w:val="27"/>
                <w:lang w:val="ru-RU"/>
              </w:rPr>
              <w:t>.</w:t>
            </w:r>
          </w:p>
        </w:tc>
      </w:tr>
    </w:tbl>
    <w:p w:rsidR="00DE77B0" w:rsidRPr="00EE17BA"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t>ESMA</w:t>
      </w:r>
      <w:r w:rsidRPr="00EE17BA">
        <w:rPr>
          <w:rFonts w:ascii="Times New Roman" w:eastAsia="Times New Roman" w:hAnsi="Times New Roman" w:cs="Times New Roman"/>
          <w:sz w:val="27"/>
          <w:szCs w:val="27"/>
          <w:lang w:val="ru-RU"/>
        </w:rPr>
        <w:t xml:space="preserve"> </w:t>
      </w:r>
      <w:proofErr w:type="spellStart"/>
      <w:r w:rsidR="00EE17BA" w:rsidRPr="00EE17BA">
        <w:rPr>
          <w:rFonts w:ascii="Times New Roman" w:eastAsia="Times New Roman" w:hAnsi="Times New Roman" w:cs="Times New Roman"/>
          <w:sz w:val="27"/>
          <w:szCs w:val="27"/>
          <w:lang w:val="ru-RU"/>
        </w:rPr>
        <w:t>подає</w:t>
      </w:r>
      <w:proofErr w:type="spellEnd"/>
      <w:r w:rsidR="00EE17BA" w:rsidRPr="00EE17BA">
        <w:rPr>
          <w:rFonts w:ascii="Times New Roman" w:eastAsia="Times New Roman" w:hAnsi="Times New Roman" w:cs="Times New Roman"/>
          <w:sz w:val="27"/>
          <w:szCs w:val="27"/>
          <w:lang w:val="ru-RU"/>
        </w:rPr>
        <w:t xml:space="preserve"> </w:t>
      </w:r>
      <w:proofErr w:type="spellStart"/>
      <w:r w:rsidR="00EE17BA" w:rsidRPr="00EE17BA">
        <w:rPr>
          <w:rFonts w:ascii="Times New Roman" w:eastAsia="Times New Roman" w:hAnsi="Times New Roman" w:cs="Times New Roman"/>
          <w:sz w:val="27"/>
          <w:szCs w:val="27"/>
          <w:lang w:val="ru-RU"/>
        </w:rPr>
        <w:t>ці</w:t>
      </w:r>
      <w:proofErr w:type="spellEnd"/>
      <w:r w:rsidR="00EE17BA" w:rsidRPr="00EE17BA">
        <w:rPr>
          <w:rFonts w:ascii="Times New Roman" w:eastAsia="Times New Roman" w:hAnsi="Times New Roman" w:cs="Times New Roman"/>
          <w:sz w:val="27"/>
          <w:szCs w:val="27"/>
          <w:lang w:val="ru-RU"/>
        </w:rPr>
        <w:t xml:space="preserve"> </w:t>
      </w:r>
      <w:proofErr w:type="spellStart"/>
      <w:r w:rsidR="00EE17BA" w:rsidRPr="00EE17BA">
        <w:rPr>
          <w:rFonts w:ascii="Times New Roman" w:eastAsia="Times New Roman" w:hAnsi="Times New Roman" w:cs="Times New Roman"/>
          <w:sz w:val="27"/>
          <w:szCs w:val="27"/>
          <w:lang w:val="ru-RU"/>
        </w:rPr>
        <w:t>проекти</w:t>
      </w:r>
      <w:proofErr w:type="spellEnd"/>
      <w:r w:rsidR="00EE17BA" w:rsidRPr="00EE17BA">
        <w:rPr>
          <w:rFonts w:ascii="Times New Roman" w:eastAsia="Times New Roman" w:hAnsi="Times New Roman" w:cs="Times New Roman"/>
          <w:sz w:val="27"/>
          <w:szCs w:val="27"/>
          <w:lang w:val="ru-RU"/>
        </w:rPr>
        <w:t xml:space="preserve"> </w:t>
      </w:r>
      <w:proofErr w:type="spellStart"/>
      <w:r w:rsidR="00EE17BA" w:rsidRPr="00EE17BA">
        <w:rPr>
          <w:rFonts w:ascii="Times New Roman" w:eastAsia="Times New Roman" w:hAnsi="Times New Roman" w:cs="Times New Roman"/>
          <w:sz w:val="27"/>
          <w:szCs w:val="27"/>
          <w:lang w:val="ru-RU"/>
        </w:rPr>
        <w:t>регуляторних</w:t>
      </w:r>
      <w:proofErr w:type="spellEnd"/>
      <w:r w:rsidR="00EE17BA" w:rsidRPr="00EE17BA">
        <w:rPr>
          <w:rFonts w:ascii="Times New Roman" w:eastAsia="Times New Roman" w:hAnsi="Times New Roman" w:cs="Times New Roman"/>
          <w:sz w:val="27"/>
          <w:szCs w:val="27"/>
          <w:lang w:val="ru-RU"/>
        </w:rPr>
        <w:t xml:space="preserve"> </w:t>
      </w:r>
      <w:proofErr w:type="spellStart"/>
      <w:r w:rsidR="00EE17BA" w:rsidRPr="00EE17BA">
        <w:rPr>
          <w:rFonts w:ascii="Times New Roman" w:eastAsia="Times New Roman" w:hAnsi="Times New Roman" w:cs="Times New Roman"/>
          <w:sz w:val="27"/>
          <w:szCs w:val="27"/>
          <w:lang w:val="ru-RU"/>
        </w:rPr>
        <w:t>технічних</w:t>
      </w:r>
      <w:proofErr w:type="spellEnd"/>
      <w:r w:rsidR="00EE17BA" w:rsidRPr="00EE17BA">
        <w:rPr>
          <w:rFonts w:ascii="Times New Roman" w:eastAsia="Times New Roman" w:hAnsi="Times New Roman" w:cs="Times New Roman"/>
          <w:sz w:val="27"/>
          <w:szCs w:val="27"/>
          <w:lang w:val="ru-RU"/>
        </w:rPr>
        <w:t xml:space="preserve"> </w:t>
      </w:r>
      <w:proofErr w:type="spellStart"/>
      <w:r w:rsidR="00EE17BA" w:rsidRPr="00EE17BA">
        <w:rPr>
          <w:rFonts w:ascii="Times New Roman" w:eastAsia="Times New Roman" w:hAnsi="Times New Roman" w:cs="Times New Roman"/>
          <w:sz w:val="27"/>
          <w:szCs w:val="27"/>
          <w:lang w:val="ru-RU"/>
        </w:rPr>
        <w:t>стандартів</w:t>
      </w:r>
      <w:proofErr w:type="spellEnd"/>
      <w:r w:rsidR="00EE17BA" w:rsidRPr="00EE17BA">
        <w:rPr>
          <w:rFonts w:ascii="Times New Roman" w:eastAsia="Times New Roman" w:hAnsi="Times New Roman" w:cs="Times New Roman"/>
          <w:sz w:val="27"/>
          <w:szCs w:val="27"/>
          <w:lang w:val="ru-RU"/>
        </w:rPr>
        <w:t xml:space="preserve"> </w:t>
      </w:r>
      <w:proofErr w:type="spellStart"/>
      <w:r w:rsidR="00EE17BA" w:rsidRPr="00EE17BA">
        <w:rPr>
          <w:rFonts w:ascii="Times New Roman" w:eastAsia="Times New Roman" w:hAnsi="Times New Roman" w:cs="Times New Roman"/>
          <w:sz w:val="27"/>
          <w:szCs w:val="27"/>
          <w:lang w:val="ru-RU"/>
        </w:rPr>
        <w:t>Комісії</w:t>
      </w:r>
      <w:proofErr w:type="spellEnd"/>
      <w:r w:rsidR="00EE17BA" w:rsidRPr="00EE17BA">
        <w:rPr>
          <w:rFonts w:ascii="Times New Roman" w:eastAsia="Times New Roman" w:hAnsi="Times New Roman" w:cs="Times New Roman"/>
          <w:sz w:val="27"/>
          <w:szCs w:val="27"/>
          <w:lang w:val="ru-RU"/>
        </w:rPr>
        <w:t xml:space="preserve"> до 30 </w:t>
      </w:r>
      <w:proofErr w:type="spellStart"/>
      <w:r w:rsidR="00EE17BA" w:rsidRPr="00EE17BA">
        <w:rPr>
          <w:rFonts w:ascii="Times New Roman" w:eastAsia="Times New Roman" w:hAnsi="Times New Roman" w:cs="Times New Roman"/>
          <w:sz w:val="27"/>
          <w:szCs w:val="27"/>
          <w:lang w:val="ru-RU"/>
        </w:rPr>
        <w:t>вересня</w:t>
      </w:r>
      <w:proofErr w:type="spellEnd"/>
      <w:r w:rsidR="00EE17BA" w:rsidRPr="00EE17BA">
        <w:rPr>
          <w:rFonts w:ascii="Times New Roman" w:eastAsia="Times New Roman" w:hAnsi="Times New Roman" w:cs="Times New Roman"/>
          <w:sz w:val="27"/>
          <w:szCs w:val="27"/>
          <w:lang w:val="ru-RU"/>
        </w:rPr>
        <w:t xml:space="preserve"> 2012 р.</w:t>
      </w:r>
    </w:p>
    <w:p w:rsidR="00BF59AF" w:rsidRDefault="00156A8E"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Комісії надається повноваження на прийняття регуляторних технічних стандартів, згаданих у першому абзаці цього пункту, </w:t>
      </w:r>
      <w:r w:rsidRPr="00620DC3">
        <w:rPr>
          <w:rFonts w:ascii="Times New Roman" w:eastAsia="Times New Roman" w:hAnsi="Times New Roman" w:cs="Times New Roman"/>
          <w:sz w:val="27"/>
          <w:szCs w:val="27"/>
          <w:lang w:val="uk-UA"/>
        </w:rPr>
        <w:t xml:space="preserve">відповідно до </w:t>
      </w:r>
      <w:proofErr w:type="spellStart"/>
      <w:r w:rsidRPr="00620DC3">
        <w:rPr>
          <w:rFonts w:ascii="Times New Roman" w:eastAsia="Times New Roman" w:hAnsi="Times New Roman" w:cs="Times New Roman"/>
          <w:sz w:val="27"/>
          <w:szCs w:val="27"/>
          <w:lang w:val="uk-UA"/>
        </w:rPr>
        <w:t>статтей</w:t>
      </w:r>
      <w:proofErr w:type="spellEnd"/>
      <w:r w:rsidRPr="00620DC3">
        <w:rPr>
          <w:rFonts w:ascii="Times New Roman" w:eastAsia="Times New Roman" w:hAnsi="Times New Roman" w:cs="Times New Roman"/>
          <w:sz w:val="27"/>
          <w:szCs w:val="27"/>
          <w:lang w:val="uk-UA"/>
        </w:rPr>
        <w:t xml:space="preserve"> 10-14 Регламенту (</w:t>
      </w:r>
      <w:r>
        <w:rPr>
          <w:rFonts w:ascii="Times New Roman" w:eastAsia="Times New Roman" w:hAnsi="Times New Roman" w:cs="Times New Roman"/>
          <w:sz w:val="27"/>
          <w:szCs w:val="27"/>
        </w:rPr>
        <w:t>EU</w:t>
      </w:r>
      <w:r w:rsidRPr="00620DC3">
        <w:rPr>
          <w:rFonts w:ascii="Times New Roman" w:eastAsia="Times New Roman" w:hAnsi="Times New Roman" w:cs="Times New Roman"/>
          <w:sz w:val="27"/>
          <w:szCs w:val="27"/>
          <w:lang w:val="uk-UA"/>
        </w:rPr>
        <w:t>) №</w:t>
      </w:r>
      <w:r w:rsidRPr="006279CF">
        <w:rPr>
          <w:rFonts w:ascii="Times New Roman" w:eastAsia="Times New Roman" w:hAnsi="Times New Roman" w:cs="Times New Roman"/>
          <w:sz w:val="27"/>
          <w:szCs w:val="27"/>
        </w:rPr>
        <w:t> </w:t>
      </w:r>
      <w:r w:rsidRPr="00620DC3">
        <w:rPr>
          <w:rFonts w:ascii="Times New Roman" w:eastAsia="Times New Roman" w:hAnsi="Times New Roman" w:cs="Times New Roman"/>
          <w:sz w:val="27"/>
          <w:szCs w:val="27"/>
          <w:lang w:val="uk-UA"/>
        </w:rPr>
        <w:t>1095/2010.</w:t>
      </w:r>
    </w:p>
    <w:p w:rsidR="00DE77B0" w:rsidRPr="00043315"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043315">
        <w:rPr>
          <w:rFonts w:ascii="Times New Roman" w:eastAsia="Times New Roman" w:hAnsi="Times New Roman" w:cs="Times New Roman"/>
          <w:i/>
          <w:iCs/>
          <w:sz w:val="27"/>
          <w:szCs w:val="27"/>
          <w:lang w:val="ru-RU"/>
        </w:rPr>
        <w:t>Стаття</w:t>
      </w:r>
      <w:proofErr w:type="spellEnd"/>
      <w:r w:rsidR="00DE77B0" w:rsidRPr="00043315">
        <w:rPr>
          <w:rFonts w:ascii="Times New Roman" w:eastAsia="Times New Roman" w:hAnsi="Times New Roman" w:cs="Times New Roman"/>
          <w:i/>
          <w:iCs/>
          <w:sz w:val="27"/>
          <w:szCs w:val="27"/>
          <w:lang w:val="ru-RU"/>
        </w:rPr>
        <w:t xml:space="preserve"> 50</w:t>
      </w:r>
    </w:p>
    <w:p w:rsidR="00DE77B0" w:rsidRPr="0038689D" w:rsidRDefault="0038689D"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Розрахунки</w:t>
      </w:r>
    </w:p>
    <w:p w:rsidR="00DE77B0" w:rsidRPr="005D7AC3" w:rsidRDefault="00DE77B0" w:rsidP="00261170">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043315">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043315">
        <w:rPr>
          <w:rFonts w:ascii="Times New Roman" w:eastAsia="Times New Roman" w:hAnsi="Times New Roman" w:cs="Times New Roman"/>
          <w:sz w:val="27"/>
          <w:szCs w:val="27"/>
          <w:lang w:val="uk-UA"/>
        </w:rPr>
        <w:t>У всіх практично доречних і можливих випадках ЦКА проводить розрахунки за своїми угодами у</w:t>
      </w:r>
      <w:r w:rsidR="00043315">
        <w:rPr>
          <w:rFonts w:ascii="Times New Roman" w:eastAsia="Times New Roman" w:hAnsi="Times New Roman" w:cs="Times New Roman"/>
          <w:sz w:val="27"/>
          <w:szCs w:val="27"/>
          <w:lang w:val="ru-RU"/>
        </w:rPr>
        <w:t xml:space="preserve"> банкнотах центрального банку. </w:t>
      </w:r>
      <w:r w:rsidR="00043315">
        <w:rPr>
          <w:rFonts w:ascii="Times New Roman" w:eastAsia="Times New Roman" w:hAnsi="Times New Roman" w:cs="Times New Roman"/>
          <w:sz w:val="27"/>
          <w:szCs w:val="27"/>
          <w:lang w:val="uk-UA"/>
        </w:rPr>
        <w:t xml:space="preserve">Якщо банкноти центрального банку не використовуються, то вживаються кроки на предмет жорсткого обмеження </w:t>
      </w:r>
      <w:r w:rsidR="00261170">
        <w:rPr>
          <w:rFonts w:ascii="Times New Roman" w:eastAsia="Times New Roman" w:hAnsi="Times New Roman" w:cs="Times New Roman"/>
          <w:sz w:val="27"/>
          <w:szCs w:val="27"/>
          <w:lang w:val="uk-UA"/>
        </w:rPr>
        <w:t>ризиків, пов'язаних із розрахунками грошовими коштами.</w:t>
      </w:r>
    </w:p>
    <w:p w:rsidR="00261170" w:rsidRPr="005D7AC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261170">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151F59" w:rsidRPr="00261170">
        <w:rPr>
          <w:rFonts w:ascii="Times New Roman" w:eastAsia="Times New Roman" w:hAnsi="Times New Roman" w:cs="Times New Roman"/>
          <w:sz w:val="27"/>
          <w:szCs w:val="27"/>
          <w:lang w:val="ru-RU"/>
        </w:rPr>
        <w:t>ЦКА</w:t>
      </w:r>
      <w:r w:rsidRPr="005D7AC3">
        <w:rPr>
          <w:rFonts w:ascii="Times New Roman" w:eastAsia="Times New Roman" w:hAnsi="Times New Roman" w:cs="Times New Roman"/>
          <w:sz w:val="27"/>
          <w:szCs w:val="27"/>
          <w:lang w:val="ru-RU"/>
        </w:rPr>
        <w:t xml:space="preserve"> </w:t>
      </w:r>
      <w:r w:rsidR="00261170">
        <w:rPr>
          <w:rFonts w:ascii="Times New Roman" w:eastAsia="Times New Roman" w:hAnsi="Times New Roman" w:cs="Times New Roman"/>
          <w:sz w:val="27"/>
          <w:szCs w:val="27"/>
          <w:lang w:val="uk-UA"/>
        </w:rPr>
        <w:t xml:space="preserve">чітко формулює свої зобов’язання по відношенню до </w:t>
      </w:r>
      <w:r w:rsidR="00DB15A5">
        <w:rPr>
          <w:rFonts w:ascii="Times New Roman" w:eastAsia="Times New Roman" w:hAnsi="Times New Roman" w:cs="Times New Roman"/>
          <w:sz w:val="27"/>
          <w:szCs w:val="27"/>
          <w:lang w:val="uk-UA"/>
        </w:rPr>
        <w:t>поставки</w:t>
      </w:r>
      <w:r w:rsidR="00261170">
        <w:rPr>
          <w:rFonts w:ascii="Times New Roman" w:eastAsia="Times New Roman" w:hAnsi="Times New Roman" w:cs="Times New Roman"/>
          <w:sz w:val="27"/>
          <w:szCs w:val="27"/>
          <w:lang w:val="uk-UA"/>
        </w:rPr>
        <w:t xml:space="preserve"> фінансових інс</w:t>
      </w:r>
      <w:r w:rsidR="00DB15A5">
        <w:rPr>
          <w:rFonts w:ascii="Times New Roman" w:eastAsia="Times New Roman" w:hAnsi="Times New Roman" w:cs="Times New Roman"/>
          <w:sz w:val="27"/>
          <w:szCs w:val="27"/>
          <w:lang w:val="uk-UA"/>
        </w:rPr>
        <w:t xml:space="preserve">трументів, зокрема те, чи зобов’язаний він здійснювати або приймати поставку фінансового інструмента, і те, чи відшкодовує він учасникам збитки, понесені у процесі </w:t>
      </w:r>
      <w:r w:rsidR="00DA12DC">
        <w:rPr>
          <w:rFonts w:ascii="Times New Roman" w:eastAsia="Times New Roman" w:hAnsi="Times New Roman" w:cs="Times New Roman"/>
          <w:sz w:val="27"/>
          <w:szCs w:val="27"/>
          <w:lang w:val="uk-UA"/>
        </w:rPr>
        <w:t>п</w:t>
      </w:r>
      <w:r w:rsidR="00DB15A5">
        <w:rPr>
          <w:rFonts w:ascii="Times New Roman" w:eastAsia="Times New Roman" w:hAnsi="Times New Roman" w:cs="Times New Roman"/>
          <w:sz w:val="27"/>
          <w:szCs w:val="27"/>
          <w:lang w:val="uk-UA"/>
        </w:rPr>
        <w:t>оставки.</w:t>
      </w:r>
    </w:p>
    <w:p w:rsidR="00DE77B0" w:rsidRPr="005D7AC3" w:rsidRDefault="00DE77B0" w:rsidP="00DA12DC">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DA12DC">
        <w:rPr>
          <w:rFonts w:ascii="Times New Roman" w:eastAsia="Times New Roman" w:hAnsi="Times New Roman" w:cs="Times New Roman"/>
          <w:sz w:val="27"/>
          <w:szCs w:val="27"/>
          <w:lang w:val="uk-UA"/>
        </w:rPr>
        <w:t>Якщо ЦКА зобов’язаний здійснювати або приймати поставки фінансових інструментів, він усуває основний ризик шляхом якомога ширшого використання механізмів поставки проти платежу.</w:t>
      </w:r>
    </w:p>
    <w:p w:rsidR="00DE77B0" w:rsidRPr="00D51BEE" w:rsidRDefault="0038689D" w:rsidP="00187079">
      <w:pPr>
        <w:shd w:val="clear" w:color="auto" w:fill="FFFFFF"/>
        <w:spacing w:before="480"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РОЗДІЛ</w:t>
      </w:r>
      <w:r w:rsidR="00DE77B0" w:rsidRPr="00D51BEE">
        <w:rPr>
          <w:rFonts w:ascii="Times New Roman" w:eastAsia="Times New Roman" w:hAnsi="Times New Roman" w:cs="Times New Roman"/>
          <w:b/>
          <w:bCs/>
          <w:sz w:val="27"/>
          <w:szCs w:val="27"/>
          <w:lang w:val="ru-RU"/>
        </w:rPr>
        <w:t xml:space="preserve"> </w:t>
      </w:r>
      <w:r w:rsidR="00DE77B0" w:rsidRPr="006279CF">
        <w:rPr>
          <w:rFonts w:ascii="Times New Roman" w:eastAsia="Times New Roman" w:hAnsi="Times New Roman" w:cs="Times New Roman"/>
          <w:b/>
          <w:bCs/>
          <w:sz w:val="27"/>
          <w:szCs w:val="27"/>
        </w:rPr>
        <w:t>V</w:t>
      </w:r>
    </w:p>
    <w:p w:rsidR="00DE77B0" w:rsidRPr="0038689D" w:rsidRDefault="0038689D"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bdr w:val="none" w:sz="0" w:space="0" w:color="auto" w:frame="1"/>
          <w:lang w:val="uk-UA"/>
        </w:rPr>
        <w:t>УГОДИ ПРО СУМІСНІСТЬ</w:t>
      </w:r>
    </w:p>
    <w:p w:rsidR="00DE77B0" w:rsidRPr="005D7AC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5D7AC3">
        <w:rPr>
          <w:rFonts w:ascii="Times New Roman" w:eastAsia="Times New Roman" w:hAnsi="Times New Roman" w:cs="Times New Roman"/>
          <w:i/>
          <w:iCs/>
          <w:sz w:val="27"/>
          <w:szCs w:val="27"/>
          <w:lang w:val="ru-RU"/>
        </w:rPr>
        <w:t>Стаття</w:t>
      </w:r>
      <w:proofErr w:type="spellEnd"/>
      <w:r w:rsidR="00DE77B0" w:rsidRPr="005D7AC3">
        <w:rPr>
          <w:rFonts w:ascii="Times New Roman" w:eastAsia="Times New Roman" w:hAnsi="Times New Roman" w:cs="Times New Roman"/>
          <w:i/>
          <w:iCs/>
          <w:sz w:val="27"/>
          <w:szCs w:val="27"/>
          <w:lang w:val="ru-RU"/>
        </w:rPr>
        <w:t xml:space="preserve"> 51</w:t>
      </w:r>
    </w:p>
    <w:p w:rsidR="00DE77B0" w:rsidRPr="00DF37AF" w:rsidRDefault="00DF37AF"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Угоди про сумісність</w:t>
      </w:r>
    </w:p>
    <w:p w:rsidR="00DE77B0" w:rsidRPr="00B20A94" w:rsidRDefault="00DE77B0" w:rsidP="00B20A9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D51BEE">
        <w:rPr>
          <w:rFonts w:ascii="Times New Roman" w:eastAsia="Times New Roman" w:hAnsi="Times New Roman" w:cs="Times New Roman"/>
          <w:sz w:val="27"/>
          <w:szCs w:val="27"/>
          <w:lang w:val="uk-UA"/>
        </w:rPr>
        <w:t>ЦКА може укласти угоду про сумісність з іншим</w:t>
      </w:r>
      <w:r w:rsidR="00B20A94" w:rsidRPr="00B20A94">
        <w:rPr>
          <w:rFonts w:ascii="Times New Roman" w:eastAsia="Times New Roman" w:hAnsi="Times New Roman" w:cs="Times New Roman"/>
          <w:sz w:val="27"/>
          <w:szCs w:val="27"/>
          <w:lang w:val="ru-RU"/>
        </w:rPr>
        <w:t xml:space="preserve"> </w:t>
      </w:r>
      <w:r w:rsidR="00B20A94">
        <w:rPr>
          <w:rFonts w:ascii="Times New Roman" w:eastAsia="Times New Roman" w:hAnsi="Times New Roman" w:cs="Times New Roman"/>
          <w:sz w:val="27"/>
          <w:szCs w:val="27"/>
          <w:lang w:val="ru-RU"/>
        </w:rPr>
        <w:t>ЦКА</w:t>
      </w:r>
      <w:r w:rsidR="00B20A94" w:rsidRPr="00B20A94">
        <w:rPr>
          <w:rFonts w:ascii="Times New Roman" w:eastAsia="Times New Roman" w:hAnsi="Times New Roman" w:cs="Times New Roman"/>
          <w:sz w:val="27"/>
          <w:szCs w:val="27"/>
          <w:lang w:val="ru-RU"/>
        </w:rPr>
        <w:t xml:space="preserve">, </w:t>
      </w:r>
      <w:r w:rsidR="00B20A94">
        <w:rPr>
          <w:rFonts w:ascii="Times New Roman" w:eastAsia="Times New Roman" w:hAnsi="Times New Roman" w:cs="Times New Roman"/>
          <w:sz w:val="27"/>
          <w:szCs w:val="27"/>
          <w:lang w:val="uk-UA"/>
        </w:rPr>
        <w:t>якщо виконані вимоги, викладені у статтях</w:t>
      </w:r>
      <w:r w:rsidRPr="00B20A94">
        <w:rPr>
          <w:rFonts w:ascii="Times New Roman" w:eastAsia="Times New Roman" w:hAnsi="Times New Roman" w:cs="Times New Roman"/>
          <w:sz w:val="27"/>
          <w:szCs w:val="27"/>
          <w:lang w:val="ru-RU"/>
        </w:rPr>
        <w:t xml:space="preserve"> 52, 53 </w:t>
      </w:r>
      <w:r w:rsidR="00B20A94">
        <w:rPr>
          <w:rFonts w:ascii="Times New Roman" w:eastAsia="Times New Roman" w:hAnsi="Times New Roman" w:cs="Times New Roman"/>
          <w:sz w:val="27"/>
          <w:szCs w:val="27"/>
          <w:lang w:val="uk-UA"/>
        </w:rPr>
        <w:t>і</w:t>
      </w:r>
      <w:r w:rsidRPr="00B20A94">
        <w:rPr>
          <w:rFonts w:ascii="Times New Roman" w:eastAsia="Times New Roman" w:hAnsi="Times New Roman" w:cs="Times New Roman"/>
          <w:sz w:val="27"/>
          <w:szCs w:val="27"/>
          <w:lang w:val="ru-RU"/>
        </w:rPr>
        <w:t xml:space="preserve"> 54.</w:t>
      </w:r>
    </w:p>
    <w:p w:rsidR="00DE77B0" w:rsidRPr="005D7AC3" w:rsidRDefault="00DE77B0" w:rsidP="0059545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B20A94">
        <w:rPr>
          <w:rFonts w:ascii="Times New Roman" w:eastAsia="Times New Roman" w:hAnsi="Times New Roman" w:cs="Times New Roman"/>
          <w:sz w:val="27"/>
          <w:szCs w:val="27"/>
          <w:lang w:val="uk-UA"/>
        </w:rPr>
        <w:t xml:space="preserve">Укладаючи угоду про сумісність з іншим ЦКА з метою надання послуг конкретному торговельному майданчику, ЦКА має доступ, без будь-якої </w:t>
      </w:r>
      <w:r w:rsidR="00B20A94">
        <w:rPr>
          <w:rFonts w:ascii="Times New Roman" w:eastAsia="Times New Roman" w:hAnsi="Times New Roman" w:cs="Times New Roman"/>
          <w:sz w:val="27"/>
          <w:szCs w:val="27"/>
          <w:lang w:val="uk-UA"/>
        </w:rPr>
        <w:lastRenderedPageBreak/>
        <w:t>дискримінації, як до даних, потрібних йому для виконання його функцій, від цього конкретного торговельного майданчика,</w:t>
      </w:r>
      <w:r w:rsidR="0059545B">
        <w:rPr>
          <w:rFonts w:ascii="Times New Roman" w:eastAsia="Times New Roman" w:hAnsi="Times New Roman" w:cs="Times New Roman"/>
          <w:sz w:val="27"/>
          <w:szCs w:val="27"/>
          <w:lang w:val="uk-UA"/>
        </w:rPr>
        <w:t xml:space="preserve"> за умови дотримання ЦКА операційних та технічних вимог, установлених цим торговельним майданчиком, так і до відповідної системи розрахунків.</w:t>
      </w:r>
    </w:p>
    <w:p w:rsidR="00DE77B0" w:rsidRPr="005D7AC3" w:rsidRDefault="00DE77B0" w:rsidP="002A7A8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9545B">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59545B">
        <w:rPr>
          <w:rFonts w:ascii="Times New Roman" w:eastAsia="Times New Roman" w:hAnsi="Times New Roman" w:cs="Times New Roman"/>
          <w:sz w:val="27"/>
          <w:szCs w:val="27"/>
          <w:lang w:val="uk-UA"/>
        </w:rPr>
        <w:t xml:space="preserve">Укладення угоди про сумісність або доступ до потоку даних чи системи розрахунків, згаданих у пунктах 1 і 2 цієї статті, </w:t>
      </w:r>
      <w:r w:rsidR="002A7A87">
        <w:rPr>
          <w:rFonts w:ascii="Times New Roman" w:eastAsia="Times New Roman" w:hAnsi="Times New Roman" w:cs="Times New Roman"/>
          <w:sz w:val="27"/>
          <w:szCs w:val="27"/>
          <w:lang w:val="uk-UA"/>
        </w:rPr>
        <w:t>забороняється або обмежується, прямо чи непрямо, лише з метою контролювання ризиків, що виникають із цієї угоди чи в результаті цього доступу.</w:t>
      </w:r>
    </w:p>
    <w:p w:rsidR="00DE77B0" w:rsidRPr="005D7AC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5D7AC3">
        <w:rPr>
          <w:rFonts w:ascii="Times New Roman" w:eastAsia="Times New Roman" w:hAnsi="Times New Roman" w:cs="Times New Roman"/>
          <w:i/>
          <w:iCs/>
          <w:sz w:val="27"/>
          <w:szCs w:val="27"/>
          <w:lang w:val="ru-RU"/>
        </w:rPr>
        <w:t>Стаття</w:t>
      </w:r>
      <w:proofErr w:type="spellEnd"/>
      <w:r w:rsidR="00DE77B0" w:rsidRPr="005D7AC3">
        <w:rPr>
          <w:rFonts w:ascii="Times New Roman" w:eastAsia="Times New Roman" w:hAnsi="Times New Roman" w:cs="Times New Roman"/>
          <w:i/>
          <w:iCs/>
          <w:sz w:val="27"/>
          <w:szCs w:val="27"/>
          <w:lang w:val="ru-RU"/>
        </w:rPr>
        <w:t xml:space="preserve"> 52</w:t>
      </w:r>
    </w:p>
    <w:p w:rsidR="00DE77B0" w:rsidRPr="00DF37AF" w:rsidRDefault="00DF37AF"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Управління ризиками</w:t>
      </w:r>
    </w:p>
    <w:p w:rsidR="00DE77B0" w:rsidRPr="005D7AC3" w:rsidRDefault="00DE77B0" w:rsidP="00EF108C">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EF108C">
        <w:rPr>
          <w:rFonts w:ascii="Times New Roman" w:eastAsia="Times New Roman" w:hAnsi="Times New Roman" w:cs="Times New Roman"/>
          <w:sz w:val="27"/>
          <w:szCs w:val="27"/>
          <w:lang w:val="uk-UA"/>
        </w:rPr>
        <w:t>ЦКА, які укладають угоду про сумісність:</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F108C" w:rsidRDefault="00EF108C" w:rsidP="00EF108C">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запроваджують належну політику, процедури та системи для ефективного виявлення, моніторингу та управління ризиками, що виникають з такої угоди, з тим, щоб вони могли своєчасно виконувати свої обов’язки;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5D7AC3" w:rsidRDefault="0057040E" w:rsidP="0057040E">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домовляються про свої відповідні права і обов’язки, зокрема щодо застосовного законодавства, яким регулюються їхні взаємовідносини;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5D7AC3" w:rsidRDefault="0051788C" w:rsidP="0051788C">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виявляють кредитні ризики та ризики втрати ліквідності, ведуть моніторинг таких ризиків і ефективно управляють ними з тим, щоб випадок неплатоспроможності учасника клірингу одного ЦКА не впливав на сумісного ЦКА;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51788C" w:rsidP="007F5B2E">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виявляють, ведуть моніторинг і усувають можливі взаємозалежності та взаємозв’язки, що випливають з угоди про сумісність і можуть впливати на кредитні ризики та ризики втрати ліквідності стосовно концентрації членів клірингу, а також </w:t>
            </w:r>
            <w:r w:rsidR="007F5B2E">
              <w:rPr>
                <w:rFonts w:ascii="Times New Roman" w:eastAsia="Times New Roman" w:hAnsi="Times New Roman" w:cs="Times New Roman"/>
                <w:sz w:val="27"/>
                <w:szCs w:val="27"/>
                <w:lang w:val="uk-UA"/>
              </w:rPr>
              <w:t>на об’єднані фінансові ресурси.</w:t>
            </w:r>
          </w:p>
        </w:tc>
      </w:tr>
    </w:tbl>
    <w:p w:rsidR="00DE77B0" w:rsidRPr="004A4C2F" w:rsidRDefault="007F5B2E" w:rsidP="004A4C2F">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У цілях </w:t>
      </w:r>
      <w:r w:rsidR="004A4C2F">
        <w:rPr>
          <w:rFonts w:ascii="Times New Roman" w:eastAsia="Times New Roman" w:hAnsi="Times New Roman" w:cs="Times New Roman"/>
          <w:sz w:val="27"/>
          <w:szCs w:val="27"/>
          <w:lang w:val="uk-UA"/>
        </w:rPr>
        <w:t>під</w:t>
      </w:r>
      <w:r>
        <w:rPr>
          <w:rFonts w:ascii="Times New Roman" w:eastAsia="Times New Roman" w:hAnsi="Times New Roman" w:cs="Times New Roman"/>
          <w:sz w:val="27"/>
          <w:szCs w:val="27"/>
          <w:lang w:val="uk-UA"/>
        </w:rPr>
        <w:t>пункту</w:t>
      </w:r>
      <w:r w:rsidR="00DE77B0" w:rsidRPr="004A4C2F">
        <w:rPr>
          <w:rFonts w:ascii="Times New Roman" w:eastAsia="Times New Roman" w:hAnsi="Times New Roman" w:cs="Times New Roman"/>
          <w:sz w:val="27"/>
          <w:szCs w:val="27"/>
        </w:rPr>
        <w:t xml:space="preserve"> (</w:t>
      </w:r>
      <w:r w:rsidR="00DE77B0" w:rsidRPr="006279CF">
        <w:rPr>
          <w:rFonts w:ascii="Times New Roman" w:eastAsia="Times New Roman" w:hAnsi="Times New Roman" w:cs="Times New Roman"/>
          <w:sz w:val="27"/>
          <w:szCs w:val="27"/>
        </w:rPr>
        <w:t>b</w:t>
      </w:r>
      <w:r w:rsidR="00DE77B0" w:rsidRPr="004A4C2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lang w:val="uk-UA"/>
        </w:rPr>
        <w:t xml:space="preserve">першого абзацу ЦКА застосовують ті самі правила стосовно моменту </w:t>
      </w:r>
      <w:r w:rsidR="009353AE">
        <w:rPr>
          <w:rFonts w:ascii="Times New Roman" w:eastAsia="Times New Roman" w:hAnsi="Times New Roman" w:cs="Times New Roman"/>
          <w:sz w:val="27"/>
          <w:szCs w:val="27"/>
          <w:lang w:val="uk-UA"/>
        </w:rPr>
        <w:t xml:space="preserve">введення платіжних доручень у свої відповідні системи та моменту настання </w:t>
      </w:r>
      <w:proofErr w:type="spellStart"/>
      <w:r w:rsidR="004A4C2F">
        <w:rPr>
          <w:rFonts w:ascii="Times New Roman" w:eastAsia="Times New Roman" w:hAnsi="Times New Roman" w:cs="Times New Roman"/>
          <w:sz w:val="27"/>
          <w:szCs w:val="27"/>
          <w:lang w:val="uk-UA"/>
        </w:rPr>
        <w:t>безвідкличності</w:t>
      </w:r>
      <w:proofErr w:type="spellEnd"/>
      <w:r w:rsidR="004A4C2F">
        <w:rPr>
          <w:rFonts w:ascii="Times New Roman" w:eastAsia="Times New Roman" w:hAnsi="Times New Roman" w:cs="Times New Roman"/>
          <w:sz w:val="27"/>
          <w:szCs w:val="27"/>
          <w:lang w:val="uk-UA"/>
        </w:rPr>
        <w:t>, що викладені у Директиві</w:t>
      </w:r>
      <w:r w:rsidR="00DE77B0" w:rsidRPr="006279CF">
        <w:rPr>
          <w:rFonts w:ascii="Times New Roman" w:eastAsia="Times New Roman" w:hAnsi="Times New Roman" w:cs="Times New Roman"/>
          <w:sz w:val="27"/>
          <w:szCs w:val="27"/>
        </w:rPr>
        <w:t xml:space="preserve"> 98/26/EC, </w:t>
      </w:r>
      <w:r w:rsidR="004A4C2F">
        <w:rPr>
          <w:rFonts w:ascii="Times New Roman" w:eastAsia="Times New Roman" w:hAnsi="Times New Roman" w:cs="Times New Roman"/>
          <w:sz w:val="27"/>
          <w:szCs w:val="27"/>
          <w:lang w:val="uk-UA"/>
        </w:rPr>
        <w:t>де це доречно.</w:t>
      </w:r>
    </w:p>
    <w:p w:rsidR="004A4C2F" w:rsidRPr="004A4C2F" w:rsidRDefault="004A4C2F"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У цілях підпункту (с) першого абзацу в умовах угоди про сумісність окреслюється процес управління наслідками неплатоспроможності у випадку, якщо свої зобов’язання не виконав один із ЦКА, з якими укладено угоду про сумісність.</w:t>
      </w:r>
    </w:p>
    <w:p w:rsidR="00DE77B0" w:rsidRPr="004D7064" w:rsidRDefault="004A4C2F" w:rsidP="00A44BA1">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У цілях підпункту (</w:t>
      </w:r>
      <w:r>
        <w:rPr>
          <w:rFonts w:ascii="Times New Roman" w:eastAsia="Times New Roman" w:hAnsi="Times New Roman" w:cs="Times New Roman"/>
          <w:sz w:val="27"/>
          <w:szCs w:val="27"/>
        </w:rPr>
        <w:t>d</w:t>
      </w:r>
      <w:r>
        <w:rPr>
          <w:rFonts w:ascii="Times New Roman" w:eastAsia="Times New Roman" w:hAnsi="Times New Roman" w:cs="Times New Roman"/>
          <w:sz w:val="27"/>
          <w:szCs w:val="27"/>
          <w:lang w:val="uk-UA"/>
        </w:rPr>
        <w:t>) першого абза</w:t>
      </w:r>
      <w:r w:rsidR="002A600F">
        <w:rPr>
          <w:rFonts w:ascii="Times New Roman" w:eastAsia="Times New Roman" w:hAnsi="Times New Roman" w:cs="Times New Roman"/>
          <w:sz w:val="27"/>
          <w:szCs w:val="27"/>
          <w:lang w:val="uk-UA"/>
        </w:rPr>
        <w:t xml:space="preserve">цу ЦКА запроваджують </w:t>
      </w:r>
      <w:r w:rsidR="00A44BA1">
        <w:rPr>
          <w:rFonts w:ascii="Times New Roman" w:eastAsia="Times New Roman" w:hAnsi="Times New Roman" w:cs="Times New Roman"/>
          <w:sz w:val="27"/>
          <w:szCs w:val="27"/>
          <w:lang w:val="uk-UA"/>
        </w:rPr>
        <w:t xml:space="preserve">ефективні засоби контролю за повторним використанням забезпечення учасників клірингу за угодою про сумісність, якщо це дозволено їхніми компетентними органами. В </w:t>
      </w:r>
      <w:r w:rsidR="00A44BA1">
        <w:rPr>
          <w:rFonts w:ascii="Times New Roman" w:eastAsia="Times New Roman" w:hAnsi="Times New Roman" w:cs="Times New Roman"/>
          <w:sz w:val="27"/>
          <w:szCs w:val="27"/>
          <w:lang w:val="uk-UA"/>
        </w:rPr>
        <w:lastRenderedPageBreak/>
        <w:t xml:space="preserve">угоді про сумісність зазначається, як саме усуваються ці ризики, ураховуючи достатнє охоплення та необхідність обмеження </w:t>
      </w:r>
      <w:r w:rsidR="004D7064">
        <w:rPr>
          <w:rFonts w:ascii="Times New Roman" w:eastAsia="Times New Roman" w:hAnsi="Times New Roman" w:cs="Times New Roman"/>
          <w:sz w:val="27"/>
          <w:szCs w:val="27"/>
          <w:lang w:val="uk-UA"/>
        </w:rPr>
        <w:t>ланцюгової реакції.</w:t>
      </w:r>
    </w:p>
    <w:p w:rsidR="000E401B" w:rsidRPr="005D7AC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0E401B">
        <w:rPr>
          <w:rFonts w:ascii="Times New Roman" w:eastAsia="Times New Roman" w:hAnsi="Times New Roman" w:cs="Times New Roman"/>
          <w:sz w:val="27"/>
          <w:szCs w:val="27"/>
          <w:lang w:val="uk-UA"/>
        </w:rPr>
        <w:t xml:space="preserve">Якщо моделі управління ризиками, використовувані ЦКА для покриття своїх зобов’язань перед своїми учасниками клірингу або їхніх взаємних зобов’язань, різні, то ЦКА виявляють ці відмінності, оцінюють ризики, що можуть виникнути </w:t>
      </w:r>
      <w:r w:rsidR="004D7064">
        <w:rPr>
          <w:rFonts w:ascii="Times New Roman" w:eastAsia="Times New Roman" w:hAnsi="Times New Roman" w:cs="Times New Roman"/>
          <w:sz w:val="27"/>
          <w:szCs w:val="27"/>
          <w:lang w:val="uk-UA"/>
        </w:rPr>
        <w:t>з них, і вживають заходів, зокрема залучають додаткові фінансові ресурси, які обмежують їхній вплив на угоду про сумісність, а також потенційні наслідки з точки зору ризиків виникнення ланцюгової реакції, та забезпечують, щоб ці відмінності не впливали на здатність кожного ЦКА усувати наслідки неплатоспроможності учасника клірингу.</w:t>
      </w:r>
    </w:p>
    <w:p w:rsidR="00DE77B0" w:rsidRPr="005D7AC3" w:rsidRDefault="00DE77B0" w:rsidP="00D47891">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4D7064">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4D7064">
        <w:rPr>
          <w:rFonts w:ascii="Times New Roman" w:eastAsia="Times New Roman" w:hAnsi="Times New Roman" w:cs="Times New Roman"/>
          <w:sz w:val="27"/>
          <w:szCs w:val="27"/>
          <w:lang w:val="uk-UA"/>
        </w:rPr>
        <w:t xml:space="preserve">Усі супутні витрати, що виникають через пункти 1 і 2, несе той ЦКА, який </w:t>
      </w:r>
      <w:r w:rsidR="00D47891">
        <w:rPr>
          <w:rFonts w:ascii="Times New Roman" w:eastAsia="Times New Roman" w:hAnsi="Times New Roman" w:cs="Times New Roman"/>
          <w:sz w:val="27"/>
          <w:szCs w:val="27"/>
          <w:lang w:val="uk-UA"/>
        </w:rPr>
        <w:t>вимагає сумісності або доступу, якщо сторонами не погоджено інше.</w:t>
      </w:r>
    </w:p>
    <w:p w:rsidR="00DE77B0" w:rsidRPr="005D7AC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5D7AC3">
        <w:rPr>
          <w:rFonts w:ascii="Times New Roman" w:eastAsia="Times New Roman" w:hAnsi="Times New Roman" w:cs="Times New Roman"/>
          <w:i/>
          <w:iCs/>
          <w:sz w:val="27"/>
          <w:szCs w:val="27"/>
          <w:lang w:val="ru-RU"/>
        </w:rPr>
        <w:t>Стаття</w:t>
      </w:r>
      <w:proofErr w:type="spellEnd"/>
      <w:r w:rsidR="00DE77B0" w:rsidRPr="005D7AC3">
        <w:rPr>
          <w:rFonts w:ascii="Times New Roman" w:eastAsia="Times New Roman" w:hAnsi="Times New Roman" w:cs="Times New Roman"/>
          <w:i/>
          <w:iCs/>
          <w:sz w:val="27"/>
          <w:szCs w:val="27"/>
          <w:lang w:val="ru-RU"/>
        </w:rPr>
        <w:t xml:space="preserve"> 53</w:t>
      </w:r>
    </w:p>
    <w:p w:rsidR="00DE77B0" w:rsidRPr="005D7AC3" w:rsidRDefault="00D47891"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Надання маржі між ЦКА</w:t>
      </w:r>
    </w:p>
    <w:p w:rsidR="00DE77B0" w:rsidRPr="00C17235" w:rsidRDefault="00DE77B0" w:rsidP="005D7AC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151F59" w:rsidRPr="005D7AC3">
        <w:rPr>
          <w:rFonts w:ascii="Times New Roman" w:eastAsia="Times New Roman" w:hAnsi="Times New Roman" w:cs="Times New Roman"/>
          <w:sz w:val="27"/>
          <w:szCs w:val="27"/>
          <w:lang w:val="ru-RU"/>
        </w:rPr>
        <w:t>ЦКА</w:t>
      </w:r>
      <w:r w:rsidRPr="005D7AC3">
        <w:rPr>
          <w:rFonts w:ascii="Times New Roman" w:eastAsia="Times New Roman" w:hAnsi="Times New Roman" w:cs="Times New Roman"/>
          <w:sz w:val="27"/>
          <w:szCs w:val="27"/>
          <w:lang w:val="ru-RU"/>
        </w:rPr>
        <w:t xml:space="preserve"> </w:t>
      </w:r>
      <w:r w:rsidR="005D7AC3">
        <w:rPr>
          <w:rFonts w:ascii="Times New Roman" w:eastAsia="Times New Roman" w:hAnsi="Times New Roman" w:cs="Times New Roman"/>
          <w:sz w:val="27"/>
          <w:szCs w:val="27"/>
          <w:lang w:val="uk-UA"/>
        </w:rPr>
        <w:t>відрізняє у рахунках активи та позиції, утримувані на користь ЦКА, з якими він уклав угоду про сумісність.</w:t>
      </w:r>
    </w:p>
    <w:p w:rsidR="005D7AC3" w:rsidRPr="00C17235"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D7AC3">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5D7AC3">
        <w:rPr>
          <w:rFonts w:ascii="Times New Roman" w:eastAsia="Times New Roman" w:hAnsi="Times New Roman" w:cs="Times New Roman"/>
          <w:sz w:val="27"/>
          <w:szCs w:val="27"/>
          <w:lang w:val="uk-UA"/>
        </w:rPr>
        <w:t xml:space="preserve">Якщо ЦКА, що уклав угоду про сумісність з іншим ЦКА, надає цьому ЦКА тільки початкову маржу за угодою про фінансове забезпечення </w:t>
      </w:r>
      <w:r w:rsidR="0099784A">
        <w:rPr>
          <w:rFonts w:ascii="Times New Roman" w:eastAsia="Times New Roman" w:hAnsi="Times New Roman" w:cs="Times New Roman"/>
          <w:sz w:val="27"/>
          <w:szCs w:val="27"/>
          <w:lang w:val="uk-UA"/>
        </w:rPr>
        <w:t>цінними паперами, то ЦКА-отримувач не має права використовувати маржу понад ту, що надана іншим ЦКА.</w:t>
      </w:r>
    </w:p>
    <w:p w:rsidR="00DE77B0" w:rsidRPr="0099784A"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99784A">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99784A">
        <w:rPr>
          <w:rFonts w:ascii="Times New Roman" w:eastAsia="Times New Roman" w:hAnsi="Times New Roman" w:cs="Times New Roman"/>
          <w:sz w:val="27"/>
          <w:szCs w:val="27"/>
          <w:lang w:val="uk-UA"/>
        </w:rPr>
        <w:t>Забезпечення, отримане у формі фінансових інструментів, вноситься операторам систем розрахунків за цінними паперами, повідомленим відповідно до Директиви</w:t>
      </w:r>
      <w:r w:rsidRPr="0099784A">
        <w:rPr>
          <w:rFonts w:ascii="Times New Roman" w:eastAsia="Times New Roman" w:hAnsi="Times New Roman" w:cs="Times New Roman"/>
          <w:sz w:val="27"/>
          <w:szCs w:val="27"/>
          <w:lang w:val="ru-RU"/>
        </w:rPr>
        <w:t xml:space="preserve"> 98/26/</w:t>
      </w:r>
      <w:r w:rsidRPr="006279CF">
        <w:rPr>
          <w:rFonts w:ascii="Times New Roman" w:eastAsia="Times New Roman" w:hAnsi="Times New Roman" w:cs="Times New Roman"/>
          <w:sz w:val="27"/>
          <w:szCs w:val="27"/>
        </w:rPr>
        <w:t>EC</w:t>
      </w:r>
      <w:r w:rsidRPr="0099784A">
        <w:rPr>
          <w:rFonts w:ascii="Times New Roman" w:eastAsia="Times New Roman" w:hAnsi="Times New Roman" w:cs="Times New Roman"/>
          <w:sz w:val="27"/>
          <w:szCs w:val="27"/>
          <w:lang w:val="ru-RU"/>
        </w:rPr>
        <w:t>.</w:t>
      </w:r>
    </w:p>
    <w:p w:rsidR="0099784A"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17235">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99784A">
        <w:rPr>
          <w:rFonts w:ascii="Times New Roman" w:eastAsia="Times New Roman" w:hAnsi="Times New Roman" w:cs="Times New Roman"/>
          <w:sz w:val="27"/>
          <w:szCs w:val="27"/>
          <w:lang w:val="uk-UA"/>
        </w:rPr>
        <w:t>Активи, згадані у пунктах 1 і 2 цієї статті</w:t>
      </w:r>
      <w:r w:rsidR="00BE7432">
        <w:rPr>
          <w:rFonts w:ascii="Times New Roman" w:eastAsia="Times New Roman" w:hAnsi="Times New Roman" w:cs="Times New Roman"/>
          <w:sz w:val="27"/>
          <w:szCs w:val="27"/>
          <w:lang w:val="uk-UA"/>
        </w:rPr>
        <w:t>, надаються ЦКА-отримувачу тільки</w:t>
      </w:r>
      <w:r w:rsidR="00BE7432" w:rsidRPr="00BE7432">
        <w:rPr>
          <w:rFonts w:ascii="Times New Roman" w:eastAsia="Times New Roman" w:hAnsi="Times New Roman" w:cs="Times New Roman"/>
          <w:sz w:val="27"/>
          <w:szCs w:val="27"/>
          <w:lang w:val="uk-UA"/>
        </w:rPr>
        <w:t xml:space="preserve"> </w:t>
      </w:r>
      <w:r w:rsidR="00BE7432">
        <w:rPr>
          <w:rFonts w:ascii="Times New Roman" w:eastAsia="Times New Roman" w:hAnsi="Times New Roman" w:cs="Times New Roman"/>
          <w:sz w:val="27"/>
          <w:szCs w:val="27"/>
          <w:lang w:val="uk-UA"/>
        </w:rPr>
        <w:t>у випадку неплатоспроможності ЦКА, який надав забезпечення в контексті угоди про сумісність.</w:t>
      </w:r>
    </w:p>
    <w:p w:rsidR="00DE77B0" w:rsidRPr="00C17235" w:rsidRDefault="00DE77B0" w:rsidP="001D0F5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BE7432">
        <w:rPr>
          <w:rFonts w:ascii="Times New Roman" w:eastAsia="Times New Roman" w:hAnsi="Times New Roman" w:cs="Times New Roman"/>
          <w:sz w:val="27"/>
          <w:szCs w:val="27"/>
          <w:lang w:val="uk-UA"/>
        </w:rPr>
        <w:t>У випадку неплатоспроможності ЦКА, який надав забезпечення в контексті угоди про сумісність</w:t>
      </w:r>
      <w:r w:rsidRPr="00BE7432">
        <w:rPr>
          <w:rFonts w:ascii="Times New Roman" w:eastAsia="Times New Roman" w:hAnsi="Times New Roman" w:cs="Times New Roman"/>
          <w:sz w:val="27"/>
          <w:szCs w:val="27"/>
          <w:lang w:val="ru-RU"/>
        </w:rPr>
        <w:t xml:space="preserve">, </w:t>
      </w:r>
      <w:r w:rsidR="00BE7432">
        <w:rPr>
          <w:rFonts w:ascii="Times New Roman" w:eastAsia="Times New Roman" w:hAnsi="Times New Roman" w:cs="Times New Roman"/>
          <w:sz w:val="27"/>
          <w:szCs w:val="27"/>
          <w:lang w:val="uk-UA"/>
        </w:rPr>
        <w:t>забезпечення, згадане у пунктах 1 і 2 цієї статті, невідкладно повертається ЦКА, який його надав</w:t>
      </w:r>
      <w:r w:rsidR="001D0F55">
        <w:rPr>
          <w:rFonts w:ascii="Times New Roman" w:eastAsia="Times New Roman" w:hAnsi="Times New Roman" w:cs="Times New Roman"/>
          <w:sz w:val="27"/>
          <w:szCs w:val="27"/>
          <w:lang w:val="uk-UA"/>
        </w:rPr>
        <w:t>.</w:t>
      </w:r>
    </w:p>
    <w:p w:rsidR="00DE77B0" w:rsidRPr="005D7AC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5D7AC3">
        <w:rPr>
          <w:rFonts w:ascii="Times New Roman" w:eastAsia="Times New Roman" w:hAnsi="Times New Roman" w:cs="Times New Roman"/>
          <w:i/>
          <w:iCs/>
          <w:sz w:val="27"/>
          <w:szCs w:val="27"/>
          <w:lang w:val="ru-RU"/>
        </w:rPr>
        <w:t>Стаття</w:t>
      </w:r>
      <w:proofErr w:type="spellEnd"/>
      <w:r w:rsidR="00DE77B0" w:rsidRPr="005D7AC3">
        <w:rPr>
          <w:rFonts w:ascii="Times New Roman" w:eastAsia="Times New Roman" w:hAnsi="Times New Roman" w:cs="Times New Roman"/>
          <w:i/>
          <w:iCs/>
          <w:sz w:val="27"/>
          <w:szCs w:val="27"/>
          <w:lang w:val="ru-RU"/>
        </w:rPr>
        <w:t xml:space="preserve"> 54</w:t>
      </w:r>
    </w:p>
    <w:p w:rsidR="00DE77B0" w:rsidRPr="00DF37AF" w:rsidRDefault="001D0F55"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Схвал</w:t>
      </w:r>
      <w:r w:rsidR="00DF37AF">
        <w:rPr>
          <w:rFonts w:ascii="Times New Roman" w:eastAsia="Times New Roman" w:hAnsi="Times New Roman" w:cs="Times New Roman"/>
          <w:b/>
          <w:bCs/>
          <w:sz w:val="27"/>
          <w:szCs w:val="27"/>
          <w:lang w:val="uk-UA"/>
        </w:rPr>
        <w:t>ення угод про сумісність</w:t>
      </w:r>
    </w:p>
    <w:p w:rsidR="00DE77B0" w:rsidRPr="00C17235" w:rsidRDefault="00DE77B0" w:rsidP="001D0F5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D7AC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1D0F55">
        <w:rPr>
          <w:rFonts w:ascii="Times New Roman" w:eastAsia="Times New Roman" w:hAnsi="Times New Roman" w:cs="Times New Roman"/>
          <w:sz w:val="27"/>
          <w:szCs w:val="27"/>
          <w:lang w:val="uk-UA"/>
        </w:rPr>
        <w:t>Угода про сумісність підлягає попередньому схваленню компетентних органів ЦКА, що її укладають. При цьому діє порядок, передбачений статтею 17.</w:t>
      </w:r>
    </w:p>
    <w:p w:rsidR="00DE77B0" w:rsidRPr="00C17235" w:rsidRDefault="00DE77B0" w:rsidP="002743E4">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17235">
        <w:rPr>
          <w:rFonts w:ascii="Times New Roman" w:eastAsia="Times New Roman" w:hAnsi="Times New Roman" w:cs="Times New Roman"/>
          <w:sz w:val="27"/>
          <w:szCs w:val="27"/>
          <w:lang w:val="uk-UA"/>
        </w:rPr>
        <w:lastRenderedPageBreak/>
        <w:t>2.</w:t>
      </w:r>
      <w:r w:rsidRPr="006279CF">
        <w:rPr>
          <w:rFonts w:ascii="Times New Roman" w:eastAsia="Times New Roman" w:hAnsi="Times New Roman" w:cs="Times New Roman"/>
          <w:sz w:val="27"/>
          <w:szCs w:val="27"/>
        </w:rPr>
        <w:t>   </w:t>
      </w:r>
      <w:r w:rsidR="001D0F55">
        <w:rPr>
          <w:rFonts w:ascii="Times New Roman" w:eastAsia="Times New Roman" w:hAnsi="Times New Roman" w:cs="Times New Roman"/>
          <w:sz w:val="27"/>
          <w:szCs w:val="27"/>
          <w:lang w:val="uk-UA"/>
        </w:rPr>
        <w:t>Компетентні органи</w:t>
      </w:r>
      <w:r w:rsidR="000A4259" w:rsidRPr="00C17235">
        <w:rPr>
          <w:rFonts w:ascii="Times New Roman" w:eastAsia="Times New Roman" w:hAnsi="Times New Roman" w:cs="Times New Roman"/>
          <w:sz w:val="27"/>
          <w:szCs w:val="27"/>
          <w:lang w:val="uk-UA"/>
        </w:rPr>
        <w:t xml:space="preserve"> </w:t>
      </w:r>
      <w:r w:rsidR="000A4259">
        <w:rPr>
          <w:rFonts w:ascii="Times New Roman" w:eastAsia="Times New Roman" w:hAnsi="Times New Roman" w:cs="Times New Roman"/>
          <w:sz w:val="27"/>
          <w:szCs w:val="27"/>
          <w:lang w:val="uk-UA"/>
        </w:rPr>
        <w:t xml:space="preserve">схвалюють </w:t>
      </w:r>
      <w:r w:rsidR="007B5A44" w:rsidRPr="00C17235">
        <w:rPr>
          <w:rFonts w:ascii="Times New Roman" w:eastAsia="Times New Roman" w:hAnsi="Times New Roman" w:cs="Times New Roman"/>
          <w:sz w:val="27"/>
          <w:szCs w:val="27"/>
          <w:lang w:val="uk-UA"/>
        </w:rPr>
        <w:t xml:space="preserve">угоду про </w:t>
      </w:r>
      <w:r w:rsidR="007B5A44">
        <w:rPr>
          <w:rFonts w:ascii="Times New Roman" w:eastAsia="Times New Roman" w:hAnsi="Times New Roman" w:cs="Times New Roman"/>
          <w:sz w:val="27"/>
          <w:szCs w:val="27"/>
          <w:lang w:val="uk-UA"/>
        </w:rPr>
        <w:t xml:space="preserve">сумісність тільки за умови, що ЦКА, які її укладають, уповноважені здійснювати кліринг відповідно до статті 17 або визнані відповідно до статті 25 чи уповноважені за вже існуючим національним режимом надання повноважень на строк </w:t>
      </w:r>
      <w:proofErr w:type="spellStart"/>
      <w:r w:rsidR="007B5A44">
        <w:rPr>
          <w:rFonts w:ascii="Times New Roman" w:eastAsia="Times New Roman" w:hAnsi="Times New Roman" w:cs="Times New Roman"/>
          <w:sz w:val="27"/>
          <w:szCs w:val="27"/>
          <w:lang w:val="uk-UA"/>
        </w:rPr>
        <w:t>щонайменш</w:t>
      </w:r>
      <w:proofErr w:type="spellEnd"/>
      <w:r w:rsidR="007B5A44">
        <w:rPr>
          <w:rFonts w:ascii="Times New Roman" w:eastAsia="Times New Roman" w:hAnsi="Times New Roman" w:cs="Times New Roman"/>
          <w:sz w:val="27"/>
          <w:szCs w:val="27"/>
          <w:lang w:val="uk-UA"/>
        </w:rPr>
        <w:t xml:space="preserve"> як три роки, </w:t>
      </w:r>
      <w:r w:rsidR="002743E4">
        <w:rPr>
          <w:rFonts w:ascii="Times New Roman" w:eastAsia="Times New Roman" w:hAnsi="Times New Roman" w:cs="Times New Roman"/>
          <w:sz w:val="27"/>
          <w:szCs w:val="27"/>
          <w:lang w:val="uk-UA"/>
        </w:rPr>
        <w:t>виконані вимоги, викладені у статті 52, технічні умови клірингу на умовах угоди про сумісність, забезпечують безперебійне та впорядковане функціонування фінансових ринків, а угода про сумісність не зменшує ефективність нагляду.</w:t>
      </w:r>
    </w:p>
    <w:p w:rsidR="00DE77B0" w:rsidRPr="00C17235" w:rsidRDefault="00DE77B0" w:rsidP="00023AB1">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17235">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2743E4">
        <w:rPr>
          <w:rFonts w:ascii="Times New Roman" w:eastAsia="Times New Roman" w:hAnsi="Times New Roman" w:cs="Times New Roman"/>
          <w:sz w:val="27"/>
          <w:szCs w:val="27"/>
          <w:lang w:val="uk-UA"/>
        </w:rPr>
        <w:t>Якщо</w:t>
      </w:r>
      <w:r w:rsidRPr="00C17235">
        <w:rPr>
          <w:rFonts w:ascii="Times New Roman" w:eastAsia="Times New Roman" w:hAnsi="Times New Roman" w:cs="Times New Roman"/>
          <w:sz w:val="27"/>
          <w:szCs w:val="27"/>
          <w:lang w:val="uk-UA"/>
        </w:rPr>
        <w:t xml:space="preserve"> </w:t>
      </w:r>
      <w:r w:rsidR="007E705A" w:rsidRPr="00C17235">
        <w:rPr>
          <w:rFonts w:ascii="Times New Roman" w:eastAsia="Times New Roman" w:hAnsi="Times New Roman" w:cs="Times New Roman"/>
          <w:sz w:val="27"/>
          <w:szCs w:val="27"/>
          <w:lang w:val="uk-UA"/>
        </w:rPr>
        <w:t>компетентний орган</w:t>
      </w:r>
      <w:r w:rsidRPr="00C17235">
        <w:rPr>
          <w:rFonts w:ascii="Times New Roman" w:eastAsia="Times New Roman" w:hAnsi="Times New Roman" w:cs="Times New Roman"/>
          <w:sz w:val="27"/>
          <w:szCs w:val="27"/>
          <w:lang w:val="uk-UA"/>
        </w:rPr>
        <w:t xml:space="preserve"> </w:t>
      </w:r>
      <w:r w:rsidR="002743E4">
        <w:rPr>
          <w:rFonts w:ascii="Times New Roman" w:eastAsia="Times New Roman" w:hAnsi="Times New Roman" w:cs="Times New Roman"/>
          <w:sz w:val="27"/>
          <w:szCs w:val="27"/>
          <w:lang w:val="uk-UA"/>
        </w:rPr>
        <w:t xml:space="preserve">вважає, що вимоги, викладені у пункті 2 цієї статті, не виконані, він надає у письмовій формі пояснення щодо своїх </w:t>
      </w:r>
      <w:r w:rsidR="00023AB1">
        <w:rPr>
          <w:rFonts w:ascii="Times New Roman" w:eastAsia="Times New Roman" w:hAnsi="Times New Roman" w:cs="Times New Roman"/>
          <w:sz w:val="27"/>
          <w:szCs w:val="27"/>
          <w:lang w:val="uk-UA"/>
        </w:rPr>
        <w:t>факторів ризику</w:t>
      </w:r>
      <w:r w:rsidR="002743E4">
        <w:rPr>
          <w:rFonts w:ascii="Times New Roman" w:eastAsia="Times New Roman" w:hAnsi="Times New Roman" w:cs="Times New Roman"/>
          <w:sz w:val="27"/>
          <w:szCs w:val="27"/>
          <w:lang w:val="uk-UA"/>
        </w:rPr>
        <w:t xml:space="preserve"> іншим компетентним органам і ЦКА, які укладають угоду. Він також повідомляє </w:t>
      </w:r>
      <w:r w:rsidR="002743E4">
        <w:rPr>
          <w:rFonts w:ascii="Times New Roman" w:eastAsia="Times New Roman" w:hAnsi="Times New Roman" w:cs="Times New Roman"/>
          <w:sz w:val="27"/>
          <w:szCs w:val="27"/>
        </w:rPr>
        <w:t>ESMA</w:t>
      </w:r>
      <w:r w:rsidR="002743E4">
        <w:rPr>
          <w:rFonts w:ascii="Times New Roman" w:eastAsia="Times New Roman" w:hAnsi="Times New Roman" w:cs="Times New Roman"/>
          <w:sz w:val="27"/>
          <w:szCs w:val="27"/>
          <w:lang w:val="uk-UA"/>
        </w:rPr>
        <w:t xml:space="preserve">, яка видає висновок щодо фактичної </w:t>
      </w:r>
      <w:r w:rsidR="00023AB1">
        <w:rPr>
          <w:rFonts w:ascii="Times New Roman" w:eastAsia="Times New Roman" w:hAnsi="Times New Roman" w:cs="Times New Roman"/>
          <w:sz w:val="27"/>
          <w:szCs w:val="27"/>
          <w:lang w:val="uk-UA"/>
        </w:rPr>
        <w:t xml:space="preserve">чинності факторів ризику як підстав для відмови у схваленні угоди про сумісність. Висновок </w:t>
      </w:r>
      <w:r w:rsidR="00023AB1">
        <w:rPr>
          <w:rFonts w:ascii="Times New Roman" w:eastAsia="Times New Roman" w:hAnsi="Times New Roman" w:cs="Times New Roman"/>
          <w:sz w:val="27"/>
          <w:szCs w:val="27"/>
        </w:rPr>
        <w:t>ESMA</w:t>
      </w:r>
      <w:r w:rsidR="00023AB1">
        <w:rPr>
          <w:rFonts w:ascii="Times New Roman" w:eastAsia="Times New Roman" w:hAnsi="Times New Roman" w:cs="Times New Roman"/>
          <w:sz w:val="27"/>
          <w:szCs w:val="27"/>
          <w:lang w:val="uk-UA"/>
        </w:rPr>
        <w:t xml:space="preserve"> надається всім відповідним ЦКА. Якщо висновок </w:t>
      </w:r>
      <w:r w:rsidR="00023AB1">
        <w:rPr>
          <w:rFonts w:ascii="Times New Roman" w:eastAsia="Times New Roman" w:hAnsi="Times New Roman" w:cs="Times New Roman"/>
          <w:sz w:val="27"/>
          <w:szCs w:val="27"/>
        </w:rPr>
        <w:t>ESMA</w:t>
      </w:r>
      <w:r w:rsidR="00023AB1">
        <w:rPr>
          <w:rFonts w:ascii="Times New Roman" w:eastAsia="Times New Roman" w:hAnsi="Times New Roman" w:cs="Times New Roman"/>
          <w:sz w:val="27"/>
          <w:szCs w:val="27"/>
          <w:lang w:val="uk-UA"/>
        </w:rPr>
        <w:t xml:space="preserve"> відрізняється від оцінки відповідного компетентного органу, то це компетентний орган переглядає свою позицію, враховуючи висновок </w:t>
      </w:r>
      <w:r w:rsidR="00023AB1">
        <w:rPr>
          <w:rFonts w:ascii="Times New Roman" w:eastAsia="Times New Roman" w:hAnsi="Times New Roman" w:cs="Times New Roman"/>
          <w:sz w:val="27"/>
          <w:szCs w:val="27"/>
        </w:rPr>
        <w:t>ESMA</w:t>
      </w:r>
      <w:r w:rsidR="00023AB1" w:rsidRPr="00C17235">
        <w:rPr>
          <w:rFonts w:ascii="Times New Roman" w:eastAsia="Times New Roman" w:hAnsi="Times New Roman" w:cs="Times New Roman"/>
          <w:sz w:val="27"/>
          <w:szCs w:val="27"/>
          <w:lang w:val="uk-UA"/>
        </w:rPr>
        <w:t>.</w:t>
      </w:r>
    </w:p>
    <w:p w:rsidR="00DE77B0" w:rsidRPr="00045DBE" w:rsidRDefault="00DE77B0" w:rsidP="00045DB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023AB1">
        <w:rPr>
          <w:rFonts w:ascii="Times New Roman" w:eastAsia="Times New Roman" w:hAnsi="Times New Roman" w:cs="Times New Roman"/>
          <w:sz w:val="27"/>
          <w:szCs w:val="27"/>
          <w:lang w:val="uk-UA"/>
        </w:rPr>
        <w:t xml:space="preserve">До 31 грудня 2012 р. </w:t>
      </w:r>
      <w:r w:rsidR="00023AB1">
        <w:rPr>
          <w:rFonts w:ascii="Times New Roman" w:eastAsia="Times New Roman" w:hAnsi="Times New Roman" w:cs="Times New Roman"/>
          <w:sz w:val="27"/>
          <w:szCs w:val="27"/>
        </w:rPr>
        <w:t>ESMA</w:t>
      </w:r>
      <w:r w:rsidR="00023AB1">
        <w:rPr>
          <w:rFonts w:ascii="Times New Roman" w:eastAsia="Times New Roman" w:hAnsi="Times New Roman" w:cs="Times New Roman"/>
          <w:sz w:val="27"/>
          <w:szCs w:val="27"/>
          <w:lang w:val="uk-UA"/>
        </w:rPr>
        <w:t xml:space="preserve"> видає </w:t>
      </w:r>
      <w:r w:rsidR="00045DBE">
        <w:rPr>
          <w:rFonts w:ascii="Times New Roman" w:eastAsia="Times New Roman" w:hAnsi="Times New Roman" w:cs="Times New Roman"/>
          <w:sz w:val="27"/>
          <w:szCs w:val="27"/>
          <w:lang w:val="uk-UA"/>
        </w:rPr>
        <w:t>настанови або рекомендації з метою проведення послідовних, ефективних і дієвих оцінок угод про сумісність відповідно до процедури, викладеної у статті 16</w:t>
      </w:r>
      <w:r w:rsidRPr="00045DBE">
        <w:rPr>
          <w:rFonts w:ascii="Times New Roman" w:eastAsia="Times New Roman" w:hAnsi="Times New Roman" w:cs="Times New Roman"/>
          <w:sz w:val="27"/>
          <w:szCs w:val="27"/>
          <w:lang w:val="ru-RU"/>
        </w:rPr>
        <w:t xml:space="preserve"> </w:t>
      </w:r>
      <w:r w:rsidR="00AC2299" w:rsidRPr="00045DBE">
        <w:rPr>
          <w:rFonts w:ascii="Times New Roman" w:eastAsia="Times New Roman" w:hAnsi="Times New Roman" w:cs="Times New Roman"/>
          <w:sz w:val="27"/>
          <w:szCs w:val="27"/>
          <w:lang w:val="ru-RU"/>
        </w:rPr>
        <w:t>Регламенту (</w:t>
      </w:r>
      <w:r w:rsidR="00AC2299">
        <w:rPr>
          <w:rFonts w:ascii="Times New Roman" w:eastAsia="Times New Roman" w:hAnsi="Times New Roman" w:cs="Times New Roman"/>
          <w:sz w:val="27"/>
          <w:szCs w:val="27"/>
        </w:rPr>
        <w:t>EU</w:t>
      </w:r>
      <w:r w:rsidR="00AC2299" w:rsidRPr="00045DBE">
        <w:rPr>
          <w:rFonts w:ascii="Times New Roman" w:eastAsia="Times New Roman" w:hAnsi="Times New Roman" w:cs="Times New Roman"/>
          <w:sz w:val="27"/>
          <w:szCs w:val="27"/>
          <w:lang w:val="ru-RU"/>
        </w:rPr>
        <w:t>) №</w:t>
      </w:r>
      <w:r w:rsidRPr="006279CF">
        <w:rPr>
          <w:rFonts w:ascii="Times New Roman" w:eastAsia="Times New Roman" w:hAnsi="Times New Roman" w:cs="Times New Roman"/>
          <w:sz w:val="27"/>
          <w:szCs w:val="27"/>
        </w:rPr>
        <w:t> </w:t>
      </w:r>
      <w:r w:rsidRPr="00045DBE">
        <w:rPr>
          <w:rFonts w:ascii="Times New Roman" w:eastAsia="Times New Roman" w:hAnsi="Times New Roman" w:cs="Times New Roman"/>
          <w:sz w:val="27"/>
          <w:szCs w:val="27"/>
          <w:lang w:val="ru-RU"/>
        </w:rPr>
        <w:t>1095/2010.</w:t>
      </w:r>
    </w:p>
    <w:p w:rsidR="00DE77B0" w:rsidRPr="00C17235" w:rsidRDefault="00DE77B0" w:rsidP="00045DB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t>ESMA</w:t>
      </w:r>
      <w:r w:rsidRPr="00045DBE">
        <w:rPr>
          <w:rFonts w:ascii="Times New Roman" w:eastAsia="Times New Roman" w:hAnsi="Times New Roman" w:cs="Times New Roman"/>
          <w:sz w:val="27"/>
          <w:szCs w:val="27"/>
          <w:lang w:val="ru-RU"/>
        </w:rPr>
        <w:t xml:space="preserve"> </w:t>
      </w:r>
      <w:r w:rsidR="00045DBE">
        <w:rPr>
          <w:rFonts w:ascii="Times New Roman" w:eastAsia="Times New Roman" w:hAnsi="Times New Roman" w:cs="Times New Roman"/>
          <w:sz w:val="27"/>
          <w:szCs w:val="27"/>
          <w:lang w:val="uk-UA"/>
        </w:rPr>
        <w:t>розробляє проекти цих настанов або рекомендацій за результатами консультацій з членами ЄСЦБ.</w:t>
      </w:r>
    </w:p>
    <w:p w:rsidR="00DE77B0" w:rsidRPr="00C17235" w:rsidRDefault="00DF37AF" w:rsidP="00187079">
      <w:pPr>
        <w:shd w:val="clear" w:color="auto" w:fill="FFFFFF"/>
        <w:spacing w:before="480"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РОЗДІЛ</w:t>
      </w:r>
      <w:r w:rsidR="00DE77B0" w:rsidRPr="00C17235">
        <w:rPr>
          <w:rFonts w:ascii="Times New Roman" w:eastAsia="Times New Roman" w:hAnsi="Times New Roman" w:cs="Times New Roman"/>
          <w:b/>
          <w:bCs/>
          <w:sz w:val="27"/>
          <w:szCs w:val="27"/>
          <w:lang w:val="ru-RU"/>
        </w:rPr>
        <w:t xml:space="preserve"> </w:t>
      </w:r>
      <w:r w:rsidR="00DE77B0" w:rsidRPr="006279CF">
        <w:rPr>
          <w:rFonts w:ascii="Times New Roman" w:eastAsia="Times New Roman" w:hAnsi="Times New Roman" w:cs="Times New Roman"/>
          <w:b/>
          <w:bCs/>
          <w:sz w:val="27"/>
          <w:szCs w:val="27"/>
        </w:rPr>
        <w:t>VI</w:t>
      </w:r>
    </w:p>
    <w:p w:rsidR="00DE77B0" w:rsidRDefault="00DF37AF" w:rsidP="00DF37AF">
      <w:pPr>
        <w:shd w:val="clear" w:color="auto" w:fill="FFFFFF"/>
        <w:spacing w:after="0" w:line="240" w:lineRule="auto"/>
        <w:jc w:val="center"/>
        <w:textAlignment w:val="baseline"/>
        <w:rPr>
          <w:rFonts w:ascii="Times New Roman" w:eastAsia="Times New Roman" w:hAnsi="Times New Roman" w:cs="Times New Roman"/>
          <w:b/>
          <w:bCs/>
          <w:sz w:val="27"/>
          <w:szCs w:val="27"/>
          <w:bdr w:val="none" w:sz="0" w:space="0" w:color="auto" w:frame="1"/>
          <w:lang w:val="uk-UA"/>
        </w:rPr>
      </w:pPr>
      <w:r>
        <w:rPr>
          <w:rFonts w:ascii="Times New Roman" w:eastAsia="Times New Roman" w:hAnsi="Times New Roman" w:cs="Times New Roman"/>
          <w:b/>
          <w:bCs/>
          <w:sz w:val="27"/>
          <w:szCs w:val="27"/>
          <w:bdr w:val="none" w:sz="0" w:space="0" w:color="auto" w:frame="1"/>
          <w:lang w:val="uk-UA"/>
        </w:rPr>
        <w:t>РЕЄСТРАЦІЯ ТОРГОВИХ РЕПОЗИТАРІЇВ І НАГЛЯД ЗА ЇХНЬОЮ ДІЯЛЬНІСТЮ</w:t>
      </w:r>
    </w:p>
    <w:p w:rsidR="00DF37AF" w:rsidRDefault="00DF37AF" w:rsidP="00187079">
      <w:pPr>
        <w:shd w:val="clear" w:color="auto" w:fill="FFFFFF"/>
        <w:spacing w:after="0" w:line="240" w:lineRule="auto"/>
        <w:jc w:val="center"/>
        <w:textAlignment w:val="baseline"/>
        <w:rPr>
          <w:rFonts w:ascii="Times New Roman" w:eastAsia="Times New Roman" w:hAnsi="Times New Roman" w:cs="Times New Roman"/>
          <w:b/>
          <w:bCs/>
          <w:i/>
          <w:iCs/>
          <w:sz w:val="27"/>
          <w:szCs w:val="27"/>
          <w:bdr w:val="none" w:sz="0" w:space="0" w:color="auto" w:frame="1"/>
          <w:lang w:val="uk-UA"/>
        </w:rPr>
      </w:pPr>
    </w:p>
    <w:p w:rsidR="00DE77B0" w:rsidRPr="00DF37AF" w:rsidRDefault="00DF37AF"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i/>
          <w:iCs/>
          <w:sz w:val="27"/>
          <w:szCs w:val="27"/>
          <w:bdr w:val="none" w:sz="0" w:space="0" w:color="auto" w:frame="1"/>
          <w:lang w:val="uk-UA"/>
        </w:rPr>
        <w:t>ГЛАВА</w:t>
      </w:r>
      <w:r w:rsidR="00DE77B0" w:rsidRPr="00DF37AF">
        <w:rPr>
          <w:rFonts w:ascii="Times New Roman" w:eastAsia="Times New Roman" w:hAnsi="Times New Roman" w:cs="Times New Roman"/>
          <w:b/>
          <w:bCs/>
          <w:i/>
          <w:iCs/>
          <w:sz w:val="27"/>
          <w:szCs w:val="27"/>
          <w:bdr w:val="none" w:sz="0" w:space="0" w:color="auto" w:frame="1"/>
          <w:lang w:val="ru-RU"/>
        </w:rPr>
        <w:t xml:space="preserve"> 1</w:t>
      </w:r>
    </w:p>
    <w:p w:rsidR="00DE77B0" w:rsidRPr="005D7AC3" w:rsidRDefault="00DF37AF" w:rsidP="00DF37AF">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i/>
          <w:iCs/>
          <w:sz w:val="27"/>
          <w:szCs w:val="27"/>
          <w:bdr w:val="none" w:sz="0" w:space="0" w:color="auto" w:frame="1"/>
          <w:lang w:val="uk-UA"/>
        </w:rPr>
        <w:t xml:space="preserve">Умови та порядок реєстрації торгового </w:t>
      </w:r>
      <w:proofErr w:type="spellStart"/>
      <w:r>
        <w:rPr>
          <w:rFonts w:ascii="Times New Roman" w:eastAsia="Times New Roman" w:hAnsi="Times New Roman" w:cs="Times New Roman"/>
          <w:b/>
          <w:bCs/>
          <w:i/>
          <w:iCs/>
          <w:sz w:val="27"/>
          <w:szCs w:val="27"/>
          <w:bdr w:val="none" w:sz="0" w:space="0" w:color="auto" w:frame="1"/>
          <w:lang w:val="uk-UA"/>
        </w:rPr>
        <w:t>репозитарія</w:t>
      </w:r>
      <w:proofErr w:type="spellEnd"/>
    </w:p>
    <w:p w:rsidR="00DE77B0" w:rsidRPr="00C17235"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17235">
        <w:rPr>
          <w:rFonts w:ascii="Times New Roman" w:eastAsia="Times New Roman" w:hAnsi="Times New Roman" w:cs="Times New Roman"/>
          <w:i/>
          <w:iCs/>
          <w:sz w:val="27"/>
          <w:szCs w:val="27"/>
          <w:lang w:val="ru-RU"/>
        </w:rPr>
        <w:t>Стаття</w:t>
      </w:r>
      <w:proofErr w:type="spellEnd"/>
      <w:r w:rsidR="00DE77B0" w:rsidRPr="00C17235">
        <w:rPr>
          <w:rFonts w:ascii="Times New Roman" w:eastAsia="Times New Roman" w:hAnsi="Times New Roman" w:cs="Times New Roman"/>
          <w:i/>
          <w:iCs/>
          <w:sz w:val="27"/>
          <w:szCs w:val="27"/>
          <w:lang w:val="ru-RU"/>
        </w:rPr>
        <w:t xml:space="preserve"> 55</w:t>
      </w:r>
    </w:p>
    <w:p w:rsidR="00DE77B0" w:rsidRPr="00C17235" w:rsidRDefault="00045DBE"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proofErr w:type="spellStart"/>
      <w:r>
        <w:rPr>
          <w:rFonts w:ascii="Times New Roman" w:eastAsia="Times New Roman" w:hAnsi="Times New Roman" w:cs="Times New Roman"/>
          <w:b/>
          <w:bCs/>
          <w:sz w:val="27"/>
          <w:szCs w:val="27"/>
          <w:lang w:val="uk-UA"/>
        </w:rPr>
        <w:t>Рєстрація</w:t>
      </w:r>
      <w:proofErr w:type="spellEnd"/>
      <w:r>
        <w:rPr>
          <w:rFonts w:ascii="Times New Roman" w:eastAsia="Times New Roman" w:hAnsi="Times New Roman" w:cs="Times New Roman"/>
          <w:b/>
          <w:bCs/>
          <w:sz w:val="27"/>
          <w:szCs w:val="27"/>
          <w:lang w:val="uk-UA"/>
        </w:rPr>
        <w:t xml:space="preserve"> торгового </w:t>
      </w:r>
      <w:proofErr w:type="spellStart"/>
      <w:r>
        <w:rPr>
          <w:rFonts w:ascii="Times New Roman" w:eastAsia="Times New Roman" w:hAnsi="Times New Roman" w:cs="Times New Roman"/>
          <w:b/>
          <w:bCs/>
          <w:sz w:val="27"/>
          <w:szCs w:val="27"/>
          <w:lang w:val="uk-UA"/>
        </w:rPr>
        <w:t>репозитарія</w:t>
      </w:r>
      <w:proofErr w:type="spellEnd"/>
    </w:p>
    <w:p w:rsidR="00DE77B0" w:rsidRPr="00C17235" w:rsidRDefault="00DE77B0" w:rsidP="00EB170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B170D">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EB170D">
        <w:rPr>
          <w:rFonts w:ascii="Times New Roman" w:eastAsia="Times New Roman" w:hAnsi="Times New Roman" w:cs="Times New Roman"/>
          <w:sz w:val="27"/>
          <w:szCs w:val="27"/>
          <w:lang w:val="uk-UA"/>
        </w:rPr>
        <w:t xml:space="preserve">Торговий </w:t>
      </w:r>
      <w:proofErr w:type="spellStart"/>
      <w:r w:rsidR="00EB170D">
        <w:rPr>
          <w:rFonts w:ascii="Times New Roman" w:eastAsia="Times New Roman" w:hAnsi="Times New Roman" w:cs="Times New Roman"/>
          <w:sz w:val="27"/>
          <w:szCs w:val="27"/>
          <w:lang w:val="uk-UA"/>
        </w:rPr>
        <w:t>репозитарій</w:t>
      </w:r>
      <w:proofErr w:type="spellEnd"/>
      <w:r w:rsidR="00EB170D">
        <w:rPr>
          <w:rFonts w:ascii="Times New Roman" w:eastAsia="Times New Roman" w:hAnsi="Times New Roman" w:cs="Times New Roman"/>
          <w:sz w:val="27"/>
          <w:szCs w:val="27"/>
          <w:lang w:val="uk-UA"/>
        </w:rPr>
        <w:t xml:space="preserve"> реєструється у </w:t>
      </w:r>
      <w:r w:rsidR="00EB170D">
        <w:rPr>
          <w:rFonts w:ascii="Times New Roman" w:eastAsia="Times New Roman" w:hAnsi="Times New Roman" w:cs="Times New Roman"/>
          <w:sz w:val="27"/>
          <w:szCs w:val="27"/>
        </w:rPr>
        <w:t>ESMA</w:t>
      </w:r>
      <w:r w:rsidR="00EB170D">
        <w:rPr>
          <w:rFonts w:ascii="Times New Roman" w:eastAsia="Times New Roman" w:hAnsi="Times New Roman" w:cs="Times New Roman"/>
          <w:sz w:val="27"/>
          <w:szCs w:val="27"/>
          <w:lang w:val="uk-UA"/>
        </w:rPr>
        <w:t xml:space="preserve"> в цілях статті 9.</w:t>
      </w:r>
    </w:p>
    <w:p w:rsidR="00DE77B0" w:rsidRPr="00C17235" w:rsidRDefault="00DE77B0" w:rsidP="00EB170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EB170D">
        <w:rPr>
          <w:rFonts w:ascii="Times New Roman" w:eastAsia="Times New Roman" w:hAnsi="Times New Roman" w:cs="Times New Roman"/>
          <w:sz w:val="27"/>
          <w:szCs w:val="27"/>
          <w:lang w:val="uk-UA"/>
        </w:rPr>
        <w:t xml:space="preserve">Щоб мати право на реєстрацію відповідно цієї статті, торговий </w:t>
      </w:r>
      <w:proofErr w:type="spellStart"/>
      <w:r w:rsidR="00EB170D">
        <w:rPr>
          <w:rFonts w:ascii="Times New Roman" w:eastAsia="Times New Roman" w:hAnsi="Times New Roman" w:cs="Times New Roman"/>
          <w:sz w:val="27"/>
          <w:szCs w:val="27"/>
          <w:lang w:val="uk-UA"/>
        </w:rPr>
        <w:t>репозитарій</w:t>
      </w:r>
      <w:proofErr w:type="spellEnd"/>
      <w:r w:rsidR="00EB170D">
        <w:rPr>
          <w:rFonts w:ascii="Times New Roman" w:eastAsia="Times New Roman" w:hAnsi="Times New Roman" w:cs="Times New Roman"/>
          <w:sz w:val="27"/>
          <w:szCs w:val="27"/>
          <w:lang w:val="uk-UA"/>
        </w:rPr>
        <w:t xml:space="preserve"> повинен бути юридичною особою, створеною в Союзі, та відповідати вимогам, викладеним у Розділі</w:t>
      </w:r>
      <w:r w:rsidRPr="00C17235">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VII</w:t>
      </w:r>
      <w:r w:rsidRPr="00C17235">
        <w:rPr>
          <w:rFonts w:ascii="Times New Roman" w:eastAsia="Times New Roman" w:hAnsi="Times New Roman" w:cs="Times New Roman"/>
          <w:sz w:val="27"/>
          <w:szCs w:val="27"/>
          <w:lang w:val="ru-RU"/>
        </w:rPr>
        <w:t>.</w:t>
      </w:r>
    </w:p>
    <w:p w:rsidR="00DE77B0" w:rsidRPr="00C17235" w:rsidRDefault="00DE77B0" w:rsidP="00EB170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EB170D">
        <w:rPr>
          <w:rFonts w:ascii="Times New Roman" w:eastAsia="Times New Roman" w:hAnsi="Times New Roman" w:cs="Times New Roman"/>
          <w:sz w:val="27"/>
          <w:szCs w:val="27"/>
          <w:lang w:val="uk-UA"/>
        </w:rPr>
        <w:t xml:space="preserve">Реєстрація торгового </w:t>
      </w:r>
      <w:proofErr w:type="spellStart"/>
      <w:r w:rsidR="00EB170D">
        <w:rPr>
          <w:rFonts w:ascii="Times New Roman" w:eastAsia="Times New Roman" w:hAnsi="Times New Roman" w:cs="Times New Roman"/>
          <w:sz w:val="27"/>
          <w:szCs w:val="27"/>
          <w:lang w:val="uk-UA"/>
        </w:rPr>
        <w:t>репозитарія</w:t>
      </w:r>
      <w:proofErr w:type="spellEnd"/>
      <w:r w:rsidR="00EB170D">
        <w:rPr>
          <w:rFonts w:ascii="Times New Roman" w:eastAsia="Times New Roman" w:hAnsi="Times New Roman" w:cs="Times New Roman"/>
          <w:sz w:val="27"/>
          <w:szCs w:val="27"/>
          <w:lang w:val="uk-UA"/>
        </w:rPr>
        <w:t xml:space="preserve"> є чинною на всій території Союзу.</w:t>
      </w:r>
    </w:p>
    <w:p w:rsidR="00EB170D" w:rsidRPr="00EB170D"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17235">
        <w:rPr>
          <w:rFonts w:ascii="Times New Roman" w:eastAsia="Times New Roman" w:hAnsi="Times New Roman" w:cs="Times New Roman"/>
          <w:sz w:val="27"/>
          <w:szCs w:val="27"/>
          <w:lang w:val="ru-RU"/>
        </w:rPr>
        <w:lastRenderedPageBreak/>
        <w:t>4.</w:t>
      </w:r>
      <w:r w:rsidRPr="006279CF">
        <w:rPr>
          <w:rFonts w:ascii="Times New Roman" w:eastAsia="Times New Roman" w:hAnsi="Times New Roman" w:cs="Times New Roman"/>
          <w:sz w:val="27"/>
          <w:szCs w:val="27"/>
        </w:rPr>
        <w:t>   </w:t>
      </w:r>
      <w:r w:rsidR="00EB170D">
        <w:rPr>
          <w:rFonts w:ascii="Times New Roman" w:eastAsia="Times New Roman" w:hAnsi="Times New Roman" w:cs="Times New Roman"/>
          <w:sz w:val="27"/>
          <w:szCs w:val="27"/>
          <w:lang w:val="uk-UA"/>
        </w:rPr>
        <w:t xml:space="preserve">Зареєстрований торговий </w:t>
      </w:r>
      <w:proofErr w:type="spellStart"/>
      <w:r w:rsidR="00EB170D">
        <w:rPr>
          <w:rFonts w:ascii="Times New Roman" w:eastAsia="Times New Roman" w:hAnsi="Times New Roman" w:cs="Times New Roman"/>
          <w:sz w:val="27"/>
          <w:szCs w:val="27"/>
          <w:lang w:val="uk-UA"/>
        </w:rPr>
        <w:t>репозитарій</w:t>
      </w:r>
      <w:proofErr w:type="spellEnd"/>
      <w:r w:rsidR="00EB170D">
        <w:rPr>
          <w:rFonts w:ascii="Times New Roman" w:eastAsia="Times New Roman" w:hAnsi="Times New Roman" w:cs="Times New Roman"/>
          <w:sz w:val="27"/>
          <w:szCs w:val="27"/>
          <w:lang w:val="uk-UA"/>
        </w:rPr>
        <w:t xml:space="preserve"> незмінно дотримується умов реєстрації. Торговий </w:t>
      </w:r>
      <w:proofErr w:type="spellStart"/>
      <w:r w:rsidR="00EB170D">
        <w:rPr>
          <w:rFonts w:ascii="Times New Roman" w:eastAsia="Times New Roman" w:hAnsi="Times New Roman" w:cs="Times New Roman"/>
          <w:sz w:val="27"/>
          <w:szCs w:val="27"/>
          <w:lang w:val="uk-UA"/>
        </w:rPr>
        <w:t>репозитарій</w:t>
      </w:r>
      <w:proofErr w:type="spellEnd"/>
      <w:r w:rsidR="00EB170D">
        <w:rPr>
          <w:rFonts w:ascii="Times New Roman" w:eastAsia="Times New Roman" w:hAnsi="Times New Roman" w:cs="Times New Roman"/>
          <w:sz w:val="27"/>
          <w:szCs w:val="27"/>
          <w:lang w:val="uk-UA"/>
        </w:rPr>
        <w:t xml:space="preserve"> без необґрунтованої затримки повідомляє </w:t>
      </w:r>
      <w:r w:rsidR="00EB170D">
        <w:rPr>
          <w:rFonts w:ascii="Times New Roman" w:eastAsia="Times New Roman" w:hAnsi="Times New Roman" w:cs="Times New Roman"/>
          <w:sz w:val="27"/>
          <w:szCs w:val="27"/>
        </w:rPr>
        <w:t>ESMA</w:t>
      </w:r>
      <w:r w:rsidR="00EB170D">
        <w:rPr>
          <w:rFonts w:ascii="Times New Roman" w:eastAsia="Times New Roman" w:hAnsi="Times New Roman" w:cs="Times New Roman"/>
          <w:sz w:val="27"/>
          <w:szCs w:val="27"/>
          <w:lang w:val="uk-UA"/>
        </w:rPr>
        <w:t xml:space="preserve"> про всі істотні зміни в умовах реєстрації.</w:t>
      </w:r>
    </w:p>
    <w:p w:rsidR="00DE77B0" w:rsidRPr="00C17235"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17235">
        <w:rPr>
          <w:rFonts w:ascii="Times New Roman" w:eastAsia="Times New Roman" w:hAnsi="Times New Roman" w:cs="Times New Roman"/>
          <w:i/>
          <w:iCs/>
          <w:sz w:val="27"/>
          <w:szCs w:val="27"/>
          <w:lang w:val="ru-RU"/>
        </w:rPr>
        <w:t>Стаття</w:t>
      </w:r>
      <w:proofErr w:type="spellEnd"/>
      <w:r w:rsidR="00DE77B0" w:rsidRPr="00C17235">
        <w:rPr>
          <w:rFonts w:ascii="Times New Roman" w:eastAsia="Times New Roman" w:hAnsi="Times New Roman" w:cs="Times New Roman"/>
          <w:i/>
          <w:iCs/>
          <w:sz w:val="27"/>
          <w:szCs w:val="27"/>
          <w:lang w:val="ru-RU"/>
        </w:rPr>
        <w:t xml:space="preserve"> 56</w:t>
      </w:r>
    </w:p>
    <w:p w:rsidR="00DE77B0" w:rsidRPr="00EB170D" w:rsidRDefault="00EB170D"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Заява про реєстрацію</w:t>
      </w:r>
    </w:p>
    <w:p w:rsidR="00DE77B0" w:rsidRPr="00200198" w:rsidRDefault="00DE77B0" w:rsidP="00200198">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200198">
        <w:rPr>
          <w:rFonts w:ascii="Times New Roman" w:eastAsia="Times New Roman" w:hAnsi="Times New Roman" w:cs="Times New Roman"/>
          <w:sz w:val="27"/>
          <w:szCs w:val="27"/>
          <w:lang w:val="uk-UA"/>
        </w:rPr>
        <w:t xml:space="preserve">Торговий </w:t>
      </w:r>
      <w:proofErr w:type="spellStart"/>
      <w:r w:rsidR="00200198">
        <w:rPr>
          <w:rFonts w:ascii="Times New Roman" w:eastAsia="Times New Roman" w:hAnsi="Times New Roman" w:cs="Times New Roman"/>
          <w:sz w:val="27"/>
          <w:szCs w:val="27"/>
          <w:lang w:val="uk-UA"/>
        </w:rPr>
        <w:t>репозитарій</w:t>
      </w:r>
      <w:proofErr w:type="spellEnd"/>
      <w:r w:rsidR="00200198">
        <w:rPr>
          <w:rFonts w:ascii="Times New Roman" w:eastAsia="Times New Roman" w:hAnsi="Times New Roman" w:cs="Times New Roman"/>
          <w:sz w:val="27"/>
          <w:szCs w:val="27"/>
          <w:lang w:val="uk-UA"/>
        </w:rPr>
        <w:t xml:space="preserve"> подає заяву про реєстрацію до </w:t>
      </w:r>
      <w:r w:rsidRPr="006279CF">
        <w:rPr>
          <w:rFonts w:ascii="Times New Roman" w:eastAsia="Times New Roman" w:hAnsi="Times New Roman" w:cs="Times New Roman"/>
          <w:sz w:val="27"/>
          <w:szCs w:val="27"/>
        </w:rPr>
        <w:t>ESMA</w:t>
      </w:r>
      <w:r w:rsidRPr="00200198">
        <w:rPr>
          <w:rFonts w:ascii="Times New Roman" w:eastAsia="Times New Roman" w:hAnsi="Times New Roman" w:cs="Times New Roman"/>
          <w:sz w:val="27"/>
          <w:szCs w:val="27"/>
          <w:lang w:val="ru-RU"/>
        </w:rPr>
        <w:t>.</w:t>
      </w:r>
    </w:p>
    <w:p w:rsidR="00DE77B0" w:rsidRPr="00C17235" w:rsidRDefault="00DE77B0" w:rsidP="00200198">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ESMA</w:t>
      </w:r>
      <w:r w:rsidRPr="00200198">
        <w:rPr>
          <w:rFonts w:ascii="Times New Roman" w:eastAsia="Times New Roman" w:hAnsi="Times New Roman" w:cs="Times New Roman"/>
          <w:sz w:val="27"/>
          <w:szCs w:val="27"/>
          <w:lang w:val="ru-RU"/>
        </w:rPr>
        <w:t xml:space="preserve"> </w:t>
      </w:r>
      <w:r w:rsidR="00200198">
        <w:rPr>
          <w:rFonts w:ascii="Times New Roman" w:eastAsia="Times New Roman" w:hAnsi="Times New Roman" w:cs="Times New Roman"/>
          <w:sz w:val="27"/>
          <w:szCs w:val="27"/>
          <w:lang w:val="uk-UA"/>
        </w:rPr>
        <w:t>вивчає питання про те, чи є заява повною, впродовж 20 робочих днів з дати отримання заяви.</w:t>
      </w:r>
    </w:p>
    <w:p w:rsidR="00DE77B0" w:rsidRPr="00C17235" w:rsidRDefault="00200198" w:rsidP="00200198">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Якщо заява не повна,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 xml:space="preserve">встановлює строк, у який торговий </w:t>
      </w:r>
      <w:proofErr w:type="spellStart"/>
      <w:r>
        <w:rPr>
          <w:rFonts w:ascii="Times New Roman" w:eastAsia="Times New Roman" w:hAnsi="Times New Roman" w:cs="Times New Roman"/>
          <w:sz w:val="27"/>
          <w:szCs w:val="27"/>
          <w:lang w:val="uk-UA"/>
        </w:rPr>
        <w:t>репозитарій</w:t>
      </w:r>
      <w:proofErr w:type="spellEnd"/>
      <w:r>
        <w:rPr>
          <w:rFonts w:ascii="Times New Roman" w:eastAsia="Times New Roman" w:hAnsi="Times New Roman" w:cs="Times New Roman"/>
          <w:sz w:val="27"/>
          <w:szCs w:val="27"/>
          <w:lang w:val="uk-UA"/>
        </w:rPr>
        <w:t xml:space="preserve"> повинен надати додаткову інформацію.</w:t>
      </w:r>
    </w:p>
    <w:p w:rsidR="00DE77B0" w:rsidRPr="00C17235" w:rsidRDefault="00200198" w:rsidP="00200198">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Після вивчення питання про повноту заяви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відповідним чином повідомляє торгового </w:t>
      </w:r>
      <w:proofErr w:type="spellStart"/>
      <w:r>
        <w:rPr>
          <w:rFonts w:ascii="Times New Roman" w:eastAsia="Times New Roman" w:hAnsi="Times New Roman" w:cs="Times New Roman"/>
          <w:sz w:val="27"/>
          <w:szCs w:val="27"/>
          <w:lang w:val="uk-UA"/>
        </w:rPr>
        <w:t>репозитарія</w:t>
      </w:r>
      <w:proofErr w:type="spellEnd"/>
      <w:r>
        <w:rPr>
          <w:rFonts w:ascii="Times New Roman" w:eastAsia="Times New Roman" w:hAnsi="Times New Roman" w:cs="Times New Roman"/>
          <w:sz w:val="27"/>
          <w:szCs w:val="27"/>
          <w:lang w:val="uk-UA"/>
        </w:rPr>
        <w:t>.</w:t>
      </w:r>
    </w:p>
    <w:p w:rsidR="008916EB" w:rsidRPr="00C17235" w:rsidRDefault="008916EB" w:rsidP="008916E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розробляє проекти регуляторних технічних стандартів, де зазначає детальні відомості про заяву про реєстрацію, згадану в пункті 1 цієї статті.</w:t>
      </w:r>
    </w:p>
    <w:p w:rsidR="008916EB" w:rsidRPr="00EE17BA" w:rsidRDefault="008916EB" w:rsidP="008916E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t>ESMA</w:t>
      </w:r>
      <w:r w:rsidRPr="00EE17BA">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подає</w:t>
      </w:r>
      <w:proofErr w:type="spellEnd"/>
      <w:r w:rsidRPr="00EE17BA">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ці</w:t>
      </w:r>
      <w:proofErr w:type="spellEnd"/>
      <w:r w:rsidRPr="00EE17BA">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проекти</w:t>
      </w:r>
      <w:proofErr w:type="spellEnd"/>
      <w:r w:rsidRPr="00EE17BA">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регуляторних</w:t>
      </w:r>
      <w:proofErr w:type="spellEnd"/>
      <w:r w:rsidRPr="00EE17BA">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технічних</w:t>
      </w:r>
      <w:proofErr w:type="spellEnd"/>
      <w:r w:rsidRPr="00EE17BA">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стандартів</w:t>
      </w:r>
      <w:proofErr w:type="spellEnd"/>
      <w:r w:rsidRPr="00EE17BA">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Комісії</w:t>
      </w:r>
      <w:proofErr w:type="spellEnd"/>
      <w:r w:rsidRPr="00EE17BA">
        <w:rPr>
          <w:rFonts w:ascii="Times New Roman" w:eastAsia="Times New Roman" w:hAnsi="Times New Roman" w:cs="Times New Roman"/>
          <w:sz w:val="27"/>
          <w:szCs w:val="27"/>
          <w:lang w:val="ru-RU"/>
        </w:rPr>
        <w:t xml:space="preserve"> до 30 </w:t>
      </w:r>
      <w:proofErr w:type="spellStart"/>
      <w:r w:rsidRPr="00EE17BA">
        <w:rPr>
          <w:rFonts w:ascii="Times New Roman" w:eastAsia="Times New Roman" w:hAnsi="Times New Roman" w:cs="Times New Roman"/>
          <w:sz w:val="27"/>
          <w:szCs w:val="27"/>
          <w:lang w:val="ru-RU"/>
        </w:rPr>
        <w:t>вересня</w:t>
      </w:r>
      <w:proofErr w:type="spellEnd"/>
      <w:r w:rsidRPr="00EE17BA">
        <w:rPr>
          <w:rFonts w:ascii="Times New Roman" w:eastAsia="Times New Roman" w:hAnsi="Times New Roman" w:cs="Times New Roman"/>
          <w:sz w:val="27"/>
          <w:szCs w:val="27"/>
          <w:lang w:val="ru-RU"/>
        </w:rPr>
        <w:t xml:space="preserve"> 2012 р.</w:t>
      </w:r>
    </w:p>
    <w:p w:rsidR="008916EB" w:rsidRDefault="008916EB" w:rsidP="008916EB">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Комісії надається повноваження на прийняття регуляторних технічних стандартів, згаданих у першому абзаці цього пункту, </w:t>
      </w:r>
      <w:r w:rsidRPr="00620DC3">
        <w:rPr>
          <w:rFonts w:ascii="Times New Roman" w:eastAsia="Times New Roman" w:hAnsi="Times New Roman" w:cs="Times New Roman"/>
          <w:sz w:val="27"/>
          <w:szCs w:val="27"/>
          <w:lang w:val="uk-UA"/>
        </w:rPr>
        <w:t xml:space="preserve">відповідно до </w:t>
      </w:r>
      <w:proofErr w:type="spellStart"/>
      <w:r w:rsidRPr="00620DC3">
        <w:rPr>
          <w:rFonts w:ascii="Times New Roman" w:eastAsia="Times New Roman" w:hAnsi="Times New Roman" w:cs="Times New Roman"/>
          <w:sz w:val="27"/>
          <w:szCs w:val="27"/>
          <w:lang w:val="uk-UA"/>
        </w:rPr>
        <w:t>статтей</w:t>
      </w:r>
      <w:proofErr w:type="spellEnd"/>
      <w:r w:rsidRPr="00620DC3">
        <w:rPr>
          <w:rFonts w:ascii="Times New Roman" w:eastAsia="Times New Roman" w:hAnsi="Times New Roman" w:cs="Times New Roman"/>
          <w:sz w:val="27"/>
          <w:szCs w:val="27"/>
          <w:lang w:val="uk-UA"/>
        </w:rPr>
        <w:t xml:space="preserve"> 10-14 Регламенту (</w:t>
      </w:r>
      <w:r>
        <w:rPr>
          <w:rFonts w:ascii="Times New Roman" w:eastAsia="Times New Roman" w:hAnsi="Times New Roman" w:cs="Times New Roman"/>
          <w:sz w:val="27"/>
          <w:szCs w:val="27"/>
        </w:rPr>
        <w:t>EU</w:t>
      </w:r>
      <w:r w:rsidRPr="00620DC3">
        <w:rPr>
          <w:rFonts w:ascii="Times New Roman" w:eastAsia="Times New Roman" w:hAnsi="Times New Roman" w:cs="Times New Roman"/>
          <w:sz w:val="27"/>
          <w:szCs w:val="27"/>
          <w:lang w:val="uk-UA"/>
        </w:rPr>
        <w:t>) №</w:t>
      </w:r>
      <w:r w:rsidRPr="006279CF">
        <w:rPr>
          <w:rFonts w:ascii="Times New Roman" w:eastAsia="Times New Roman" w:hAnsi="Times New Roman" w:cs="Times New Roman"/>
          <w:sz w:val="27"/>
          <w:szCs w:val="27"/>
        </w:rPr>
        <w:t> </w:t>
      </w:r>
      <w:r w:rsidRPr="00620DC3">
        <w:rPr>
          <w:rFonts w:ascii="Times New Roman" w:eastAsia="Times New Roman" w:hAnsi="Times New Roman" w:cs="Times New Roman"/>
          <w:sz w:val="27"/>
          <w:szCs w:val="27"/>
          <w:lang w:val="uk-UA"/>
        </w:rPr>
        <w:t>1095/2010.</w:t>
      </w:r>
    </w:p>
    <w:p w:rsidR="00DE77B0" w:rsidRPr="00BB2D8B"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B310F">
        <w:rPr>
          <w:rFonts w:ascii="Times New Roman" w:eastAsia="Times New Roman" w:hAnsi="Times New Roman" w:cs="Times New Roman"/>
          <w:sz w:val="27"/>
          <w:szCs w:val="27"/>
          <w:lang w:val="uk-UA"/>
        </w:rPr>
        <w:t>4.</w:t>
      </w:r>
      <w:r w:rsidRPr="006279CF">
        <w:rPr>
          <w:rFonts w:ascii="Times New Roman" w:eastAsia="Times New Roman" w:hAnsi="Times New Roman" w:cs="Times New Roman"/>
          <w:sz w:val="27"/>
          <w:szCs w:val="27"/>
        </w:rPr>
        <w:t>  </w:t>
      </w:r>
      <w:r w:rsidR="006B310F">
        <w:rPr>
          <w:rFonts w:ascii="Times New Roman" w:eastAsia="Times New Roman" w:hAnsi="Times New Roman" w:cs="Times New Roman"/>
          <w:sz w:val="27"/>
          <w:szCs w:val="27"/>
          <w:lang w:val="uk-UA"/>
        </w:rPr>
        <w:t xml:space="preserve"> Для того, щоб забезпечити одноманітні умови застосування пункту 1 цієї статті, </w:t>
      </w:r>
      <w:r w:rsidR="006B310F">
        <w:rPr>
          <w:rFonts w:ascii="Times New Roman" w:eastAsia="Times New Roman" w:hAnsi="Times New Roman" w:cs="Times New Roman"/>
          <w:sz w:val="27"/>
          <w:szCs w:val="27"/>
        </w:rPr>
        <w:t>ESMA</w:t>
      </w:r>
      <w:r w:rsidR="006B310F">
        <w:rPr>
          <w:rFonts w:ascii="Times New Roman" w:eastAsia="Times New Roman" w:hAnsi="Times New Roman" w:cs="Times New Roman"/>
          <w:sz w:val="27"/>
          <w:szCs w:val="27"/>
          <w:lang w:val="uk-UA"/>
        </w:rPr>
        <w:t xml:space="preserve"> розробляє проекти виконавчих технічних стандартів, де зазначає </w:t>
      </w:r>
      <w:r w:rsidR="00BB2D8B">
        <w:rPr>
          <w:rFonts w:ascii="Times New Roman" w:eastAsia="Times New Roman" w:hAnsi="Times New Roman" w:cs="Times New Roman"/>
          <w:sz w:val="27"/>
          <w:szCs w:val="27"/>
          <w:lang w:val="uk-UA"/>
        </w:rPr>
        <w:t>формат заяви про реєстрацію до</w:t>
      </w:r>
      <w:r w:rsidRPr="00BB2D8B">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ESMA</w:t>
      </w:r>
      <w:r w:rsidRPr="00BB2D8B">
        <w:rPr>
          <w:rFonts w:ascii="Times New Roman" w:eastAsia="Times New Roman" w:hAnsi="Times New Roman" w:cs="Times New Roman"/>
          <w:sz w:val="27"/>
          <w:szCs w:val="27"/>
          <w:lang w:val="uk-UA"/>
        </w:rPr>
        <w:t>.</w:t>
      </w:r>
    </w:p>
    <w:p w:rsidR="00BB2D8B" w:rsidRPr="00BB2D8B" w:rsidRDefault="00BB2D8B"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t>ESMA</w:t>
      </w:r>
      <w:r w:rsidRPr="00BB2D8B">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подає</w:t>
      </w:r>
      <w:proofErr w:type="spellEnd"/>
      <w:r w:rsidRPr="00BB2D8B">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ці</w:t>
      </w:r>
      <w:proofErr w:type="spellEnd"/>
      <w:r w:rsidRPr="00BB2D8B">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проекти</w:t>
      </w:r>
      <w:proofErr w:type="spellEnd"/>
      <w:r w:rsidRPr="00BB2D8B">
        <w:rPr>
          <w:rFonts w:ascii="Times New Roman" w:eastAsia="Times New Roman" w:hAnsi="Times New Roman" w:cs="Times New Roman"/>
          <w:sz w:val="27"/>
          <w:szCs w:val="27"/>
          <w:lang w:val="ru-RU"/>
        </w:rPr>
        <w:t xml:space="preserve"> </w:t>
      </w:r>
      <w:proofErr w:type="spellStart"/>
      <w:r>
        <w:rPr>
          <w:rFonts w:ascii="Times New Roman" w:eastAsia="Times New Roman" w:hAnsi="Times New Roman" w:cs="Times New Roman"/>
          <w:sz w:val="27"/>
          <w:szCs w:val="27"/>
          <w:lang w:val="ru-RU"/>
        </w:rPr>
        <w:t>виконавч</w:t>
      </w:r>
      <w:r w:rsidRPr="00EE17BA">
        <w:rPr>
          <w:rFonts w:ascii="Times New Roman" w:eastAsia="Times New Roman" w:hAnsi="Times New Roman" w:cs="Times New Roman"/>
          <w:sz w:val="27"/>
          <w:szCs w:val="27"/>
          <w:lang w:val="ru-RU"/>
        </w:rPr>
        <w:t>их</w:t>
      </w:r>
      <w:proofErr w:type="spellEnd"/>
      <w:r w:rsidRPr="00BB2D8B">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технічних</w:t>
      </w:r>
      <w:proofErr w:type="spellEnd"/>
      <w:r w:rsidRPr="00BB2D8B">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стандартів</w:t>
      </w:r>
      <w:proofErr w:type="spellEnd"/>
      <w:r w:rsidRPr="00BB2D8B">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Комісії</w:t>
      </w:r>
      <w:proofErr w:type="spellEnd"/>
      <w:r w:rsidRPr="00BB2D8B">
        <w:rPr>
          <w:rFonts w:ascii="Times New Roman" w:eastAsia="Times New Roman" w:hAnsi="Times New Roman" w:cs="Times New Roman"/>
          <w:sz w:val="27"/>
          <w:szCs w:val="27"/>
          <w:lang w:val="ru-RU"/>
        </w:rPr>
        <w:t xml:space="preserve"> </w:t>
      </w:r>
      <w:r w:rsidRPr="00EE17BA">
        <w:rPr>
          <w:rFonts w:ascii="Times New Roman" w:eastAsia="Times New Roman" w:hAnsi="Times New Roman" w:cs="Times New Roman"/>
          <w:sz w:val="27"/>
          <w:szCs w:val="27"/>
          <w:lang w:val="ru-RU"/>
        </w:rPr>
        <w:t>до</w:t>
      </w:r>
      <w:r w:rsidRPr="00BB2D8B">
        <w:rPr>
          <w:rFonts w:ascii="Times New Roman" w:eastAsia="Times New Roman" w:hAnsi="Times New Roman" w:cs="Times New Roman"/>
          <w:sz w:val="27"/>
          <w:szCs w:val="27"/>
          <w:lang w:val="ru-RU"/>
        </w:rPr>
        <w:t xml:space="preserve"> 30 </w:t>
      </w:r>
      <w:proofErr w:type="spellStart"/>
      <w:r w:rsidRPr="00EE17BA">
        <w:rPr>
          <w:rFonts w:ascii="Times New Roman" w:eastAsia="Times New Roman" w:hAnsi="Times New Roman" w:cs="Times New Roman"/>
          <w:sz w:val="27"/>
          <w:szCs w:val="27"/>
          <w:lang w:val="ru-RU"/>
        </w:rPr>
        <w:t>вересня</w:t>
      </w:r>
      <w:proofErr w:type="spellEnd"/>
      <w:r w:rsidRPr="00BB2D8B">
        <w:rPr>
          <w:rFonts w:ascii="Times New Roman" w:eastAsia="Times New Roman" w:hAnsi="Times New Roman" w:cs="Times New Roman"/>
          <w:sz w:val="27"/>
          <w:szCs w:val="27"/>
          <w:lang w:val="ru-RU"/>
        </w:rPr>
        <w:t xml:space="preserve"> 2012 </w:t>
      </w:r>
      <w:r w:rsidRPr="00EE17BA">
        <w:rPr>
          <w:rFonts w:ascii="Times New Roman" w:eastAsia="Times New Roman" w:hAnsi="Times New Roman" w:cs="Times New Roman"/>
          <w:sz w:val="27"/>
          <w:szCs w:val="27"/>
          <w:lang w:val="ru-RU"/>
        </w:rPr>
        <w:t>р</w:t>
      </w:r>
      <w:r w:rsidRPr="00BB2D8B">
        <w:rPr>
          <w:rFonts w:ascii="Times New Roman" w:eastAsia="Times New Roman" w:hAnsi="Times New Roman" w:cs="Times New Roman"/>
          <w:sz w:val="27"/>
          <w:szCs w:val="27"/>
          <w:lang w:val="ru-RU"/>
        </w:rPr>
        <w:t>.</w:t>
      </w:r>
    </w:p>
    <w:p w:rsidR="006B310F" w:rsidRDefault="006B310F"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Комісії надається повноваження на прийняття регуляторних технічних стандартів, згаданих у першому абзаці цього пункту, </w:t>
      </w:r>
      <w:r w:rsidRPr="00620DC3">
        <w:rPr>
          <w:rFonts w:ascii="Times New Roman" w:eastAsia="Times New Roman" w:hAnsi="Times New Roman" w:cs="Times New Roman"/>
          <w:sz w:val="27"/>
          <w:szCs w:val="27"/>
          <w:lang w:val="uk-UA"/>
        </w:rPr>
        <w:t>відповідно до статт</w:t>
      </w:r>
      <w:r>
        <w:rPr>
          <w:rFonts w:ascii="Times New Roman" w:eastAsia="Times New Roman" w:hAnsi="Times New Roman" w:cs="Times New Roman"/>
          <w:sz w:val="27"/>
          <w:szCs w:val="27"/>
          <w:lang w:val="uk-UA"/>
        </w:rPr>
        <w:t>і 15</w:t>
      </w:r>
      <w:r w:rsidRPr="00620DC3">
        <w:rPr>
          <w:rFonts w:ascii="Times New Roman" w:eastAsia="Times New Roman" w:hAnsi="Times New Roman" w:cs="Times New Roman"/>
          <w:sz w:val="27"/>
          <w:szCs w:val="27"/>
          <w:lang w:val="uk-UA"/>
        </w:rPr>
        <w:t xml:space="preserve"> Регламенту (</w:t>
      </w:r>
      <w:r>
        <w:rPr>
          <w:rFonts w:ascii="Times New Roman" w:eastAsia="Times New Roman" w:hAnsi="Times New Roman" w:cs="Times New Roman"/>
          <w:sz w:val="27"/>
          <w:szCs w:val="27"/>
        </w:rPr>
        <w:t>EU</w:t>
      </w:r>
      <w:r w:rsidRPr="00620DC3">
        <w:rPr>
          <w:rFonts w:ascii="Times New Roman" w:eastAsia="Times New Roman" w:hAnsi="Times New Roman" w:cs="Times New Roman"/>
          <w:sz w:val="27"/>
          <w:szCs w:val="27"/>
          <w:lang w:val="uk-UA"/>
        </w:rPr>
        <w:t>) №</w:t>
      </w:r>
      <w:r w:rsidRPr="006279CF">
        <w:rPr>
          <w:rFonts w:ascii="Times New Roman" w:eastAsia="Times New Roman" w:hAnsi="Times New Roman" w:cs="Times New Roman"/>
          <w:sz w:val="27"/>
          <w:szCs w:val="27"/>
        </w:rPr>
        <w:t> </w:t>
      </w:r>
      <w:r w:rsidRPr="00620DC3">
        <w:rPr>
          <w:rFonts w:ascii="Times New Roman" w:eastAsia="Times New Roman" w:hAnsi="Times New Roman" w:cs="Times New Roman"/>
          <w:sz w:val="27"/>
          <w:szCs w:val="27"/>
          <w:lang w:val="uk-UA"/>
        </w:rPr>
        <w:t>1095/2010.</w:t>
      </w:r>
    </w:p>
    <w:p w:rsidR="00DE77B0" w:rsidRPr="004D103D"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4D103D">
        <w:rPr>
          <w:rFonts w:ascii="Times New Roman" w:eastAsia="Times New Roman" w:hAnsi="Times New Roman" w:cs="Times New Roman"/>
          <w:i/>
          <w:iCs/>
          <w:sz w:val="27"/>
          <w:szCs w:val="27"/>
          <w:lang w:val="ru-RU"/>
        </w:rPr>
        <w:t>Стаття</w:t>
      </w:r>
      <w:proofErr w:type="spellEnd"/>
      <w:r w:rsidR="00DE77B0" w:rsidRPr="004D103D">
        <w:rPr>
          <w:rFonts w:ascii="Times New Roman" w:eastAsia="Times New Roman" w:hAnsi="Times New Roman" w:cs="Times New Roman"/>
          <w:i/>
          <w:iCs/>
          <w:sz w:val="27"/>
          <w:szCs w:val="27"/>
          <w:lang w:val="ru-RU"/>
        </w:rPr>
        <w:t xml:space="preserve"> 57</w:t>
      </w:r>
    </w:p>
    <w:p w:rsidR="00DE77B0" w:rsidRPr="004D103D" w:rsidRDefault="004D103D" w:rsidP="004D103D">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Повідомлення компетентних органів і консультування з ними до реєстрації</w:t>
      </w:r>
    </w:p>
    <w:p w:rsidR="00DE77B0" w:rsidRPr="00C17235" w:rsidRDefault="00DE77B0" w:rsidP="0043488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77B31">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E77B31">
        <w:rPr>
          <w:rFonts w:ascii="Times New Roman" w:eastAsia="Times New Roman" w:hAnsi="Times New Roman" w:cs="Times New Roman"/>
          <w:sz w:val="27"/>
          <w:szCs w:val="27"/>
          <w:lang w:val="uk-UA"/>
        </w:rPr>
        <w:t xml:space="preserve">Якщо торговий </w:t>
      </w:r>
      <w:proofErr w:type="spellStart"/>
      <w:r w:rsidR="00E77B31">
        <w:rPr>
          <w:rFonts w:ascii="Times New Roman" w:eastAsia="Times New Roman" w:hAnsi="Times New Roman" w:cs="Times New Roman"/>
          <w:sz w:val="27"/>
          <w:szCs w:val="27"/>
          <w:lang w:val="uk-UA"/>
        </w:rPr>
        <w:t>репозитарій</w:t>
      </w:r>
      <w:proofErr w:type="spellEnd"/>
      <w:r w:rsidR="00E77B31">
        <w:rPr>
          <w:rFonts w:ascii="Times New Roman" w:eastAsia="Times New Roman" w:hAnsi="Times New Roman" w:cs="Times New Roman"/>
          <w:sz w:val="27"/>
          <w:szCs w:val="27"/>
          <w:lang w:val="uk-UA"/>
        </w:rPr>
        <w:t xml:space="preserve">, який подав заяву про реєстрацію, є суб’єктом, уповноваженим або визнаним компетентним органом у державі-члені Союзу, де він створений, то </w:t>
      </w:r>
      <w:r w:rsidRPr="006279CF">
        <w:rPr>
          <w:rFonts w:ascii="Times New Roman" w:eastAsia="Times New Roman" w:hAnsi="Times New Roman" w:cs="Times New Roman"/>
          <w:sz w:val="27"/>
          <w:szCs w:val="27"/>
        </w:rPr>
        <w:t>ESMA</w:t>
      </w:r>
      <w:r w:rsidRPr="00E77B31">
        <w:rPr>
          <w:rFonts w:ascii="Times New Roman" w:eastAsia="Times New Roman" w:hAnsi="Times New Roman" w:cs="Times New Roman"/>
          <w:sz w:val="27"/>
          <w:szCs w:val="27"/>
          <w:lang w:val="ru-RU"/>
        </w:rPr>
        <w:t xml:space="preserve"> </w:t>
      </w:r>
      <w:r w:rsidR="00E77B31">
        <w:rPr>
          <w:rFonts w:ascii="Times New Roman" w:eastAsia="Times New Roman" w:hAnsi="Times New Roman" w:cs="Times New Roman"/>
          <w:sz w:val="27"/>
          <w:szCs w:val="27"/>
          <w:lang w:val="uk-UA"/>
        </w:rPr>
        <w:t>без необґрунтованої затримки</w:t>
      </w:r>
      <w:r w:rsidR="00434887">
        <w:rPr>
          <w:rFonts w:ascii="Times New Roman" w:eastAsia="Times New Roman" w:hAnsi="Times New Roman" w:cs="Times New Roman"/>
          <w:sz w:val="27"/>
          <w:szCs w:val="27"/>
          <w:lang w:val="uk-UA"/>
        </w:rPr>
        <w:t xml:space="preserve"> повідомляє цей </w:t>
      </w:r>
      <w:r w:rsidR="00434887">
        <w:rPr>
          <w:rFonts w:ascii="Times New Roman" w:eastAsia="Times New Roman" w:hAnsi="Times New Roman" w:cs="Times New Roman"/>
          <w:sz w:val="27"/>
          <w:szCs w:val="27"/>
          <w:lang w:val="uk-UA"/>
        </w:rPr>
        <w:lastRenderedPageBreak/>
        <w:t xml:space="preserve">компетентний орган і консультується з ним, перш ніж зареєструвати вищезгаданого торгового </w:t>
      </w:r>
      <w:proofErr w:type="spellStart"/>
      <w:r w:rsidR="00434887">
        <w:rPr>
          <w:rFonts w:ascii="Times New Roman" w:eastAsia="Times New Roman" w:hAnsi="Times New Roman" w:cs="Times New Roman"/>
          <w:sz w:val="27"/>
          <w:szCs w:val="27"/>
          <w:lang w:val="uk-UA"/>
        </w:rPr>
        <w:t>репозитарія</w:t>
      </w:r>
      <w:proofErr w:type="spellEnd"/>
      <w:r w:rsidR="00434887">
        <w:rPr>
          <w:rFonts w:ascii="Times New Roman" w:eastAsia="Times New Roman" w:hAnsi="Times New Roman" w:cs="Times New Roman"/>
          <w:sz w:val="27"/>
          <w:szCs w:val="27"/>
          <w:lang w:val="uk-UA"/>
        </w:rPr>
        <w:t xml:space="preserve">. </w:t>
      </w:r>
    </w:p>
    <w:p w:rsidR="00DE77B0" w:rsidRPr="00C17235" w:rsidRDefault="00DE77B0" w:rsidP="00836CC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ESMA</w:t>
      </w:r>
      <w:r w:rsidRPr="00C17235">
        <w:rPr>
          <w:rFonts w:ascii="Times New Roman" w:eastAsia="Times New Roman" w:hAnsi="Times New Roman" w:cs="Times New Roman"/>
          <w:sz w:val="27"/>
          <w:szCs w:val="27"/>
          <w:lang w:val="ru-RU"/>
        </w:rPr>
        <w:t xml:space="preserve"> </w:t>
      </w:r>
      <w:r w:rsidR="00434887">
        <w:rPr>
          <w:rFonts w:ascii="Times New Roman" w:eastAsia="Times New Roman" w:hAnsi="Times New Roman" w:cs="Times New Roman"/>
          <w:sz w:val="27"/>
          <w:szCs w:val="27"/>
          <w:lang w:val="uk-UA"/>
        </w:rPr>
        <w:t>і відповідний</w:t>
      </w:r>
      <w:r w:rsidRPr="00C17235">
        <w:rPr>
          <w:rFonts w:ascii="Times New Roman" w:eastAsia="Times New Roman" w:hAnsi="Times New Roman" w:cs="Times New Roman"/>
          <w:sz w:val="27"/>
          <w:szCs w:val="27"/>
          <w:lang w:val="ru-RU"/>
        </w:rPr>
        <w:t xml:space="preserve"> </w:t>
      </w:r>
      <w:proofErr w:type="spellStart"/>
      <w:r w:rsidR="007E705A" w:rsidRPr="00C17235">
        <w:rPr>
          <w:rFonts w:ascii="Times New Roman" w:eastAsia="Times New Roman" w:hAnsi="Times New Roman" w:cs="Times New Roman"/>
          <w:sz w:val="27"/>
          <w:szCs w:val="27"/>
          <w:lang w:val="ru-RU"/>
        </w:rPr>
        <w:t>компетентний</w:t>
      </w:r>
      <w:proofErr w:type="spellEnd"/>
      <w:r w:rsidR="007E705A" w:rsidRPr="00C17235">
        <w:rPr>
          <w:rFonts w:ascii="Times New Roman" w:eastAsia="Times New Roman" w:hAnsi="Times New Roman" w:cs="Times New Roman"/>
          <w:sz w:val="27"/>
          <w:szCs w:val="27"/>
          <w:lang w:val="ru-RU"/>
        </w:rPr>
        <w:t xml:space="preserve"> орган</w:t>
      </w:r>
      <w:r w:rsidRPr="00C17235">
        <w:rPr>
          <w:rFonts w:ascii="Times New Roman" w:eastAsia="Times New Roman" w:hAnsi="Times New Roman" w:cs="Times New Roman"/>
          <w:sz w:val="27"/>
          <w:szCs w:val="27"/>
          <w:lang w:val="ru-RU"/>
        </w:rPr>
        <w:t xml:space="preserve"> </w:t>
      </w:r>
      <w:r w:rsidR="00434887">
        <w:rPr>
          <w:rFonts w:ascii="Times New Roman" w:eastAsia="Times New Roman" w:hAnsi="Times New Roman" w:cs="Times New Roman"/>
          <w:sz w:val="27"/>
          <w:szCs w:val="27"/>
          <w:lang w:val="uk-UA"/>
        </w:rPr>
        <w:t xml:space="preserve">обмінюються всією інформацію, що є необхідною для реєстрації торгового </w:t>
      </w:r>
      <w:proofErr w:type="spellStart"/>
      <w:r w:rsidR="00434887">
        <w:rPr>
          <w:rFonts w:ascii="Times New Roman" w:eastAsia="Times New Roman" w:hAnsi="Times New Roman" w:cs="Times New Roman"/>
          <w:sz w:val="27"/>
          <w:szCs w:val="27"/>
          <w:lang w:val="uk-UA"/>
        </w:rPr>
        <w:t>репозитарія</w:t>
      </w:r>
      <w:proofErr w:type="spellEnd"/>
      <w:r w:rsidR="00434887">
        <w:rPr>
          <w:rFonts w:ascii="Times New Roman" w:eastAsia="Times New Roman" w:hAnsi="Times New Roman" w:cs="Times New Roman"/>
          <w:sz w:val="27"/>
          <w:szCs w:val="27"/>
          <w:lang w:val="uk-UA"/>
        </w:rPr>
        <w:t xml:space="preserve">, а також для нагляду за дотриманням цим суб’єктом умов реєстрації або </w:t>
      </w:r>
      <w:r w:rsidR="00836CC5">
        <w:rPr>
          <w:rFonts w:ascii="Times New Roman" w:eastAsia="Times New Roman" w:hAnsi="Times New Roman" w:cs="Times New Roman"/>
          <w:sz w:val="27"/>
          <w:szCs w:val="27"/>
          <w:lang w:val="uk-UA"/>
        </w:rPr>
        <w:t>умов надання повноважень у державі-члені Союзу, де він створений.</w:t>
      </w:r>
    </w:p>
    <w:p w:rsidR="00DE77B0" w:rsidRPr="00C17235"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17235">
        <w:rPr>
          <w:rFonts w:ascii="Times New Roman" w:eastAsia="Times New Roman" w:hAnsi="Times New Roman" w:cs="Times New Roman"/>
          <w:i/>
          <w:iCs/>
          <w:sz w:val="27"/>
          <w:szCs w:val="27"/>
          <w:lang w:val="ru-RU"/>
        </w:rPr>
        <w:t>Стаття</w:t>
      </w:r>
      <w:proofErr w:type="spellEnd"/>
      <w:r w:rsidR="00DE77B0" w:rsidRPr="00C17235">
        <w:rPr>
          <w:rFonts w:ascii="Times New Roman" w:eastAsia="Times New Roman" w:hAnsi="Times New Roman" w:cs="Times New Roman"/>
          <w:i/>
          <w:iCs/>
          <w:sz w:val="27"/>
          <w:szCs w:val="27"/>
          <w:lang w:val="ru-RU"/>
        </w:rPr>
        <w:t xml:space="preserve"> 58</w:t>
      </w:r>
    </w:p>
    <w:p w:rsidR="00DE77B0" w:rsidRPr="004D103D" w:rsidRDefault="004D103D"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Розгляд заяви</w:t>
      </w:r>
    </w:p>
    <w:p w:rsidR="00836CC5" w:rsidRPr="00836CC5"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17235">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836CC5">
        <w:rPr>
          <w:rFonts w:ascii="Times New Roman" w:eastAsia="Times New Roman" w:hAnsi="Times New Roman" w:cs="Times New Roman"/>
          <w:sz w:val="27"/>
          <w:szCs w:val="27"/>
          <w:lang w:val="uk-UA"/>
        </w:rPr>
        <w:t xml:space="preserve">Упродовж 40 робочих днів з дня отримання повідомлення, згаданого у третьому абзаці статті 56(2), </w:t>
      </w:r>
      <w:r w:rsidR="00836CC5">
        <w:rPr>
          <w:rFonts w:ascii="Times New Roman" w:eastAsia="Times New Roman" w:hAnsi="Times New Roman" w:cs="Times New Roman"/>
          <w:sz w:val="27"/>
          <w:szCs w:val="27"/>
        </w:rPr>
        <w:t>ESMA</w:t>
      </w:r>
      <w:r w:rsidR="00836CC5">
        <w:rPr>
          <w:rFonts w:ascii="Times New Roman" w:eastAsia="Times New Roman" w:hAnsi="Times New Roman" w:cs="Times New Roman"/>
          <w:sz w:val="27"/>
          <w:szCs w:val="27"/>
          <w:lang w:val="uk-UA"/>
        </w:rPr>
        <w:t xml:space="preserve"> розглядає заяву про реєстрацію на основі дотримання торгового </w:t>
      </w:r>
      <w:proofErr w:type="spellStart"/>
      <w:r w:rsidR="00836CC5">
        <w:rPr>
          <w:rFonts w:ascii="Times New Roman" w:eastAsia="Times New Roman" w:hAnsi="Times New Roman" w:cs="Times New Roman"/>
          <w:sz w:val="27"/>
          <w:szCs w:val="27"/>
          <w:lang w:val="uk-UA"/>
        </w:rPr>
        <w:t>репозитарія</w:t>
      </w:r>
      <w:proofErr w:type="spellEnd"/>
      <w:r w:rsidR="00836CC5">
        <w:rPr>
          <w:rFonts w:ascii="Times New Roman" w:eastAsia="Times New Roman" w:hAnsi="Times New Roman" w:cs="Times New Roman"/>
          <w:sz w:val="27"/>
          <w:szCs w:val="27"/>
          <w:lang w:val="uk-UA"/>
        </w:rPr>
        <w:t xml:space="preserve"> умов статей 78-81 і ухвалює всебічно аргументоване рішення про реєстрацію або про відмову в реєстрації.</w:t>
      </w:r>
    </w:p>
    <w:p w:rsidR="00DE77B0" w:rsidRPr="00C17235" w:rsidRDefault="00DE77B0" w:rsidP="009C2B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9C2B79">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836CC5">
        <w:rPr>
          <w:rFonts w:ascii="Times New Roman" w:eastAsia="Times New Roman" w:hAnsi="Times New Roman" w:cs="Times New Roman"/>
          <w:sz w:val="27"/>
          <w:szCs w:val="27"/>
          <w:lang w:val="uk-UA"/>
        </w:rPr>
        <w:t>Рішення</w:t>
      </w:r>
      <w:r w:rsidR="009C2B79">
        <w:rPr>
          <w:rFonts w:ascii="Times New Roman" w:eastAsia="Times New Roman" w:hAnsi="Times New Roman" w:cs="Times New Roman"/>
          <w:sz w:val="27"/>
          <w:szCs w:val="27"/>
          <w:lang w:val="uk-UA"/>
        </w:rPr>
        <w:t xml:space="preserve">, видане </w:t>
      </w:r>
      <w:r w:rsidR="009C2B79">
        <w:rPr>
          <w:rFonts w:ascii="Times New Roman" w:eastAsia="Times New Roman" w:hAnsi="Times New Roman" w:cs="Times New Roman"/>
          <w:sz w:val="27"/>
          <w:szCs w:val="27"/>
        </w:rPr>
        <w:t>ESMA</w:t>
      </w:r>
      <w:r w:rsidR="009C2B79">
        <w:rPr>
          <w:rFonts w:ascii="Times New Roman" w:eastAsia="Times New Roman" w:hAnsi="Times New Roman" w:cs="Times New Roman"/>
          <w:sz w:val="27"/>
          <w:szCs w:val="27"/>
          <w:lang w:val="uk-UA"/>
        </w:rPr>
        <w:t xml:space="preserve"> згідно з пунктом 1 цієї статті, набирає чинності на п’ятий робочий день після його ухвалення.</w:t>
      </w:r>
    </w:p>
    <w:p w:rsidR="00DE77B0" w:rsidRPr="00C17235"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17235">
        <w:rPr>
          <w:rFonts w:ascii="Times New Roman" w:eastAsia="Times New Roman" w:hAnsi="Times New Roman" w:cs="Times New Roman"/>
          <w:i/>
          <w:iCs/>
          <w:sz w:val="27"/>
          <w:szCs w:val="27"/>
          <w:lang w:val="ru-RU"/>
        </w:rPr>
        <w:t>Стаття</w:t>
      </w:r>
      <w:proofErr w:type="spellEnd"/>
      <w:r w:rsidR="00DE77B0" w:rsidRPr="00C17235">
        <w:rPr>
          <w:rFonts w:ascii="Times New Roman" w:eastAsia="Times New Roman" w:hAnsi="Times New Roman" w:cs="Times New Roman"/>
          <w:i/>
          <w:iCs/>
          <w:sz w:val="27"/>
          <w:szCs w:val="27"/>
          <w:lang w:val="ru-RU"/>
        </w:rPr>
        <w:t xml:space="preserve"> 59</w:t>
      </w:r>
    </w:p>
    <w:p w:rsidR="00DE77B0" w:rsidRPr="004D103D" w:rsidRDefault="004D103D"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Повідомлення про рішення</w:t>
      </w:r>
      <w:r w:rsidR="00DE77B0" w:rsidRPr="004D103D">
        <w:rPr>
          <w:rFonts w:ascii="Times New Roman" w:eastAsia="Times New Roman" w:hAnsi="Times New Roman" w:cs="Times New Roman"/>
          <w:b/>
          <w:bCs/>
          <w:sz w:val="27"/>
          <w:szCs w:val="27"/>
          <w:lang w:val="ru-RU"/>
        </w:rPr>
        <w:t xml:space="preserve"> </w:t>
      </w:r>
      <w:r w:rsidR="00DE77B0" w:rsidRPr="006279CF">
        <w:rPr>
          <w:rFonts w:ascii="Times New Roman" w:eastAsia="Times New Roman" w:hAnsi="Times New Roman" w:cs="Times New Roman"/>
          <w:b/>
          <w:bCs/>
          <w:sz w:val="27"/>
          <w:szCs w:val="27"/>
        </w:rPr>
        <w:t>ESMA</w:t>
      </w:r>
      <w:r w:rsidR="00DE77B0" w:rsidRPr="004D103D">
        <w:rPr>
          <w:rFonts w:ascii="Times New Roman" w:eastAsia="Times New Roman" w:hAnsi="Times New Roman" w:cs="Times New Roman"/>
          <w:b/>
          <w:bCs/>
          <w:sz w:val="27"/>
          <w:szCs w:val="27"/>
          <w:lang w:val="ru-RU"/>
        </w:rPr>
        <w:t xml:space="preserve"> </w:t>
      </w:r>
      <w:r>
        <w:rPr>
          <w:rFonts w:ascii="Times New Roman" w:eastAsia="Times New Roman" w:hAnsi="Times New Roman" w:cs="Times New Roman"/>
          <w:b/>
          <w:bCs/>
          <w:sz w:val="27"/>
          <w:szCs w:val="27"/>
          <w:lang w:val="uk-UA"/>
        </w:rPr>
        <w:t>стосовно реєстрації</w:t>
      </w:r>
    </w:p>
    <w:p w:rsidR="00331561" w:rsidRPr="0033156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17235">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331561">
        <w:rPr>
          <w:rFonts w:ascii="Times New Roman" w:eastAsia="Times New Roman" w:hAnsi="Times New Roman" w:cs="Times New Roman"/>
          <w:sz w:val="27"/>
          <w:szCs w:val="27"/>
          <w:lang w:val="uk-UA"/>
        </w:rPr>
        <w:t xml:space="preserve">Якщо </w:t>
      </w:r>
      <w:r w:rsidR="00331561">
        <w:rPr>
          <w:rFonts w:ascii="Times New Roman" w:eastAsia="Times New Roman" w:hAnsi="Times New Roman" w:cs="Times New Roman"/>
          <w:sz w:val="27"/>
          <w:szCs w:val="27"/>
        </w:rPr>
        <w:t>ESMA</w:t>
      </w:r>
      <w:r w:rsidR="00331561" w:rsidRPr="00C17235">
        <w:rPr>
          <w:rFonts w:ascii="Times New Roman" w:eastAsia="Times New Roman" w:hAnsi="Times New Roman" w:cs="Times New Roman"/>
          <w:sz w:val="27"/>
          <w:szCs w:val="27"/>
          <w:lang w:val="uk-UA"/>
        </w:rPr>
        <w:t xml:space="preserve"> </w:t>
      </w:r>
      <w:r w:rsidR="00331561">
        <w:rPr>
          <w:rFonts w:ascii="Times New Roman" w:eastAsia="Times New Roman" w:hAnsi="Times New Roman" w:cs="Times New Roman"/>
          <w:sz w:val="27"/>
          <w:szCs w:val="27"/>
          <w:lang w:val="uk-UA"/>
        </w:rPr>
        <w:t xml:space="preserve">ухвалила рішення про реєстрацію або рішення про відмову в реєстрації чи відкликання реєстрації, вона повідомляє торгового </w:t>
      </w:r>
      <w:proofErr w:type="spellStart"/>
      <w:r w:rsidR="00331561">
        <w:rPr>
          <w:rFonts w:ascii="Times New Roman" w:eastAsia="Times New Roman" w:hAnsi="Times New Roman" w:cs="Times New Roman"/>
          <w:sz w:val="27"/>
          <w:szCs w:val="27"/>
          <w:lang w:val="uk-UA"/>
        </w:rPr>
        <w:t>репозитарія</w:t>
      </w:r>
      <w:proofErr w:type="spellEnd"/>
      <w:r w:rsidR="00331561">
        <w:rPr>
          <w:rFonts w:ascii="Times New Roman" w:eastAsia="Times New Roman" w:hAnsi="Times New Roman" w:cs="Times New Roman"/>
          <w:sz w:val="27"/>
          <w:szCs w:val="27"/>
          <w:lang w:val="uk-UA"/>
        </w:rPr>
        <w:t xml:space="preserve"> про своє рішення впродовж п’яти робочих днів із усебічно обґрунтованим поясненням.</w:t>
      </w:r>
    </w:p>
    <w:p w:rsidR="00331561" w:rsidRPr="0033156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rPr>
        <w:t>ESMA</w:t>
      </w:r>
      <w:r w:rsidRPr="00331561">
        <w:rPr>
          <w:rFonts w:ascii="Times New Roman" w:eastAsia="Times New Roman" w:hAnsi="Times New Roman" w:cs="Times New Roman"/>
          <w:sz w:val="27"/>
          <w:szCs w:val="27"/>
          <w:lang w:val="ru-RU"/>
        </w:rPr>
        <w:t xml:space="preserve"> </w:t>
      </w:r>
      <w:r w:rsidR="00331561">
        <w:rPr>
          <w:rFonts w:ascii="Times New Roman" w:eastAsia="Times New Roman" w:hAnsi="Times New Roman" w:cs="Times New Roman"/>
          <w:sz w:val="27"/>
          <w:szCs w:val="27"/>
          <w:lang w:val="uk-UA"/>
        </w:rPr>
        <w:t>без необґрунтованої затримки повідомляє про своє рішення відповідний компетентний орган, згаданий у статті 57(1).</w:t>
      </w:r>
    </w:p>
    <w:p w:rsidR="00DE77B0" w:rsidRPr="00C17235" w:rsidRDefault="00DE77B0" w:rsidP="00331561">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31561">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ESMA</w:t>
      </w:r>
      <w:r w:rsidRPr="00331561">
        <w:rPr>
          <w:rFonts w:ascii="Times New Roman" w:eastAsia="Times New Roman" w:hAnsi="Times New Roman" w:cs="Times New Roman"/>
          <w:sz w:val="27"/>
          <w:szCs w:val="27"/>
          <w:lang w:val="ru-RU"/>
        </w:rPr>
        <w:t xml:space="preserve"> </w:t>
      </w:r>
      <w:r w:rsidR="00331561">
        <w:rPr>
          <w:rFonts w:ascii="Times New Roman" w:eastAsia="Times New Roman" w:hAnsi="Times New Roman" w:cs="Times New Roman"/>
          <w:sz w:val="27"/>
          <w:szCs w:val="27"/>
          <w:lang w:val="uk-UA"/>
        </w:rPr>
        <w:t>доводить своє рішення, ухвалене відповідно до пункту 1 цієї статті, до відома Комісії.</w:t>
      </w:r>
    </w:p>
    <w:p w:rsidR="00DE77B0" w:rsidRPr="00C17235" w:rsidRDefault="00DE77B0" w:rsidP="00331561">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31561">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ESMA</w:t>
      </w:r>
      <w:r w:rsidRPr="00331561">
        <w:rPr>
          <w:rFonts w:ascii="Times New Roman" w:eastAsia="Times New Roman" w:hAnsi="Times New Roman" w:cs="Times New Roman"/>
          <w:sz w:val="27"/>
          <w:szCs w:val="27"/>
          <w:lang w:val="ru-RU"/>
        </w:rPr>
        <w:t xml:space="preserve"> </w:t>
      </w:r>
      <w:r w:rsidR="00331561">
        <w:rPr>
          <w:rFonts w:ascii="Times New Roman" w:eastAsia="Times New Roman" w:hAnsi="Times New Roman" w:cs="Times New Roman"/>
          <w:sz w:val="27"/>
          <w:szCs w:val="27"/>
          <w:lang w:val="uk-UA"/>
        </w:rPr>
        <w:t xml:space="preserve">публікує на своєму веб-сайті перелік торгових репозитаріїв, </w:t>
      </w:r>
      <w:proofErr w:type="spellStart"/>
      <w:r w:rsidR="00331561">
        <w:rPr>
          <w:rFonts w:ascii="Times New Roman" w:eastAsia="Times New Roman" w:hAnsi="Times New Roman" w:cs="Times New Roman"/>
          <w:sz w:val="27"/>
          <w:szCs w:val="27"/>
          <w:lang w:val="uk-UA"/>
        </w:rPr>
        <w:t>зарестрованих</w:t>
      </w:r>
      <w:proofErr w:type="spellEnd"/>
      <w:r w:rsidRPr="00331561">
        <w:rPr>
          <w:rFonts w:ascii="Times New Roman" w:eastAsia="Times New Roman" w:hAnsi="Times New Roman" w:cs="Times New Roman"/>
          <w:sz w:val="27"/>
          <w:szCs w:val="27"/>
          <w:lang w:val="ru-RU"/>
        </w:rPr>
        <w:t xml:space="preserve"> </w:t>
      </w:r>
      <w:proofErr w:type="spellStart"/>
      <w:r w:rsidR="00A81DE6" w:rsidRPr="00331561">
        <w:rPr>
          <w:rFonts w:ascii="Times New Roman" w:eastAsia="Times New Roman" w:hAnsi="Times New Roman" w:cs="Times New Roman"/>
          <w:sz w:val="27"/>
          <w:szCs w:val="27"/>
          <w:lang w:val="ru-RU"/>
        </w:rPr>
        <w:t>відповідно</w:t>
      </w:r>
      <w:proofErr w:type="spellEnd"/>
      <w:r w:rsidR="00A81DE6" w:rsidRPr="00331561">
        <w:rPr>
          <w:rFonts w:ascii="Times New Roman" w:eastAsia="Times New Roman" w:hAnsi="Times New Roman" w:cs="Times New Roman"/>
          <w:sz w:val="27"/>
          <w:szCs w:val="27"/>
          <w:lang w:val="ru-RU"/>
        </w:rPr>
        <w:t xml:space="preserve"> до </w:t>
      </w:r>
      <w:proofErr w:type="spellStart"/>
      <w:r w:rsidR="00A81DE6" w:rsidRPr="00331561">
        <w:rPr>
          <w:rFonts w:ascii="Times New Roman" w:eastAsia="Times New Roman" w:hAnsi="Times New Roman" w:cs="Times New Roman"/>
          <w:sz w:val="27"/>
          <w:szCs w:val="27"/>
          <w:lang w:val="ru-RU"/>
        </w:rPr>
        <w:t>цього</w:t>
      </w:r>
      <w:proofErr w:type="spellEnd"/>
      <w:r w:rsidR="00A81DE6" w:rsidRPr="00331561">
        <w:rPr>
          <w:rFonts w:ascii="Times New Roman" w:eastAsia="Times New Roman" w:hAnsi="Times New Roman" w:cs="Times New Roman"/>
          <w:sz w:val="27"/>
          <w:szCs w:val="27"/>
          <w:lang w:val="ru-RU"/>
        </w:rPr>
        <w:t xml:space="preserve"> регламенту</w:t>
      </w:r>
      <w:r w:rsidRPr="00331561">
        <w:rPr>
          <w:rFonts w:ascii="Times New Roman" w:eastAsia="Times New Roman" w:hAnsi="Times New Roman" w:cs="Times New Roman"/>
          <w:sz w:val="27"/>
          <w:szCs w:val="27"/>
          <w:lang w:val="ru-RU"/>
        </w:rPr>
        <w:t xml:space="preserve">. </w:t>
      </w:r>
      <w:r w:rsidR="00331561">
        <w:rPr>
          <w:rFonts w:ascii="Times New Roman" w:eastAsia="Times New Roman" w:hAnsi="Times New Roman" w:cs="Times New Roman"/>
          <w:sz w:val="27"/>
          <w:szCs w:val="27"/>
          <w:lang w:val="uk-UA"/>
        </w:rPr>
        <w:t>Цей перелік оновлюється протягом п’яти робочих днів після прийняття рішення відповідно до пункту 1.</w:t>
      </w:r>
    </w:p>
    <w:p w:rsidR="00DE77B0" w:rsidRPr="00C17235"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17235">
        <w:rPr>
          <w:rFonts w:ascii="Times New Roman" w:eastAsia="Times New Roman" w:hAnsi="Times New Roman" w:cs="Times New Roman"/>
          <w:i/>
          <w:iCs/>
          <w:sz w:val="27"/>
          <w:szCs w:val="27"/>
          <w:lang w:val="ru-RU"/>
        </w:rPr>
        <w:t>Стаття</w:t>
      </w:r>
      <w:proofErr w:type="spellEnd"/>
      <w:r w:rsidR="00DE77B0" w:rsidRPr="00C17235">
        <w:rPr>
          <w:rFonts w:ascii="Times New Roman" w:eastAsia="Times New Roman" w:hAnsi="Times New Roman" w:cs="Times New Roman"/>
          <w:i/>
          <w:iCs/>
          <w:sz w:val="27"/>
          <w:szCs w:val="27"/>
          <w:lang w:val="ru-RU"/>
        </w:rPr>
        <w:t xml:space="preserve"> 60</w:t>
      </w:r>
    </w:p>
    <w:p w:rsidR="00DE77B0" w:rsidRPr="00C17235" w:rsidRDefault="004D103D"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Здійснення повноважень, передбачених статтями 61-63</w:t>
      </w:r>
    </w:p>
    <w:p w:rsidR="00DE77B0" w:rsidRPr="00C17235" w:rsidRDefault="00331561" w:rsidP="002C3731">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Повноваження, покладені на </w:t>
      </w:r>
      <w:r>
        <w:rPr>
          <w:rFonts w:ascii="Times New Roman" w:eastAsia="Times New Roman" w:hAnsi="Times New Roman" w:cs="Times New Roman"/>
          <w:sz w:val="27"/>
          <w:szCs w:val="27"/>
        </w:rPr>
        <w:t>ESMA</w:t>
      </w:r>
      <w:r w:rsidRPr="002C3731">
        <w:rPr>
          <w:rFonts w:ascii="Times New Roman" w:eastAsia="Times New Roman" w:hAnsi="Times New Roman" w:cs="Times New Roman"/>
          <w:sz w:val="27"/>
          <w:szCs w:val="27"/>
          <w:lang w:val="ru-RU"/>
        </w:rPr>
        <w:t xml:space="preserve"> </w:t>
      </w:r>
      <w:r w:rsidR="00FA6DEE">
        <w:rPr>
          <w:rFonts w:ascii="Times New Roman" w:eastAsia="Times New Roman" w:hAnsi="Times New Roman" w:cs="Times New Roman"/>
          <w:sz w:val="27"/>
          <w:szCs w:val="27"/>
          <w:lang w:val="uk-UA"/>
        </w:rPr>
        <w:t xml:space="preserve">або на будь-яку її офіційну особу чи на іншу особу, уповноважену </w:t>
      </w:r>
      <w:r w:rsidR="00FA6DEE">
        <w:rPr>
          <w:rFonts w:ascii="Times New Roman" w:eastAsia="Times New Roman" w:hAnsi="Times New Roman" w:cs="Times New Roman"/>
          <w:sz w:val="27"/>
          <w:szCs w:val="27"/>
        </w:rPr>
        <w:t>ESMA</w:t>
      </w:r>
      <w:r w:rsidR="00FA6DEE">
        <w:rPr>
          <w:rFonts w:ascii="Times New Roman" w:eastAsia="Times New Roman" w:hAnsi="Times New Roman" w:cs="Times New Roman"/>
          <w:sz w:val="27"/>
          <w:szCs w:val="27"/>
          <w:lang w:val="uk-UA"/>
        </w:rPr>
        <w:t xml:space="preserve">, статтями 61-63, не використовуються для того, щоб вимагати розголошення інформації або документів, </w:t>
      </w:r>
      <w:r w:rsidR="002C3731">
        <w:rPr>
          <w:rFonts w:ascii="Times New Roman" w:eastAsia="Times New Roman" w:hAnsi="Times New Roman" w:cs="Times New Roman"/>
          <w:sz w:val="27"/>
          <w:szCs w:val="27"/>
          <w:lang w:val="uk-UA"/>
        </w:rPr>
        <w:t>на які поширюється законний привілей.</w:t>
      </w:r>
    </w:p>
    <w:p w:rsidR="00DE77B0" w:rsidRPr="00C17235"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17235">
        <w:rPr>
          <w:rFonts w:ascii="Times New Roman" w:eastAsia="Times New Roman" w:hAnsi="Times New Roman" w:cs="Times New Roman"/>
          <w:i/>
          <w:iCs/>
          <w:sz w:val="27"/>
          <w:szCs w:val="27"/>
          <w:lang w:val="ru-RU"/>
        </w:rPr>
        <w:lastRenderedPageBreak/>
        <w:t>Стаття</w:t>
      </w:r>
      <w:proofErr w:type="spellEnd"/>
      <w:r w:rsidR="00DE77B0" w:rsidRPr="00C17235">
        <w:rPr>
          <w:rFonts w:ascii="Times New Roman" w:eastAsia="Times New Roman" w:hAnsi="Times New Roman" w:cs="Times New Roman"/>
          <w:i/>
          <w:iCs/>
          <w:sz w:val="27"/>
          <w:szCs w:val="27"/>
          <w:lang w:val="ru-RU"/>
        </w:rPr>
        <w:t xml:space="preserve"> 61</w:t>
      </w:r>
    </w:p>
    <w:p w:rsidR="00DE77B0" w:rsidRPr="004D103D" w:rsidRDefault="004D103D"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Запит інформації</w:t>
      </w:r>
    </w:p>
    <w:p w:rsidR="00DE77B0" w:rsidRPr="00C17235" w:rsidRDefault="00DE77B0" w:rsidP="003C7A8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ESMA</w:t>
      </w:r>
      <w:r w:rsidRPr="00C17235">
        <w:rPr>
          <w:rFonts w:ascii="Times New Roman" w:eastAsia="Times New Roman" w:hAnsi="Times New Roman" w:cs="Times New Roman"/>
          <w:sz w:val="27"/>
          <w:szCs w:val="27"/>
          <w:lang w:val="ru-RU"/>
        </w:rPr>
        <w:t xml:space="preserve"> </w:t>
      </w:r>
      <w:r w:rsidR="002C3731">
        <w:rPr>
          <w:rFonts w:ascii="Times New Roman" w:eastAsia="Times New Roman" w:hAnsi="Times New Roman" w:cs="Times New Roman"/>
          <w:sz w:val="27"/>
          <w:szCs w:val="27"/>
          <w:lang w:val="uk-UA"/>
        </w:rPr>
        <w:t>може простим запитом або рішенням вимагати від торгових репозитаріїв і пов'яз</w:t>
      </w:r>
      <w:r w:rsidR="003C7A83">
        <w:rPr>
          <w:rFonts w:ascii="Times New Roman" w:eastAsia="Times New Roman" w:hAnsi="Times New Roman" w:cs="Times New Roman"/>
          <w:sz w:val="27"/>
          <w:szCs w:val="27"/>
          <w:lang w:val="uk-UA"/>
        </w:rPr>
        <w:t xml:space="preserve">аних третіх сторін, яким торгові </w:t>
      </w:r>
      <w:proofErr w:type="spellStart"/>
      <w:r w:rsidR="003C7A83">
        <w:rPr>
          <w:rFonts w:ascii="Times New Roman" w:eastAsia="Times New Roman" w:hAnsi="Times New Roman" w:cs="Times New Roman"/>
          <w:sz w:val="27"/>
          <w:szCs w:val="27"/>
          <w:lang w:val="uk-UA"/>
        </w:rPr>
        <w:t>репозитарії</w:t>
      </w:r>
      <w:proofErr w:type="spellEnd"/>
      <w:r w:rsidR="003C7A83">
        <w:rPr>
          <w:rFonts w:ascii="Times New Roman" w:eastAsia="Times New Roman" w:hAnsi="Times New Roman" w:cs="Times New Roman"/>
          <w:sz w:val="27"/>
          <w:szCs w:val="27"/>
          <w:lang w:val="uk-UA"/>
        </w:rPr>
        <w:t xml:space="preserve"> передали для виконання оперативні функції чи види діяльності, надання всієї інформації, що є необхідною для виконання своїх обов’язків за цим регламентом.</w:t>
      </w:r>
    </w:p>
    <w:p w:rsidR="00DE77B0" w:rsidRPr="00971CEC" w:rsidRDefault="00DE77B0" w:rsidP="00175EA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C7A83">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971CEC">
        <w:rPr>
          <w:rFonts w:ascii="Times New Roman" w:eastAsia="Times New Roman" w:hAnsi="Times New Roman" w:cs="Times New Roman"/>
          <w:sz w:val="27"/>
          <w:szCs w:val="27"/>
          <w:lang w:val="uk-UA"/>
        </w:rPr>
        <w:t xml:space="preserve">Направляючи простий запит інформації за пунктом 1, </w:t>
      </w:r>
      <w:r w:rsidR="00971CEC">
        <w:rPr>
          <w:rFonts w:ascii="Times New Roman" w:eastAsia="Times New Roman" w:hAnsi="Times New Roman" w:cs="Times New Roman"/>
          <w:sz w:val="27"/>
          <w:szCs w:val="27"/>
        </w:rPr>
        <w:t>ESMA</w:t>
      </w:r>
      <w:r w:rsidR="00971CEC" w:rsidRPr="00175EA4">
        <w:rPr>
          <w:rFonts w:ascii="Times New Roman" w:eastAsia="Times New Roman" w:hAnsi="Times New Roman" w:cs="Times New Roman"/>
          <w:sz w:val="27"/>
          <w:szCs w:val="27"/>
          <w:lang w:val="ru-RU"/>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0"/>
        <w:gridCol w:w="89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175EA4" w:rsidRDefault="0076644A" w:rsidP="00175EA4">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посилається на цю статтю як на юридичну підставу запиту;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8963"/>
      </w:tblGrid>
      <w:tr w:rsidR="00763E3E" w:rsidRPr="006279CF" w:rsidTr="00175EA4">
        <w:tc>
          <w:tcPr>
            <w:tcW w:w="26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47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6644A" w:rsidP="00175EA4">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зазначає мету запиту;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8963"/>
      </w:tblGrid>
      <w:tr w:rsidR="00763E3E" w:rsidRPr="006279CF" w:rsidTr="00175EA4">
        <w:tc>
          <w:tcPr>
            <w:tcW w:w="26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47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6644A" w:rsidP="00175EA4">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вказує, яка інформація потрібна;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2"/>
        <w:gridCol w:w="8883"/>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76644A" w:rsidRDefault="0076644A" w:rsidP="00A819DD">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встановлює строк, у який має бути надана інформація;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17235" w:rsidRDefault="00A819DD" w:rsidP="00FE70F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інформує особу, в якої запитується інформація</w:t>
            </w:r>
            <w:r w:rsidR="00FE70F9">
              <w:rPr>
                <w:rFonts w:ascii="Times New Roman" w:eastAsia="Times New Roman" w:hAnsi="Times New Roman" w:cs="Times New Roman"/>
                <w:sz w:val="27"/>
                <w:szCs w:val="27"/>
                <w:lang w:val="uk-UA"/>
              </w:rPr>
              <w:t>, про те, що вона не зобов’язана надавати цю інформацію, але у випадку добровільної відповіді на запит надана інформація не повинна бути неправдивою і не вводити в оману;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76644A" w:rsidRDefault="0076644A" w:rsidP="00971CEC">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зазначає штраф, передбачений статтею 65 у зв'язку з п. (а) Розділу</w:t>
            </w:r>
            <w:r w:rsidRPr="00971CEC">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IV</w:t>
            </w:r>
            <w:r w:rsidRPr="00971CEC">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Додатку</w:t>
            </w:r>
            <w:r w:rsidRPr="00971CEC">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І, у випадку, якщо відповіді на поставлені запитання неправдиві або вводять в оману.</w:t>
            </w:r>
          </w:p>
        </w:tc>
      </w:tr>
    </w:tbl>
    <w:p w:rsidR="00DE77B0" w:rsidRPr="00C17235" w:rsidRDefault="00DE77B0" w:rsidP="00971CEC">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971CEC">
        <w:rPr>
          <w:rFonts w:ascii="Times New Roman" w:eastAsia="Times New Roman" w:hAnsi="Times New Roman" w:cs="Times New Roman"/>
          <w:sz w:val="27"/>
          <w:szCs w:val="27"/>
          <w:lang w:val="uk-UA"/>
        </w:rPr>
        <w:t xml:space="preserve">Вимагаючи надання інформації за пунктом 1 рішенням, </w:t>
      </w:r>
      <w:r w:rsidR="00971CEC">
        <w:rPr>
          <w:rFonts w:ascii="Times New Roman" w:eastAsia="Times New Roman" w:hAnsi="Times New Roman" w:cs="Times New Roman"/>
          <w:sz w:val="27"/>
          <w:szCs w:val="27"/>
        </w:rPr>
        <w:t>ESMA</w:t>
      </w:r>
      <w:r w:rsidR="00971CEC" w:rsidRPr="00971CEC">
        <w:rPr>
          <w:rFonts w:ascii="Times New Roman" w:eastAsia="Times New Roman" w:hAnsi="Times New Roman" w:cs="Times New Roman"/>
          <w:sz w:val="27"/>
          <w:szCs w:val="27"/>
          <w:lang w:val="ru-RU"/>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0"/>
        <w:gridCol w:w="89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76644A" w:rsidRDefault="0076644A" w:rsidP="0018707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посилається на цю статтю як на юридичну підставу запиту;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84"/>
        <w:gridCol w:w="8681"/>
      </w:tblGrid>
      <w:tr w:rsidR="00763E3E" w:rsidRPr="006279CF" w:rsidTr="009302D2">
        <w:tc>
          <w:tcPr>
            <w:tcW w:w="414"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4586"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6644A" w:rsidP="0018707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зазначає мету запиту;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97"/>
        <w:gridCol w:w="8568"/>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6644A" w:rsidP="0018707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вказує, яка інформація потрібна;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1"/>
        <w:gridCol w:w="8894"/>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76644A" w:rsidRDefault="0076644A" w:rsidP="0018707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встановлює строк, у який має бути надана </w:t>
            </w:r>
            <w:proofErr w:type="spellStart"/>
            <w:r>
              <w:rPr>
                <w:rFonts w:ascii="Times New Roman" w:eastAsia="Times New Roman" w:hAnsi="Times New Roman" w:cs="Times New Roman"/>
                <w:sz w:val="27"/>
                <w:szCs w:val="27"/>
                <w:lang w:val="uk-UA"/>
              </w:rPr>
              <w:t>інфкормація</w:t>
            </w:r>
            <w:proofErr w:type="spellEnd"/>
            <w:r>
              <w:rPr>
                <w:rFonts w:ascii="Times New Roman" w:eastAsia="Times New Roman" w:hAnsi="Times New Roman" w:cs="Times New Roman"/>
                <w:sz w:val="27"/>
                <w:szCs w:val="27"/>
                <w:lang w:val="uk-UA"/>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17235" w:rsidRDefault="0076644A" w:rsidP="0076644A">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зазначає періодичні штрафні платежі, передбачені у статті 66, за надання потрібної інформації не у повному обсязі;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76644A" w:rsidRDefault="0076644A" w:rsidP="001E5B1F">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зазначає штраф, передбачений статтею 65 у </w:t>
            </w:r>
            <w:r w:rsidR="001E5B1F">
              <w:rPr>
                <w:rFonts w:ascii="Times New Roman" w:eastAsia="Times New Roman" w:hAnsi="Times New Roman" w:cs="Times New Roman"/>
                <w:sz w:val="27"/>
                <w:szCs w:val="27"/>
                <w:lang w:val="uk-UA"/>
              </w:rPr>
              <w:t>зв'язку з п. (а) Розділу</w:t>
            </w:r>
            <w:r w:rsidR="001E5B1F" w:rsidRPr="00971CEC">
              <w:rPr>
                <w:rFonts w:ascii="Times New Roman" w:eastAsia="Times New Roman" w:hAnsi="Times New Roman" w:cs="Times New Roman"/>
                <w:sz w:val="27"/>
                <w:szCs w:val="27"/>
                <w:lang w:val="ru-RU"/>
              </w:rPr>
              <w:t xml:space="preserve"> </w:t>
            </w:r>
            <w:r w:rsidR="001E5B1F" w:rsidRPr="006279CF">
              <w:rPr>
                <w:rFonts w:ascii="Times New Roman" w:eastAsia="Times New Roman" w:hAnsi="Times New Roman" w:cs="Times New Roman"/>
                <w:sz w:val="27"/>
                <w:szCs w:val="27"/>
              </w:rPr>
              <w:t>IV</w:t>
            </w:r>
            <w:r w:rsidR="001E5B1F" w:rsidRPr="00971CEC">
              <w:rPr>
                <w:rFonts w:ascii="Times New Roman" w:eastAsia="Times New Roman" w:hAnsi="Times New Roman" w:cs="Times New Roman"/>
                <w:sz w:val="27"/>
                <w:szCs w:val="27"/>
                <w:lang w:val="ru-RU"/>
              </w:rPr>
              <w:t xml:space="preserve"> </w:t>
            </w:r>
            <w:r w:rsidR="001E5B1F">
              <w:rPr>
                <w:rFonts w:ascii="Times New Roman" w:eastAsia="Times New Roman" w:hAnsi="Times New Roman" w:cs="Times New Roman"/>
                <w:sz w:val="27"/>
                <w:szCs w:val="27"/>
                <w:lang w:val="uk-UA"/>
              </w:rPr>
              <w:t>Додатку</w:t>
            </w:r>
            <w:r w:rsidR="001E5B1F" w:rsidRPr="00971CEC">
              <w:rPr>
                <w:rFonts w:ascii="Times New Roman" w:eastAsia="Times New Roman" w:hAnsi="Times New Roman" w:cs="Times New Roman"/>
                <w:sz w:val="27"/>
                <w:szCs w:val="27"/>
                <w:lang w:val="ru-RU"/>
              </w:rPr>
              <w:t xml:space="preserve"> </w:t>
            </w:r>
            <w:r w:rsidR="001E5B1F">
              <w:rPr>
                <w:rFonts w:ascii="Times New Roman" w:eastAsia="Times New Roman" w:hAnsi="Times New Roman" w:cs="Times New Roman"/>
                <w:sz w:val="27"/>
                <w:szCs w:val="27"/>
                <w:lang w:val="uk-UA"/>
              </w:rPr>
              <w:t>І, у випадку, якщо відповіді на поставлені запитання неправдиві або вводять в оману;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2B7DBC" w:rsidP="00012EB3">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зазначає право на оскарження рішення в Апеляційній раді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і право на перегляд рішення Судом Європейського Союзу (далі – «Суд ЄС») відповідно до статей 60 і 61</w:t>
            </w:r>
            <w:r w:rsidRPr="006279CF">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Регламенту</w:t>
            </w:r>
            <w:proofErr w:type="spellEnd"/>
            <w:r>
              <w:rPr>
                <w:rFonts w:ascii="Times New Roman" w:eastAsia="Times New Roman" w:hAnsi="Times New Roman" w:cs="Times New Roman"/>
                <w:sz w:val="27"/>
                <w:szCs w:val="27"/>
              </w:rPr>
              <w:t xml:space="preserve"> (EU) №</w:t>
            </w:r>
            <w:r w:rsidRPr="006279CF">
              <w:rPr>
                <w:rFonts w:ascii="Times New Roman" w:eastAsia="Times New Roman" w:hAnsi="Times New Roman" w:cs="Times New Roman"/>
                <w:sz w:val="27"/>
                <w:szCs w:val="27"/>
              </w:rPr>
              <w:t> 1095/2010.</w:t>
            </w:r>
          </w:p>
        </w:tc>
      </w:tr>
    </w:tbl>
    <w:p w:rsidR="00DE77B0" w:rsidRPr="00C17235" w:rsidRDefault="00DE77B0" w:rsidP="00FE79B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ru-RU"/>
        </w:rPr>
        <w:lastRenderedPageBreak/>
        <w:t>4.</w:t>
      </w:r>
      <w:r w:rsidRPr="006279CF">
        <w:rPr>
          <w:rFonts w:ascii="Times New Roman" w:eastAsia="Times New Roman" w:hAnsi="Times New Roman" w:cs="Times New Roman"/>
          <w:sz w:val="27"/>
          <w:szCs w:val="27"/>
        </w:rPr>
        <w:t>   </w:t>
      </w:r>
      <w:r w:rsidR="008372FC">
        <w:rPr>
          <w:rFonts w:ascii="Times New Roman" w:eastAsia="Times New Roman" w:hAnsi="Times New Roman" w:cs="Times New Roman"/>
          <w:sz w:val="27"/>
          <w:szCs w:val="27"/>
          <w:lang w:val="uk-UA"/>
        </w:rPr>
        <w:t>Особи, згадані у пункті 1 або їхні представники та, у випадку юридичних осіб або об’єднань без статусу юридичної особи, особи, уповноважені представляти їх за законом чи за їхнім статутом, надають затребувану інформацію.</w:t>
      </w:r>
      <w:r w:rsidR="00FE79B4">
        <w:rPr>
          <w:rFonts w:ascii="Times New Roman" w:eastAsia="Times New Roman" w:hAnsi="Times New Roman" w:cs="Times New Roman"/>
          <w:sz w:val="27"/>
          <w:szCs w:val="27"/>
          <w:lang w:val="uk-UA"/>
        </w:rPr>
        <w:t xml:space="preserve"> Юристи, належним чином уповноважені діяти, можуть надати інформацію від імені своїх клієнтів. Останні продовжують нести повну відповідальність, якщо надана інформація є неповною, неправдивою чи вводить в оману.</w:t>
      </w:r>
    </w:p>
    <w:p w:rsidR="00DE77B0" w:rsidRPr="00C17235"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E79B4">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ESMA</w:t>
      </w:r>
      <w:r w:rsidRPr="00C17235">
        <w:rPr>
          <w:rFonts w:ascii="Times New Roman" w:eastAsia="Times New Roman" w:hAnsi="Times New Roman" w:cs="Times New Roman"/>
          <w:sz w:val="27"/>
          <w:szCs w:val="27"/>
          <w:lang w:val="ru-RU"/>
        </w:rPr>
        <w:t xml:space="preserve"> </w:t>
      </w:r>
      <w:r w:rsidR="00FE79B4">
        <w:rPr>
          <w:rFonts w:ascii="Times New Roman" w:eastAsia="Times New Roman" w:hAnsi="Times New Roman" w:cs="Times New Roman"/>
          <w:sz w:val="27"/>
          <w:szCs w:val="27"/>
          <w:lang w:val="uk-UA"/>
        </w:rPr>
        <w:t>без необґрунтованої затримки надсилає копію простого запиту</w:t>
      </w:r>
      <w:r w:rsidR="00027DBA">
        <w:rPr>
          <w:rFonts w:ascii="Times New Roman" w:eastAsia="Times New Roman" w:hAnsi="Times New Roman" w:cs="Times New Roman"/>
          <w:sz w:val="27"/>
          <w:szCs w:val="27"/>
          <w:lang w:val="uk-UA"/>
        </w:rPr>
        <w:t xml:space="preserve"> або свого рішення компетентному органові держави-члена Союзу, де особи, згадані у пункті 1, яких стосується запит інформації, розташовані або створені.</w:t>
      </w:r>
    </w:p>
    <w:p w:rsidR="00DE77B0" w:rsidRPr="00C17235"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17235">
        <w:rPr>
          <w:rFonts w:ascii="Times New Roman" w:eastAsia="Times New Roman" w:hAnsi="Times New Roman" w:cs="Times New Roman"/>
          <w:i/>
          <w:iCs/>
          <w:sz w:val="27"/>
          <w:szCs w:val="27"/>
          <w:lang w:val="ru-RU"/>
        </w:rPr>
        <w:t>Стаття</w:t>
      </w:r>
      <w:proofErr w:type="spellEnd"/>
      <w:r w:rsidR="00DE77B0" w:rsidRPr="00C17235">
        <w:rPr>
          <w:rFonts w:ascii="Times New Roman" w:eastAsia="Times New Roman" w:hAnsi="Times New Roman" w:cs="Times New Roman"/>
          <w:i/>
          <w:iCs/>
          <w:sz w:val="27"/>
          <w:szCs w:val="27"/>
          <w:lang w:val="ru-RU"/>
        </w:rPr>
        <w:t xml:space="preserve"> 62</w:t>
      </w:r>
    </w:p>
    <w:p w:rsidR="00DE77B0" w:rsidRPr="004D103D" w:rsidRDefault="004D103D"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Загальні розслідування</w:t>
      </w:r>
    </w:p>
    <w:p w:rsidR="00DE77B0" w:rsidRPr="00B93495"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790534">
        <w:rPr>
          <w:rFonts w:ascii="Times New Roman" w:eastAsia="Times New Roman" w:hAnsi="Times New Roman" w:cs="Times New Roman"/>
          <w:sz w:val="27"/>
          <w:szCs w:val="27"/>
          <w:lang w:val="uk-UA"/>
        </w:rPr>
        <w:t xml:space="preserve">Для виконання своїх обов’язків за цим регламентом </w:t>
      </w:r>
      <w:r w:rsidR="00790534">
        <w:rPr>
          <w:rFonts w:ascii="Times New Roman" w:eastAsia="Times New Roman" w:hAnsi="Times New Roman" w:cs="Times New Roman"/>
          <w:sz w:val="27"/>
          <w:szCs w:val="27"/>
        </w:rPr>
        <w:t>ESMA</w:t>
      </w:r>
      <w:r w:rsidR="00790534">
        <w:rPr>
          <w:rFonts w:ascii="Times New Roman" w:eastAsia="Times New Roman" w:hAnsi="Times New Roman" w:cs="Times New Roman"/>
          <w:sz w:val="27"/>
          <w:szCs w:val="27"/>
          <w:lang w:val="uk-UA"/>
        </w:rPr>
        <w:t xml:space="preserve"> може проводити необхідні розслідування щодо осіб, згаданих у статті 61(1). З цією метою </w:t>
      </w:r>
      <w:r w:rsidR="00B93495">
        <w:rPr>
          <w:rFonts w:ascii="Times New Roman" w:eastAsia="Times New Roman" w:hAnsi="Times New Roman" w:cs="Times New Roman"/>
          <w:sz w:val="27"/>
          <w:szCs w:val="27"/>
          <w:lang w:val="uk-UA"/>
        </w:rPr>
        <w:t>посадовці</w:t>
      </w:r>
      <w:r w:rsidR="00790534">
        <w:rPr>
          <w:rFonts w:ascii="Times New Roman" w:eastAsia="Times New Roman" w:hAnsi="Times New Roman" w:cs="Times New Roman"/>
          <w:sz w:val="27"/>
          <w:szCs w:val="27"/>
          <w:lang w:val="uk-UA"/>
        </w:rPr>
        <w:t xml:space="preserve"> та інші особи, уповноважені </w:t>
      </w:r>
      <w:r w:rsidR="00790534">
        <w:rPr>
          <w:rFonts w:ascii="Times New Roman" w:eastAsia="Times New Roman" w:hAnsi="Times New Roman" w:cs="Times New Roman"/>
          <w:sz w:val="27"/>
          <w:szCs w:val="27"/>
        </w:rPr>
        <w:t>ESMA</w:t>
      </w:r>
      <w:r w:rsidR="00790534">
        <w:rPr>
          <w:rFonts w:ascii="Times New Roman" w:eastAsia="Times New Roman" w:hAnsi="Times New Roman" w:cs="Times New Roman"/>
          <w:sz w:val="27"/>
          <w:szCs w:val="27"/>
          <w:lang w:val="uk-UA"/>
        </w:rPr>
        <w:t>, отримують повноваження на:</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17235" w:rsidRDefault="00ED3602" w:rsidP="00ED3602">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вивчення будь-яких документів, даних, процедур та інших матеріалів, що стосуються виконання її завдань, незалежно від носія, на якому вони зберігаються;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17235" w:rsidRDefault="00ED3602" w:rsidP="00ED3602">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робити або отримувати засвідчені копії таких документів, даних, процедур та інших матеріалів і витяги з них;</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17235" w:rsidRDefault="00D638A3" w:rsidP="00D638A3">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викликати та запрошувати будь-яку особу, згадану у статті 61(1), або її представника чи працівників для надання усних або письмових пояснень стосовно фактів або документів, які стосуються предмету та цілі перевірки, та записувати відповіді;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17235" w:rsidRDefault="00C47819" w:rsidP="00C4781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опитувати будь-яку іншу фізичну або юридичну особу, яка дала згоду на опитування з метою збирання інформації стосовно предмету розслідування;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8963"/>
      </w:tblGrid>
      <w:tr w:rsidR="00763E3E" w:rsidRPr="00113714" w:rsidTr="00C47819">
        <w:tc>
          <w:tcPr>
            <w:tcW w:w="26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w:t>
            </w:r>
          </w:p>
        </w:tc>
        <w:tc>
          <w:tcPr>
            <w:tcW w:w="47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17235" w:rsidRDefault="00C47819" w:rsidP="00B93495">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вимагати надання записів телефонних розмов </w:t>
            </w:r>
            <w:r w:rsidR="00B93495">
              <w:rPr>
                <w:rFonts w:ascii="Times New Roman" w:eastAsia="Times New Roman" w:hAnsi="Times New Roman" w:cs="Times New Roman"/>
                <w:sz w:val="27"/>
                <w:szCs w:val="27"/>
                <w:lang w:val="uk-UA"/>
              </w:rPr>
              <w:t>і потоків даних.</w:t>
            </w:r>
          </w:p>
        </w:tc>
      </w:tr>
    </w:tbl>
    <w:p w:rsidR="00B93495" w:rsidRPr="001B7DC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17235">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B93495">
        <w:rPr>
          <w:rFonts w:ascii="Times New Roman" w:eastAsia="Times New Roman" w:hAnsi="Times New Roman" w:cs="Times New Roman"/>
          <w:sz w:val="27"/>
          <w:szCs w:val="27"/>
          <w:lang w:val="uk-UA"/>
        </w:rPr>
        <w:t>Посадовці</w:t>
      </w:r>
      <w:r w:rsidR="001B7DC1">
        <w:rPr>
          <w:rFonts w:ascii="Times New Roman" w:eastAsia="Times New Roman" w:hAnsi="Times New Roman" w:cs="Times New Roman"/>
          <w:sz w:val="27"/>
          <w:szCs w:val="27"/>
          <w:lang w:val="uk-UA"/>
        </w:rPr>
        <w:t xml:space="preserve"> та інші особи, уповноважені </w:t>
      </w:r>
      <w:r w:rsidR="001B7DC1">
        <w:rPr>
          <w:rFonts w:ascii="Times New Roman" w:eastAsia="Times New Roman" w:hAnsi="Times New Roman" w:cs="Times New Roman"/>
          <w:sz w:val="27"/>
          <w:szCs w:val="27"/>
        </w:rPr>
        <w:t>ESMA</w:t>
      </w:r>
      <w:r w:rsidR="001B7DC1">
        <w:rPr>
          <w:rFonts w:ascii="Times New Roman" w:eastAsia="Times New Roman" w:hAnsi="Times New Roman" w:cs="Times New Roman"/>
          <w:sz w:val="27"/>
          <w:szCs w:val="27"/>
          <w:lang w:val="uk-UA"/>
        </w:rPr>
        <w:t xml:space="preserve"> в цілях проведення розслідувань, згаданих у пункті 1 цієї статті, </w:t>
      </w:r>
      <w:r w:rsidR="004C09D9">
        <w:rPr>
          <w:rFonts w:ascii="Times New Roman" w:eastAsia="Times New Roman" w:hAnsi="Times New Roman" w:cs="Times New Roman"/>
          <w:sz w:val="27"/>
          <w:szCs w:val="27"/>
          <w:lang w:val="uk-UA"/>
        </w:rPr>
        <w:t xml:space="preserve">здійснюють свої повноваження після пред’явлення письмового дозволу, в якому зазначені предмет і мета розслідування. У дозволі також зазначаються періодичні штрафні платежі, передбачені у статті 66 на випадок, якщо потрібні документи, дані, процедури </w:t>
      </w:r>
      <w:r w:rsidR="001E5B1F">
        <w:rPr>
          <w:rFonts w:ascii="Times New Roman" w:eastAsia="Times New Roman" w:hAnsi="Times New Roman" w:cs="Times New Roman"/>
          <w:sz w:val="27"/>
          <w:szCs w:val="27"/>
          <w:lang w:val="uk-UA"/>
        </w:rPr>
        <w:t>або інші матеріали чи відповіді на запитання, поставлені особам, згаданим у статті 61(1), не надані або надані не в повному обсязі, а також разові штрафи, передбачені у статті 65 зв'язку з п. (а) Розділу</w:t>
      </w:r>
      <w:r w:rsidR="001E5B1F" w:rsidRPr="001E5B1F">
        <w:rPr>
          <w:rFonts w:ascii="Times New Roman" w:eastAsia="Times New Roman" w:hAnsi="Times New Roman" w:cs="Times New Roman"/>
          <w:sz w:val="27"/>
          <w:szCs w:val="27"/>
          <w:lang w:val="uk-UA"/>
        </w:rPr>
        <w:t xml:space="preserve"> </w:t>
      </w:r>
      <w:r w:rsidR="001E5B1F" w:rsidRPr="006279CF">
        <w:rPr>
          <w:rFonts w:ascii="Times New Roman" w:eastAsia="Times New Roman" w:hAnsi="Times New Roman" w:cs="Times New Roman"/>
          <w:sz w:val="27"/>
          <w:szCs w:val="27"/>
        </w:rPr>
        <w:t>IV</w:t>
      </w:r>
      <w:r w:rsidR="001E5B1F" w:rsidRPr="001E5B1F">
        <w:rPr>
          <w:rFonts w:ascii="Times New Roman" w:eastAsia="Times New Roman" w:hAnsi="Times New Roman" w:cs="Times New Roman"/>
          <w:sz w:val="27"/>
          <w:szCs w:val="27"/>
          <w:lang w:val="uk-UA"/>
        </w:rPr>
        <w:t xml:space="preserve"> </w:t>
      </w:r>
      <w:r w:rsidR="001E5B1F">
        <w:rPr>
          <w:rFonts w:ascii="Times New Roman" w:eastAsia="Times New Roman" w:hAnsi="Times New Roman" w:cs="Times New Roman"/>
          <w:sz w:val="27"/>
          <w:szCs w:val="27"/>
          <w:lang w:val="uk-UA"/>
        </w:rPr>
        <w:t>Додатку</w:t>
      </w:r>
      <w:r w:rsidR="001E5B1F" w:rsidRPr="001E5B1F">
        <w:rPr>
          <w:rFonts w:ascii="Times New Roman" w:eastAsia="Times New Roman" w:hAnsi="Times New Roman" w:cs="Times New Roman"/>
          <w:sz w:val="27"/>
          <w:szCs w:val="27"/>
          <w:lang w:val="uk-UA"/>
        </w:rPr>
        <w:t xml:space="preserve"> </w:t>
      </w:r>
      <w:r w:rsidR="001E5B1F">
        <w:rPr>
          <w:rFonts w:ascii="Times New Roman" w:eastAsia="Times New Roman" w:hAnsi="Times New Roman" w:cs="Times New Roman"/>
          <w:sz w:val="27"/>
          <w:szCs w:val="27"/>
          <w:lang w:val="uk-UA"/>
        </w:rPr>
        <w:t xml:space="preserve">І, у випадку, якщо </w:t>
      </w:r>
      <w:r w:rsidR="001E5B1F">
        <w:rPr>
          <w:rFonts w:ascii="Times New Roman" w:eastAsia="Times New Roman" w:hAnsi="Times New Roman" w:cs="Times New Roman"/>
          <w:sz w:val="27"/>
          <w:szCs w:val="27"/>
          <w:lang w:val="uk-UA"/>
        </w:rPr>
        <w:lastRenderedPageBreak/>
        <w:t>відповіді на запитання</w:t>
      </w:r>
      <w:r w:rsidR="000A6216">
        <w:rPr>
          <w:rFonts w:ascii="Times New Roman" w:eastAsia="Times New Roman" w:hAnsi="Times New Roman" w:cs="Times New Roman"/>
          <w:sz w:val="27"/>
          <w:szCs w:val="27"/>
          <w:lang w:val="uk-UA"/>
        </w:rPr>
        <w:t>, поставлені особам, згаданим у статті 61(1),</w:t>
      </w:r>
      <w:r w:rsidR="001E5B1F">
        <w:rPr>
          <w:rFonts w:ascii="Times New Roman" w:eastAsia="Times New Roman" w:hAnsi="Times New Roman" w:cs="Times New Roman"/>
          <w:sz w:val="27"/>
          <w:szCs w:val="27"/>
          <w:lang w:val="uk-UA"/>
        </w:rPr>
        <w:t xml:space="preserve"> </w:t>
      </w:r>
      <w:r w:rsidR="000A6216">
        <w:rPr>
          <w:rFonts w:ascii="Times New Roman" w:eastAsia="Times New Roman" w:hAnsi="Times New Roman" w:cs="Times New Roman"/>
          <w:sz w:val="27"/>
          <w:szCs w:val="27"/>
          <w:lang w:val="uk-UA"/>
        </w:rPr>
        <w:t>неправдиві або вводять в оману.</w:t>
      </w:r>
    </w:p>
    <w:p w:rsidR="00F3622E" w:rsidRDefault="00DE77B0" w:rsidP="00F3622E">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17235">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205009">
        <w:rPr>
          <w:rFonts w:ascii="Times New Roman" w:eastAsia="Times New Roman" w:hAnsi="Times New Roman" w:cs="Times New Roman"/>
          <w:sz w:val="27"/>
          <w:szCs w:val="27"/>
          <w:lang w:val="uk-UA"/>
        </w:rPr>
        <w:t xml:space="preserve">Особи, згадані у статті 61(1), зобов’язані </w:t>
      </w:r>
      <w:r w:rsidR="00F3622E">
        <w:rPr>
          <w:rFonts w:ascii="Times New Roman" w:eastAsia="Times New Roman" w:hAnsi="Times New Roman" w:cs="Times New Roman"/>
          <w:sz w:val="27"/>
          <w:szCs w:val="27"/>
          <w:lang w:val="uk-UA"/>
        </w:rPr>
        <w:t xml:space="preserve">пройти розслідування, розпочате на підставі рішення </w:t>
      </w:r>
      <w:r w:rsidR="00F3622E">
        <w:rPr>
          <w:rFonts w:ascii="Times New Roman" w:eastAsia="Times New Roman" w:hAnsi="Times New Roman" w:cs="Times New Roman"/>
          <w:sz w:val="27"/>
          <w:szCs w:val="27"/>
        </w:rPr>
        <w:t>ESMA</w:t>
      </w:r>
      <w:r w:rsidR="00F3622E" w:rsidRPr="00C17235">
        <w:rPr>
          <w:rFonts w:ascii="Times New Roman" w:eastAsia="Times New Roman" w:hAnsi="Times New Roman" w:cs="Times New Roman"/>
          <w:sz w:val="27"/>
          <w:szCs w:val="27"/>
          <w:lang w:val="uk-UA"/>
        </w:rPr>
        <w:t>.</w:t>
      </w:r>
      <w:r w:rsidR="00F3622E">
        <w:rPr>
          <w:rFonts w:ascii="Times New Roman" w:eastAsia="Times New Roman" w:hAnsi="Times New Roman" w:cs="Times New Roman"/>
          <w:sz w:val="27"/>
          <w:szCs w:val="27"/>
          <w:lang w:val="uk-UA"/>
        </w:rPr>
        <w:t xml:space="preserve"> У рішенні зазначаються предмет і мета розслідування, періодичні штрафні платежі, передбачені у статті 66, </w:t>
      </w:r>
      <w:r w:rsidR="00C977EB">
        <w:rPr>
          <w:rFonts w:ascii="Times New Roman" w:eastAsia="Times New Roman" w:hAnsi="Times New Roman" w:cs="Times New Roman"/>
          <w:sz w:val="27"/>
          <w:szCs w:val="27"/>
          <w:lang w:val="uk-UA"/>
        </w:rPr>
        <w:t>засоби правового захисту, доступні згідно з Регламентом</w:t>
      </w:r>
      <w:r w:rsidR="00C977EB" w:rsidRPr="00F3622E">
        <w:rPr>
          <w:rFonts w:ascii="Times New Roman" w:eastAsia="Times New Roman" w:hAnsi="Times New Roman" w:cs="Times New Roman"/>
          <w:sz w:val="27"/>
          <w:szCs w:val="27"/>
          <w:lang w:val="uk-UA"/>
        </w:rPr>
        <w:t xml:space="preserve"> (</w:t>
      </w:r>
      <w:r w:rsidR="00C977EB" w:rsidRPr="006279CF">
        <w:rPr>
          <w:rFonts w:ascii="Times New Roman" w:eastAsia="Times New Roman" w:hAnsi="Times New Roman" w:cs="Times New Roman"/>
          <w:sz w:val="27"/>
          <w:szCs w:val="27"/>
        </w:rPr>
        <w:t>EU</w:t>
      </w:r>
      <w:r w:rsidR="00C977EB" w:rsidRPr="00F3622E">
        <w:rPr>
          <w:rFonts w:ascii="Times New Roman" w:eastAsia="Times New Roman" w:hAnsi="Times New Roman" w:cs="Times New Roman"/>
          <w:sz w:val="27"/>
          <w:szCs w:val="27"/>
          <w:lang w:val="uk-UA"/>
        </w:rPr>
        <w:t xml:space="preserve">) </w:t>
      </w:r>
      <w:r w:rsidR="00C977EB">
        <w:rPr>
          <w:rFonts w:ascii="Times New Roman" w:eastAsia="Times New Roman" w:hAnsi="Times New Roman" w:cs="Times New Roman"/>
          <w:sz w:val="27"/>
          <w:szCs w:val="27"/>
          <w:lang w:val="uk-UA"/>
        </w:rPr>
        <w:t>№</w:t>
      </w:r>
      <w:r w:rsidR="00C977EB" w:rsidRPr="006279CF">
        <w:rPr>
          <w:rFonts w:ascii="Times New Roman" w:eastAsia="Times New Roman" w:hAnsi="Times New Roman" w:cs="Times New Roman"/>
          <w:sz w:val="27"/>
          <w:szCs w:val="27"/>
        </w:rPr>
        <w:t> </w:t>
      </w:r>
      <w:r w:rsidR="00C977EB" w:rsidRPr="00F3622E">
        <w:rPr>
          <w:rFonts w:ascii="Times New Roman" w:eastAsia="Times New Roman" w:hAnsi="Times New Roman" w:cs="Times New Roman"/>
          <w:sz w:val="27"/>
          <w:szCs w:val="27"/>
          <w:lang w:val="uk-UA"/>
        </w:rPr>
        <w:t>1095/2010</w:t>
      </w:r>
      <w:r w:rsidR="00C977EB">
        <w:rPr>
          <w:rFonts w:ascii="Times New Roman" w:eastAsia="Times New Roman" w:hAnsi="Times New Roman" w:cs="Times New Roman"/>
          <w:sz w:val="27"/>
          <w:szCs w:val="27"/>
          <w:lang w:val="uk-UA"/>
        </w:rPr>
        <w:t>, і право на перегляд рішення Судом</w:t>
      </w:r>
      <w:r w:rsidR="00642CC1">
        <w:rPr>
          <w:rFonts w:ascii="Times New Roman" w:eastAsia="Times New Roman" w:hAnsi="Times New Roman" w:cs="Times New Roman"/>
          <w:sz w:val="27"/>
          <w:szCs w:val="27"/>
          <w:lang w:val="uk-UA"/>
        </w:rPr>
        <w:t xml:space="preserve"> ЄС</w:t>
      </w:r>
      <w:r w:rsidR="00C977EB">
        <w:rPr>
          <w:rFonts w:ascii="Times New Roman" w:eastAsia="Times New Roman" w:hAnsi="Times New Roman" w:cs="Times New Roman"/>
          <w:sz w:val="27"/>
          <w:szCs w:val="27"/>
          <w:lang w:val="uk-UA"/>
        </w:rPr>
        <w:t>.</w:t>
      </w:r>
    </w:p>
    <w:p w:rsidR="005A6ED8" w:rsidRPr="00DA41A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A6ED8">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D2044B">
        <w:rPr>
          <w:rFonts w:ascii="Times New Roman" w:eastAsia="Times New Roman" w:hAnsi="Times New Roman" w:cs="Times New Roman"/>
          <w:sz w:val="27"/>
          <w:szCs w:val="27"/>
          <w:lang w:val="uk-UA"/>
        </w:rPr>
        <w:t xml:space="preserve">За достатній період часу до початку розслідування </w:t>
      </w:r>
      <w:r w:rsidR="00D2044B">
        <w:rPr>
          <w:rFonts w:ascii="Times New Roman" w:eastAsia="Times New Roman" w:hAnsi="Times New Roman" w:cs="Times New Roman"/>
          <w:sz w:val="27"/>
          <w:szCs w:val="27"/>
        </w:rPr>
        <w:t>ESMA</w:t>
      </w:r>
      <w:r w:rsidR="00D2044B">
        <w:rPr>
          <w:rFonts w:ascii="Times New Roman" w:eastAsia="Times New Roman" w:hAnsi="Times New Roman" w:cs="Times New Roman"/>
          <w:sz w:val="27"/>
          <w:szCs w:val="27"/>
          <w:lang w:val="uk-UA"/>
        </w:rPr>
        <w:t xml:space="preserve"> інформує компетентний орган держави-члена Союзу, де проводитиметься розслідування, про передбачене розслідування та про особистість уповноважених осіб.</w:t>
      </w:r>
      <w:r w:rsidR="00DA41A1">
        <w:rPr>
          <w:rFonts w:ascii="Times New Roman" w:eastAsia="Times New Roman" w:hAnsi="Times New Roman" w:cs="Times New Roman"/>
          <w:sz w:val="27"/>
          <w:szCs w:val="27"/>
          <w:lang w:val="uk-UA"/>
        </w:rPr>
        <w:t xml:space="preserve"> </w:t>
      </w:r>
      <w:r w:rsidR="00764C09">
        <w:rPr>
          <w:rFonts w:ascii="Times New Roman" w:eastAsia="Times New Roman" w:hAnsi="Times New Roman" w:cs="Times New Roman"/>
          <w:sz w:val="27"/>
          <w:szCs w:val="27"/>
          <w:lang w:val="uk-UA"/>
        </w:rPr>
        <w:t xml:space="preserve">Посадовці зацікавленого компетентного органу на вимогу </w:t>
      </w:r>
      <w:r w:rsidR="00764C09">
        <w:rPr>
          <w:rFonts w:ascii="Times New Roman" w:eastAsia="Times New Roman" w:hAnsi="Times New Roman" w:cs="Times New Roman"/>
          <w:sz w:val="27"/>
          <w:szCs w:val="27"/>
        </w:rPr>
        <w:t>ESMA</w:t>
      </w:r>
      <w:r w:rsidR="00764C09">
        <w:rPr>
          <w:rFonts w:ascii="Times New Roman" w:eastAsia="Times New Roman" w:hAnsi="Times New Roman" w:cs="Times New Roman"/>
          <w:sz w:val="27"/>
          <w:szCs w:val="27"/>
          <w:lang w:val="uk-UA"/>
        </w:rPr>
        <w:t xml:space="preserve"> надають цим уповноваженим особам допомогу у виконанні ними їхніх обов’язків. Посадовці зацікавленого компетентного органу також можуть на вимогу бути присутніми під час проведення розслідувань.</w:t>
      </w:r>
    </w:p>
    <w:p w:rsidR="00DE77B0" w:rsidRPr="004E459F" w:rsidRDefault="00DE77B0" w:rsidP="00426FC6">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36510B">
        <w:rPr>
          <w:rFonts w:ascii="Times New Roman" w:eastAsia="Times New Roman" w:hAnsi="Times New Roman" w:cs="Times New Roman"/>
          <w:sz w:val="27"/>
          <w:szCs w:val="27"/>
          <w:lang w:val="uk-UA"/>
        </w:rPr>
        <w:t xml:space="preserve">Якщо вимога про надання записів телефонних розмов або потоків даних, згадана у </w:t>
      </w:r>
      <w:proofErr w:type="spellStart"/>
      <w:r w:rsidR="0036510B">
        <w:rPr>
          <w:rFonts w:ascii="Times New Roman" w:eastAsia="Times New Roman" w:hAnsi="Times New Roman" w:cs="Times New Roman"/>
          <w:sz w:val="27"/>
          <w:szCs w:val="27"/>
          <w:lang w:val="uk-UA"/>
        </w:rPr>
        <w:t>пп</w:t>
      </w:r>
      <w:proofErr w:type="spellEnd"/>
      <w:r w:rsidR="0036510B">
        <w:rPr>
          <w:rFonts w:ascii="Times New Roman" w:eastAsia="Times New Roman" w:hAnsi="Times New Roman" w:cs="Times New Roman"/>
          <w:sz w:val="27"/>
          <w:szCs w:val="27"/>
          <w:lang w:val="uk-UA"/>
        </w:rPr>
        <w:t xml:space="preserve">. (е) п. 1, потребує </w:t>
      </w:r>
      <w:r w:rsidR="00426FC6">
        <w:rPr>
          <w:rFonts w:ascii="Times New Roman" w:eastAsia="Times New Roman" w:hAnsi="Times New Roman" w:cs="Times New Roman"/>
          <w:sz w:val="27"/>
          <w:szCs w:val="27"/>
          <w:lang w:val="uk-UA"/>
        </w:rPr>
        <w:t xml:space="preserve">дозволу судового органу </w:t>
      </w:r>
      <w:r w:rsidR="004E459F">
        <w:rPr>
          <w:rFonts w:ascii="Times New Roman" w:eastAsia="Times New Roman" w:hAnsi="Times New Roman" w:cs="Times New Roman"/>
          <w:sz w:val="27"/>
          <w:szCs w:val="27"/>
          <w:lang w:val="uk-UA"/>
        </w:rPr>
        <w:t>відповідно до національних правил, то подається заява на такий дозвіл. Заяву на такий дозвіл також можна подавати в якості запобіжного заходу.</w:t>
      </w:r>
    </w:p>
    <w:p w:rsidR="00DE77B0" w:rsidRPr="004E459F" w:rsidRDefault="004E459F" w:rsidP="00A945E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426FC6">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Якщо подано заяву на дозвіл, згаданий у пункті 5 цієї статті, то національний судовий орган контролює автентичність рішення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а також перевіряє, щоб передбачені примусові заходи не мали довільний характер і були надмірними, враховуючи предмет розслідування.</w:t>
      </w:r>
      <w:r w:rsidRPr="004E459F">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 xml:space="preserve">Здійснюючи контроль за сумірністю примусових заходів, національний судовий орган може затребувати від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детальні пояснення, зокрема стосовно наявних у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підстав підозрювати, що мало місце порушення цього регламенту, а також стосовно тяжкості порушення і характеру причетності особи, до якої застосовуватимуться примусові заходи. Разом з тим, національний судовий орган не переглядає необхідність проведення розслідування і не вимагає надання йому інформації</w:t>
      </w:r>
      <w:r w:rsidRPr="00AE241B">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 xml:space="preserve">яку має у своєму розпорядженні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Законність рішення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підлягає перегляду тільки Судом </w:t>
      </w:r>
      <w:r w:rsidR="00642CC1">
        <w:rPr>
          <w:rFonts w:ascii="Times New Roman" w:eastAsia="Times New Roman" w:hAnsi="Times New Roman" w:cs="Times New Roman"/>
          <w:sz w:val="27"/>
          <w:szCs w:val="27"/>
          <w:lang w:val="uk-UA"/>
        </w:rPr>
        <w:t xml:space="preserve">ЄС </w:t>
      </w:r>
      <w:r>
        <w:rPr>
          <w:rFonts w:ascii="Times New Roman" w:eastAsia="Times New Roman" w:hAnsi="Times New Roman" w:cs="Times New Roman"/>
          <w:sz w:val="27"/>
          <w:szCs w:val="27"/>
          <w:lang w:val="uk-UA"/>
        </w:rPr>
        <w:t>у порядку, встановленому в Регламенті</w:t>
      </w:r>
      <w:r w:rsidRPr="00A945E4">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EU</w:t>
      </w:r>
      <w:r w:rsidRPr="00A945E4">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w:t>
      </w:r>
      <w:r w:rsidRPr="006279CF">
        <w:rPr>
          <w:rFonts w:ascii="Times New Roman" w:eastAsia="Times New Roman" w:hAnsi="Times New Roman" w:cs="Times New Roman"/>
          <w:sz w:val="27"/>
          <w:szCs w:val="27"/>
        </w:rPr>
        <w:t> </w:t>
      </w:r>
      <w:r w:rsidRPr="00A945E4">
        <w:rPr>
          <w:rFonts w:ascii="Times New Roman" w:eastAsia="Times New Roman" w:hAnsi="Times New Roman" w:cs="Times New Roman"/>
          <w:sz w:val="27"/>
          <w:szCs w:val="27"/>
          <w:lang w:val="ru-RU"/>
        </w:rPr>
        <w:t>1095/2010.</w:t>
      </w:r>
    </w:p>
    <w:p w:rsidR="00DE77B0" w:rsidRPr="00C17235"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17235">
        <w:rPr>
          <w:rFonts w:ascii="Times New Roman" w:eastAsia="Times New Roman" w:hAnsi="Times New Roman" w:cs="Times New Roman"/>
          <w:i/>
          <w:iCs/>
          <w:sz w:val="27"/>
          <w:szCs w:val="27"/>
          <w:lang w:val="ru-RU"/>
        </w:rPr>
        <w:t>Стаття</w:t>
      </w:r>
      <w:proofErr w:type="spellEnd"/>
      <w:r w:rsidR="00DE77B0" w:rsidRPr="00C17235">
        <w:rPr>
          <w:rFonts w:ascii="Times New Roman" w:eastAsia="Times New Roman" w:hAnsi="Times New Roman" w:cs="Times New Roman"/>
          <w:i/>
          <w:iCs/>
          <w:sz w:val="27"/>
          <w:szCs w:val="27"/>
          <w:lang w:val="ru-RU"/>
        </w:rPr>
        <w:t xml:space="preserve"> 63</w:t>
      </w:r>
    </w:p>
    <w:p w:rsidR="00DE77B0" w:rsidRPr="004D103D" w:rsidRDefault="004D103D"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Виїзні перевірки</w:t>
      </w:r>
    </w:p>
    <w:p w:rsidR="00894CB1" w:rsidRPr="00894CB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D918D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D918D3">
        <w:rPr>
          <w:rFonts w:ascii="Times New Roman" w:eastAsia="Times New Roman" w:hAnsi="Times New Roman" w:cs="Times New Roman"/>
          <w:sz w:val="27"/>
          <w:szCs w:val="27"/>
          <w:lang w:val="uk-UA"/>
        </w:rPr>
        <w:t xml:space="preserve">З метою виконання своїх обов’язків за цим регламентом </w:t>
      </w:r>
      <w:r w:rsidR="00D918D3">
        <w:rPr>
          <w:rFonts w:ascii="Times New Roman" w:eastAsia="Times New Roman" w:hAnsi="Times New Roman" w:cs="Times New Roman"/>
          <w:sz w:val="27"/>
          <w:szCs w:val="27"/>
        </w:rPr>
        <w:t>ESMA</w:t>
      </w:r>
      <w:r w:rsidR="00D918D3">
        <w:rPr>
          <w:rFonts w:ascii="Times New Roman" w:eastAsia="Times New Roman" w:hAnsi="Times New Roman" w:cs="Times New Roman"/>
          <w:sz w:val="27"/>
          <w:szCs w:val="27"/>
          <w:lang w:val="uk-UA"/>
        </w:rPr>
        <w:t xml:space="preserve"> може проводити всі необхідні виїзні перевірки у будь-яких господарських приміщеннях </w:t>
      </w:r>
      <w:r w:rsidR="00AB026A">
        <w:rPr>
          <w:rFonts w:ascii="Times New Roman" w:eastAsia="Times New Roman" w:hAnsi="Times New Roman" w:cs="Times New Roman"/>
          <w:sz w:val="27"/>
          <w:szCs w:val="27"/>
          <w:lang w:val="uk-UA"/>
        </w:rPr>
        <w:t xml:space="preserve">або на будь-яких земельних ділянках юридичних осіб, згаданих у статті 61(1). </w:t>
      </w:r>
      <w:r w:rsidR="00894CB1">
        <w:rPr>
          <w:rFonts w:ascii="Times New Roman" w:eastAsia="Times New Roman" w:hAnsi="Times New Roman" w:cs="Times New Roman"/>
          <w:sz w:val="27"/>
          <w:szCs w:val="27"/>
        </w:rPr>
        <w:t>ESMA</w:t>
      </w:r>
      <w:r w:rsidR="00894CB1">
        <w:rPr>
          <w:rFonts w:ascii="Times New Roman" w:eastAsia="Times New Roman" w:hAnsi="Times New Roman" w:cs="Times New Roman"/>
          <w:sz w:val="27"/>
          <w:szCs w:val="27"/>
          <w:lang w:val="uk-UA"/>
        </w:rPr>
        <w:t xml:space="preserve"> може провести виїзну перевірку без попереднього </w:t>
      </w:r>
      <w:r w:rsidR="00894CB1">
        <w:rPr>
          <w:rFonts w:ascii="Times New Roman" w:eastAsia="Times New Roman" w:hAnsi="Times New Roman" w:cs="Times New Roman"/>
          <w:sz w:val="27"/>
          <w:szCs w:val="27"/>
          <w:lang w:val="uk-UA"/>
        </w:rPr>
        <w:lastRenderedPageBreak/>
        <w:t>сповіщення, якщо це потрібно для належного проведення та ефективності цієї перевірки.</w:t>
      </w:r>
    </w:p>
    <w:p w:rsidR="00DE77B0" w:rsidRPr="00C17235" w:rsidRDefault="00DE77B0" w:rsidP="00E90CE8">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894CB1">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E90CE8">
        <w:rPr>
          <w:rFonts w:ascii="Times New Roman" w:eastAsia="Times New Roman" w:hAnsi="Times New Roman" w:cs="Times New Roman"/>
          <w:sz w:val="27"/>
          <w:szCs w:val="27"/>
          <w:lang w:val="uk-UA"/>
        </w:rPr>
        <w:t xml:space="preserve">Посадовці та інші особи, уповноважені </w:t>
      </w:r>
      <w:r w:rsidR="00E90CE8">
        <w:rPr>
          <w:rFonts w:ascii="Times New Roman" w:eastAsia="Times New Roman" w:hAnsi="Times New Roman" w:cs="Times New Roman"/>
          <w:sz w:val="27"/>
          <w:szCs w:val="27"/>
        </w:rPr>
        <w:t>ESMA</w:t>
      </w:r>
      <w:r w:rsidR="00E90CE8">
        <w:rPr>
          <w:rFonts w:ascii="Times New Roman" w:eastAsia="Times New Roman" w:hAnsi="Times New Roman" w:cs="Times New Roman"/>
          <w:sz w:val="27"/>
          <w:szCs w:val="27"/>
          <w:lang w:val="uk-UA"/>
        </w:rPr>
        <w:t xml:space="preserve"> на проведення виїзної перевірки,</w:t>
      </w:r>
      <w:r w:rsidR="00894CB1">
        <w:rPr>
          <w:rFonts w:ascii="Times New Roman" w:eastAsia="Times New Roman" w:hAnsi="Times New Roman" w:cs="Times New Roman"/>
          <w:sz w:val="27"/>
          <w:szCs w:val="27"/>
          <w:lang w:val="uk-UA"/>
        </w:rPr>
        <w:t xml:space="preserve"> можуть входити у господарські </w:t>
      </w:r>
      <w:r w:rsidR="00F44E98">
        <w:rPr>
          <w:rFonts w:ascii="Times New Roman" w:eastAsia="Times New Roman" w:hAnsi="Times New Roman" w:cs="Times New Roman"/>
          <w:sz w:val="27"/>
          <w:szCs w:val="27"/>
          <w:lang w:val="uk-UA"/>
        </w:rPr>
        <w:t xml:space="preserve">приміщення і на земельні ділянки юридичних осіб, на яких поширюється рішення про розслідування, прийняте </w:t>
      </w:r>
      <w:r w:rsidR="00F44E98">
        <w:rPr>
          <w:rFonts w:ascii="Times New Roman" w:eastAsia="Times New Roman" w:hAnsi="Times New Roman" w:cs="Times New Roman"/>
          <w:sz w:val="27"/>
          <w:szCs w:val="27"/>
        </w:rPr>
        <w:t>ESMA</w:t>
      </w:r>
      <w:r w:rsidR="00F44E98">
        <w:rPr>
          <w:rFonts w:ascii="Times New Roman" w:eastAsia="Times New Roman" w:hAnsi="Times New Roman" w:cs="Times New Roman"/>
          <w:sz w:val="27"/>
          <w:szCs w:val="27"/>
          <w:lang w:val="uk-UA"/>
        </w:rPr>
        <w:t xml:space="preserve">, </w:t>
      </w:r>
      <w:r w:rsidR="00B854FE">
        <w:rPr>
          <w:rFonts w:ascii="Times New Roman" w:eastAsia="Times New Roman" w:hAnsi="Times New Roman" w:cs="Times New Roman"/>
          <w:sz w:val="27"/>
          <w:szCs w:val="27"/>
          <w:lang w:val="uk-UA"/>
        </w:rPr>
        <w:t xml:space="preserve">і мають усі повноваження, передбачені у статті 62(1). Вони також мають право опечатувати </w:t>
      </w:r>
      <w:r w:rsidR="000D4F08">
        <w:rPr>
          <w:rFonts w:ascii="Times New Roman" w:eastAsia="Times New Roman" w:hAnsi="Times New Roman" w:cs="Times New Roman"/>
          <w:sz w:val="27"/>
          <w:szCs w:val="27"/>
          <w:lang w:val="uk-UA"/>
        </w:rPr>
        <w:t>будь-які господарські приміщення, бухгалтерську звітність і документацію на термін проведення перевірки</w:t>
      </w:r>
      <w:r w:rsidR="00E90CE8">
        <w:rPr>
          <w:rFonts w:ascii="Times New Roman" w:eastAsia="Times New Roman" w:hAnsi="Times New Roman" w:cs="Times New Roman"/>
          <w:sz w:val="27"/>
          <w:szCs w:val="27"/>
          <w:lang w:val="uk-UA"/>
        </w:rPr>
        <w:t xml:space="preserve"> або в обсязі, необхідному для її проведення.</w:t>
      </w:r>
    </w:p>
    <w:p w:rsidR="00DE77B0" w:rsidRPr="00D2044B" w:rsidRDefault="00DE77B0" w:rsidP="00D2044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90CE8">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E90CE8">
        <w:rPr>
          <w:rFonts w:ascii="Times New Roman" w:eastAsia="Times New Roman" w:hAnsi="Times New Roman" w:cs="Times New Roman"/>
          <w:sz w:val="27"/>
          <w:szCs w:val="27"/>
          <w:lang w:val="uk-UA"/>
        </w:rPr>
        <w:t xml:space="preserve">Посадовці та інші особи, уповноважені </w:t>
      </w:r>
      <w:r w:rsidR="00E90CE8">
        <w:rPr>
          <w:rFonts w:ascii="Times New Roman" w:eastAsia="Times New Roman" w:hAnsi="Times New Roman" w:cs="Times New Roman"/>
          <w:sz w:val="27"/>
          <w:szCs w:val="27"/>
        </w:rPr>
        <w:t>ESMA</w:t>
      </w:r>
      <w:r w:rsidR="00E90CE8">
        <w:rPr>
          <w:rFonts w:ascii="Times New Roman" w:eastAsia="Times New Roman" w:hAnsi="Times New Roman" w:cs="Times New Roman"/>
          <w:sz w:val="27"/>
          <w:szCs w:val="27"/>
          <w:lang w:val="uk-UA"/>
        </w:rPr>
        <w:t xml:space="preserve"> на проведення виїзної перевірки,</w:t>
      </w:r>
      <w:r w:rsidR="004C09D9">
        <w:rPr>
          <w:rFonts w:ascii="Times New Roman" w:eastAsia="Times New Roman" w:hAnsi="Times New Roman" w:cs="Times New Roman"/>
          <w:sz w:val="27"/>
          <w:szCs w:val="27"/>
          <w:lang w:val="uk-UA"/>
        </w:rPr>
        <w:t xml:space="preserve"> здійснюють свої повноваження після пред’явлення письмового дозволу, в якому зазначені предмет і мета розслідування, а також періодичні штрафні платежі, передбачені у статті 66</w:t>
      </w:r>
      <w:r w:rsidR="00615386">
        <w:rPr>
          <w:rFonts w:ascii="Times New Roman" w:eastAsia="Times New Roman" w:hAnsi="Times New Roman" w:cs="Times New Roman"/>
          <w:sz w:val="27"/>
          <w:szCs w:val="27"/>
          <w:lang w:val="uk-UA"/>
        </w:rPr>
        <w:t xml:space="preserve"> на випадок, якщо зацікавлені особи не погоджуються на перевірку.</w:t>
      </w:r>
      <w:r w:rsidR="00D2044B">
        <w:rPr>
          <w:rFonts w:ascii="Times New Roman" w:eastAsia="Times New Roman" w:hAnsi="Times New Roman" w:cs="Times New Roman"/>
          <w:sz w:val="27"/>
          <w:szCs w:val="27"/>
          <w:lang w:val="uk-UA"/>
        </w:rPr>
        <w:t xml:space="preserve"> За достатній період часу до початку перевірки </w:t>
      </w:r>
      <w:r w:rsidR="00D2044B">
        <w:rPr>
          <w:rFonts w:ascii="Times New Roman" w:eastAsia="Times New Roman" w:hAnsi="Times New Roman" w:cs="Times New Roman"/>
          <w:sz w:val="27"/>
          <w:szCs w:val="27"/>
        </w:rPr>
        <w:t>ESMA</w:t>
      </w:r>
      <w:r w:rsidR="00D2044B">
        <w:rPr>
          <w:rFonts w:ascii="Times New Roman" w:eastAsia="Times New Roman" w:hAnsi="Times New Roman" w:cs="Times New Roman"/>
          <w:sz w:val="27"/>
          <w:szCs w:val="27"/>
          <w:lang w:val="uk-UA"/>
        </w:rPr>
        <w:t xml:space="preserve"> інформує про інспекцію компетентний орган держави-члена Союзу, де проводитиметься перевірка.</w:t>
      </w:r>
    </w:p>
    <w:p w:rsidR="00C977EB" w:rsidRPr="00C977EB"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17235">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B2236D">
        <w:rPr>
          <w:rFonts w:ascii="Times New Roman" w:eastAsia="Times New Roman" w:hAnsi="Times New Roman" w:cs="Times New Roman"/>
          <w:sz w:val="27"/>
          <w:szCs w:val="27"/>
          <w:lang w:val="uk-UA"/>
        </w:rPr>
        <w:t>Особи, згадані</w:t>
      </w:r>
      <w:r w:rsidR="00812EED" w:rsidRPr="00B2236D">
        <w:rPr>
          <w:rFonts w:ascii="Times New Roman" w:eastAsia="Times New Roman" w:hAnsi="Times New Roman" w:cs="Times New Roman"/>
          <w:sz w:val="27"/>
          <w:szCs w:val="27"/>
          <w:lang w:val="ru-RU"/>
        </w:rPr>
        <w:t xml:space="preserve"> у </w:t>
      </w:r>
      <w:proofErr w:type="spellStart"/>
      <w:r w:rsidR="00812EED" w:rsidRPr="00B2236D">
        <w:rPr>
          <w:rFonts w:ascii="Times New Roman" w:eastAsia="Times New Roman" w:hAnsi="Times New Roman" w:cs="Times New Roman"/>
          <w:sz w:val="27"/>
          <w:szCs w:val="27"/>
          <w:lang w:val="ru-RU"/>
        </w:rPr>
        <w:t>статті</w:t>
      </w:r>
      <w:proofErr w:type="spellEnd"/>
      <w:r w:rsidRPr="00B2236D">
        <w:rPr>
          <w:rFonts w:ascii="Times New Roman" w:eastAsia="Times New Roman" w:hAnsi="Times New Roman" w:cs="Times New Roman"/>
          <w:sz w:val="27"/>
          <w:szCs w:val="27"/>
          <w:lang w:val="ru-RU"/>
        </w:rPr>
        <w:t xml:space="preserve"> 61(1)</w:t>
      </w:r>
      <w:r w:rsidR="00B2236D">
        <w:rPr>
          <w:rFonts w:ascii="Times New Roman" w:eastAsia="Times New Roman" w:hAnsi="Times New Roman" w:cs="Times New Roman"/>
          <w:sz w:val="27"/>
          <w:szCs w:val="27"/>
          <w:lang w:val="uk-UA"/>
        </w:rPr>
        <w:t xml:space="preserve">, погоджуються з проведенням </w:t>
      </w:r>
      <w:r w:rsidR="00A605CF">
        <w:rPr>
          <w:rFonts w:ascii="Times New Roman" w:eastAsia="Times New Roman" w:hAnsi="Times New Roman" w:cs="Times New Roman"/>
          <w:sz w:val="27"/>
          <w:szCs w:val="27"/>
          <w:lang w:val="uk-UA"/>
        </w:rPr>
        <w:t xml:space="preserve">виїзних перевірок, призначених за рішенням </w:t>
      </w:r>
      <w:r w:rsidR="00A605CF">
        <w:rPr>
          <w:rFonts w:ascii="Times New Roman" w:eastAsia="Times New Roman" w:hAnsi="Times New Roman" w:cs="Times New Roman"/>
          <w:sz w:val="27"/>
          <w:szCs w:val="27"/>
        </w:rPr>
        <w:t>ESMA</w:t>
      </w:r>
      <w:r w:rsidR="00A605CF">
        <w:rPr>
          <w:rFonts w:ascii="Times New Roman" w:eastAsia="Times New Roman" w:hAnsi="Times New Roman" w:cs="Times New Roman"/>
          <w:sz w:val="27"/>
          <w:szCs w:val="27"/>
          <w:lang w:val="uk-UA"/>
        </w:rPr>
        <w:t>. У рішенні зазначається предмет і мета перевірки, вказується дата початку проведення перевірки, а також зазначаються періодичні штрафні платежі, передбачені у статті 66</w:t>
      </w:r>
      <w:r w:rsidR="00C977EB">
        <w:rPr>
          <w:rFonts w:ascii="Times New Roman" w:eastAsia="Times New Roman" w:hAnsi="Times New Roman" w:cs="Times New Roman"/>
          <w:sz w:val="27"/>
          <w:szCs w:val="27"/>
          <w:lang w:val="uk-UA"/>
        </w:rPr>
        <w:t>, засоби правового захисту, доступні згідно з Регламентом</w:t>
      </w:r>
      <w:r w:rsidR="00C977EB" w:rsidRPr="00F3622E">
        <w:rPr>
          <w:rFonts w:ascii="Times New Roman" w:eastAsia="Times New Roman" w:hAnsi="Times New Roman" w:cs="Times New Roman"/>
          <w:sz w:val="27"/>
          <w:szCs w:val="27"/>
          <w:lang w:val="uk-UA"/>
        </w:rPr>
        <w:t xml:space="preserve"> (</w:t>
      </w:r>
      <w:r w:rsidR="00C977EB" w:rsidRPr="006279CF">
        <w:rPr>
          <w:rFonts w:ascii="Times New Roman" w:eastAsia="Times New Roman" w:hAnsi="Times New Roman" w:cs="Times New Roman"/>
          <w:sz w:val="27"/>
          <w:szCs w:val="27"/>
        </w:rPr>
        <w:t>EU</w:t>
      </w:r>
      <w:r w:rsidR="00C977EB" w:rsidRPr="00F3622E">
        <w:rPr>
          <w:rFonts w:ascii="Times New Roman" w:eastAsia="Times New Roman" w:hAnsi="Times New Roman" w:cs="Times New Roman"/>
          <w:sz w:val="27"/>
          <w:szCs w:val="27"/>
          <w:lang w:val="uk-UA"/>
        </w:rPr>
        <w:t xml:space="preserve">) </w:t>
      </w:r>
      <w:r w:rsidR="00C977EB">
        <w:rPr>
          <w:rFonts w:ascii="Times New Roman" w:eastAsia="Times New Roman" w:hAnsi="Times New Roman" w:cs="Times New Roman"/>
          <w:sz w:val="27"/>
          <w:szCs w:val="27"/>
          <w:lang w:val="uk-UA"/>
        </w:rPr>
        <w:t>№</w:t>
      </w:r>
      <w:r w:rsidR="00C977EB" w:rsidRPr="006279CF">
        <w:rPr>
          <w:rFonts w:ascii="Times New Roman" w:eastAsia="Times New Roman" w:hAnsi="Times New Roman" w:cs="Times New Roman"/>
          <w:sz w:val="27"/>
          <w:szCs w:val="27"/>
        </w:rPr>
        <w:t> </w:t>
      </w:r>
      <w:r w:rsidR="00C977EB" w:rsidRPr="00F3622E">
        <w:rPr>
          <w:rFonts w:ascii="Times New Roman" w:eastAsia="Times New Roman" w:hAnsi="Times New Roman" w:cs="Times New Roman"/>
          <w:sz w:val="27"/>
          <w:szCs w:val="27"/>
          <w:lang w:val="uk-UA"/>
        </w:rPr>
        <w:t>1095/2010</w:t>
      </w:r>
      <w:r w:rsidR="00C977EB">
        <w:rPr>
          <w:rFonts w:ascii="Times New Roman" w:eastAsia="Times New Roman" w:hAnsi="Times New Roman" w:cs="Times New Roman"/>
          <w:sz w:val="27"/>
          <w:szCs w:val="27"/>
          <w:lang w:val="uk-UA"/>
        </w:rPr>
        <w:t>, і право на перегляд рішення Судом.</w:t>
      </w:r>
      <w:r w:rsidR="00C977EB" w:rsidRPr="00C977EB">
        <w:rPr>
          <w:rFonts w:ascii="Times New Roman" w:eastAsia="Times New Roman" w:hAnsi="Times New Roman" w:cs="Times New Roman"/>
          <w:sz w:val="27"/>
          <w:szCs w:val="27"/>
          <w:lang w:val="uk-UA"/>
        </w:rPr>
        <w:t xml:space="preserve"> </w:t>
      </w:r>
      <w:r w:rsidR="00C977EB">
        <w:rPr>
          <w:rFonts w:ascii="Times New Roman" w:eastAsia="Times New Roman" w:hAnsi="Times New Roman" w:cs="Times New Roman"/>
          <w:sz w:val="27"/>
          <w:szCs w:val="27"/>
        </w:rPr>
        <w:t>ESMA</w:t>
      </w:r>
      <w:r w:rsidR="00C977EB">
        <w:rPr>
          <w:rFonts w:ascii="Times New Roman" w:eastAsia="Times New Roman" w:hAnsi="Times New Roman" w:cs="Times New Roman"/>
          <w:sz w:val="27"/>
          <w:szCs w:val="27"/>
          <w:lang w:val="uk-UA"/>
        </w:rPr>
        <w:t xml:space="preserve"> ухвалює такі рішення після консультацій з компетентним</w:t>
      </w:r>
      <w:r w:rsidR="00764C09">
        <w:rPr>
          <w:rFonts w:ascii="Times New Roman" w:eastAsia="Times New Roman" w:hAnsi="Times New Roman" w:cs="Times New Roman"/>
          <w:sz w:val="27"/>
          <w:szCs w:val="27"/>
          <w:lang w:val="uk-UA"/>
        </w:rPr>
        <w:t xml:space="preserve"> органом держави-члена Союзу, в якій проводитиметься перевірка.</w:t>
      </w:r>
    </w:p>
    <w:p w:rsidR="00764C09" w:rsidRDefault="00DE77B0" w:rsidP="00F126AC">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764C09">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764C09">
        <w:rPr>
          <w:rFonts w:ascii="Times New Roman" w:eastAsia="Times New Roman" w:hAnsi="Times New Roman" w:cs="Times New Roman"/>
          <w:sz w:val="27"/>
          <w:szCs w:val="27"/>
          <w:lang w:val="uk-UA"/>
        </w:rPr>
        <w:t>Посадовці компетентного органу держави-члена Союзу, де проводитиметься перевірка, а також особи, уповноважені або призначені цим органом</w:t>
      </w:r>
      <w:r w:rsidR="00F126AC">
        <w:rPr>
          <w:rFonts w:ascii="Times New Roman" w:eastAsia="Times New Roman" w:hAnsi="Times New Roman" w:cs="Times New Roman"/>
          <w:sz w:val="27"/>
          <w:szCs w:val="27"/>
          <w:lang w:val="uk-UA"/>
        </w:rPr>
        <w:t xml:space="preserve">, </w:t>
      </w:r>
      <w:r w:rsidR="00764C09">
        <w:rPr>
          <w:rFonts w:ascii="Times New Roman" w:eastAsia="Times New Roman" w:hAnsi="Times New Roman" w:cs="Times New Roman"/>
          <w:sz w:val="27"/>
          <w:szCs w:val="27"/>
          <w:lang w:val="uk-UA"/>
        </w:rPr>
        <w:t xml:space="preserve">на вимогу </w:t>
      </w:r>
      <w:r w:rsidR="00764C09">
        <w:rPr>
          <w:rFonts w:ascii="Times New Roman" w:eastAsia="Times New Roman" w:hAnsi="Times New Roman" w:cs="Times New Roman"/>
          <w:sz w:val="27"/>
          <w:szCs w:val="27"/>
        </w:rPr>
        <w:t>ESMA</w:t>
      </w:r>
      <w:r w:rsidR="00764C09">
        <w:rPr>
          <w:rFonts w:ascii="Times New Roman" w:eastAsia="Times New Roman" w:hAnsi="Times New Roman" w:cs="Times New Roman"/>
          <w:sz w:val="27"/>
          <w:szCs w:val="27"/>
          <w:lang w:val="uk-UA"/>
        </w:rPr>
        <w:t xml:space="preserve"> надають цим </w:t>
      </w:r>
      <w:r w:rsidR="00F126AC">
        <w:rPr>
          <w:rFonts w:ascii="Times New Roman" w:eastAsia="Times New Roman" w:hAnsi="Times New Roman" w:cs="Times New Roman"/>
          <w:sz w:val="27"/>
          <w:szCs w:val="27"/>
          <w:lang w:val="uk-UA"/>
        </w:rPr>
        <w:t xml:space="preserve">посадовцям та іншим особам, уповноваженим </w:t>
      </w:r>
      <w:r w:rsidR="00F126AC">
        <w:rPr>
          <w:rFonts w:ascii="Times New Roman" w:eastAsia="Times New Roman" w:hAnsi="Times New Roman" w:cs="Times New Roman"/>
          <w:sz w:val="27"/>
          <w:szCs w:val="27"/>
        </w:rPr>
        <w:t>ESMA</w:t>
      </w:r>
      <w:r w:rsidR="00F126AC">
        <w:rPr>
          <w:rFonts w:ascii="Times New Roman" w:eastAsia="Times New Roman" w:hAnsi="Times New Roman" w:cs="Times New Roman"/>
          <w:sz w:val="27"/>
          <w:szCs w:val="27"/>
          <w:lang w:val="uk-UA"/>
        </w:rPr>
        <w:t xml:space="preserve">, активну допомогу. З цією метою вони користуються повноваженнями, визначеними у пункті 2 цієї статті. </w:t>
      </w:r>
      <w:r w:rsidR="00764C09">
        <w:rPr>
          <w:rFonts w:ascii="Times New Roman" w:eastAsia="Times New Roman" w:hAnsi="Times New Roman" w:cs="Times New Roman"/>
          <w:sz w:val="27"/>
          <w:szCs w:val="27"/>
          <w:lang w:val="uk-UA"/>
        </w:rPr>
        <w:t xml:space="preserve">Посадовці компетентного органу </w:t>
      </w:r>
      <w:r w:rsidR="00F126AC">
        <w:rPr>
          <w:rFonts w:ascii="Times New Roman" w:eastAsia="Times New Roman" w:hAnsi="Times New Roman" w:cs="Times New Roman"/>
          <w:sz w:val="27"/>
          <w:szCs w:val="27"/>
          <w:lang w:val="uk-UA"/>
        </w:rPr>
        <w:t xml:space="preserve">зацікавленої держави-члена ЄС </w:t>
      </w:r>
      <w:r w:rsidR="00764C09">
        <w:rPr>
          <w:rFonts w:ascii="Times New Roman" w:eastAsia="Times New Roman" w:hAnsi="Times New Roman" w:cs="Times New Roman"/>
          <w:sz w:val="27"/>
          <w:szCs w:val="27"/>
          <w:lang w:val="uk-UA"/>
        </w:rPr>
        <w:t xml:space="preserve">також можуть на вимогу бути присутніми під час проведення </w:t>
      </w:r>
      <w:r w:rsidR="00F126AC">
        <w:rPr>
          <w:rFonts w:ascii="Times New Roman" w:eastAsia="Times New Roman" w:hAnsi="Times New Roman" w:cs="Times New Roman"/>
          <w:sz w:val="27"/>
          <w:szCs w:val="27"/>
          <w:lang w:val="uk-UA"/>
        </w:rPr>
        <w:t>виїзних перевірок.</w:t>
      </w:r>
    </w:p>
    <w:p w:rsidR="00DE77B0" w:rsidRPr="00C17235" w:rsidRDefault="00DE77B0" w:rsidP="001F101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uk-UA"/>
        </w:rPr>
        <w:t>6.</w:t>
      </w:r>
      <w:r w:rsidRPr="006279CF">
        <w:rPr>
          <w:rFonts w:ascii="Times New Roman" w:eastAsia="Times New Roman" w:hAnsi="Times New Roman" w:cs="Times New Roman"/>
          <w:sz w:val="27"/>
          <w:szCs w:val="27"/>
        </w:rPr>
        <w:t>   ESMA</w:t>
      </w:r>
      <w:r w:rsidRPr="00C17235">
        <w:rPr>
          <w:rFonts w:ascii="Times New Roman" w:eastAsia="Times New Roman" w:hAnsi="Times New Roman" w:cs="Times New Roman"/>
          <w:sz w:val="27"/>
          <w:szCs w:val="27"/>
          <w:lang w:val="uk-UA"/>
        </w:rPr>
        <w:t xml:space="preserve"> </w:t>
      </w:r>
      <w:r w:rsidR="000D2799">
        <w:rPr>
          <w:rFonts w:ascii="Times New Roman" w:eastAsia="Times New Roman" w:hAnsi="Times New Roman" w:cs="Times New Roman"/>
          <w:sz w:val="27"/>
          <w:szCs w:val="27"/>
          <w:lang w:val="uk-UA"/>
        </w:rPr>
        <w:t>може також вимагати від компетентних органів проведення від її імені конкретних слідчих дій і виїзних перевірок, як передбачено у цій статті та</w:t>
      </w:r>
      <w:r w:rsidR="001F1019">
        <w:rPr>
          <w:rFonts w:ascii="Times New Roman" w:eastAsia="Times New Roman" w:hAnsi="Times New Roman" w:cs="Times New Roman"/>
          <w:sz w:val="27"/>
          <w:szCs w:val="27"/>
          <w:lang w:val="uk-UA"/>
        </w:rPr>
        <w:t xml:space="preserve"> у статті 62(1). З цією метою компетентні органи користуються такими ж повноваженнями, як і </w:t>
      </w:r>
      <w:r w:rsidR="001F1019">
        <w:rPr>
          <w:rFonts w:ascii="Times New Roman" w:eastAsia="Times New Roman" w:hAnsi="Times New Roman" w:cs="Times New Roman"/>
          <w:sz w:val="27"/>
          <w:szCs w:val="27"/>
        </w:rPr>
        <w:t>ESMA</w:t>
      </w:r>
      <w:r w:rsidR="001F1019">
        <w:rPr>
          <w:rFonts w:ascii="Times New Roman" w:eastAsia="Times New Roman" w:hAnsi="Times New Roman" w:cs="Times New Roman"/>
          <w:sz w:val="27"/>
          <w:szCs w:val="27"/>
          <w:lang w:val="uk-UA"/>
        </w:rPr>
        <w:t>, передбаченими у цій статті та у статті 62(1).</w:t>
      </w:r>
    </w:p>
    <w:p w:rsidR="00DE77B0" w:rsidRPr="00C17235" w:rsidRDefault="00DE77B0" w:rsidP="006F7046">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17235">
        <w:rPr>
          <w:rFonts w:ascii="Times New Roman" w:eastAsia="Times New Roman" w:hAnsi="Times New Roman" w:cs="Times New Roman"/>
          <w:sz w:val="27"/>
          <w:szCs w:val="27"/>
          <w:lang w:val="ru-RU"/>
        </w:rPr>
        <w:t>7.</w:t>
      </w:r>
      <w:r w:rsidRPr="006279CF">
        <w:rPr>
          <w:rFonts w:ascii="Times New Roman" w:eastAsia="Times New Roman" w:hAnsi="Times New Roman" w:cs="Times New Roman"/>
          <w:sz w:val="27"/>
          <w:szCs w:val="27"/>
        </w:rPr>
        <w:t>   </w:t>
      </w:r>
      <w:r w:rsidR="001C4F19">
        <w:rPr>
          <w:rFonts w:ascii="Times New Roman" w:eastAsia="Times New Roman" w:hAnsi="Times New Roman" w:cs="Times New Roman"/>
          <w:sz w:val="27"/>
          <w:szCs w:val="27"/>
          <w:lang w:val="uk-UA"/>
        </w:rPr>
        <w:t xml:space="preserve">Якщо посадовці та інші </w:t>
      </w:r>
      <w:r w:rsidR="006F7046">
        <w:rPr>
          <w:rFonts w:ascii="Times New Roman" w:eastAsia="Times New Roman" w:hAnsi="Times New Roman" w:cs="Times New Roman"/>
          <w:sz w:val="27"/>
          <w:szCs w:val="27"/>
          <w:lang w:val="uk-UA"/>
        </w:rPr>
        <w:t xml:space="preserve">супроводжуючі особи, уповноважені </w:t>
      </w:r>
      <w:r w:rsidR="006F7046">
        <w:rPr>
          <w:rFonts w:ascii="Times New Roman" w:eastAsia="Times New Roman" w:hAnsi="Times New Roman" w:cs="Times New Roman"/>
          <w:sz w:val="27"/>
          <w:szCs w:val="27"/>
        </w:rPr>
        <w:t>ESMA</w:t>
      </w:r>
      <w:r w:rsidR="006F7046">
        <w:rPr>
          <w:rFonts w:ascii="Times New Roman" w:eastAsia="Times New Roman" w:hAnsi="Times New Roman" w:cs="Times New Roman"/>
          <w:sz w:val="27"/>
          <w:szCs w:val="27"/>
          <w:lang w:val="uk-UA"/>
        </w:rPr>
        <w:t xml:space="preserve">, встановили, що певна особа заперечує проти проведення перевірки, призначеної на виконання цієї статті, то компетентний орган зацікавленої держави-члена Союзу, надає їм необхідне сприяння, у доречних випадках звертаючись по </w:t>
      </w:r>
      <w:r w:rsidR="006F7046">
        <w:rPr>
          <w:rFonts w:ascii="Times New Roman" w:eastAsia="Times New Roman" w:hAnsi="Times New Roman" w:cs="Times New Roman"/>
          <w:sz w:val="27"/>
          <w:szCs w:val="27"/>
          <w:lang w:val="uk-UA"/>
        </w:rPr>
        <w:lastRenderedPageBreak/>
        <w:t>допомогу до поліції або еквівалентного правоохоронного органу з тим, щоб вищезгадані особи могли провести передбачену виїзну перевірку.</w:t>
      </w:r>
    </w:p>
    <w:p w:rsidR="006F7046"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F7046">
        <w:rPr>
          <w:rFonts w:ascii="Times New Roman" w:eastAsia="Times New Roman" w:hAnsi="Times New Roman" w:cs="Times New Roman"/>
          <w:sz w:val="27"/>
          <w:szCs w:val="27"/>
          <w:lang w:val="ru-RU"/>
        </w:rPr>
        <w:t>8.</w:t>
      </w:r>
      <w:r w:rsidRPr="006279CF">
        <w:rPr>
          <w:rFonts w:ascii="Times New Roman" w:eastAsia="Times New Roman" w:hAnsi="Times New Roman" w:cs="Times New Roman"/>
          <w:sz w:val="27"/>
          <w:szCs w:val="27"/>
        </w:rPr>
        <w:t>   </w:t>
      </w:r>
      <w:r w:rsidR="006F7046">
        <w:rPr>
          <w:rFonts w:ascii="Times New Roman" w:eastAsia="Times New Roman" w:hAnsi="Times New Roman" w:cs="Times New Roman"/>
          <w:sz w:val="27"/>
          <w:szCs w:val="27"/>
          <w:lang w:val="uk-UA"/>
        </w:rPr>
        <w:t xml:space="preserve">Якщо виїзна перевірка, передбачена у пункті 1 цієї статті, або надання допомоги, передбаченої у пункті 7 цієї статті, потребує дозволу судового органу відповідно до національного законодавства, то </w:t>
      </w:r>
      <w:r w:rsidR="004E459F">
        <w:rPr>
          <w:rFonts w:ascii="Times New Roman" w:eastAsia="Times New Roman" w:hAnsi="Times New Roman" w:cs="Times New Roman"/>
          <w:sz w:val="27"/>
          <w:szCs w:val="27"/>
          <w:lang w:val="uk-UA"/>
        </w:rPr>
        <w:t>подається заява на такий дозвіл. Заяву на такий дозвіл також можна подавати в якості запобіжного заходу</w:t>
      </w:r>
    </w:p>
    <w:p w:rsidR="00DE77B0" w:rsidRPr="00642CC1" w:rsidRDefault="00C678A3" w:rsidP="00E573E0">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9</w:t>
      </w:r>
      <w:r w:rsidR="004E459F" w:rsidRPr="004E459F">
        <w:rPr>
          <w:rFonts w:ascii="Times New Roman" w:eastAsia="Times New Roman" w:hAnsi="Times New Roman" w:cs="Times New Roman"/>
          <w:sz w:val="27"/>
          <w:szCs w:val="27"/>
          <w:lang w:val="uk-UA"/>
        </w:rPr>
        <w:t>.</w:t>
      </w:r>
      <w:r w:rsidR="004E459F" w:rsidRPr="006279CF">
        <w:rPr>
          <w:rFonts w:ascii="Times New Roman" w:eastAsia="Times New Roman" w:hAnsi="Times New Roman" w:cs="Times New Roman"/>
          <w:sz w:val="27"/>
          <w:szCs w:val="27"/>
        </w:rPr>
        <w:t>   </w:t>
      </w:r>
      <w:r w:rsidR="004E459F">
        <w:rPr>
          <w:rFonts w:ascii="Times New Roman" w:eastAsia="Times New Roman" w:hAnsi="Times New Roman" w:cs="Times New Roman"/>
          <w:sz w:val="27"/>
          <w:szCs w:val="27"/>
          <w:lang w:val="uk-UA"/>
        </w:rPr>
        <w:t xml:space="preserve">Якщо подано заяву на дозвіл, згаданий у пункті </w:t>
      </w:r>
      <w:r>
        <w:rPr>
          <w:rFonts w:ascii="Times New Roman" w:eastAsia="Times New Roman" w:hAnsi="Times New Roman" w:cs="Times New Roman"/>
          <w:sz w:val="27"/>
          <w:szCs w:val="27"/>
          <w:lang w:val="uk-UA"/>
        </w:rPr>
        <w:t>8</w:t>
      </w:r>
      <w:r w:rsidR="004E459F">
        <w:rPr>
          <w:rFonts w:ascii="Times New Roman" w:eastAsia="Times New Roman" w:hAnsi="Times New Roman" w:cs="Times New Roman"/>
          <w:sz w:val="27"/>
          <w:szCs w:val="27"/>
          <w:lang w:val="uk-UA"/>
        </w:rPr>
        <w:t xml:space="preserve"> цієї статті, то національний судовий орган контролює автентичність рішення </w:t>
      </w:r>
      <w:r w:rsidR="004E459F">
        <w:rPr>
          <w:rFonts w:ascii="Times New Roman" w:eastAsia="Times New Roman" w:hAnsi="Times New Roman" w:cs="Times New Roman"/>
          <w:sz w:val="27"/>
          <w:szCs w:val="27"/>
        </w:rPr>
        <w:t>ESMA</w:t>
      </w:r>
      <w:r w:rsidR="004E459F">
        <w:rPr>
          <w:rFonts w:ascii="Times New Roman" w:eastAsia="Times New Roman" w:hAnsi="Times New Roman" w:cs="Times New Roman"/>
          <w:sz w:val="27"/>
          <w:szCs w:val="27"/>
          <w:lang w:val="uk-UA"/>
        </w:rPr>
        <w:t>, а також перевіряє, щоб передбачені примусові заходи не мали довільний характер і були надмірними, враховуючи предмет розслідування.</w:t>
      </w:r>
      <w:r w:rsidR="004E459F" w:rsidRPr="004E459F">
        <w:rPr>
          <w:rFonts w:ascii="Times New Roman" w:eastAsia="Times New Roman" w:hAnsi="Times New Roman" w:cs="Times New Roman"/>
          <w:sz w:val="27"/>
          <w:szCs w:val="27"/>
          <w:lang w:val="uk-UA"/>
        </w:rPr>
        <w:t xml:space="preserve"> </w:t>
      </w:r>
      <w:r w:rsidR="004E459F">
        <w:rPr>
          <w:rFonts w:ascii="Times New Roman" w:eastAsia="Times New Roman" w:hAnsi="Times New Roman" w:cs="Times New Roman"/>
          <w:sz w:val="27"/>
          <w:szCs w:val="27"/>
          <w:lang w:val="uk-UA"/>
        </w:rPr>
        <w:t xml:space="preserve">Здійснюючи контроль за сумірністю примусових заходів, національний судовий орган може затребувати від </w:t>
      </w:r>
      <w:r w:rsidR="004E459F">
        <w:rPr>
          <w:rFonts w:ascii="Times New Roman" w:eastAsia="Times New Roman" w:hAnsi="Times New Roman" w:cs="Times New Roman"/>
          <w:sz w:val="27"/>
          <w:szCs w:val="27"/>
        </w:rPr>
        <w:t>ESMA</w:t>
      </w:r>
      <w:r w:rsidR="004E459F">
        <w:rPr>
          <w:rFonts w:ascii="Times New Roman" w:eastAsia="Times New Roman" w:hAnsi="Times New Roman" w:cs="Times New Roman"/>
          <w:sz w:val="27"/>
          <w:szCs w:val="27"/>
          <w:lang w:val="uk-UA"/>
        </w:rPr>
        <w:t xml:space="preserve"> детальні пояснення</w:t>
      </w:r>
      <w:r w:rsidR="00225582">
        <w:rPr>
          <w:rFonts w:ascii="Times New Roman" w:eastAsia="Times New Roman" w:hAnsi="Times New Roman" w:cs="Times New Roman"/>
          <w:sz w:val="27"/>
          <w:szCs w:val="27"/>
          <w:lang w:val="uk-UA"/>
        </w:rPr>
        <w:t>. Такий запит може, зокрема, стосуватися</w:t>
      </w:r>
      <w:r w:rsidR="004E459F">
        <w:rPr>
          <w:rFonts w:ascii="Times New Roman" w:eastAsia="Times New Roman" w:hAnsi="Times New Roman" w:cs="Times New Roman"/>
          <w:sz w:val="27"/>
          <w:szCs w:val="27"/>
          <w:lang w:val="uk-UA"/>
        </w:rPr>
        <w:t xml:space="preserve"> наявних у </w:t>
      </w:r>
      <w:r w:rsidR="004E459F">
        <w:rPr>
          <w:rFonts w:ascii="Times New Roman" w:eastAsia="Times New Roman" w:hAnsi="Times New Roman" w:cs="Times New Roman"/>
          <w:sz w:val="27"/>
          <w:szCs w:val="27"/>
        </w:rPr>
        <w:t>ESMA</w:t>
      </w:r>
      <w:r w:rsidR="004E459F">
        <w:rPr>
          <w:rFonts w:ascii="Times New Roman" w:eastAsia="Times New Roman" w:hAnsi="Times New Roman" w:cs="Times New Roman"/>
          <w:sz w:val="27"/>
          <w:szCs w:val="27"/>
          <w:lang w:val="uk-UA"/>
        </w:rPr>
        <w:t xml:space="preserve"> підстав підозрювати, що мало місце порушення цього регламенту, а також тяжкості порушення і характеру причетності особи, до якої застосовуватимуться примусові заходи. Разом з тим, національний судовий орган не </w:t>
      </w:r>
      <w:r w:rsidR="00225582">
        <w:rPr>
          <w:rFonts w:ascii="Times New Roman" w:eastAsia="Times New Roman" w:hAnsi="Times New Roman" w:cs="Times New Roman"/>
          <w:sz w:val="27"/>
          <w:szCs w:val="27"/>
          <w:lang w:val="uk-UA"/>
        </w:rPr>
        <w:t xml:space="preserve">може </w:t>
      </w:r>
      <w:r w:rsidR="004E459F">
        <w:rPr>
          <w:rFonts w:ascii="Times New Roman" w:eastAsia="Times New Roman" w:hAnsi="Times New Roman" w:cs="Times New Roman"/>
          <w:sz w:val="27"/>
          <w:szCs w:val="27"/>
          <w:lang w:val="uk-UA"/>
        </w:rPr>
        <w:t>перегляда</w:t>
      </w:r>
      <w:r w:rsidR="00225582">
        <w:rPr>
          <w:rFonts w:ascii="Times New Roman" w:eastAsia="Times New Roman" w:hAnsi="Times New Roman" w:cs="Times New Roman"/>
          <w:sz w:val="27"/>
          <w:szCs w:val="27"/>
          <w:lang w:val="uk-UA"/>
        </w:rPr>
        <w:t>ти</w:t>
      </w:r>
      <w:r w:rsidR="004E459F">
        <w:rPr>
          <w:rFonts w:ascii="Times New Roman" w:eastAsia="Times New Roman" w:hAnsi="Times New Roman" w:cs="Times New Roman"/>
          <w:sz w:val="27"/>
          <w:szCs w:val="27"/>
          <w:lang w:val="uk-UA"/>
        </w:rPr>
        <w:t xml:space="preserve"> необхідність проведення розслідування і не вимагає надання йому інформації</w:t>
      </w:r>
      <w:r w:rsidR="004E459F" w:rsidRPr="00AE241B">
        <w:rPr>
          <w:rFonts w:ascii="Times New Roman" w:eastAsia="Times New Roman" w:hAnsi="Times New Roman" w:cs="Times New Roman"/>
          <w:sz w:val="27"/>
          <w:szCs w:val="27"/>
          <w:lang w:val="uk-UA"/>
        </w:rPr>
        <w:t xml:space="preserve">, </w:t>
      </w:r>
      <w:r w:rsidR="004E459F">
        <w:rPr>
          <w:rFonts w:ascii="Times New Roman" w:eastAsia="Times New Roman" w:hAnsi="Times New Roman" w:cs="Times New Roman"/>
          <w:sz w:val="27"/>
          <w:szCs w:val="27"/>
          <w:lang w:val="uk-UA"/>
        </w:rPr>
        <w:t xml:space="preserve">яку має у своєму розпорядженні </w:t>
      </w:r>
      <w:r w:rsidR="004E459F">
        <w:rPr>
          <w:rFonts w:ascii="Times New Roman" w:eastAsia="Times New Roman" w:hAnsi="Times New Roman" w:cs="Times New Roman"/>
          <w:sz w:val="27"/>
          <w:szCs w:val="27"/>
        </w:rPr>
        <w:t>ESMA</w:t>
      </w:r>
      <w:r w:rsidR="004E459F">
        <w:rPr>
          <w:rFonts w:ascii="Times New Roman" w:eastAsia="Times New Roman" w:hAnsi="Times New Roman" w:cs="Times New Roman"/>
          <w:sz w:val="27"/>
          <w:szCs w:val="27"/>
          <w:lang w:val="uk-UA"/>
        </w:rPr>
        <w:t xml:space="preserve">. Законність рішення </w:t>
      </w:r>
      <w:r w:rsidR="004E459F">
        <w:rPr>
          <w:rFonts w:ascii="Times New Roman" w:eastAsia="Times New Roman" w:hAnsi="Times New Roman" w:cs="Times New Roman"/>
          <w:sz w:val="27"/>
          <w:szCs w:val="27"/>
        </w:rPr>
        <w:t>ESMA</w:t>
      </w:r>
      <w:r w:rsidR="004E459F">
        <w:rPr>
          <w:rFonts w:ascii="Times New Roman" w:eastAsia="Times New Roman" w:hAnsi="Times New Roman" w:cs="Times New Roman"/>
          <w:sz w:val="27"/>
          <w:szCs w:val="27"/>
          <w:lang w:val="uk-UA"/>
        </w:rPr>
        <w:t xml:space="preserve"> підлягає перегляду тільки Судом </w:t>
      </w:r>
      <w:r w:rsidR="00642CC1">
        <w:rPr>
          <w:rFonts w:ascii="Times New Roman" w:eastAsia="Times New Roman" w:hAnsi="Times New Roman" w:cs="Times New Roman"/>
          <w:sz w:val="27"/>
          <w:szCs w:val="27"/>
          <w:lang w:val="uk-UA"/>
        </w:rPr>
        <w:t xml:space="preserve">ЄС </w:t>
      </w:r>
      <w:r w:rsidR="004E459F">
        <w:rPr>
          <w:rFonts w:ascii="Times New Roman" w:eastAsia="Times New Roman" w:hAnsi="Times New Roman" w:cs="Times New Roman"/>
          <w:sz w:val="27"/>
          <w:szCs w:val="27"/>
          <w:lang w:val="uk-UA"/>
        </w:rPr>
        <w:t>у порядку, встановленому в Регламенті</w:t>
      </w:r>
      <w:r w:rsidR="004E459F" w:rsidRPr="00A945E4">
        <w:rPr>
          <w:rFonts w:ascii="Times New Roman" w:eastAsia="Times New Roman" w:hAnsi="Times New Roman" w:cs="Times New Roman"/>
          <w:sz w:val="27"/>
          <w:szCs w:val="27"/>
          <w:lang w:val="ru-RU"/>
        </w:rPr>
        <w:t xml:space="preserve"> (</w:t>
      </w:r>
      <w:r w:rsidR="004E459F" w:rsidRPr="006279CF">
        <w:rPr>
          <w:rFonts w:ascii="Times New Roman" w:eastAsia="Times New Roman" w:hAnsi="Times New Roman" w:cs="Times New Roman"/>
          <w:sz w:val="27"/>
          <w:szCs w:val="27"/>
        </w:rPr>
        <w:t>EU</w:t>
      </w:r>
      <w:r w:rsidR="004E459F" w:rsidRPr="00A945E4">
        <w:rPr>
          <w:rFonts w:ascii="Times New Roman" w:eastAsia="Times New Roman" w:hAnsi="Times New Roman" w:cs="Times New Roman"/>
          <w:sz w:val="27"/>
          <w:szCs w:val="27"/>
          <w:lang w:val="ru-RU"/>
        </w:rPr>
        <w:t xml:space="preserve">) </w:t>
      </w:r>
      <w:r w:rsidR="004E459F">
        <w:rPr>
          <w:rFonts w:ascii="Times New Roman" w:eastAsia="Times New Roman" w:hAnsi="Times New Roman" w:cs="Times New Roman"/>
          <w:sz w:val="27"/>
          <w:szCs w:val="27"/>
          <w:lang w:val="uk-UA"/>
        </w:rPr>
        <w:t>№</w:t>
      </w:r>
      <w:r w:rsidR="004E459F" w:rsidRPr="006279CF">
        <w:rPr>
          <w:rFonts w:ascii="Times New Roman" w:eastAsia="Times New Roman" w:hAnsi="Times New Roman" w:cs="Times New Roman"/>
          <w:sz w:val="27"/>
          <w:szCs w:val="27"/>
        </w:rPr>
        <w:t> </w:t>
      </w:r>
      <w:r w:rsidR="004E459F" w:rsidRPr="00A945E4">
        <w:rPr>
          <w:rFonts w:ascii="Times New Roman" w:eastAsia="Times New Roman" w:hAnsi="Times New Roman" w:cs="Times New Roman"/>
          <w:sz w:val="27"/>
          <w:szCs w:val="27"/>
          <w:lang w:val="ru-RU"/>
        </w:rPr>
        <w:t>1095/2010.</w:t>
      </w:r>
    </w:p>
    <w:p w:rsidR="00DE77B0" w:rsidRPr="00C17235"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17235">
        <w:rPr>
          <w:rFonts w:ascii="Times New Roman" w:eastAsia="Times New Roman" w:hAnsi="Times New Roman" w:cs="Times New Roman"/>
          <w:i/>
          <w:iCs/>
          <w:sz w:val="27"/>
          <w:szCs w:val="27"/>
          <w:lang w:val="ru-RU"/>
        </w:rPr>
        <w:t>Стаття</w:t>
      </w:r>
      <w:proofErr w:type="spellEnd"/>
      <w:r w:rsidR="00DE77B0" w:rsidRPr="00C17235">
        <w:rPr>
          <w:rFonts w:ascii="Times New Roman" w:eastAsia="Times New Roman" w:hAnsi="Times New Roman" w:cs="Times New Roman"/>
          <w:i/>
          <w:iCs/>
          <w:sz w:val="27"/>
          <w:szCs w:val="27"/>
          <w:lang w:val="ru-RU"/>
        </w:rPr>
        <w:t xml:space="preserve"> 64</w:t>
      </w:r>
    </w:p>
    <w:p w:rsidR="00DE77B0" w:rsidRPr="00C17235" w:rsidRDefault="00E573E0"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Правила процедури щодо вжиття наглядових заходів і накладання штрафів</w:t>
      </w:r>
    </w:p>
    <w:p w:rsidR="00642CC1" w:rsidRPr="00730061"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42CC1">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642CC1">
        <w:rPr>
          <w:rFonts w:ascii="Times New Roman" w:eastAsia="Times New Roman" w:hAnsi="Times New Roman" w:cs="Times New Roman"/>
          <w:sz w:val="27"/>
          <w:szCs w:val="27"/>
          <w:lang w:val="uk-UA"/>
        </w:rPr>
        <w:t xml:space="preserve">Якщо при виконанні своїх обов’язків за цим регламентом </w:t>
      </w:r>
      <w:r w:rsidR="00642CC1">
        <w:rPr>
          <w:rFonts w:ascii="Times New Roman" w:eastAsia="Times New Roman" w:hAnsi="Times New Roman" w:cs="Times New Roman"/>
          <w:sz w:val="27"/>
          <w:szCs w:val="27"/>
        </w:rPr>
        <w:t>ESMA</w:t>
      </w:r>
      <w:r w:rsidR="00642CC1">
        <w:rPr>
          <w:rFonts w:ascii="Times New Roman" w:eastAsia="Times New Roman" w:hAnsi="Times New Roman" w:cs="Times New Roman"/>
          <w:sz w:val="27"/>
          <w:szCs w:val="27"/>
          <w:lang w:val="uk-UA"/>
        </w:rPr>
        <w:t xml:space="preserve"> встановила наявність серйозних ознак можливого існування фактів, які становлять одне чи декілька порушень, перерахованих у Додатку І, </w:t>
      </w:r>
      <w:r w:rsidR="00642CC1">
        <w:rPr>
          <w:rFonts w:ascii="Times New Roman" w:eastAsia="Times New Roman" w:hAnsi="Times New Roman" w:cs="Times New Roman"/>
          <w:sz w:val="27"/>
          <w:szCs w:val="27"/>
        </w:rPr>
        <w:t>ESMA</w:t>
      </w:r>
      <w:r w:rsidR="00642CC1">
        <w:rPr>
          <w:rFonts w:ascii="Times New Roman" w:eastAsia="Times New Roman" w:hAnsi="Times New Roman" w:cs="Times New Roman"/>
          <w:sz w:val="27"/>
          <w:szCs w:val="27"/>
          <w:lang w:val="uk-UA"/>
        </w:rPr>
        <w:t xml:space="preserve"> призначає у своїй структурі незалежного </w:t>
      </w:r>
      <w:r w:rsidR="00C5650E">
        <w:rPr>
          <w:rFonts w:ascii="Times New Roman" w:eastAsia="Times New Roman" w:hAnsi="Times New Roman" w:cs="Times New Roman"/>
          <w:sz w:val="27"/>
          <w:szCs w:val="27"/>
          <w:lang w:val="uk-UA"/>
        </w:rPr>
        <w:t>слідчого</w:t>
      </w:r>
      <w:r w:rsidR="0023609B">
        <w:rPr>
          <w:rFonts w:ascii="Times New Roman" w:eastAsia="Times New Roman" w:hAnsi="Times New Roman" w:cs="Times New Roman"/>
          <w:sz w:val="27"/>
          <w:szCs w:val="27"/>
          <w:lang w:val="uk-UA"/>
        </w:rPr>
        <w:t xml:space="preserve"> для проведення розслідування даного питання. Призначе</w:t>
      </w:r>
      <w:r w:rsidR="00C5650E">
        <w:rPr>
          <w:rFonts w:ascii="Times New Roman" w:eastAsia="Times New Roman" w:hAnsi="Times New Roman" w:cs="Times New Roman"/>
          <w:sz w:val="27"/>
          <w:szCs w:val="27"/>
          <w:lang w:val="uk-UA"/>
        </w:rPr>
        <w:t>ни</w:t>
      </w:r>
      <w:r w:rsidR="00D819CA">
        <w:rPr>
          <w:rFonts w:ascii="Times New Roman" w:eastAsia="Times New Roman" w:hAnsi="Times New Roman" w:cs="Times New Roman"/>
          <w:sz w:val="27"/>
          <w:szCs w:val="27"/>
          <w:lang w:val="uk-UA"/>
        </w:rPr>
        <w:t xml:space="preserve">й слідчий не </w:t>
      </w:r>
      <w:r w:rsidR="00196CC8">
        <w:rPr>
          <w:rFonts w:ascii="Times New Roman" w:eastAsia="Times New Roman" w:hAnsi="Times New Roman" w:cs="Times New Roman"/>
          <w:sz w:val="27"/>
          <w:szCs w:val="27"/>
          <w:lang w:val="uk-UA"/>
        </w:rPr>
        <w:t>повинен бути залучений</w:t>
      </w:r>
      <w:r w:rsidR="00730061">
        <w:rPr>
          <w:rFonts w:ascii="Times New Roman" w:eastAsia="Times New Roman" w:hAnsi="Times New Roman" w:cs="Times New Roman"/>
          <w:sz w:val="27"/>
          <w:szCs w:val="27"/>
          <w:lang w:val="uk-UA"/>
        </w:rPr>
        <w:t xml:space="preserve"> ані на поточний момент, ані в минулому, прямо чи опосередковано, до нагляду або до процесу реєстрації зацікавленого торгового </w:t>
      </w:r>
      <w:proofErr w:type="spellStart"/>
      <w:r w:rsidR="00730061">
        <w:rPr>
          <w:rFonts w:ascii="Times New Roman" w:eastAsia="Times New Roman" w:hAnsi="Times New Roman" w:cs="Times New Roman"/>
          <w:sz w:val="27"/>
          <w:szCs w:val="27"/>
          <w:lang w:val="uk-UA"/>
        </w:rPr>
        <w:t>репозитарі</w:t>
      </w:r>
      <w:r w:rsidR="00EB0844">
        <w:rPr>
          <w:rFonts w:ascii="Times New Roman" w:eastAsia="Times New Roman" w:hAnsi="Times New Roman" w:cs="Times New Roman"/>
          <w:sz w:val="27"/>
          <w:szCs w:val="27"/>
          <w:lang w:val="uk-UA"/>
        </w:rPr>
        <w:t>я</w:t>
      </w:r>
      <w:proofErr w:type="spellEnd"/>
      <w:r w:rsidR="00EB0844">
        <w:rPr>
          <w:rFonts w:ascii="Times New Roman" w:eastAsia="Times New Roman" w:hAnsi="Times New Roman" w:cs="Times New Roman"/>
          <w:sz w:val="27"/>
          <w:szCs w:val="27"/>
          <w:lang w:val="uk-UA"/>
        </w:rPr>
        <w:t>. Він</w:t>
      </w:r>
      <w:r w:rsidR="00730061">
        <w:rPr>
          <w:rFonts w:ascii="Times New Roman" w:eastAsia="Times New Roman" w:hAnsi="Times New Roman" w:cs="Times New Roman"/>
          <w:sz w:val="27"/>
          <w:szCs w:val="27"/>
          <w:lang w:val="uk-UA"/>
        </w:rPr>
        <w:t xml:space="preserve"> виконує свої функції незалежно від </w:t>
      </w:r>
      <w:r w:rsidR="00730061">
        <w:rPr>
          <w:rFonts w:ascii="Times New Roman" w:eastAsia="Times New Roman" w:hAnsi="Times New Roman" w:cs="Times New Roman"/>
          <w:sz w:val="27"/>
          <w:szCs w:val="27"/>
        </w:rPr>
        <w:t>ESMA</w:t>
      </w:r>
      <w:r w:rsidR="00730061">
        <w:rPr>
          <w:rFonts w:ascii="Times New Roman" w:eastAsia="Times New Roman" w:hAnsi="Times New Roman" w:cs="Times New Roman"/>
          <w:sz w:val="27"/>
          <w:szCs w:val="27"/>
          <w:lang w:val="uk-UA"/>
        </w:rPr>
        <w:t>.</w:t>
      </w:r>
    </w:p>
    <w:p w:rsidR="00DE77B0" w:rsidRPr="00C17235" w:rsidRDefault="00DE77B0" w:rsidP="00031871">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EB0844">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EB0844">
        <w:rPr>
          <w:rFonts w:ascii="Times New Roman" w:eastAsia="Times New Roman" w:hAnsi="Times New Roman" w:cs="Times New Roman"/>
          <w:sz w:val="27"/>
          <w:szCs w:val="27"/>
          <w:lang w:val="uk-UA"/>
        </w:rPr>
        <w:t xml:space="preserve">Слідчий розслідує гадані порушення, враховуючи зауваження, надані особами, щодо яких проводиться розслідування, і подає повне досьє зі своїми висновками до </w:t>
      </w:r>
      <w:r w:rsidR="00EB0844">
        <w:rPr>
          <w:rFonts w:ascii="Times New Roman" w:eastAsia="Times New Roman" w:hAnsi="Times New Roman" w:cs="Times New Roman"/>
          <w:sz w:val="27"/>
          <w:szCs w:val="27"/>
        </w:rPr>
        <w:t>ESMA</w:t>
      </w:r>
      <w:r w:rsidR="00EB0844" w:rsidRPr="00C17235">
        <w:rPr>
          <w:rFonts w:ascii="Times New Roman" w:eastAsia="Times New Roman" w:hAnsi="Times New Roman" w:cs="Times New Roman"/>
          <w:sz w:val="27"/>
          <w:szCs w:val="27"/>
          <w:lang w:val="uk-UA"/>
        </w:rPr>
        <w:t>.</w:t>
      </w:r>
    </w:p>
    <w:p w:rsidR="00DE77B0" w:rsidRPr="00C17235" w:rsidRDefault="00031871" w:rsidP="002B339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Для того, щоб виконувати свої завдання, слідчий може користуватися повноваженням на запитування інформації відповідно до статті 61 і на проведення розслідувань і виїзних перевірок відповідно до статей 62 і 63. Користуючись цими повноваженнями, слідчий дотримується статті 60.</w:t>
      </w:r>
    </w:p>
    <w:p w:rsidR="00DE77B0" w:rsidRPr="00C17235" w:rsidRDefault="002B3395" w:rsidP="002B339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lastRenderedPageBreak/>
        <w:t xml:space="preserve">При виконанні своїх завдань слідчий має доступ до всіх документів та інформації, зібраної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у процесі її наглядової діяльності.</w:t>
      </w:r>
    </w:p>
    <w:p w:rsidR="002B3395" w:rsidRPr="002B3395"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2B3395">
        <w:rPr>
          <w:rFonts w:ascii="Times New Roman" w:eastAsia="Times New Roman" w:hAnsi="Times New Roman" w:cs="Times New Roman"/>
          <w:sz w:val="27"/>
          <w:szCs w:val="27"/>
          <w:lang w:val="uk-UA"/>
        </w:rPr>
        <w:t xml:space="preserve">Після завершення розслідування і до передачі досьє зі своїми висновками до </w:t>
      </w:r>
      <w:r w:rsidR="002B3395">
        <w:rPr>
          <w:rFonts w:ascii="Times New Roman" w:eastAsia="Times New Roman" w:hAnsi="Times New Roman" w:cs="Times New Roman"/>
          <w:sz w:val="27"/>
          <w:szCs w:val="27"/>
        </w:rPr>
        <w:t>ESMA</w:t>
      </w:r>
      <w:r w:rsidR="002B3395">
        <w:rPr>
          <w:rFonts w:ascii="Times New Roman" w:eastAsia="Times New Roman" w:hAnsi="Times New Roman" w:cs="Times New Roman"/>
          <w:sz w:val="27"/>
          <w:szCs w:val="27"/>
          <w:lang w:val="uk-UA"/>
        </w:rPr>
        <w:t xml:space="preserve"> слідчий надає особам, стосовно яких проводилося розслідування, можливість бути заслуханими з розслідуваних питань. Слідчий ґрунтує свої висновки лише на тих фактах, які зацікавлені особи мали можливість прокоментувати.</w:t>
      </w:r>
    </w:p>
    <w:p w:rsidR="00DE77B0" w:rsidRPr="00C17235" w:rsidRDefault="002B3395" w:rsidP="002B339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У проведенні розслідувань відповідно до цієї статті права зацікавлених осіб на захист повністю дотримуються.</w:t>
      </w:r>
    </w:p>
    <w:p w:rsidR="0007454F" w:rsidRPr="00C17235" w:rsidRDefault="00DE77B0" w:rsidP="0007454F">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7C60AA">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757C8E">
        <w:rPr>
          <w:rFonts w:ascii="Times New Roman" w:eastAsia="Times New Roman" w:hAnsi="Times New Roman" w:cs="Times New Roman"/>
          <w:sz w:val="27"/>
          <w:szCs w:val="27"/>
          <w:lang w:val="uk-UA"/>
        </w:rPr>
        <w:t>П</w:t>
      </w:r>
      <w:r w:rsidR="007C60AA">
        <w:rPr>
          <w:rFonts w:ascii="Times New Roman" w:eastAsia="Times New Roman" w:hAnsi="Times New Roman" w:cs="Times New Roman"/>
          <w:sz w:val="27"/>
          <w:szCs w:val="27"/>
          <w:lang w:val="uk-UA"/>
        </w:rPr>
        <w:t>одаючи</w:t>
      </w:r>
      <w:r w:rsidR="00757C8E">
        <w:rPr>
          <w:rFonts w:ascii="Times New Roman" w:eastAsia="Times New Roman" w:hAnsi="Times New Roman" w:cs="Times New Roman"/>
          <w:sz w:val="27"/>
          <w:szCs w:val="27"/>
          <w:lang w:val="uk-UA"/>
        </w:rPr>
        <w:t xml:space="preserve"> досьє зі своїми ви</w:t>
      </w:r>
      <w:r w:rsidR="007C60AA">
        <w:rPr>
          <w:rFonts w:ascii="Times New Roman" w:eastAsia="Times New Roman" w:hAnsi="Times New Roman" w:cs="Times New Roman"/>
          <w:sz w:val="27"/>
          <w:szCs w:val="27"/>
          <w:lang w:val="uk-UA"/>
        </w:rPr>
        <w:t xml:space="preserve">сновками до </w:t>
      </w:r>
      <w:r w:rsidR="007C60AA">
        <w:rPr>
          <w:rFonts w:ascii="Times New Roman" w:eastAsia="Times New Roman" w:hAnsi="Times New Roman" w:cs="Times New Roman"/>
          <w:sz w:val="27"/>
          <w:szCs w:val="27"/>
        </w:rPr>
        <w:t>ESMA</w:t>
      </w:r>
      <w:r w:rsidR="007C60AA">
        <w:rPr>
          <w:rFonts w:ascii="Times New Roman" w:eastAsia="Times New Roman" w:hAnsi="Times New Roman" w:cs="Times New Roman"/>
          <w:sz w:val="27"/>
          <w:szCs w:val="27"/>
          <w:lang w:val="uk-UA"/>
        </w:rPr>
        <w:t xml:space="preserve">, слідчий повідомляє про цей факт особам, стосовно яких проводилося розслідування. Особи, стосовно яких проводиться розслідування, </w:t>
      </w:r>
      <w:r w:rsidR="0007454F">
        <w:rPr>
          <w:rFonts w:ascii="Times New Roman" w:eastAsia="Times New Roman" w:hAnsi="Times New Roman" w:cs="Times New Roman"/>
          <w:sz w:val="27"/>
          <w:szCs w:val="27"/>
          <w:lang w:val="uk-UA"/>
        </w:rPr>
        <w:t>мають право на доступ до досьє з урахуванням законної зацікавленості інших осіб в охороні їхніх комерційних таємниць. Право на доступ до досьє не поширюється на конфіденційну інформацію, що впливає на третіх сторін.</w:t>
      </w:r>
    </w:p>
    <w:p w:rsidR="0007454F" w:rsidRPr="0007454F" w:rsidRDefault="0007454F" w:rsidP="0007454F">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D6D07">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Pr>
          <w:rFonts w:ascii="Times New Roman" w:eastAsia="Times New Roman" w:hAnsi="Times New Roman" w:cs="Times New Roman"/>
          <w:sz w:val="27"/>
          <w:szCs w:val="27"/>
          <w:lang w:val="uk-UA"/>
        </w:rPr>
        <w:t xml:space="preserve">На підставі досьє, що містить висновки слідчого, та на вимогу зацікавлених осіб, після заслуховування осіб, стосовно яких проводилося розслідування відповідно до статті 67,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вирішує, чи скоєно особами, стосовно яких проводилося розслідування, одне чи декілька порушень, зазначених у Додатку І, і у цьому випадку вживає наглядового заходу</w:t>
      </w:r>
      <w:r w:rsidRPr="0007454F">
        <w:rPr>
          <w:rFonts w:ascii="Times New Roman" w:eastAsia="Times New Roman" w:hAnsi="Times New Roman" w:cs="Times New Roman"/>
          <w:sz w:val="27"/>
          <w:szCs w:val="27"/>
          <w:lang w:val="ru-RU"/>
        </w:rPr>
        <w:t xml:space="preserve"> </w:t>
      </w:r>
      <w:proofErr w:type="spellStart"/>
      <w:r w:rsidRPr="0007454F">
        <w:rPr>
          <w:rFonts w:ascii="Times New Roman" w:eastAsia="Times New Roman" w:hAnsi="Times New Roman" w:cs="Times New Roman"/>
          <w:sz w:val="27"/>
          <w:szCs w:val="27"/>
          <w:lang w:val="ru-RU"/>
        </w:rPr>
        <w:t>відповідно</w:t>
      </w:r>
      <w:proofErr w:type="spellEnd"/>
      <w:r w:rsidRPr="0007454F">
        <w:rPr>
          <w:rFonts w:ascii="Times New Roman" w:eastAsia="Times New Roman" w:hAnsi="Times New Roman" w:cs="Times New Roman"/>
          <w:sz w:val="27"/>
          <w:szCs w:val="27"/>
          <w:lang w:val="ru-RU"/>
        </w:rPr>
        <w:t xml:space="preserve"> до </w:t>
      </w:r>
      <w:proofErr w:type="spellStart"/>
      <w:r w:rsidRPr="0007454F">
        <w:rPr>
          <w:rFonts w:ascii="Times New Roman" w:eastAsia="Times New Roman" w:hAnsi="Times New Roman" w:cs="Times New Roman"/>
          <w:sz w:val="27"/>
          <w:szCs w:val="27"/>
          <w:lang w:val="ru-RU"/>
        </w:rPr>
        <w:t>статті</w:t>
      </w:r>
      <w:proofErr w:type="spellEnd"/>
      <w:r w:rsidRPr="0007454F">
        <w:rPr>
          <w:rFonts w:ascii="Times New Roman" w:eastAsia="Times New Roman" w:hAnsi="Times New Roman" w:cs="Times New Roman"/>
          <w:sz w:val="27"/>
          <w:szCs w:val="27"/>
          <w:lang w:val="ru-RU"/>
        </w:rPr>
        <w:t xml:space="preserve"> 73 </w:t>
      </w:r>
      <w:r>
        <w:rPr>
          <w:rFonts w:ascii="Times New Roman" w:eastAsia="Times New Roman" w:hAnsi="Times New Roman" w:cs="Times New Roman"/>
          <w:sz w:val="27"/>
          <w:szCs w:val="27"/>
          <w:lang w:val="uk-UA"/>
        </w:rPr>
        <w:t xml:space="preserve">і накладає штраф </w:t>
      </w:r>
      <w:proofErr w:type="spellStart"/>
      <w:r w:rsidRPr="0007454F">
        <w:rPr>
          <w:rFonts w:ascii="Times New Roman" w:eastAsia="Times New Roman" w:hAnsi="Times New Roman" w:cs="Times New Roman"/>
          <w:sz w:val="27"/>
          <w:szCs w:val="27"/>
          <w:lang w:val="ru-RU"/>
        </w:rPr>
        <w:t>відповідно</w:t>
      </w:r>
      <w:proofErr w:type="spellEnd"/>
      <w:r w:rsidRPr="0007454F">
        <w:rPr>
          <w:rFonts w:ascii="Times New Roman" w:eastAsia="Times New Roman" w:hAnsi="Times New Roman" w:cs="Times New Roman"/>
          <w:sz w:val="27"/>
          <w:szCs w:val="27"/>
          <w:lang w:val="ru-RU"/>
        </w:rPr>
        <w:t xml:space="preserve"> до </w:t>
      </w:r>
      <w:proofErr w:type="spellStart"/>
      <w:r w:rsidRPr="0007454F">
        <w:rPr>
          <w:rFonts w:ascii="Times New Roman" w:eastAsia="Times New Roman" w:hAnsi="Times New Roman" w:cs="Times New Roman"/>
          <w:sz w:val="27"/>
          <w:szCs w:val="27"/>
          <w:lang w:val="ru-RU"/>
        </w:rPr>
        <w:t>статті</w:t>
      </w:r>
      <w:proofErr w:type="spellEnd"/>
      <w:r w:rsidRPr="0007454F">
        <w:rPr>
          <w:rFonts w:ascii="Times New Roman" w:eastAsia="Times New Roman" w:hAnsi="Times New Roman" w:cs="Times New Roman"/>
          <w:sz w:val="27"/>
          <w:szCs w:val="27"/>
          <w:lang w:val="ru-RU"/>
        </w:rPr>
        <w:t xml:space="preserve"> 65.</w:t>
      </w:r>
    </w:p>
    <w:p w:rsidR="00DE77B0" w:rsidRPr="0007454F" w:rsidRDefault="00DE77B0" w:rsidP="00B85D2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p>
    <w:p w:rsidR="00B85D2B" w:rsidRPr="0049741B"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w:t>
      </w:r>
      <w:r w:rsidR="00B85D2B">
        <w:rPr>
          <w:rFonts w:ascii="Times New Roman" w:eastAsia="Times New Roman" w:hAnsi="Times New Roman" w:cs="Times New Roman"/>
          <w:sz w:val="27"/>
          <w:szCs w:val="27"/>
          <w:lang w:val="uk-UA"/>
        </w:rPr>
        <w:t>С</w:t>
      </w:r>
      <w:r w:rsidR="0049741B">
        <w:rPr>
          <w:rFonts w:ascii="Times New Roman" w:eastAsia="Times New Roman" w:hAnsi="Times New Roman" w:cs="Times New Roman"/>
          <w:sz w:val="27"/>
          <w:szCs w:val="27"/>
          <w:lang w:val="uk-UA"/>
        </w:rPr>
        <w:t xml:space="preserve">лідчий не бере участі в обговореннях у </w:t>
      </w:r>
      <w:r w:rsidR="0049741B">
        <w:rPr>
          <w:rFonts w:ascii="Times New Roman" w:eastAsia="Times New Roman" w:hAnsi="Times New Roman" w:cs="Times New Roman"/>
          <w:sz w:val="27"/>
          <w:szCs w:val="27"/>
        </w:rPr>
        <w:t>ESMA</w:t>
      </w:r>
      <w:r w:rsidR="0049741B">
        <w:rPr>
          <w:rFonts w:ascii="Times New Roman" w:eastAsia="Times New Roman" w:hAnsi="Times New Roman" w:cs="Times New Roman"/>
          <w:sz w:val="27"/>
          <w:szCs w:val="27"/>
          <w:lang w:val="uk-UA"/>
        </w:rPr>
        <w:t xml:space="preserve"> і не втручається в будь-який інший спосіб у процес прийняття рішення </w:t>
      </w:r>
      <w:r w:rsidR="0049741B">
        <w:rPr>
          <w:rFonts w:ascii="Times New Roman" w:eastAsia="Times New Roman" w:hAnsi="Times New Roman" w:cs="Times New Roman"/>
          <w:sz w:val="27"/>
          <w:szCs w:val="27"/>
        </w:rPr>
        <w:t>ESMA</w:t>
      </w:r>
      <w:r w:rsidR="0049741B" w:rsidRPr="0049741B">
        <w:rPr>
          <w:rFonts w:ascii="Times New Roman" w:eastAsia="Times New Roman" w:hAnsi="Times New Roman" w:cs="Times New Roman"/>
          <w:sz w:val="27"/>
          <w:szCs w:val="27"/>
          <w:lang w:val="ru-RU"/>
        </w:rPr>
        <w:t>.</w:t>
      </w:r>
    </w:p>
    <w:p w:rsidR="00DE77B0" w:rsidRPr="00C77CB3" w:rsidRDefault="00DE77B0" w:rsidP="00536043">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49741B">
        <w:rPr>
          <w:rFonts w:ascii="Times New Roman" w:eastAsia="Times New Roman" w:hAnsi="Times New Roman" w:cs="Times New Roman"/>
          <w:sz w:val="27"/>
          <w:szCs w:val="27"/>
          <w:lang w:val="uk-UA"/>
        </w:rPr>
        <w:t>7.</w:t>
      </w:r>
      <w:r w:rsidRPr="006279CF">
        <w:rPr>
          <w:rFonts w:ascii="Times New Roman" w:eastAsia="Times New Roman" w:hAnsi="Times New Roman" w:cs="Times New Roman"/>
          <w:sz w:val="27"/>
          <w:szCs w:val="27"/>
        </w:rPr>
        <w:t>   </w:t>
      </w:r>
      <w:r w:rsidR="0049741B">
        <w:rPr>
          <w:rFonts w:ascii="Times New Roman" w:eastAsia="Times New Roman" w:hAnsi="Times New Roman" w:cs="Times New Roman"/>
          <w:sz w:val="27"/>
          <w:szCs w:val="27"/>
          <w:lang w:val="uk-UA"/>
        </w:rPr>
        <w:t>Комісія ухвалює додаткові правила процедури для здійснення повноваження на накладання разових штрафів або періодичних штрафних платежів, включаючи положення щодо прав на захист, положення щодо строків</w:t>
      </w:r>
      <w:r w:rsidR="00536043">
        <w:rPr>
          <w:rFonts w:ascii="Times New Roman" w:eastAsia="Times New Roman" w:hAnsi="Times New Roman" w:cs="Times New Roman"/>
          <w:sz w:val="27"/>
          <w:szCs w:val="27"/>
          <w:lang w:val="uk-UA"/>
        </w:rPr>
        <w:t>, а також приймає детальні правила щодо строків давності для накладання і застосування санкцій.</w:t>
      </w:r>
    </w:p>
    <w:p w:rsidR="00DE77B0" w:rsidRPr="008A3CE8" w:rsidRDefault="00536043" w:rsidP="0053604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Правила, згадані у першому абзаці цього пункту, приймаються за допомогою делегованих актів </w:t>
      </w:r>
      <w:proofErr w:type="spellStart"/>
      <w:r w:rsidR="001842E4" w:rsidRPr="008A3CE8">
        <w:rPr>
          <w:rFonts w:ascii="Times New Roman" w:eastAsia="Times New Roman" w:hAnsi="Times New Roman" w:cs="Times New Roman"/>
          <w:sz w:val="27"/>
          <w:szCs w:val="27"/>
          <w:lang w:val="ru-RU"/>
        </w:rPr>
        <w:t>відповідно</w:t>
      </w:r>
      <w:proofErr w:type="spellEnd"/>
      <w:r w:rsidR="001842E4" w:rsidRPr="008A3CE8">
        <w:rPr>
          <w:rFonts w:ascii="Times New Roman" w:eastAsia="Times New Roman" w:hAnsi="Times New Roman" w:cs="Times New Roman"/>
          <w:sz w:val="27"/>
          <w:szCs w:val="27"/>
          <w:lang w:val="ru-RU"/>
        </w:rPr>
        <w:t xml:space="preserve"> до </w:t>
      </w:r>
      <w:proofErr w:type="spellStart"/>
      <w:r w:rsidR="001842E4" w:rsidRPr="008A3CE8">
        <w:rPr>
          <w:rFonts w:ascii="Times New Roman" w:eastAsia="Times New Roman" w:hAnsi="Times New Roman" w:cs="Times New Roman"/>
          <w:sz w:val="27"/>
          <w:szCs w:val="27"/>
          <w:lang w:val="ru-RU"/>
        </w:rPr>
        <w:t>статті</w:t>
      </w:r>
      <w:proofErr w:type="spellEnd"/>
      <w:r w:rsidR="00DE77B0" w:rsidRPr="008A3CE8">
        <w:rPr>
          <w:rFonts w:ascii="Times New Roman" w:eastAsia="Times New Roman" w:hAnsi="Times New Roman" w:cs="Times New Roman"/>
          <w:sz w:val="27"/>
          <w:szCs w:val="27"/>
          <w:lang w:val="ru-RU"/>
        </w:rPr>
        <w:t xml:space="preserve"> 82.</w:t>
      </w:r>
    </w:p>
    <w:p w:rsidR="008A3CE8" w:rsidRPr="008A3CE8"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ru-RU"/>
        </w:rPr>
        <w:t>8.</w:t>
      </w:r>
      <w:r w:rsidRPr="006279CF">
        <w:rPr>
          <w:rFonts w:ascii="Times New Roman" w:eastAsia="Times New Roman" w:hAnsi="Times New Roman" w:cs="Times New Roman"/>
          <w:sz w:val="27"/>
          <w:szCs w:val="27"/>
        </w:rPr>
        <w:t>   ESMA</w:t>
      </w:r>
      <w:r w:rsidRPr="00C77CB3">
        <w:rPr>
          <w:rFonts w:ascii="Times New Roman" w:eastAsia="Times New Roman" w:hAnsi="Times New Roman" w:cs="Times New Roman"/>
          <w:sz w:val="27"/>
          <w:szCs w:val="27"/>
          <w:lang w:val="ru-RU"/>
        </w:rPr>
        <w:t xml:space="preserve"> </w:t>
      </w:r>
      <w:r w:rsidR="008A3CE8">
        <w:rPr>
          <w:rFonts w:ascii="Times New Roman" w:eastAsia="Times New Roman" w:hAnsi="Times New Roman" w:cs="Times New Roman"/>
          <w:sz w:val="27"/>
          <w:szCs w:val="27"/>
          <w:lang w:val="uk-UA"/>
        </w:rPr>
        <w:t xml:space="preserve">передає питання для кримінального переслідування відповідним національним органам, якщо при виконанні своїх обов’язків за цим регламентом вона встановлює наявність серйозних ознак можливого існування фактів, що можуть становити кримінальні злочини. Крім того, </w:t>
      </w:r>
      <w:r w:rsidR="008A3CE8">
        <w:rPr>
          <w:rFonts w:ascii="Times New Roman" w:eastAsia="Times New Roman" w:hAnsi="Times New Roman" w:cs="Times New Roman"/>
          <w:sz w:val="27"/>
          <w:szCs w:val="27"/>
        </w:rPr>
        <w:t>ESMA</w:t>
      </w:r>
      <w:r w:rsidR="008A3CE8" w:rsidRPr="008A3CE8">
        <w:rPr>
          <w:rFonts w:ascii="Times New Roman" w:eastAsia="Times New Roman" w:hAnsi="Times New Roman" w:cs="Times New Roman"/>
          <w:sz w:val="27"/>
          <w:szCs w:val="27"/>
          <w:lang w:val="uk-UA"/>
        </w:rPr>
        <w:t xml:space="preserve"> </w:t>
      </w:r>
      <w:r w:rsidR="008A3CE8">
        <w:rPr>
          <w:rFonts w:ascii="Times New Roman" w:eastAsia="Times New Roman" w:hAnsi="Times New Roman" w:cs="Times New Roman"/>
          <w:sz w:val="27"/>
          <w:szCs w:val="27"/>
          <w:lang w:val="uk-UA"/>
        </w:rPr>
        <w:t xml:space="preserve">утримується від накладання разових штрафів або періодичних штрафних платежів, якщо попереднє виправдання або засудження на підставі ідентичних фактів або </w:t>
      </w:r>
      <w:r w:rsidR="008A3CE8">
        <w:rPr>
          <w:rFonts w:ascii="Times New Roman" w:eastAsia="Times New Roman" w:hAnsi="Times New Roman" w:cs="Times New Roman"/>
          <w:sz w:val="27"/>
          <w:szCs w:val="27"/>
          <w:lang w:val="uk-UA"/>
        </w:rPr>
        <w:lastRenderedPageBreak/>
        <w:t>фактів, що по суті є такими самими, набуло законної сили в результаті кримінального провадження за національним законодавством.</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C77CB3">
        <w:rPr>
          <w:rFonts w:ascii="Times New Roman" w:eastAsia="Times New Roman" w:hAnsi="Times New Roman" w:cs="Times New Roman"/>
          <w:i/>
          <w:iCs/>
          <w:sz w:val="27"/>
          <w:szCs w:val="27"/>
          <w:lang w:val="uk-UA"/>
        </w:rPr>
        <w:t>Стаття</w:t>
      </w:r>
      <w:r w:rsidR="00DE77B0" w:rsidRPr="00C77CB3">
        <w:rPr>
          <w:rFonts w:ascii="Times New Roman" w:eastAsia="Times New Roman" w:hAnsi="Times New Roman" w:cs="Times New Roman"/>
          <w:i/>
          <w:iCs/>
          <w:sz w:val="27"/>
          <w:szCs w:val="27"/>
          <w:lang w:val="uk-UA"/>
        </w:rPr>
        <w:t xml:space="preserve"> 65</w:t>
      </w:r>
    </w:p>
    <w:p w:rsidR="00DE77B0" w:rsidRPr="00250AFC" w:rsidRDefault="00E573E0"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Разові</w:t>
      </w:r>
      <w:r w:rsidR="00250AFC" w:rsidRPr="00C77CB3">
        <w:rPr>
          <w:rFonts w:ascii="Times New Roman" w:eastAsia="Times New Roman" w:hAnsi="Times New Roman" w:cs="Times New Roman"/>
          <w:b/>
          <w:bCs/>
          <w:sz w:val="27"/>
          <w:szCs w:val="27"/>
          <w:lang w:val="uk-UA"/>
        </w:rPr>
        <w:t xml:space="preserve"> </w:t>
      </w:r>
      <w:r w:rsidR="00250AFC">
        <w:rPr>
          <w:rFonts w:ascii="Times New Roman" w:eastAsia="Times New Roman" w:hAnsi="Times New Roman" w:cs="Times New Roman"/>
          <w:b/>
          <w:bCs/>
          <w:sz w:val="27"/>
          <w:szCs w:val="27"/>
          <w:lang w:val="uk-UA"/>
        </w:rPr>
        <w:t>штрафи</w:t>
      </w:r>
    </w:p>
    <w:p w:rsidR="00DE77B0" w:rsidRPr="00C77CB3" w:rsidRDefault="00DE77B0" w:rsidP="005F4D1E">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5F4D1E">
        <w:rPr>
          <w:rFonts w:ascii="Times New Roman" w:eastAsia="Times New Roman" w:hAnsi="Times New Roman" w:cs="Times New Roman"/>
          <w:sz w:val="27"/>
          <w:szCs w:val="27"/>
          <w:lang w:val="uk-UA"/>
        </w:rPr>
        <w:t>Якщо</w:t>
      </w:r>
      <w:r w:rsidRPr="00C77CB3">
        <w:rPr>
          <w:rFonts w:ascii="Times New Roman" w:eastAsia="Times New Roman" w:hAnsi="Times New Roman" w:cs="Times New Roman"/>
          <w:sz w:val="27"/>
          <w:szCs w:val="27"/>
          <w:lang w:val="uk-UA"/>
        </w:rPr>
        <w:t xml:space="preserve">, </w:t>
      </w:r>
      <w:r w:rsidR="001842E4" w:rsidRPr="00C77CB3">
        <w:rPr>
          <w:rFonts w:ascii="Times New Roman" w:eastAsia="Times New Roman" w:hAnsi="Times New Roman" w:cs="Times New Roman"/>
          <w:sz w:val="27"/>
          <w:szCs w:val="27"/>
          <w:lang w:val="uk-UA"/>
        </w:rPr>
        <w:t>відповідно до статті</w:t>
      </w:r>
      <w:r w:rsidRPr="00C77CB3">
        <w:rPr>
          <w:rFonts w:ascii="Times New Roman" w:eastAsia="Times New Roman" w:hAnsi="Times New Roman" w:cs="Times New Roman"/>
          <w:sz w:val="27"/>
          <w:szCs w:val="27"/>
          <w:lang w:val="uk-UA"/>
        </w:rPr>
        <w:t xml:space="preserve"> 64(5), </w:t>
      </w:r>
      <w:r w:rsidRPr="006279CF">
        <w:rPr>
          <w:rFonts w:ascii="Times New Roman" w:eastAsia="Times New Roman" w:hAnsi="Times New Roman" w:cs="Times New Roman"/>
          <w:sz w:val="27"/>
          <w:szCs w:val="27"/>
        </w:rPr>
        <w:t>ESMA</w:t>
      </w:r>
      <w:r w:rsidRPr="00C77CB3">
        <w:rPr>
          <w:rFonts w:ascii="Times New Roman" w:eastAsia="Times New Roman" w:hAnsi="Times New Roman" w:cs="Times New Roman"/>
          <w:sz w:val="27"/>
          <w:szCs w:val="27"/>
          <w:lang w:val="uk-UA"/>
        </w:rPr>
        <w:t xml:space="preserve"> </w:t>
      </w:r>
      <w:r w:rsidR="005F4D1E">
        <w:rPr>
          <w:rFonts w:ascii="Times New Roman" w:eastAsia="Times New Roman" w:hAnsi="Times New Roman" w:cs="Times New Roman"/>
          <w:sz w:val="27"/>
          <w:szCs w:val="27"/>
          <w:lang w:val="uk-UA"/>
        </w:rPr>
        <w:t xml:space="preserve">встановила, що торговий </w:t>
      </w:r>
      <w:proofErr w:type="spellStart"/>
      <w:r w:rsidR="005F4D1E">
        <w:rPr>
          <w:rFonts w:ascii="Times New Roman" w:eastAsia="Times New Roman" w:hAnsi="Times New Roman" w:cs="Times New Roman"/>
          <w:sz w:val="27"/>
          <w:szCs w:val="27"/>
          <w:lang w:val="uk-UA"/>
        </w:rPr>
        <w:t>репозитарій</w:t>
      </w:r>
      <w:proofErr w:type="spellEnd"/>
      <w:r w:rsidR="005F4D1E">
        <w:rPr>
          <w:rFonts w:ascii="Times New Roman" w:eastAsia="Times New Roman" w:hAnsi="Times New Roman" w:cs="Times New Roman"/>
          <w:sz w:val="27"/>
          <w:szCs w:val="27"/>
          <w:lang w:val="uk-UA"/>
        </w:rPr>
        <w:t xml:space="preserve"> навмисно або за недбалістю вчинив одне з порушень, зазначених у Додатку І, вона ухвалює рішення про накладання разового штрафу відповідно до пункту 2 цієї статті.</w:t>
      </w:r>
    </w:p>
    <w:p w:rsidR="00DE77B0" w:rsidRPr="00C77CB3" w:rsidRDefault="005F4D1E" w:rsidP="005F4D1E">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Порушення з боку торгового </w:t>
      </w:r>
      <w:proofErr w:type="spellStart"/>
      <w:r>
        <w:rPr>
          <w:rFonts w:ascii="Times New Roman" w:eastAsia="Times New Roman" w:hAnsi="Times New Roman" w:cs="Times New Roman"/>
          <w:sz w:val="27"/>
          <w:szCs w:val="27"/>
          <w:lang w:val="uk-UA"/>
        </w:rPr>
        <w:t>репозитарія</w:t>
      </w:r>
      <w:proofErr w:type="spellEnd"/>
      <w:r>
        <w:rPr>
          <w:rFonts w:ascii="Times New Roman" w:eastAsia="Times New Roman" w:hAnsi="Times New Roman" w:cs="Times New Roman"/>
          <w:sz w:val="27"/>
          <w:szCs w:val="27"/>
          <w:lang w:val="uk-UA"/>
        </w:rPr>
        <w:t xml:space="preserve"> вважається вчиненим навмисно, якщо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виявила об’єктивні фактори, які демонструють, що торговий </w:t>
      </w:r>
      <w:proofErr w:type="spellStart"/>
      <w:r>
        <w:rPr>
          <w:rFonts w:ascii="Times New Roman" w:eastAsia="Times New Roman" w:hAnsi="Times New Roman" w:cs="Times New Roman"/>
          <w:sz w:val="27"/>
          <w:szCs w:val="27"/>
          <w:lang w:val="uk-UA"/>
        </w:rPr>
        <w:t>репозитарій</w:t>
      </w:r>
      <w:proofErr w:type="spellEnd"/>
      <w:r>
        <w:rPr>
          <w:rFonts w:ascii="Times New Roman" w:eastAsia="Times New Roman" w:hAnsi="Times New Roman" w:cs="Times New Roman"/>
          <w:sz w:val="27"/>
          <w:szCs w:val="27"/>
          <w:lang w:val="uk-UA"/>
        </w:rPr>
        <w:t xml:space="preserve"> або його вище керівництво при вчиненні порушення діяли свідомо.</w:t>
      </w:r>
    </w:p>
    <w:p w:rsidR="00DE77B0" w:rsidRPr="00C77CB3" w:rsidRDefault="00DE77B0" w:rsidP="0039551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F4D1E">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5F4D1E">
        <w:rPr>
          <w:rFonts w:ascii="Times New Roman" w:eastAsia="Times New Roman" w:hAnsi="Times New Roman" w:cs="Times New Roman"/>
          <w:sz w:val="27"/>
          <w:szCs w:val="27"/>
          <w:lang w:val="uk-UA"/>
        </w:rPr>
        <w:t xml:space="preserve">Базові суми штрафів, згаданих у пункті 1, </w:t>
      </w:r>
      <w:r w:rsidR="0039551D">
        <w:rPr>
          <w:rFonts w:ascii="Times New Roman" w:eastAsia="Times New Roman" w:hAnsi="Times New Roman" w:cs="Times New Roman"/>
          <w:sz w:val="27"/>
          <w:szCs w:val="27"/>
          <w:lang w:val="uk-UA"/>
        </w:rPr>
        <w:t>встановлюються у наступних межах:</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39551D" w:rsidRDefault="0039551D" w:rsidP="0039551D">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за порушення, згадані у </w:t>
            </w:r>
            <w:proofErr w:type="spellStart"/>
            <w:r>
              <w:rPr>
                <w:rFonts w:ascii="Times New Roman" w:eastAsia="Times New Roman" w:hAnsi="Times New Roman" w:cs="Times New Roman"/>
                <w:sz w:val="27"/>
                <w:szCs w:val="27"/>
                <w:lang w:val="uk-UA"/>
              </w:rPr>
              <w:t>пп</w:t>
            </w:r>
            <w:proofErr w:type="spellEnd"/>
            <w:r>
              <w:rPr>
                <w:rFonts w:ascii="Times New Roman" w:eastAsia="Times New Roman" w:hAnsi="Times New Roman" w:cs="Times New Roman"/>
                <w:sz w:val="27"/>
                <w:szCs w:val="27"/>
                <w:lang w:val="uk-UA"/>
              </w:rPr>
              <w:t xml:space="preserve">. (с) Розділу І Додатку І, у </w:t>
            </w:r>
            <w:proofErr w:type="spellStart"/>
            <w:r>
              <w:rPr>
                <w:rFonts w:ascii="Times New Roman" w:eastAsia="Times New Roman" w:hAnsi="Times New Roman" w:cs="Times New Roman"/>
                <w:sz w:val="27"/>
                <w:szCs w:val="27"/>
                <w:lang w:val="uk-UA"/>
              </w:rPr>
              <w:t>пп</w:t>
            </w:r>
            <w:proofErr w:type="spellEnd"/>
            <w:r>
              <w:rPr>
                <w:rFonts w:ascii="Times New Roman" w:eastAsia="Times New Roman" w:hAnsi="Times New Roman" w:cs="Times New Roman"/>
                <w:sz w:val="27"/>
                <w:szCs w:val="27"/>
                <w:lang w:val="uk-UA"/>
              </w:rPr>
              <w:t>.</w:t>
            </w:r>
            <w:r w:rsidRPr="0039551D">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c</w:t>
            </w:r>
            <w:r w:rsidRPr="0039551D">
              <w:rPr>
                <w:rFonts w:ascii="Times New Roman" w:eastAsia="Times New Roman" w:hAnsi="Times New Roman" w:cs="Times New Roman"/>
                <w:sz w:val="27"/>
                <w:szCs w:val="27"/>
                <w:lang w:val="ru-RU"/>
              </w:rPr>
              <w:t>)</w:t>
            </w:r>
            <w:r>
              <w:rPr>
                <w:rFonts w:ascii="Times New Roman" w:eastAsia="Times New Roman" w:hAnsi="Times New Roman" w:cs="Times New Roman"/>
                <w:sz w:val="27"/>
                <w:szCs w:val="27"/>
                <w:lang w:val="uk-UA"/>
              </w:rPr>
              <w:t>-</w:t>
            </w:r>
            <w:r w:rsidRPr="0039551D">
              <w:rPr>
                <w:rFonts w:ascii="Times New Roman" w:eastAsia="Times New Roman" w:hAnsi="Times New Roman" w:cs="Times New Roman"/>
                <w:sz w:val="27"/>
                <w:szCs w:val="27"/>
                <w:lang w:val="ru-RU"/>
              </w:rPr>
              <w:t>(</w:t>
            </w:r>
            <w:r w:rsidRPr="006279CF">
              <w:rPr>
                <w:rFonts w:ascii="Times New Roman" w:eastAsia="Times New Roman" w:hAnsi="Times New Roman" w:cs="Times New Roman"/>
                <w:sz w:val="27"/>
                <w:szCs w:val="27"/>
              </w:rPr>
              <w:t>g</w:t>
            </w:r>
            <w:r w:rsidRPr="0039551D">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 xml:space="preserve">Розділу ІІ Додатку І та у </w:t>
            </w:r>
            <w:proofErr w:type="spellStart"/>
            <w:r>
              <w:rPr>
                <w:rFonts w:ascii="Times New Roman" w:eastAsia="Times New Roman" w:hAnsi="Times New Roman" w:cs="Times New Roman"/>
                <w:sz w:val="27"/>
                <w:szCs w:val="27"/>
                <w:lang w:val="uk-UA"/>
              </w:rPr>
              <w:t>пп</w:t>
            </w:r>
            <w:proofErr w:type="spellEnd"/>
            <w:r>
              <w:rPr>
                <w:rFonts w:ascii="Times New Roman" w:eastAsia="Times New Roman" w:hAnsi="Times New Roman" w:cs="Times New Roman"/>
                <w:sz w:val="27"/>
                <w:szCs w:val="27"/>
                <w:lang w:val="uk-UA"/>
              </w:rPr>
              <w:t>.</w:t>
            </w:r>
            <w:r w:rsidRPr="0039551D">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a</w:t>
            </w:r>
            <w:r w:rsidRPr="0039551D">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та</w:t>
            </w:r>
            <w:r w:rsidRPr="0039551D">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b</w:t>
            </w:r>
            <w:r w:rsidRPr="0039551D">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Розділу ІІІ Додатку І, суми разових штрафів дорівнюють як мінімум 10000 євро, але не перевищують 20000 євро;</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F171B6" w:rsidRDefault="0039551D" w:rsidP="00F171B6">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за порушення, згадані у </w:t>
            </w:r>
            <w:proofErr w:type="spellStart"/>
            <w:r>
              <w:rPr>
                <w:rFonts w:ascii="Times New Roman" w:eastAsia="Times New Roman" w:hAnsi="Times New Roman" w:cs="Times New Roman"/>
                <w:sz w:val="27"/>
                <w:szCs w:val="27"/>
                <w:lang w:val="uk-UA"/>
              </w:rPr>
              <w:t>пп</w:t>
            </w:r>
            <w:proofErr w:type="spellEnd"/>
            <w:r>
              <w:rPr>
                <w:rFonts w:ascii="Times New Roman" w:eastAsia="Times New Roman" w:hAnsi="Times New Roman" w:cs="Times New Roman"/>
                <w:sz w:val="27"/>
                <w:szCs w:val="27"/>
                <w:lang w:val="uk-UA"/>
              </w:rPr>
              <w:t xml:space="preserve">. </w:t>
            </w:r>
            <w:r w:rsidR="00CD6608" w:rsidRPr="00CD6608">
              <w:rPr>
                <w:rFonts w:ascii="Times New Roman" w:eastAsia="Times New Roman" w:hAnsi="Times New Roman" w:cs="Times New Roman"/>
                <w:sz w:val="27"/>
                <w:szCs w:val="27"/>
                <w:lang w:val="uk-UA"/>
              </w:rPr>
              <w:t>(</w:t>
            </w:r>
            <w:r w:rsidR="00CD6608" w:rsidRPr="006279CF">
              <w:rPr>
                <w:rFonts w:ascii="Times New Roman" w:eastAsia="Times New Roman" w:hAnsi="Times New Roman" w:cs="Times New Roman"/>
                <w:sz w:val="27"/>
                <w:szCs w:val="27"/>
              </w:rPr>
              <w:t>a</w:t>
            </w:r>
            <w:r w:rsidR="00CD6608" w:rsidRPr="00CD6608">
              <w:rPr>
                <w:rFonts w:ascii="Times New Roman" w:eastAsia="Times New Roman" w:hAnsi="Times New Roman" w:cs="Times New Roman"/>
                <w:sz w:val="27"/>
                <w:szCs w:val="27"/>
                <w:lang w:val="uk-UA"/>
              </w:rPr>
              <w:t>), (</w:t>
            </w:r>
            <w:r w:rsidR="00CD6608" w:rsidRPr="006279CF">
              <w:rPr>
                <w:rFonts w:ascii="Times New Roman" w:eastAsia="Times New Roman" w:hAnsi="Times New Roman" w:cs="Times New Roman"/>
                <w:sz w:val="27"/>
                <w:szCs w:val="27"/>
              </w:rPr>
              <w:t>b</w:t>
            </w:r>
            <w:r w:rsidR="00CD6608" w:rsidRPr="00CD6608">
              <w:rPr>
                <w:rFonts w:ascii="Times New Roman" w:eastAsia="Times New Roman" w:hAnsi="Times New Roman" w:cs="Times New Roman"/>
                <w:sz w:val="27"/>
                <w:szCs w:val="27"/>
                <w:lang w:val="uk-UA"/>
              </w:rPr>
              <w:t>) та (</w:t>
            </w:r>
            <w:r w:rsidR="00CD6608" w:rsidRPr="006279CF">
              <w:rPr>
                <w:rFonts w:ascii="Times New Roman" w:eastAsia="Times New Roman" w:hAnsi="Times New Roman" w:cs="Times New Roman"/>
                <w:sz w:val="27"/>
                <w:szCs w:val="27"/>
              </w:rPr>
              <w:t>d</w:t>
            </w:r>
            <w:r w:rsidR="00CD6608" w:rsidRPr="00CD6608">
              <w:rPr>
                <w:rFonts w:ascii="Times New Roman" w:eastAsia="Times New Roman" w:hAnsi="Times New Roman" w:cs="Times New Roman"/>
                <w:sz w:val="27"/>
                <w:szCs w:val="27"/>
                <w:lang w:val="uk-UA"/>
              </w:rPr>
              <w:t>)-(</w:t>
            </w:r>
            <w:r w:rsidR="00CD6608" w:rsidRPr="006279CF">
              <w:rPr>
                <w:rFonts w:ascii="Times New Roman" w:eastAsia="Times New Roman" w:hAnsi="Times New Roman" w:cs="Times New Roman"/>
                <w:sz w:val="27"/>
                <w:szCs w:val="27"/>
              </w:rPr>
              <w:t>h</w:t>
            </w:r>
            <w:r w:rsidR="00CD6608" w:rsidRPr="00CD6608">
              <w:rPr>
                <w:rFonts w:ascii="Times New Roman" w:eastAsia="Times New Roman" w:hAnsi="Times New Roman" w:cs="Times New Roman"/>
                <w:sz w:val="27"/>
                <w:szCs w:val="27"/>
                <w:lang w:val="uk-UA"/>
              </w:rPr>
              <w:t>)</w:t>
            </w:r>
            <w:r>
              <w:rPr>
                <w:rFonts w:ascii="Times New Roman" w:eastAsia="Times New Roman" w:hAnsi="Times New Roman" w:cs="Times New Roman"/>
                <w:sz w:val="27"/>
                <w:szCs w:val="27"/>
                <w:lang w:val="uk-UA"/>
              </w:rPr>
              <w:t xml:space="preserve"> Розділу І Додатку І</w:t>
            </w:r>
            <w:r w:rsidR="00CD6608">
              <w:rPr>
                <w:rFonts w:ascii="Times New Roman" w:eastAsia="Times New Roman" w:hAnsi="Times New Roman" w:cs="Times New Roman"/>
                <w:sz w:val="27"/>
                <w:szCs w:val="27"/>
                <w:lang w:val="uk-UA"/>
              </w:rPr>
              <w:t xml:space="preserve"> та</w:t>
            </w:r>
            <w:r>
              <w:rPr>
                <w:rFonts w:ascii="Times New Roman" w:eastAsia="Times New Roman" w:hAnsi="Times New Roman" w:cs="Times New Roman"/>
                <w:sz w:val="27"/>
                <w:szCs w:val="27"/>
                <w:lang w:val="uk-UA"/>
              </w:rPr>
              <w:t xml:space="preserve"> у </w:t>
            </w:r>
            <w:proofErr w:type="spellStart"/>
            <w:r>
              <w:rPr>
                <w:rFonts w:ascii="Times New Roman" w:eastAsia="Times New Roman" w:hAnsi="Times New Roman" w:cs="Times New Roman"/>
                <w:sz w:val="27"/>
                <w:szCs w:val="27"/>
                <w:lang w:val="uk-UA"/>
              </w:rPr>
              <w:t>пп</w:t>
            </w:r>
            <w:proofErr w:type="spellEnd"/>
            <w:r>
              <w:rPr>
                <w:rFonts w:ascii="Times New Roman" w:eastAsia="Times New Roman" w:hAnsi="Times New Roman" w:cs="Times New Roman"/>
                <w:sz w:val="27"/>
                <w:szCs w:val="27"/>
                <w:lang w:val="uk-UA"/>
              </w:rPr>
              <w:t>.</w:t>
            </w:r>
            <w:r w:rsidRPr="00CD6608">
              <w:rPr>
                <w:rFonts w:ascii="Times New Roman" w:eastAsia="Times New Roman" w:hAnsi="Times New Roman" w:cs="Times New Roman"/>
                <w:sz w:val="27"/>
                <w:szCs w:val="27"/>
                <w:lang w:val="uk-UA"/>
              </w:rPr>
              <w:t xml:space="preserve"> </w:t>
            </w:r>
            <w:r w:rsidR="00CD6608" w:rsidRPr="00CD6608">
              <w:rPr>
                <w:rFonts w:ascii="Times New Roman" w:eastAsia="Times New Roman" w:hAnsi="Times New Roman" w:cs="Times New Roman"/>
                <w:sz w:val="27"/>
                <w:szCs w:val="27"/>
                <w:lang w:val="uk-UA"/>
              </w:rPr>
              <w:t>(</w:t>
            </w:r>
            <w:r w:rsidR="00CD6608" w:rsidRPr="006279CF">
              <w:rPr>
                <w:rFonts w:ascii="Times New Roman" w:eastAsia="Times New Roman" w:hAnsi="Times New Roman" w:cs="Times New Roman"/>
                <w:sz w:val="27"/>
                <w:szCs w:val="27"/>
              </w:rPr>
              <w:t>a</w:t>
            </w:r>
            <w:r w:rsidR="00CD6608" w:rsidRPr="00CD6608">
              <w:rPr>
                <w:rFonts w:ascii="Times New Roman" w:eastAsia="Times New Roman" w:hAnsi="Times New Roman" w:cs="Times New Roman"/>
                <w:sz w:val="27"/>
                <w:szCs w:val="27"/>
                <w:lang w:val="uk-UA"/>
              </w:rPr>
              <w:t>), (</w:t>
            </w:r>
            <w:r w:rsidR="00CD6608" w:rsidRPr="006279CF">
              <w:rPr>
                <w:rFonts w:ascii="Times New Roman" w:eastAsia="Times New Roman" w:hAnsi="Times New Roman" w:cs="Times New Roman"/>
                <w:sz w:val="27"/>
                <w:szCs w:val="27"/>
              </w:rPr>
              <w:t>b</w:t>
            </w:r>
            <w:r w:rsidR="00CD6608" w:rsidRPr="00CD6608">
              <w:rPr>
                <w:rFonts w:ascii="Times New Roman" w:eastAsia="Times New Roman" w:hAnsi="Times New Roman" w:cs="Times New Roman"/>
                <w:sz w:val="27"/>
                <w:szCs w:val="27"/>
                <w:lang w:val="uk-UA"/>
              </w:rPr>
              <w:t>) та (</w:t>
            </w:r>
            <w:r w:rsidR="00CD6608" w:rsidRPr="006279CF">
              <w:rPr>
                <w:rFonts w:ascii="Times New Roman" w:eastAsia="Times New Roman" w:hAnsi="Times New Roman" w:cs="Times New Roman"/>
                <w:sz w:val="27"/>
                <w:szCs w:val="27"/>
              </w:rPr>
              <w:t>h</w:t>
            </w:r>
            <w:r w:rsidR="00CD6608" w:rsidRPr="00CD6608">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 xml:space="preserve">Розділу ІІ Додатку І, суми разових штрафів дорівнюють як мінімум </w:t>
            </w:r>
            <w:r w:rsidR="00CD6608">
              <w:rPr>
                <w:rFonts w:ascii="Times New Roman" w:eastAsia="Times New Roman" w:hAnsi="Times New Roman" w:cs="Times New Roman"/>
                <w:sz w:val="27"/>
                <w:szCs w:val="27"/>
                <w:lang w:val="uk-UA"/>
              </w:rPr>
              <w:t>5</w:t>
            </w:r>
            <w:r>
              <w:rPr>
                <w:rFonts w:ascii="Times New Roman" w:eastAsia="Times New Roman" w:hAnsi="Times New Roman" w:cs="Times New Roman"/>
                <w:sz w:val="27"/>
                <w:szCs w:val="27"/>
                <w:lang w:val="uk-UA"/>
              </w:rPr>
              <w:t xml:space="preserve">000 євро, але не перевищують </w:t>
            </w:r>
            <w:r w:rsidR="00CD6608">
              <w:rPr>
                <w:rFonts w:ascii="Times New Roman" w:eastAsia="Times New Roman" w:hAnsi="Times New Roman" w:cs="Times New Roman"/>
                <w:sz w:val="27"/>
                <w:szCs w:val="27"/>
                <w:lang w:val="uk-UA"/>
              </w:rPr>
              <w:t>1</w:t>
            </w:r>
            <w:r>
              <w:rPr>
                <w:rFonts w:ascii="Times New Roman" w:eastAsia="Times New Roman" w:hAnsi="Times New Roman" w:cs="Times New Roman"/>
                <w:sz w:val="27"/>
                <w:szCs w:val="27"/>
                <w:lang w:val="uk-UA"/>
              </w:rPr>
              <w:t>0000 євро</w:t>
            </w:r>
            <w:r w:rsidR="00DE77B0" w:rsidRPr="00F171B6">
              <w:rPr>
                <w:rFonts w:ascii="Times New Roman" w:eastAsia="Times New Roman" w:hAnsi="Times New Roman" w:cs="Times New Roman"/>
                <w:sz w:val="27"/>
                <w:szCs w:val="27"/>
                <w:lang w:val="uk-UA"/>
              </w:rPr>
              <w:t>.</w:t>
            </w:r>
          </w:p>
        </w:tc>
      </w:tr>
    </w:tbl>
    <w:p w:rsidR="00F171B6" w:rsidRPr="00A01784" w:rsidRDefault="00A01784"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35F1C">
        <w:rPr>
          <w:rFonts w:ascii="Times New Roman" w:eastAsia="Times New Roman" w:hAnsi="Times New Roman" w:cs="Times New Roman"/>
          <w:sz w:val="27"/>
          <w:szCs w:val="27"/>
          <w:lang w:val="uk-UA"/>
        </w:rPr>
        <w:t xml:space="preserve">Для того, </w:t>
      </w:r>
      <w:r>
        <w:rPr>
          <w:rFonts w:ascii="Times New Roman" w:eastAsia="Times New Roman" w:hAnsi="Times New Roman" w:cs="Times New Roman"/>
          <w:sz w:val="27"/>
          <w:szCs w:val="27"/>
          <w:lang w:val="uk-UA"/>
        </w:rPr>
        <w:t xml:space="preserve">щоб вирішити, чи повинна базова сума разового штрафу належати до нижньої, середньої або верхньої частини діапазонів, визначених у першому абзаці цього пункту, </w:t>
      </w:r>
      <w:r>
        <w:rPr>
          <w:rFonts w:ascii="Times New Roman" w:eastAsia="Times New Roman" w:hAnsi="Times New Roman" w:cs="Times New Roman"/>
          <w:sz w:val="27"/>
          <w:szCs w:val="27"/>
        </w:rPr>
        <w:t>ESMA</w:t>
      </w:r>
      <w:r w:rsidR="00535F1C">
        <w:rPr>
          <w:rFonts w:ascii="Times New Roman" w:eastAsia="Times New Roman" w:hAnsi="Times New Roman" w:cs="Times New Roman"/>
          <w:sz w:val="27"/>
          <w:szCs w:val="27"/>
          <w:lang w:val="uk-UA"/>
        </w:rPr>
        <w:t xml:space="preserve"> враховує річний обіг відповідного торгового </w:t>
      </w:r>
      <w:proofErr w:type="spellStart"/>
      <w:r w:rsidR="00535F1C">
        <w:rPr>
          <w:rFonts w:ascii="Times New Roman" w:eastAsia="Times New Roman" w:hAnsi="Times New Roman" w:cs="Times New Roman"/>
          <w:sz w:val="27"/>
          <w:szCs w:val="27"/>
          <w:lang w:val="uk-UA"/>
        </w:rPr>
        <w:t>репозитарія</w:t>
      </w:r>
      <w:proofErr w:type="spellEnd"/>
      <w:r w:rsidR="00535F1C">
        <w:rPr>
          <w:rFonts w:ascii="Times New Roman" w:eastAsia="Times New Roman" w:hAnsi="Times New Roman" w:cs="Times New Roman"/>
          <w:sz w:val="27"/>
          <w:szCs w:val="27"/>
          <w:lang w:val="uk-UA"/>
        </w:rPr>
        <w:t xml:space="preserve"> за попередній господарський рік. Базова сума належить до нижньої частини передбаченого діапазону, якщо річний обіг менше 1 млн. євро, до середньої частини</w:t>
      </w:r>
      <w:r w:rsidR="003C1A0D">
        <w:rPr>
          <w:rFonts w:ascii="Times New Roman" w:eastAsia="Times New Roman" w:hAnsi="Times New Roman" w:cs="Times New Roman"/>
          <w:sz w:val="27"/>
          <w:szCs w:val="27"/>
          <w:lang w:val="uk-UA"/>
        </w:rPr>
        <w:t xml:space="preserve">, якщо річний обіг торгового </w:t>
      </w:r>
      <w:proofErr w:type="spellStart"/>
      <w:r w:rsidR="003C1A0D">
        <w:rPr>
          <w:rFonts w:ascii="Times New Roman" w:eastAsia="Times New Roman" w:hAnsi="Times New Roman" w:cs="Times New Roman"/>
          <w:sz w:val="27"/>
          <w:szCs w:val="27"/>
          <w:lang w:val="uk-UA"/>
        </w:rPr>
        <w:t>репозитарія</w:t>
      </w:r>
      <w:proofErr w:type="spellEnd"/>
      <w:r w:rsidR="003C1A0D">
        <w:rPr>
          <w:rFonts w:ascii="Times New Roman" w:eastAsia="Times New Roman" w:hAnsi="Times New Roman" w:cs="Times New Roman"/>
          <w:sz w:val="27"/>
          <w:szCs w:val="27"/>
          <w:lang w:val="uk-UA"/>
        </w:rPr>
        <w:t xml:space="preserve"> становить від 1 до 5 млн. євро, і до верхньої частини діапазону – для торгового </w:t>
      </w:r>
      <w:proofErr w:type="spellStart"/>
      <w:r w:rsidR="003C1A0D">
        <w:rPr>
          <w:rFonts w:ascii="Times New Roman" w:eastAsia="Times New Roman" w:hAnsi="Times New Roman" w:cs="Times New Roman"/>
          <w:sz w:val="27"/>
          <w:szCs w:val="27"/>
          <w:lang w:val="uk-UA"/>
        </w:rPr>
        <w:t>репозитарія</w:t>
      </w:r>
      <w:proofErr w:type="spellEnd"/>
      <w:r w:rsidR="003C1A0D">
        <w:rPr>
          <w:rFonts w:ascii="Times New Roman" w:eastAsia="Times New Roman" w:hAnsi="Times New Roman" w:cs="Times New Roman"/>
          <w:sz w:val="27"/>
          <w:szCs w:val="27"/>
          <w:lang w:val="uk-UA"/>
        </w:rPr>
        <w:t>, річний обіг якого перевищує 5 млн. євро.</w:t>
      </w:r>
    </w:p>
    <w:p w:rsidR="00DE77B0" w:rsidRPr="00C77CB3" w:rsidRDefault="00DE77B0" w:rsidP="005A3AAC">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3C1A0D">
        <w:rPr>
          <w:rFonts w:ascii="Times New Roman" w:eastAsia="Times New Roman" w:hAnsi="Times New Roman" w:cs="Times New Roman"/>
          <w:sz w:val="27"/>
          <w:szCs w:val="27"/>
          <w:lang w:val="uk-UA"/>
        </w:rPr>
        <w:t xml:space="preserve">Базові суми, встановлені у пункті 2, за необхідності коригуються шляхом врахування </w:t>
      </w:r>
      <w:proofErr w:type="spellStart"/>
      <w:r w:rsidR="003C1A0D">
        <w:rPr>
          <w:rFonts w:ascii="Times New Roman" w:eastAsia="Times New Roman" w:hAnsi="Times New Roman" w:cs="Times New Roman"/>
          <w:sz w:val="27"/>
          <w:szCs w:val="27"/>
          <w:lang w:val="uk-UA"/>
        </w:rPr>
        <w:t>погіршуючих</w:t>
      </w:r>
      <w:proofErr w:type="spellEnd"/>
      <w:r w:rsidR="003C1A0D" w:rsidRPr="00C77CB3">
        <w:rPr>
          <w:rFonts w:ascii="Times New Roman" w:eastAsia="Times New Roman" w:hAnsi="Times New Roman" w:cs="Times New Roman"/>
          <w:sz w:val="27"/>
          <w:szCs w:val="27"/>
          <w:lang w:val="uk-UA"/>
        </w:rPr>
        <w:t xml:space="preserve"> </w:t>
      </w:r>
      <w:r w:rsidR="003C1A0D">
        <w:rPr>
          <w:rFonts w:ascii="Times New Roman" w:eastAsia="Times New Roman" w:hAnsi="Times New Roman" w:cs="Times New Roman"/>
          <w:sz w:val="27"/>
          <w:szCs w:val="27"/>
          <w:lang w:val="uk-UA"/>
        </w:rPr>
        <w:t>або пом’якшуючих</w:t>
      </w:r>
      <w:r w:rsidR="005A3AAC">
        <w:rPr>
          <w:rFonts w:ascii="Times New Roman" w:eastAsia="Times New Roman" w:hAnsi="Times New Roman" w:cs="Times New Roman"/>
          <w:sz w:val="27"/>
          <w:szCs w:val="27"/>
          <w:lang w:val="uk-UA"/>
        </w:rPr>
        <w:t xml:space="preserve"> факторів, згідно з відповідними коефіцієнтами, встановленими у Додатку ІІ.</w:t>
      </w:r>
    </w:p>
    <w:p w:rsidR="00DE77B0" w:rsidRPr="00B44A09" w:rsidRDefault="00B44A09" w:rsidP="00B44A0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Відповідні </w:t>
      </w:r>
      <w:proofErr w:type="spellStart"/>
      <w:r>
        <w:rPr>
          <w:rFonts w:ascii="Times New Roman" w:eastAsia="Times New Roman" w:hAnsi="Times New Roman" w:cs="Times New Roman"/>
          <w:sz w:val="27"/>
          <w:szCs w:val="27"/>
          <w:lang w:val="uk-UA"/>
        </w:rPr>
        <w:t>погіршуючі</w:t>
      </w:r>
      <w:proofErr w:type="spellEnd"/>
      <w:r>
        <w:rPr>
          <w:rFonts w:ascii="Times New Roman" w:eastAsia="Times New Roman" w:hAnsi="Times New Roman" w:cs="Times New Roman"/>
          <w:sz w:val="27"/>
          <w:szCs w:val="27"/>
          <w:lang w:val="uk-UA"/>
        </w:rPr>
        <w:t xml:space="preserve"> </w:t>
      </w:r>
      <w:proofErr w:type="spellStart"/>
      <w:r>
        <w:rPr>
          <w:rFonts w:ascii="Times New Roman" w:eastAsia="Times New Roman" w:hAnsi="Times New Roman" w:cs="Times New Roman"/>
          <w:sz w:val="27"/>
          <w:szCs w:val="27"/>
          <w:lang w:val="uk-UA"/>
        </w:rPr>
        <w:t>коеффіцієнти</w:t>
      </w:r>
      <w:proofErr w:type="spellEnd"/>
      <w:r>
        <w:rPr>
          <w:rFonts w:ascii="Times New Roman" w:eastAsia="Times New Roman" w:hAnsi="Times New Roman" w:cs="Times New Roman"/>
          <w:sz w:val="27"/>
          <w:szCs w:val="27"/>
          <w:lang w:val="uk-UA"/>
        </w:rPr>
        <w:t xml:space="preserve"> застосовуються до базової суми один за одним. Якщо можна застосувати більше одного </w:t>
      </w:r>
      <w:proofErr w:type="spellStart"/>
      <w:r>
        <w:rPr>
          <w:rFonts w:ascii="Times New Roman" w:eastAsia="Times New Roman" w:hAnsi="Times New Roman" w:cs="Times New Roman"/>
          <w:sz w:val="27"/>
          <w:szCs w:val="27"/>
          <w:lang w:val="uk-UA"/>
        </w:rPr>
        <w:t>погіршуючого</w:t>
      </w:r>
      <w:proofErr w:type="spellEnd"/>
      <w:r>
        <w:rPr>
          <w:rFonts w:ascii="Times New Roman" w:eastAsia="Times New Roman" w:hAnsi="Times New Roman" w:cs="Times New Roman"/>
          <w:sz w:val="27"/>
          <w:szCs w:val="27"/>
          <w:lang w:val="uk-UA"/>
        </w:rPr>
        <w:t xml:space="preserve"> коефіцієнта, то різниця між базовою сумою та сумою, отриманою в результаті застосування кожного окремого </w:t>
      </w:r>
      <w:proofErr w:type="spellStart"/>
      <w:r>
        <w:rPr>
          <w:rFonts w:ascii="Times New Roman" w:eastAsia="Times New Roman" w:hAnsi="Times New Roman" w:cs="Times New Roman"/>
          <w:sz w:val="27"/>
          <w:szCs w:val="27"/>
          <w:lang w:val="uk-UA"/>
        </w:rPr>
        <w:t>погіршуючого</w:t>
      </w:r>
      <w:proofErr w:type="spellEnd"/>
      <w:r>
        <w:rPr>
          <w:rFonts w:ascii="Times New Roman" w:eastAsia="Times New Roman" w:hAnsi="Times New Roman" w:cs="Times New Roman"/>
          <w:sz w:val="27"/>
          <w:szCs w:val="27"/>
          <w:lang w:val="uk-UA"/>
        </w:rPr>
        <w:t xml:space="preserve"> коефіцієнта, додається до базової суми.</w:t>
      </w:r>
    </w:p>
    <w:p w:rsidR="00B44A09" w:rsidRDefault="00B44A09"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Відповідні пом’якшуючі </w:t>
      </w:r>
      <w:proofErr w:type="spellStart"/>
      <w:r>
        <w:rPr>
          <w:rFonts w:ascii="Times New Roman" w:eastAsia="Times New Roman" w:hAnsi="Times New Roman" w:cs="Times New Roman"/>
          <w:sz w:val="27"/>
          <w:szCs w:val="27"/>
          <w:lang w:val="uk-UA"/>
        </w:rPr>
        <w:t>коеффіцієнти</w:t>
      </w:r>
      <w:proofErr w:type="spellEnd"/>
      <w:r>
        <w:rPr>
          <w:rFonts w:ascii="Times New Roman" w:eastAsia="Times New Roman" w:hAnsi="Times New Roman" w:cs="Times New Roman"/>
          <w:sz w:val="27"/>
          <w:szCs w:val="27"/>
          <w:lang w:val="uk-UA"/>
        </w:rPr>
        <w:t xml:space="preserve"> застосовуються до базової суми один за одним. Якщо можна застосувати більше одного </w:t>
      </w:r>
      <w:r w:rsidR="00F750E6">
        <w:rPr>
          <w:rFonts w:ascii="Times New Roman" w:eastAsia="Times New Roman" w:hAnsi="Times New Roman" w:cs="Times New Roman"/>
          <w:sz w:val="27"/>
          <w:szCs w:val="27"/>
          <w:lang w:val="uk-UA"/>
        </w:rPr>
        <w:t>пом’якшуючого</w:t>
      </w:r>
      <w:r>
        <w:rPr>
          <w:rFonts w:ascii="Times New Roman" w:eastAsia="Times New Roman" w:hAnsi="Times New Roman" w:cs="Times New Roman"/>
          <w:sz w:val="27"/>
          <w:szCs w:val="27"/>
          <w:lang w:val="uk-UA"/>
        </w:rPr>
        <w:t xml:space="preserve"> коефіцієнта, то </w:t>
      </w:r>
      <w:r>
        <w:rPr>
          <w:rFonts w:ascii="Times New Roman" w:eastAsia="Times New Roman" w:hAnsi="Times New Roman" w:cs="Times New Roman"/>
          <w:sz w:val="27"/>
          <w:szCs w:val="27"/>
          <w:lang w:val="uk-UA"/>
        </w:rPr>
        <w:lastRenderedPageBreak/>
        <w:t xml:space="preserve">різниця між базовою сумою та сумою, отриманою в результаті застосування кожного окремого </w:t>
      </w:r>
      <w:r w:rsidR="00F750E6">
        <w:rPr>
          <w:rFonts w:ascii="Times New Roman" w:eastAsia="Times New Roman" w:hAnsi="Times New Roman" w:cs="Times New Roman"/>
          <w:sz w:val="27"/>
          <w:szCs w:val="27"/>
          <w:lang w:val="uk-UA"/>
        </w:rPr>
        <w:t>пом’якшуючого</w:t>
      </w:r>
      <w:r>
        <w:rPr>
          <w:rFonts w:ascii="Times New Roman" w:eastAsia="Times New Roman" w:hAnsi="Times New Roman" w:cs="Times New Roman"/>
          <w:sz w:val="27"/>
          <w:szCs w:val="27"/>
          <w:lang w:val="uk-UA"/>
        </w:rPr>
        <w:t xml:space="preserve"> коефіцієнта, </w:t>
      </w:r>
      <w:r w:rsidR="00F750E6">
        <w:rPr>
          <w:rFonts w:ascii="Times New Roman" w:eastAsia="Times New Roman" w:hAnsi="Times New Roman" w:cs="Times New Roman"/>
          <w:sz w:val="27"/>
          <w:szCs w:val="27"/>
          <w:lang w:val="uk-UA"/>
        </w:rPr>
        <w:t>відніма</w:t>
      </w:r>
      <w:r>
        <w:rPr>
          <w:rFonts w:ascii="Times New Roman" w:eastAsia="Times New Roman" w:hAnsi="Times New Roman" w:cs="Times New Roman"/>
          <w:sz w:val="27"/>
          <w:szCs w:val="27"/>
          <w:lang w:val="uk-UA"/>
        </w:rPr>
        <w:t xml:space="preserve">ється </w:t>
      </w:r>
      <w:r w:rsidR="00F750E6">
        <w:rPr>
          <w:rFonts w:ascii="Times New Roman" w:eastAsia="Times New Roman" w:hAnsi="Times New Roman" w:cs="Times New Roman"/>
          <w:sz w:val="27"/>
          <w:szCs w:val="27"/>
          <w:lang w:val="uk-UA"/>
        </w:rPr>
        <w:t>від</w:t>
      </w:r>
      <w:r>
        <w:rPr>
          <w:rFonts w:ascii="Times New Roman" w:eastAsia="Times New Roman" w:hAnsi="Times New Roman" w:cs="Times New Roman"/>
          <w:sz w:val="27"/>
          <w:szCs w:val="27"/>
          <w:lang w:val="uk-UA"/>
        </w:rPr>
        <w:t xml:space="preserve"> базової суми.</w:t>
      </w:r>
    </w:p>
    <w:p w:rsidR="00F750E6"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uk-UA"/>
        </w:rPr>
        <w:t>4.</w:t>
      </w:r>
      <w:r w:rsidRPr="006279CF">
        <w:rPr>
          <w:rFonts w:ascii="Times New Roman" w:eastAsia="Times New Roman" w:hAnsi="Times New Roman" w:cs="Times New Roman"/>
          <w:sz w:val="27"/>
          <w:szCs w:val="27"/>
        </w:rPr>
        <w:t>   </w:t>
      </w:r>
      <w:r w:rsidR="00F750E6">
        <w:rPr>
          <w:rFonts w:ascii="Times New Roman" w:eastAsia="Times New Roman" w:hAnsi="Times New Roman" w:cs="Times New Roman"/>
          <w:sz w:val="27"/>
          <w:szCs w:val="27"/>
          <w:lang w:val="uk-UA"/>
        </w:rPr>
        <w:t xml:space="preserve">Незважаючи на пункти 2 і 3, сума разового штрафу не перевищує 20% річного обігу відповідного торгового </w:t>
      </w:r>
      <w:proofErr w:type="spellStart"/>
      <w:r w:rsidR="00F750E6">
        <w:rPr>
          <w:rFonts w:ascii="Times New Roman" w:eastAsia="Times New Roman" w:hAnsi="Times New Roman" w:cs="Times New Roman"/>
          <w:sz w:val="27"/>
          <w:szCs w:val="27"/>
          <w:lang w:val="uk-UA"/>
        </w:rPr>
        <w:t>репозитарія</w:t>
      </w:r>
      <w:proofErr w:type="spellEnd"/>
      <w:r w:rsidR="00F750E6">
        <w:rPr>
          <w:rFonts w:ascii="Times New Roman" w:eastAsia="Times New Roman" w:hAnsi="Times New Roman" w:cs="Times New Roman"/>
          <w:sz w:val="27"/>
          <w:szCs w:val="27"/>
          <w:lang w:val="uk-UA"/>
        </w:rPr>
        <w:t xml:space="preserve"> за попередній господарський рік, але якщо торговий </w:t>
      </w:r>
      <w:proofErr w:type="spellStart"/>
      <w:r w:rsidR="00F750E6">
        <w:rPr>
          <w:rFonts w:ascii="Times New Roman" w:eastAsia="Times New Roman" w:hAnsi="Times New Roman" w:cs="Times New Roman"/>
          <w:sz w:val="27"/>
          <w:szCs w:val="27"/>
          <w:lang w:val="uk-UA"/>
        </w:rPr>
        <w:t>репозитарій</w:t>
      </w:r>
      <w:proofErr w:type="spellEnd"/>
      <w:r w:rsidR="00F750E6">
        <w:rPr>
          <w:rFonts w:ascii="Times New Roman" w:eastAsia="Times New Roman" w:hAnsi="Times New Roman" w:cs="Times New Roman"/>
          <w:sz w:val="27"/>
          <w:szCs w:val="27"/>
          <w:lang w:val="uk-UA"/>
        </w:rPr>
        <w:t xml:space="preserve"> отримав пряму чи опосередковану </w:t>
      </w:r>
      <w:r w:rsidR="001A4C0D">
        <w:rPr>
          <w:rFonts w:ascii="Times New Roman" w:eastAsia="Times New Roman" w:hAnsi="Times New Roman" w:cs="Times New Roman"/>
          <w:sz w:val="27"/>
          <w:szCs w:val="27"/>
          <w:lang w:val="uk-UA"/>
        </w:rPr>
        <w:t>фінансову вигоду від порушення, то сума разового штрафу повинна як мінімум дорівнювати сумі цієї вигоди.</w:t>
      </w:r>
    </w:p>
    <w:p w:rsidR="00DE77B0" w:rsidRPr="00C77CB3" w:rsidRDefault="001A4C0D" w:rsidP="001A4C0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Якщо дія чи бездіяльність торгового </w:t>
      </w:r>
      <w:proofErr w:type="spellStart"/>
      <w:r>
        <w:rPr>
          <w:rFonts w:ascii="Times New Roman" w:eastAsia="Times New Roman" w:hAnsi="Times New Roman" w:cs="Times New Roman"/>
          <w:sz w:val="27"/>
          <w:szCs w:val="27"/>
          <w:lang w:val="uk-UA"/>
        </w:rPr>
        <w:t>репозитарія</w:t>
      </w:r>
      <w:proofErr w:type="spellEnd"/>
      <w:r>
        <w:rPr>
          <w:rFonts w:ascii="Times New Roman" w:eastAsia="Times New Roman" w:hAnsi="Times New Roman" w:cs="Times New Roman"/>
          <w:sz w:val="27"/>
          <w:szCs w:val="27"/>
          <w:lang w:val="uk-UA"/>
        </w:rPr>
        <w:t xml:space="preserve"> становить не одне, а декілька порушень, зазначених у Додатку І, то накладається тільки більший штраф, який розраховується відповідно до пунктів 2 і 3 та стосується одного з цих порушень.</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77CB3">
        <w:rPr>
          <w:rFonts w:ascii="Times New Roman" w:eastAsia="Times New Roman" w:hAnsi="Times New Roman" w:cs="Times New Roman"/>
          <w:i/>
          <w:iCs/>
          <w:sz w:val="27"/>
          <w:szCs w:val="27"/>
          <w:lang w:val="ru-RU"/>
        </w:rPr>
        <w:t>Стаття</w:t>
      </w:r>
      <w:proofErr w:type="spellEnd"/>
      <w:r w:rsidR="00DE77B0" w:rsidRPr="00C77CB3">
        <w:rPr>
          <w:rFonts w:ascii="Times New Roman" w:eastAsia="Times New Roman" w:hAnsi="Times New Roman" w:cs="Times New Roman"/>
          <w:i/>
          <w:iCs/>
          <w:sz w:val="27"/>
          <w:szCs w:val="27"/>
          <w:lang w:val="ru-RU"/>
        </w:rPr>
        <w:t xml:space="preserve"> 66</w:t>
      </w:r>
    </w:p>
    <w:p w:rsidR="00DE77B0" w:rsidRPr="00E573E0" w:rsidRDefault="00E573E0"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Періодичні штрафні платежі</w:t>
      </w:r>
    </w:p>
    <w:p w:rsidR="00DE77B0" w:rsidRPr="00C77CB3" w:rsidRDefault="00DE77B0" w:rsidP="00EA2240">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ESMA</w:t>
      </w:r>
      <w:r w:rsidRPr="00C77CB3">
        <w:rPr>
          <w:rFonts w:ascii="Times New Roman" w:eastAsia="Times New Roman" w:hAnsi="Times New Roman" w:cs="Times New Roman"/>
          <w:sz w:val="27"/>
          <w:szCs w:val="27"/>
          <w:lang w:val="ru-RU"/>
        </w:rPr>
        <w:t xml:space="preserve"> </w:t>
      </w:r>
      <w:r w:rsidR="00EA2240">
        <w:rPr>
          <w:rFonts w:ascii="Times New Roman" w:eastAsia="Times New Roman" w:hAnsi="Times New Roman" w:cs="Times New Roman"/>
          <w:sz w:val="27"/>
          <w:szCs w:val="27"/>
          <w:lang w:val="uk-UA"/>
        </w:rPr>
        <w:t>своїм рішенням установлює періодичні штрафні платежі з метою примусити:</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A2240" w:rsidRDefault="00EA2240" w:rsidP="00EA2240">
            <w:pPr>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торгового </w:t>
            </w:r>
            <w:proofErr w:type="spellStart"/>
            <w:r>
              <w:rPr>
                <w:rFonts w:ascii="Times New Roman" w:eastAsia="Times New Roman" w:hAnsi="Times New Roman" w:cs="Times New Roman"/>
                <w:sz w:val="27"/>
                <w:szCs w:val="27"/>
                <w:lang w:val="uk-UA"/>
              </w:rPr>
              <w:t>репозитарія</w:t>
            </w:r>
            <w:proofErr w:type="spellEnd"/>
            <w:r>
              <w:rPr>
                <w:rFonts w:ascii="Times New Roman" w:eastAsia="Times New Roman" w:hAnsi="Times New Roman" w:cs="Times New Roman"/>
                <w:sz w:val="27"/>
                <w:szCs w:val="27"/>
                <w:lang w:val="uk-UA"/>
              </w:rPr>
              <w:t xml:space="preserve"> припинити порушення відповідно до рішення, ухваленого відповідно до статті</w:t>
            </w:r>
            <w:r w:rsidR="00DE77B0" w:rsidRPr="00EA2240">
              <w:rPr>
                <w:rFonts w:ascii="Times New Roman" w:eastAsia="Times New Roman" w:hAnsi="Times New Roman" w:cs="Times New Roman"/>
                <w:sz w:val="27"/>
                <w:szCs w:val="27"/>
                <w:lang w:val="ru-RU"/>
              </w:rPr>
              <w:t xml:space="preserve"> 73(1)(</w:t>
            </w:r>
            <w:r w:rsidR="00DE77B0" w:rsidRPr="006279CF">
              <w:rPr>
                <w:rFonts w:ascii="Times New Roman" w:eastAsia="Times New Roman" w:hAnsi="Times New Roman" w:cs="Times New Roman"/>
                <w:sz w:val="27"/>
                <w:szCs w:val="27"/>
              </w:rPr>
              <w:t>a</w:t>
            </w:r>
            <w:r w:rsidR="00DE77B0" w:rsidRPr="00EA2240">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або</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812EED" w:rsidRDefault="00EA2240" w:rsidP="0018707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особу, згадану </w:t>
            </w:r>
            <w:r w:rsidR="00812EED" w:rsidRPr="00812EED">
              <w:rPr>
                <w:rFonts w:ascii="Times New Roman" w:eastAsia="Times New Roman" w:hAnsi="Times New Roman" w:cs="Times New Roman"/>
                <w:sz w:val="27"/>
                <w:szCs w:val="27"/>
                <w:lang w:val="ru-RU"/>
              </w:rPr>
              <w:t xml:space="preserve">у </w:t>
            </w:r>
            <w:proofErr w:type="spellStart"/>
            <w:r w:rsidR="00812EED" w:rsidRPr="00812EED">
              <w:rPr>
                <w:rFonts w:ascii="Times New Roman" w:eastAsia="Times New Roman" w:hAnsi="Times New Roman" w:cs="Times New Roman"/>
                <w:sz w:val="27"/>
                <w:szCs w:val="27"/>
                <w:lang w:val="ru-RU"/>
              </w:rPr>
              <w:t>статті</w:t>
            </w:r>
            <w:proofErr w:type="spellEnd"/>
            <w:r w:rsidR="00DE77B0" w:rsidRPr="00812EED">
              <w:rPr>
                <w:rFonts w:ascii="Times New Roman" w:eastAsia="Times New Roman" w:hAnsi="Times New Roman" w:cs="Times New Roman"/>
                <w:sz w:val="27"/>
                <w:szCs w:val="27"/>
                <w:lang w:val="ru-RU"/>
              </w:rPr>
              <w:t xml:space="preserve"> 61(1):</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6"/>
              <w:gridCol w:w="8538"/>
            </w:tblGrid>
            <w:tr w:rsidR="00763E3E" w:rsidRP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EA2240" w:rsidRDefault="00DE77B0" w:rsidP="00187079">
                  <w:pPr>
                    <w:spacing w:before="120" w:after="0" w:line="240" w:lineRule="auto"/>
                    <w:jc w:val="both"/>
                    <w:textAlignment w:val="baseline"/>
                    <w:rPr>
                      <w:rFonts w:ascii="Times New Roman" w:eastAsia="Times New Roman" w:hAnsi="Times New Roman" w:cs="Times New Roman"/>
                      <w:sz w:val="24"/>
                      <w:szCs w:val="24"/>
                      <w:lang w:val="ru-RU"/>
                    </w:rPr>
                  </w:pPr>
                  <w:r w:rsidRPr="00EA2240">
                    <w:rPr>
                      <w:rFonts w:ascii="Times New Roman" w:eastAsia="Times New Roman" w:hAnsi="Times New Roman" w:cs="Times New Roman"/>
                      <w:sz w:val="24"/>
                      <w:szCs w:val="24"/>
                      <w:lang w:val="ru-RU"/>
                    </w:rPr>
                    <w:t>(</w:t>
                  </w:r>
                  <w:proofErr w:type="spellStart"/>
                  <w:r w:rsidRPr="006279CF">
                    <w:rPr>
                      <w:rFonts w:ascii="Times New Roman" w:eastAsia="Times New Roman" w:hAnsi="Times New Roman" w:cs="Times New Roman"/>
                      <w:sz w:val="24"/>
                      <w:szCs w:val="24"/>
                    </w:rPr>
                    <w:t>i</w:t>
                  </w:r>
                  <w:proofErr w:type="spellEnd"/>
                  <w:r w:rsidRPr="00EA2240">
                    <w:rPr>
                      <w:rFonts w:ascii="Times New Roman" w:eastAsia="Times New Roman" w:hAnsi="Times New Roman" w:cs="Times New Roman"/>
                      <w:sz w:val="24"/>
                      <w:szCs w:val="24"/>
                      <w:lang w:val="ru-RU"/>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C77CB3" w:rsidRDefault="00EA2240" w:rsidP="00EA2240">
                  <w:pPr>
                    <w:spacing w:before="120" w:after="0" w:line="240" w:lineRule="auto"/>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надати повну інформацію, запитану рішенням відповідно до статті 61;</w:t>
                  </w:r>
                </w:p>
              </w:tc>
            </w:tr>
          </w:tbl>
          <w:p w:rsidR="00DE77B0" w:rsidRPr="006279CF" w:rsidRDefault="00DE77B0" w:rsidP="00187079">
            <w:pPr>
              <w:spacing w:after="0" w:line="240" w:lineRule="auto"/>
              <w:rPr>
                <w:rFonts w:ascii="Times New Roman" w:eastAsia="Times New Roman" w:hAnsi="Times New Roman" w:cs="Times New Roman"/>
                <w:vanish/>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25"/>
            </w:tblGrid>
            <w:tr w:rsidR="00763E3E" w:rsidRPr="006279C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EA2240" w:rsidP="00EA2240">
                  <w:pPr>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погодитися на розслідування, зокрема, надати повні документи, дані, процедури та всі інші потрібні матеріали, доповнити та виправити іншу інформацію, надану в ході розслідування, розпочатого рішенням відповідно до статті 62; або</w:t>
                  </w:r>
                </w:p>
              </w:tc>
            </w:tr>
          </w:tbl>
          <w:p w:rsidR="00DE77B0" w:rsidRPr="006279CF" w:rsidRDefault="00DE77B0" w:rsidP="00187079">
            <w:pPr>
              <w:spacing w:after="0" w:line="240" w:lineRule="auto"/>
              <w:rPr>
                <w:rFonts w:ascii="Times New Roman" w:eastAsia="Times New Roman" w:hAnsi="Times New Roman" w:cs="Times New Roman"/>
                <w:vanish/>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459"/>
            </w:tblGrid>
            <w:tr w:rsidR="00763E3E" w:rsidRP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4"/>
                      <w:szCs w:val="24"/>
                    </w:rPr>
                  </w:pPr>
                  <w:r w:rsidRPr="006279CF">
                    <w:rPr>
                      <w:rFonts w:ascii="Times New Roman" w:eastAsia="Times New Roman" w:hAnsi="Times New Roman"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77B0" w:rsidRPr="00EA2240" w:rsidRDefault="00EA2240" w:rsidP="00EA2240">
                  <w:pPr>
                    <w:spacing w:before="120" w:after="0" w:line="240" w:lineRule="auto"/>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погодитися на виїзну перевірку, призначену рішенням, ухваленим відповідно до статті 63.</w:t>
                  </w:r>
                </w:p>
              </w:tc>
            </w:tr>
          </w:tbl>
          <w:p w:rsidR="00DE77B0" w:rsidRPr="00EA2240" w:rsidRDefault="00DE77B0" w:rsidP="00187079">
            <w:pPr>
              <w:spacing w:after="0" w:line="240" w:lineRule="auto"/>
              <w:rPr>
                <w:rFonts w:ascii="Times New Roman" w:eastAsia="Times New Roman" w:hAnsi="Times New Roman" w:cs="Times New Roman"/>
                <w:sz w:val="27"/>
                <w:szCs w:val="27"/>
                <w:lang w:val="ru-RU"/>
              </w:rPr>
            </w:pPr>
          </w:p>
        </w:tc>
      </w:tr>
    </w:tbl>
    <w:p w:rsidR="00DE77B0" w:rsidRPr="00C77CB3" w:rsidRDefault="00DE77B0" w:rsidP="00A81F2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EA2240">
        <w:rPr>
          <w:rFonts w:ascii="Times New Roman" w:eastAsia="Times New Roman" w:hAnsi="Times New Roman" w:cs="Times New Roman"/>
          <w:sz w:val="27"/>
          <w:szCs w:val="27"/>
          <w:lang w:val="uk-UA"/>
        </w:rPr>
        <w:t>Періодичний штрафний платіж повинен бути ефективним і сумірним. Періодичний</w:t>
      </w:r>
      <w:r w:rsidR="00A81F29">
        <w:rPr>
          <w:rFonts w:ascii="Times New Roman" w:eastAsia="Times New Roman" w:hAnsi="Times New Roman" w:cs="Times New Roman"/>
          <w:sz w:val="27"/>
          <w:szCs w:val="27"/>
          <w:lang w:val="uk-UA"/>
        </w:rPr>
        <w:t xml:space="preserve"> штрафний платіж установлюється за кожний день затримки.</w:t>
      </w:r>
    </w:p>
    <w:p w:rsidR="00A81F29"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A81F29">
        <w:rPr>
          <w:rFonts w:ascii="Times New Roman" w:eastAsia="Times New Roman" w:hAnsi="Times New Roman" w:cs="Times New Roman"/>
          <w:sz w:val="27"/>
          <w:szCs w:val="27"/>
          <w:lang w:val="uk-UA"/>
        </w:rPr>
        <w:t>Незалежно від пункту 2, сума періодичних штрафних платежів становить 3% середньоденного обігу за попередній господарський рік або, у випадку фізичних осіб, 2% середньоденного доходу за попередній календарний рік. Платіж розраховується за період з дати, передбаченої у рішенні про встановлення періодичного штрафного платежу.</w:t>
      </w:r>
    </w:p>
    <w:p w:rsidR="00DE77B0" w:rsidRDefault="00DE77B0" w:rsidP="00E14984">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E14984">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E14984">
        <w:rPr>
          <w:rFonts w:ascii="Times New Roman" w:eastAsia="Times New Roman" w:hAnsi="Times New Roman" w:cs="Times New Roman"/>
          <w:sz w:val="27"/>
          <w:szCs w:val="27"/>
          <w:lang w:val="uk-UA"/>
        </w:rPr>
        <w:t xml:space="preserve">Періодичний штрафний платіж установлюється максимум на шестирічний період з дати повідомлення рішення </w:t>
      </w:r>
      <w:r w:rsidR="00E14984">
        <w:rPr>
          <w:rFonts w:ascii="Times New Roman" w:eastAsia="Times New Roman" w:hAnsi="Times New Roman" w:cs="Times New Roman"/>
          <w:sz w:val="27"/>
          <w:szCs w:val="27"/>
        </w:rPr>
        <w:t>ESMA</w:t>
      </w:r>
      <w:r w:rsidR="00E14984" w:rsidRPr="00E14984">
        <w:rPr>
          <w:rFonts w:ascii="Times New Roman" w:eastAsia="Times New Roman" w:hAnsi="Times New Roman" w:cs="Times New Roman"/>
          <w:sz w:val="27"/>
          <w:szCs w:val="27"/>
          <w:lang w:val="ru-RU"/>
        </w:rPr>
        <w:t>.</w:t>
      </w:r>
      <w:r w:rsidR="00E14984">
        <w:rPr>
          <w:rFonts w:ascii="Times New Roman" w:eastAsia="Times New Roman" w:hAnsi="Times New Roman" w:cs="Times New Roman"/>
          <w:sz w:val="27"/>
          <w:szCs w:val="27"/>
          <w:lang w:val="uk-UA"/>
        </w:rPr>
        <w:t xml:space="preserve"> Після закінчення цього терміну </w:t>
      </w:r>
      <w:r w:rsidR="00E14984">
        <w:rPr>
          <w:rFonts w:ascii="Times New Roman" w:eastAsia="Times New Roman" w:hAnsi="Times New Roman" w:cs="Times New Roman"/>
          <w:sz w:val="27"/>
          <w:szCs w:val="27"/>
        </w:rPr>
        <w:t>ESMA</w:t>
      </w:r>
      <w:r w:rsidR="00E14984">
        <w:rPr>
          <w:rFonts w:ascii="Times New Roman" w:eastAsia="Times New Roman" w:hAnsi="Times New Roman" w:cs="Times New Roman"/>
          <w:sz w:val="27"/>
          <w:szCs w:val="27"/>
          <w:lang w:val="uk-UA"/>
        </w:rPr>
        <w:t xml:space="preserve"> переглядає застосований захід.</w:t>
      </w:r>
    </w:p>
    <w:p w:rsidR="00E14984" w:rsidRDefault="00E14984" w:rsidP="00E14984">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C77CB3">
        <w:rPr>
          <w:rFonts w:ascii="Times New Roman" w:eastAsia="Times New Roman" w:hAnsi="Times New Roman" w:cs="Times New Roman"/>
          <w:i/>
          <w:iCs/>
          <w:sz w:val="27"/>
          <w:szCs w:val="27"/>
          <w:lang w:val="uk-UA"/>
        </w:rPr>
        <w:lastRenderedPageBreak/>
        <w:t>Стаття</w:t>
      </w:r>
      <w:r w:rsidR="00DE77B0" w:rsidRPr="00C77CB3">
        <w:rPr>
          <w:rFonts w:ascii="Times New Roman" w:eastAsia="Times New Roman" w:hAnsi="Times New Roman" w:cs="Times New Roman"/>
          <w:i/>
          <w:iCs/>
          <w:sz w:val="27"/>
          <w:szCs w:val="27"/>
          <w:lang w:val="uk-UA"/>
        </w:rPr>
        <w:t xml:space="preserve"> 67</w:t>
      </w:r>
    </w:p>
    <w:p w:rsidR="00DE77B0" w:rsidRPr="00C77CB3" w:rsidRDefault="005C605A"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Заслуховування</w:t>
      </w:r>
      <w:r w:rsidR="00250AFC">
        <w:rPr>
          <w:rFonts w:ascii="Times New Roman" w:eastAsia="Times New Roman" w:hAnsi="Times New Roman" w:cs="Times New Roman"/>
          <w:b/>
          <w:bCs/>
          <w:sz w:val="27"/>
          <w:szCs w:val="27"/>
          <w:lang w:val="uk-UA"/>
        </w:rPr>
        <w:t xml:space="preserve"> зацікавлених осіб</w:t>
      </w:r>
    </w:p>
    <w:p w:rsidR="00D43999" w:rsidRPr="005C605A"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D43999">
        <w:rPr>
          <w:rFonts w:ascii="Times New Roman" w:eastAsia="Times New Roman" w:hAnsi="Times New Roman" w:cs="Times New Roman"/>
          <w:sz w:val="27"/>
          <w:szCs w:val="27"/>
          <w:lang w:val="uk-UA"/>
        </w:rPr>
        <w:t xml:space="preserve">Перш ніж ухвалювати рішення про разовий штраф або періодичний штрафний платіж за статтями 65 і 66, </w:t>
      </w:r>
      <w:r w:rsidR="00D43999">
        <w:rPr>
          <w:rFonts w:ascii="Times New Roman" w:eastAsia="Times New Roman" w:hAnsi="Times New Roman" w:cs="Times New Roman"/>
          <w:sz w:val="27"/>
          <w:szCs w:val="27"/>
        </w:rPr>
        <w:t>ESMA</w:t>
      </w:r>
      <w:r w:rsidR="00D43999">
        <w:rPr>
          <w:rFonts w:ascii="Times New Roman" w:eastAsia="Times New Roman" w:hAnsi="Times New Roman" w:cs="Times New Roman"/>
          <w:sz w:val="27"/>
          <w:szCs w:val="27"/>
          <w:lang w:val="uk-UA"/>
        </w:rPr>
        <w:t xml:space="preserve"> надає особам, стосовно яких здійснюється провадження, </w:t>
      </w:r>
      <w:r w:rsidR="005C605A">
        <w:rPr>
          <w:rFonts w:ascii="Times New Roman" w:eastAsia="Times New Roman" w:hAnsi="Times New Roman" w:cs="Times New Roman"/>
          <w:sz w:val="27"/>
          <w:szCs w:val="27"/>
          <w:lang w:val="uk-UA"/>
        </w:rPr>
        <w:t xml:space="preserve">можливість висловити свою думку щодо її висновків. </w:t>
      </w:r>
      <w:r w:rsidR="005C605A">
        <w:rPr>
          <w:rFonts w:ascii="Times New Roman" w:eastAsia="Times New Roman" w:hAnsi="Times New Roman" w:cs="Times New Roman"/>
          <w:sz w:val="27"/>
          <w:szCs w:val="27"/>
        </w:rPr>
        <w:t>ESMA</w:t>
      </w:r>
      <w:r w:rsidR="005C605A">
        <w:rPr>
          <w:rFonts w:ascii="Times New Roman" w:eastAsia="Times New Roman" w:hAnsi="Times New Roman" w:cs="Times New Roman"/>
          <w:sz w:val="27"/>
          <w:szCs w:val="27"/>
          <w:lang w:val="uk-UA"/>
        </w:rPr>
        <w:t xml:space="preserve"> основ</w:t>
      </w:r>
      <w:r w:rsidR="00441659">
        <w:rPr>
          <w:rFonts w:ascii="Times New Roman" w:eastAsia="Times New Roman" w:hAnsi="Times New Roman" w:cs="Times New Roman"/>
          <w:sz w:val="27"/>
          <w:szCs w:val="27"/>
          <w:lang w:val="uk-UA"/>
        </w:rPr>
        <w:t>ує свої рішення лише на тих висновках, щодо яких особи, стосовно яких здійснюється провадження, мали можливість надати коментарі.</w:t>
      </w:r>
    </w:p>
    <w:p w:rsidR="0007454F" w:rsidRPr="0007454F" w:rsidRDefault="00DE77B0" w:rsidP="0007454F">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441659">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441659">
        <w:rPr>
          <w:rFonts w:ascii="Times New Roman" w:eastAsia="Times New Roman" w:hAnsi="Times New Roman" w:cs="Times New Roman"/>
          <w:sz w:val="27"/>
          <w:szCs w:val="27"/>
          <w:lang w:val="uk-UA"/>
        </w:rPr>
        <w:t xml:space="preserve">Права осіб, стосовно яких здійснюється провадження, повністю дотримується в ході провадження. Вони мають право </w:t>
      </w:r>
      <w:r w:rsidR="0007454F">
        <w:rPr>
          <w:rFonts w:ascii="Times New Roman" w:eastAsia="Times New Roman" w:hAnsi="Times New Roman" w:cs="Times New Roman"/>
          <w:sz w:val="27"/>
          <w:szCs w:val="27"/>
          <w:lang w:val="uk-UA"/>
        </w:rPr>
        <w:t xml:space="preserve">на доступ до досьє з урахуванням законної зацікавленості інших осіб в охороні їхніх комерційних таємниць. Право на доступ до досьє не поширюється на конфіденційну інформацію і на внутрішні підготовчі документи </w:t>
      </w:r>
      <w:r w:rsidR="0007454F">
        <w:rPr>
          <w:rFonts w:ascii="Times New Roman" w:eastAsia="Times New Roman" w:hAnsi="Times New Roman" w:cs="Times New Roman"/>
          <w:sz w:val="27"/>
          <w:szCs w:val="27"/>
        </w:rPr>
        <w:t>ESMA</w:t>
      </w:r>
      <w:r w:rsidR="0007454F">
        <w:rPr>
          <w:rFonts w:ascii="Times New Roman" w:eastAsia="Times New Roman" w:hAnsi="Times New Roman" w:cs="Times New Roman"/>
          <w:sz w:val="27"/>
          <w:szCs w:val="27"/>
          <w:lang w:val="ru-RU"/>
        </w:rPr>
        <w:t>.</w:t>
      </w:r>
    </w:p>
    <w:p w:rsidR="00DE77B0" w:rsidRPr="0007454F"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07454F">
        <w:rPr>
          <w:rFonts w:ascii="Times New Roman" w:eastAsia="Times New Roman" w:hAnsi="Times New Roman" w:cs="Times New Roman"/>
          <w:i/>
          <w:iCs/>
          <w:sz w:val="27"/>
          <w:szCs w:val="27"/>
          <w:lang w:val="ru-RU"/>
        </w:rPr>
        <w:t>Стаття</w:t>
      </w:r>
      <w:proofErr w:type="spellEnd"/>
      <w:r w:rsidR="00DE77B0" w:rsidRPr="0007454F">
        <w:rPr>
          <w:rFonts w:ascii="Times New Roman" w:eastAsia="Times New Roman" w:hAnsi="Times New Roman" w:cs="Times New Roman"/>
          <w:i/>
          <w:iCs/>
          <w:sz w:val="27"/>
          <w:szCs w:val="27"/>
          <w:lang w:val="ru-RU"/>
        </w:rPr>
        <w:t xml:space="preserve"> 68</w:t>
      </w:r>
    </w:p>
    <w:p w:rsidR="00DE77B0" w:rsidRPr="00B53514" w:rsidRDefault="00B53514" w:rsidP="0007454F">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Оприлюднення</w:t>
      </w:r>
      <w:r w:rsidR="0007454F">
        <w:rPr>
          <w:rFonts w:ascii="Times New Roman" w:eastAsia="Times New Roman" w:hAnsi="Times New Roman" w:cs="Times New Roman"/>
          <w:b/>
          <w:bCs/>
          <w:sz w:val="27"/>
          <w:szCs w:val="27"/>
          <w:lang w:val="uk-UA"/>
        </w:rPr>
        <w:t>, характер, забезпечення стягування і розподіл разових штрафів та періодичних штрафних платежів</w:t>
      </w:r>
    </w:p>
    <w:p w:rsidR="00DE77B0" w:rsidRPr="00B53514" w:rsidRDefault="00DE77B0" w:rsidP="00B5351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B53514">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ESMA</w:t>
      </w:r>
      <w:r w:rsidRPr="00C77CB3">
        <w:rPr>
          <w:rFonts w:ascii="Times New Roman" w:eastAsia="Times New Roman" w:hAnsi="Times New Roman" w:cs="Times New Roman"/>
          <w:sz w:val="27"/>
          <w:szCs w:val="27"/>
          <w:lang w:val="ru-RU"/>
        </w:rPr>
        <w:t xml:space="preserve"> </w:t>
      </w:r>
      <w:r w:rsidR="00B53514">
        <w:rPr>
          <w:rFonts w:ascii="Times New Roman" w:eastAsia="Times New Roman" w:hAnsi="Times New Roman" w:cs="Times New Roman"/>
          <w:sz w:val="27"/>
          <w:szCs w:val="27"/>
          <w:lang w:val="uk-UA"/>
        </w:rPr>
        <w:t xml:space="preserve">оприлюднює інформацію про кожний разовий штраф і періодичний штрафний платіж, накладений на виконання статей 65 і 66, якщо таке оприлюднення не спричинить серйозної загрози для фінансових ринків і не </w:t>
      </w:r>
      <w:proofErr w:type="spellStart"/>
      <w:r w:rsidR="00B53514">
        <w:rPr>
          <w:rFonts w:ascii="Times New Roman" w:eastAsia="Times New Roman" w:hAnsi="Times New Roman" w:cs="Times New Roman"/>
          <w:sz w:val="27"/>
          <w:szCs w:val="27"/>
          <w:lang w:val="uk-UA"/>
        </w:rPr>
        <w:t>завдасть</w:t>
      </w:r>
      <w:proofErr w:type="spellEnd"/>
      <w:r w:rsidR="00B53514">
        <w:rPr>
          <w:rFonts w:ascii="Times New Roman" w:eastAsia="Times New Roman" w:hAnsi="Times New Roman" w:cs="Times New Roman"/>
          <w:sz w:val="27"/>
          <w:szCs w:val="27"/>
          <w:lang w:val="uk-UA"/>
        </w:rPr>
        <w:t xml:space="preserve"> несумірної шкоди зацікавленим сторонам. Інформація, що оприлюднюється таким чином, не містить персональних даних у значенні, передбаченому Регламентом (ЕС) №</w:t>
      </w:r>
      <w:r w:rsidR="00B53514" w:rsidRPr="00B53514">
        <w:rPr>
          <w:rFonts w:ascii="Times New Roman" w:eastAsia="Times New Roman" w:hAnsi="Times New Roman" w:cs="Times New Roman"/>
          <w:sz w:val="27"/>
          <w:szCs w:val="27"/>
          <w:lang w:val="ru-RU"/>
        </w:rPr>
        <w:t xml:space="preserve"> </w:t>
      </w:r>
      <w:r w:rsidRPr="00B53514">
        <w:rPr>
          <w:rFonts w:ascii="Times New Roman" w:eastAsia="Times New Roman" w:hAnsi="Times New Roman" w:cs="Times New Roman"/>
          <w:sz w:val="27"/>
          <w:szCs w:val="27"/>
          <w:lang w:val="ru-RU"/>
        </w:rPr>
        <w:t>45/2001.</w:t>
      </w:r>
    </w:p>
    <w:p w:rsidR="00DE77B0" w:rsidRPr="00C77CB3" w:rsidRDefault="00DE77B0" w:rsidP="00B5351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B53514">
        <w:rPr>
          <w:rFonts w:ascii="Times New Roman" w:eastAsia="Times New Roman" w:hAnsi="Times New Roman" w:cs="Times New Roman"/>
          <w:sz w:val="27"/>
          <w:szCs w:val="27"/>
          <w:lang w:val="uk-UA"/>
        </w:rPr>
        <w:t>Разові штрафи та періодичні штрафні платежі, накладені на виконання статей 65 і 66, мають адміністративний характер.</w:t>
      </w:r>
    </w:p>
    <w:p w:rsidR="00DE77B0" w:rsidRPr="00C77CB3" w:rsidRDefault="00DE77B0" w:rsidP="00B5351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B53514">
        <w:rPr>
          <w:rFonts w:ascii="Times New Roman" w:eastAsia="Times New Roman" w:hAnsi="Times New Roman" w:cs="Times New Roman"/>
          <w:sz w:val="27"/>
          <w:szCs w:val="27"/>
          <w:lang w:val="uk-UA"/>
        </w:rPr>
        <w:t xml:space="preserve">Якщо </w:t>
      </w:r>
      <w:r w:rsidR="00B53514">
        <w:rPr>
          <w:rFonts w:ascii="Times New Roman" w:eastAsia="Times New Roman" w:hAnsi="Times New Roman" w:cs="Times New Roman"/>
          <w:sz w:val="27"/>
          <w:szCs w:val="27"/>
        </w:rPr>
        <w:t>ESMA</w:t>
      </w:r>
      <w:r w:rsidR="00B53514">
        <w:rPr>
          <w:rFonts w:ascii="Times New Roman" w:eastAsia="Times New Roman" w:hAnsi="Times New Roman" w:cs="Times New Roman"/>
          <w:sz w:val="27"/>
          <w:szCs w:val="27"/>
          <w:lang w:val="uk-UA"/>
        </w:rPr>
        <w:t xml:space="preserve"> вирішила не накладати разові штрафи або періодичні штрафні платежі, вона відповідним чином інформує Європейський Парламент, Раду, Комісію та компетентні органи зацікавленої держави-члена Союзу, викладаючи при цьому підстави свого рішення.</w:t>
      </w:r>
    </w:p>
    <w:p w:rsidR="00B53514"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B53514">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B53514">
        <w:rPr>
          <w:rFonts w:ascii="Times New Roman" w:eastAsia="Times New Roman" w:hAnsi="Times New Roman" w:cs="Times New Roman"/>
          <w:sz w:val="27"/>
          <w:szCs w:val="27"/>
          <w:lang w:val="uk-UA"/>
        </w:rPr>
        <w:t>Разові штрафи та періодичні штрафні платежі, накладені на виконання статей 65 і 66, можуть стягуватися у судовому порядку.</w:t>
      </w:r>
    </w:p>
    <w:p w:rsidR="00DE77B0" w:rsidRPr="00C77CB3" w:rsidRDefault="00B53514" w:rsidP="00524F6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Забезпечення стягування регулюється </w:t>
      </w:r>
      <w:r w:rsidR="00B83669">
        <w:rPr>
          <w:rFonts w:ascii="Times New Roman" w:eastAsia="Times New Roman" w:hAnsi="Times New Roman" w:cs="Times New Roman"/>
          <w:sz w:val="27"/>
          <w:szCs w:val="27"/>
          <w:lang w:val="uk-UA"/>
        </w:rPr>
        <w:t xml:space="preserve">нормами цивільного процесуального законодавства, чинними у державі, на території якої воно здійснюється. Наказ про забезпечення стягування додається до рішення без будь-яких інших формальностей, </w:t>
      </w:r>
      <w:r w:rsidR="00524F69">
        <w:rPr>
          <w:rFonts w:ascii="Times New Roman" w:eastAsia="Times New Roman" w:hAnsi="Times New Roman" w:cs="Times New Roman"/>
          <w:sz w:val="27"/>
          <w:szCs w:val="27"/>
          <w:lang w:val="uk-UA"/>
        </w:rPr>
        <w:t>крім</w:t>
      </w:r>
      <w:r w:rsidR="00B83669">
        <w:rPr>
          <w:rFonts w:ascii="Times New Roman" w:eastAsia="Times New Roman" w:hAnsi="Times New Roman" w:cs="Times New Roman"/>
          <w:sz w:val="27"/>
          <w:szCs w:val="27"/>
          <w:lang w:val="uk-UA"/>
        </w:rPr>
        <w:t xml:space="preserve"> перевірк</w:t>
      </w:r>
      <w:r w:rsidR="00524F69">
        <w:rPr>
          <w:rFonts w:ascii="Times New Roman" w:eastAsia="Times New Roman" w:hAnsi="Times New Roman" w:cs="Times New Roman"/>
          <w:sz w:val="27"/>
          <w:szCs w:val="27"/>
          <w:lang w:val="uk-UA"/>
        </w:rPr>
        <w:t>и</w:t>
      </w:r>
      <w:r w:rsidR="00B83669">
        <w:rPr>
          <w:rFonts w:ascii="Times New Roman" w:eastAsia="Times New Roman" w:hAnsi="Times New Roman" w:cs="Times New Roman"/>
          <w:sz w:val="27"/>
          <w:szCs w:val="27"/>
          <w:lang w:val="uk-UA"/>
        </w:rPr>
        <w:t xml:space="preserve"> автентичності </w:t>
      </w:r>
      <w:r w:rsidR="00524F69">
        <w:rPr>
          <w:rFonts w:ascii="Times New Roman" w:eastAsia="Times New Roman" w:hAnsi="Times New Roman" w:cs="Times New Roman"/>
          <w:sz w:val="27"/>
          <w:szCs w:val="27"/>
          <w:lang w:val="uk-UA"/>
        </w:rPr>
        <w:t xml:space="preserve">рішення органом, який кожна держава-член Союзу призначає з цією метою і надає інформацію про нього </w:t>
      </w:r>
      <w:r w:rsidR="00524F69">
        <w:rPr>
          <w:rFonts w:ascii="Times New Roman" w:eastAsia="Times New Roman" w:hAnsi="Times New Roman" w:cs="Times New Roman"/>
          <w:sz w:val="27"/>
          <w:szCs w:val="27"/>
        </w:rPr>
        <w:t>ESMA</w:t>
      </w:r>
      <w:r w:rsidR="00524F69">
        <w:rPr>
          <w:rFonts w:ascii="Times New Roman" w:eastAsia="Times New Roman" w:hAnsi="Times New Roman" w:cs="Times New Roman"/>
          <w:sz w:val="27"/>
          <w:szCs w:val="27"/>
          <w:lang w:val="uk-UA"/>
        </w:rPr>
        <w:t xml:space="preserve"> та Суду ЄС.</w:t>
      </w:r>
    </w:p>
    <w:p w:rsidR="00524F69" w:rsidRDefault="00CF6DE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lastRenderedPageBreak/>
        <w:t>Якщо ці формальності виконані за заявою зацікавленої сторони, ця сторона може перейти до забезпечення стягування відповідно до національного законодавства, передав питання безпосередньо компетентному органові.</w:t>
      </w:r>
    </w:p>
    <w:p w:rsidR="00DE77B0" w:rsidRPr="00C77CB3" w:rsidRDefault="00CF6DE0" w:rsidP="006C144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Забезпечення стягування може бути призупинено тільки за рішенням Суду ЄС. Проте, </w:t>
      </w:r>
      <w:r w:rsidR="0019003F">
        <w:rPr>
          <w:rFonts w:ascii="Times New Roman" w:eastAsia="Times New Roman" w:hAnsi="Times New Roman" w:cs="Times New Roman"/>
          <w:sz w:val="27"/>
          <w:szCs w:val="27"/>
          <w:lang w:val="uk-UA"/>
        </w:rPr>
        <w:t>юрисдикція судів</w:t>
      </w:r>
      <w:r>
        <w:rPr>
          <w:rFonts w:ascii="Times New Roman" w:eastAsia="Times New Roman" w:hAnsi="Times New Roman" w:cs="Times New Roman"/>
          <w:sz w:val="27"/>
          <w:szCs w:val="27"/>
          <w:lang w:val="uk-UA"/>
        </w:rPr>
        <w:t xml:space="preserve"> зацікавленої держави-члена Союзу</w:t>
      </w:r>
      <w:r w:rsidR="0019003F">
        <w:rPr>
          <w:rFonts w:ascii="Times New Roman" w:eastAsia="Times New Roman" w:hAnsi="Times New Roman" w:cs="Times New Roman"/>
          <w:sz w:val="27"/>
          <w:szCs w:val="27"/>
          <w:lang w:val="uk-UA"/>
        </w:rPr>
        <w:t xml:space="preserve"> поширюється на скарги на забезпечення стягування з порушеннями.</w:t>
      </w:r>
    </w:p>
    <w:p w:rsidR="00DE77B0" w:rsidRPr="00C77CB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C144D">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6C144D">
        <w:rPr>
          <w:rFonts w:ascii="Times New Roman" w:eastAsia="Times New Roman" w:hAnsi="Times New Roman" w:cs="Times New Roman"/>
          <w:sz w:val="27"/>
          <w:szCs w:val="27"/>
          <w:lang w:val="uk-UA"/>
        </w:rPr>
        <w:t>Суми разових штрафів і періодичних штрафних платежів перераховуються до загального бюджету Європейського Союзу.</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77CB3">
        <w:rPr>
          <w:rFonts w:ascii="Times New Roman" w:eastAsia="Times New Roman" w:hAnsi="Times New Roman" w:cs="Times New Roman"/>
          <w:i/>
          <w:iCs/>
          <w:sz w:val="27"/>
          <w:szCs w:val="27"/>
          <w:lang w:val="ru-RU"/>
        </w:rPr>
        <w:t>Стаття</w:t>
      </w:r>
      <w:proofErr w:type="spellEnd"/>
      <w:r w:rsidR="00DE77B0" w:rsidRPr="00C77CB3">
        <w:rPr>
          <w:rFonts w:ascii="Times New Roman" w:eastAsia="Times New Roman" w:hAnsi="Times New Roman" w:cs="Times New Roman"/>
          <w:i/>
          <w:iCs/>
          <w:sz w:val="27"/>
          <w:szCs w:val="27"/>
          <w:lang w:val="ru-RU"/>
        </w:rPr>
        <w:t xml:space="preserve"> 69</w:t>
      </w:r>
    </w:p>
    <w:p w:rsidR="00DE77B0" w:rsidRPr="00250AFC" w:rsidRDefault="00250AFC"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Перегляд Судом ЄС</w:t>
      </w:r>
    </w:p>
    <w:p w:rsidR="00DE77B0" w:rsidRPr="006C144D" w:rsidRDefault="006C144D" w:rsidP="006C144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Суд ЄС має необмежену юрисдикцію щодо перегляду рішень, якими </w:t>
      </w:r>
      <w:r>
        <w:rPr>
          <w:rFonts w:ascii="Times New Roman" w:eastAsia="Times New Roman" w:hAnsi="Times New Roman" w:cs="Times New Roman"/>
          <w:sz w:val="27"/>
          <w:szCs w:val="27"/>
        </w:rPr>
        <w:t>ESMA</w:t>
      </w:r>
      <w:r w:rsidRPr="006C144D">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наклала разовий штраф або встановила періодичний штрафний платіж. Суд ЄС може скасувати, зменшити або збільшити накладений разовий штраф або встановлений періодичний штрафний платіж.</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77CB3">
        <w:rPr>
          <w:rFonts w:ascii="Times New Roman" w:eastAsia="Times New Roman" w:hAnsi="Times New Roman" w:cs="Times New Roman"/>
          <w:i/>
          <w:iCs/>
          <w:sz w:val="27"/>
          <w:szCs w:val="27"/>
          <w:lang w:val="ru-RU"/>
        </w:rPr>
        <w:t>Стаття</w:t>
      </w:r>
      <w:proofErr w:type="spellEnd"/>
      <w:r w:rsidR="00DE77B0" w:rsidRPr="00C77CB3">
        <w:rPr>
          <w:rFonts w:ascii="Times New Roman" w:eastAsia="Times New Roman" w:hAnsi="Times New Roman" w:cs="Times New Roman"/>
          <w:i/>
          <w:iCs/>
          <w:sz w:val="27"/>
          <w:szCs w:val="27"/>
          <w:lang w:val="ru-RU"/>
        </w:rPr>
        <w:t xml:space="preserve"> 70</w:t>
      </w:r>
    </w:p>
    <w:p w:rsidR="00DE77B0" w:rsidRPr="00C77CB3" w:rsidRDefault="00642CC1"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Зміни до Додатку ІІ</w:t>
      </w:r>
    </w:p>
    <w:p w:rsidR="00DE77B0" w:rsidRPr="00C77CB3" w:rsidRDefault="006C144D" w:rsidP="006C144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Для того, щоб урахувати події на фінансових ринках, Комісія уповноважена приймати делеговані акти</w:t>
      </w:r>
      <w:r w:rsidR="00DE77B0" w:rsidRPr="00C77CB3">
        <w:rPr>
          <w:rFonts w:ascii="Times New Roman" w:eastAsia="Times New Roman" w:hAnsi="Times New Roman" w:cs="Times New Roman"/>
          <w:sz w:val="27"/>
          <w:szCs w:val="27"/>
          <w:lang w:val="ru-RU"/>
        </w:rPr>
        <w:t xml:space="preserve"> </w:t>
      </w:r>
      <w:proofErr w:type="spellStart"/>
      <w:r w:rsidR="001842E4" w:rsidRPr="00C77CB3">
        <w:rPr>
          <w:rFonts w:ascii="Times New Roman" w:eastAsia="Times New Roman" w:hAnsi="Times New Roman" w:cs="Times New Roman"/>
          <w:sz w:val="27"/>
          <w:szCs w:val="27"/>
          <w:lang w:val="ru-RU"/>
        </w:rPr>
        <w:t>відповідно</w:t>
      </w:r>
      <w:proofErr w:type="spellEnd"/>
      <w:r w:rsidR="001842E4" w:rsidRPr="00C77CB3">
        <w:rPr>
          <w:rFonts w:ascii="Times New Roman" w:eastAsia="Times New Roman" w:hAnsi="Times New Roman" w:cs="Times New Roman"/>
          <w:sz w:val="27"/>
          <w:szCs w:val="27"/>
          <w:lang w:val="ru-RU"/>
        </w:rPr>
        <w:t xml:space="preserve"> до </w:t>
      </w:r>
      <w:proofErr w:type="spellStart"/>
      <w:r w:rsidR="001842E4" w:rsidRPr="00C77CB3">
        <w:rPr>
          <w:rFonts w:ascii="Times New Roman" w:eastAsia="Times New Roman" w:hAnsi="Times New Roman" w:cs="Times New Roman"/>
          <w:sz w:val="27"/>
          <w:szCs w:val="27"/>
          <w:lang w:val="ru-RU"/>
        </w:rPr>
        <w:t>статті</w:t>
      </w:r>
      <w:proofErr w:type="spellEnd"/>
      <w:r w:rsidR="00DE77B0" w:rsidRPr="00C77CB3">
        <w:rPr>
          <w:rFonts w:ascii="Times New Roman" w:eastAsia="Times New Roman" w:hAnsi="Times New Roman" w:cs="Times New Roman"/>
          <w:sz w:val="27"/>
          <w:szCs w:val="27"/>
          <w:lang w:val="ru-RU"/>
        </w:rPr>
        <w:t xml:space="preserve"> 82 </w:t>
      </w:r>
      <w:r>
        <w:rPr>
          <w:rFonts w:ascii="Times New Roman" w:eastAsia="Times New Roman" w:hAnsi="Times New Roman" w:cs="Times New Roman"/>
          <w:sz w:val="27"/>
          <w:szCs w:val="27"/>
          <w:lang w:val="uk-UA"/>
        </w:rPr>
        <w:t>стосовно заходів для внесення змін до Додатку ІІ.</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77CB3">
        <w:rPr>
          <w:rFonts w:ascii="Times New Roman" w:eastAsia="Times New Roman" w:hAnsi="Times New Roman" w:cs="Times New Roman"/>
          <w:i/>
          <w:iCs/>
          <w:sz w:val="27"/>
          <w:szCs w:val="27"/>
          <w:lang w:val="ru-RU"/>
        </w:rPr>
        <w:t>Стаття</w:t>
      </w:r>
      <w:proofErr w:type="spellEnd"/>
      <w:r w:rsidR="00DE77B0" w:rsidRPr="00C77CB3">
        <w:rPr>
          <w:rFonts w:ascii="Times New Roman" w:eastAsia="Times New Roman" w:hAnsi="Times New Roman" w:cs="Times New Roman"/>
          <w:i/>
          <w:iCs/>
          <w:sz w:val="27"/>
          <w:szCs w:val="27"/>
          <w:lang w:val="ru-RU"/>
        </w:rPr>
        <w:t xml:space="preserve"> 71</w:t>
      </w:r>
    </w:p>
    <w:p w:rsidR="00DE77B0" w:rsidRPr="00C77CB3" w:rsidRDefault="00231503"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Скасування</w:t>
      </w:r>
      <w:r w:rsidR="00642CC1">
        <w:rPr>
          <w:rFonts w:ascii="Times New Roman" w:eastAsia="Times New Roman" w:hAnsi="Times New Roman" w:cs="Times New Roman"/>
          <w:b/>
          <w:bCs/>
          <w:sz w:val="27"/>
          <w:szCs w:val="27"/>
          <w:lang w:val="uk-UA"/>
        </w:rPr>
        <w:t xml:space="preserve"> реєстрації</w:t>
      </w:r>
    </w:p>
    <w:p w:rsidR="00DE77B0" w:rsidRPr="00C77CB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23150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231503">
        <w:rPr>
          <w:rFonts w:ascii="Times New Roman" w:eastAsia="Times New Roman" w:hAnsi="Times New Roman" w:cs="Times New Roman"/>
          <w:sz w:val="27"/>
          <w:szCs w:val="27"/>
          <w:lang w:val="uk-UA"/>
        </w:rPr>
        <w:t xml:space="preserve">Без шкоди для виконання статті 73 </w:t>
      </w:r>
      <w:r w:rsidR="00231503">
        <w:rPr>
          <w:rFonts w:ascii="Times New Roman" w:eastAsia="Times New Roman" w:hAnsi="Times New Roman" w:cs="Times New Roman"/>
          <w:sz w:val="27"/>
          <w:szCs w:val="27"/>
        </w:rPr>
        <w:t>ESMA</w:t>
      </w:r>
      <w:r w:rsidR="00231503">
        <w:rPr>
          <w:rFonts w:ascii="Times New Roman" w:eastAsia="Times New Roman" w:hAnsi="Times New Roman" w:cs="Times New Roman"/>
          <w:sz w:val="27"/>
          <w:szCs w:val="27"/>
          <w:lang w:val="uk-UA"/>
        </w:rPr>
        <w:t xml:space="preserve"> скасовує реєстрації торгового </w:t>
      </w:r>
      <w:proofErr w:type="spellStart"/>
      <w:r w:rsidR="00231503">
        <w:rPr>
          <w:rFonts w:ascii="Times New Roman" w:eastAsia="Times New Roman" w:hAnsi="Times New Roman" w:cs="Times New Roman"/>
          <w:sz w:val="27"/>
          <w:szCs w:val="27"/>
          <w:lang w:val="uk-UA"/>
        </w:rPr>
        <w:t>репозитарія</w:t>
      </w:r>
      <w:proofErr w:type="spellEnd"/>
      <w:r w:rsidR="00231503">
        <w:rPr>
          <w:rFonts w:ascii="Times New Roman" w:eastAsia="Times New Roman" w:hAnsi="Times New Roman" w:cs="Times New Roman"/>
          <w:sz w:val="27"/>
          <w:szCs w:val="27"/>
          <w:lang w:val="uk-UA"/>
        </w:rPr>
        <w:t xml:space="preserve">, якщо цей торговий </w:t>
      </w:r>
      <w:proofErr w:type="spellStart"/>
      <w:r w:rsidR="00231503">
        <w:rPr>
          <w:rFonts w:ascii="Times New Roman" w:eastAsia="Times New Roman" w:hAnsi="Times New Roman" w:cs="Times New Roman"/>
          <w:sz w:val="27"/>
          <w:szCs w:val="27"/>
          <w:lang w:val="uk-UA"/>
        </w:rPr>
        <w:t>репозитарій</w:t>
      </w:r>
      <w:proofErr w:type="spellEnd"/>
      <w:r w:rsidR="00231503">
        <w:rPr>
          <w:rFonts w:ascii="Times New Roman" w:eastAsia="Times New Roman" w:hAnsi="Times New Roman" w:cs="Times New Roman"/>
          <w:sz w:val="27"/>
          <w:szCs w:val="27"/>
          <w:lang w:val="uk-UA"/>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77CB3" w:rsidRDefault="003C26AA" w:rsidP="00605C5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прямо відмовився від реєстрації </w:t>
            </w:r>
            <w:r w:rsidR="00605C59">
              <w:rPr>
                <w:rFonts w:ascii="Times New Roman" w:eastAsia="Times New Roman" w:hAnsi="Times New Roman" w:cs="Times New Roman"/>
                <w:sz w:val="27"/>
                <w:szCs w:val="27"/>
                <w:lang w:val="uk-UA"/>
              </w:rPr>
              <w:t>або не надавав послуг упродовж попередніх шести місяців;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05C59" w:rsidRDefault="00605C59" w:rsidP="00605C5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отримав реєстрацію за допомогою неправдивих заяв або іншими незаконними засобами;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6"/>
        <w:gridCol w:w="8979"/>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05C59" w:rsidRDefault="00605C59" w:rsidP="00605C5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більше не дотримується умов, на яких його було зареєстровано.</w:t>
            </w:r>
          </w:p>
        </w:tc>
      </w:tr>
    </w:tbl>
    <w:p w:rsidR="00291BB9" w:rsidRPr="00291BB9"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ESMA</w:t>
      </w:r>
      <w:r w:rsidRPr="00291BB9">
        <w:rPr>
          <w:rFonts w:ascii="Times New Roman" w:eastAsia="Times New Roman" w:hAnsi="Times New Roman" w:cs="Times New Roman"/>
          <w:sz w:val="27"/>
          <w:szCs w:val="27"/>
          <w:lang w:val="ru-RU"/>
        </w:rPr>
        <w:t xml:space="preserve"> </w:t>
      </w:r>
      <w:r w:rsidR="00291BB9">
        <w:rPr>
          <w:rFonts w:ascii="Times New Roman" w:eastAsia="Times New Roman" w:hAnsi="Times New Roman" w:cs="Times New Roman"/>
          <w:sz w:val="27"/>
          <w:szCs w:val="27"/>
          <w:lang w:val="uk-UA"/>
        </w:rPr>
        <w:t xml:space="preserve">без необґрунтованої затримки повідомляє компетентному органові, згаданому у статті 57(1), про рішення скасувати реєстрацію торгового </w:t>
      </w:r>
      <w:proofErr w:type="spellStart"/>
      <w:r w:rsidR="00291BB9">
        <w:rPr>
          <w:rFonts w:ascii="Times New Roman" w:eastAsia="Times New Roman" w:hAnsi="Times New Roman" w:cs="Times New Roman"/>
          <w:sz w:val="27"/>
          <w:szCs w:val="27"/>
          <w:lang w:val="uk-UA"/>
        </w:rPr>
        <w:t>репозитарія</w:t>
      </w:r>
      <w:proofErr w:type="spellEnd"/>
      <w:r w:rsidR="00291BB9">
        <w:rPr>
          <w:rFonts w:ascii="Times New Roman" w:eastAsia="Times New Roman" w:hAnsi="Times New Roman" w:cs="Times New Roman"/>
          <w:sz w:val="27"/>
          <w:szCs w:val="27"/>
          <w:lang w:val="uk-UA"/>
        </w:rPr>
        <w:t>.</w:t>
      </w:r>
    </w:p>
    <w:p w:rsidR="00415C37" w:rsidRPr="00415C37"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uk-UA"/>
        </w:rPr>
        <w:lastRenderedPageBreak/>
        <w:t>3.</w:t>
      </w:r>
      <w:r w:rsidRPr="006279CF">
        <w:rPr>
          <w:rFonts w:ascii="Times New Roman" w:eastAsia="Times New Roman" w:hAnsi="Times New Roman" w:cs="Times New Roman"/>
          <w:sz w:val="27"/>
          <w:szCs w:val="27"/>
        </w:rPr>
        <w:t>   </w:t>
      </w:r>
      <w:r w:rsidR="00812EED" w:rsidRPr="00C77CB3">
        <w:rPr>
          <w:rFonts w:ascii="Times New Roman" w:eastAsia="Times New Roman" w:hAnsi="Times New Roman" w:cs="Times New Roman"/>
          <w:sz w:val="27"/>
          <w:szCs w:val="27"/>
          <w:lang w:val="uk-UA"/>
        </w:rPr>
        <w:t>Компетентний орган</w:t>
      </w:r>
      <w:r w:rsidRPr="00C77CB3">
        <w:rPr>
          <w:rFonts w:ascii="Times New Roman" w:eastAsia="Times New Roman" w:hAnsi="Times New Roman" w:cs="Times New Roman"/>
          <w:sz w:val="27"/>
          <w:szCs w:val="27"/>
          <w:lang w:val="uk-UA"/>
        </w:rPr>
        <w:t xml:space="preserve"> </w:t>
      </w:r>
      <w:r w:rsidR="00415C37">
        <w:rPr>
          <w:rFonts w:ascii="Times New Roman" w:eastAsia="Times New Roman" w:hAnsi="Times New Roman" w:cs="Times New Roman"/>
          <w:sz w:val="27"/>
          <w:szCs w:val="27"/>
          <w:lang w:val="uk-UA"/>
        </w:rPr>
        <w:t xml:space="preserve">держави-члена Союзу, в якій даний торговий </w:t>
      </w:r>
      <w:proofErr w:type="spellStart"/>
      <w:r w:rsidR="00415C37">
        <w:rPr>
          <w:rFonts w:ascii="Times New Roman" w:eastAsia="Times New Roman" w:hAnsi="Times New Roman" w:cs="Times New Roman"/>
          <w:sz w:val="27"/>
          <w:szCs w:val="27"/>
          <w:lang w:val="uk-UA"/>
        </w:rPr>
        <w:t>репозитарій</w:t>
      </w:r>
      <w:proofErr w:type="spellEnd"/>
      <w:r w:rsidR="00415C37">
        <w:rPr>
          <w:rFonts w:ascii="Times New Roman" w:eastAsia="Times New Roman" w:hAnsi="Times New Roman" w:cs="Times New Roman"/>
          <w:sz w:val="27"/>
          <w:szCs w:val="27"/>
          <w:lang w:val="uk-UA"/>
        </w:rPr>
        <w:t xml:space="preserve"> надає послуги та веде діяльність і яка вважає, що одна з умов, згаданих у пункті 1 цієї статті, виконана, може звернутися до </w:t>
      </w:r>
      <w:r w:rsidR="00415C37">
        <w:rPr>
          <w:rFonts w:ascii="Times New Roman" w:eastAsia="Times New Roman" w:hAnsi="Times New Roman" w:cs="Times New Roman"/>
          <w:sz w:val="27"/>
          <w:szCs w:val="27"/>
        </w:rPr>
        <w:t>ESMA</w:t>
      </w:r>
      <w:r w:rsidR="00415C37">
        <w:rPr>
          <w:rFonts w:ascii="Times New Roman" w:eastAsia="Times New Roman" w:hAnsi="Times New Roman" w:cs="Times New Roman"/>
          <w:sz w:val="27"/>
          <w:szCs w:val="27"/>
          <w:lang w:val="uk-UA"/>
        </w:rPr>
        <w:t xml:space="preserve"> з проханням перевірити, чи виконані умови скасування реєстрації даного торгового </w:t>
      </w:r>
      <w:proofErr w:type="spellStart"/>
      <w:r w:rsidR="00415C37">
        <w:rPr>
          <w:rFonts w:ascii="Times New Roman" w:eastAsia="Times New Roman" w:hAnsi="Times New Roman" w:cs="Times New Roman"/>
          <w:sz w:val="27"/>
          <w:szCs w:val="27"/>
          <w:lang w:val="uk-UA"/>
        </w:rPr>
        <w:t>репозитарія</w:t>
      </w:r>
      <w:proofErr w:type="spellEnd"/>
      <w:r w:rsidR="00415C37">
        <w:rPr>
          <w:rFonts w:ascii="Times New Roman" w:eastAsia="Times New Roman" w:hAnsi="Times New Roman" w:cs="Times New Roman"/>
          <w:sz w:val="27"/>
          <w:szCs w:val="27"/>
          <w:lang w:val="uk-UA"/>
        </w:rPr>
        <w:t xml:space="preserve">. Якщо </w:t>
      </w:r>
      <w:r w:rsidR="00415C37">
        <w:rPr>
          <w:rFonts w:ascii="Times New Roman" w:eastAsia="Times New Roman" w:hAnsi="Times New Roman" w:cs="Times New Roman"/>
          <w:sz w:val="27"/>
          <w:szCs w:val="27"/>
        </w:rPr>
        <w:t>ESMA</w:t>
      </w:r>
      <w:r w:rsidR="00415C37">
        <w:rPr>
          <w:rFonts w:ascii="Times New Roman" w:eastAsia="Times New Roman" w:hAnsi="Times New Roman" w:cs="Times New Roman"/>
          <w:sz w:val="27"/>
          <w:szCs w:val="27"/>
          <w:lang w:val="ru-RU"/>
        </w:rPr>
        <w:t xml:space="preserve"> </w:t>
      </w:r>
      <w:r w:rsidR="00415C37">
        <w:rPr>
          <w:rFonts w:ascii="Times New Roman" w:eastAsia="Times New Roman" w:hAnsi="Times New Roman" w:cs="Times New Roman"/>
          <w:sz w:val="27"/>
          <w:szCs w:val="27"/>
          <w:lang w:val="uk-UA"/>
        </w:rPr>
        <w:t xml:space="preserve">вирішує не скасовувати реєстрацію відповідного торгового </w:t>
      </w:r>
      <w:proofErr w:type="spellStart"/>
      <w:r w:rsidR="00415C37">
        <w:rPr>
          <w:rFonts w:ascii="Times New Roman" w:eastAsia="Times New Roman" w:hAnsi="Times New Roman" w:cs="Times New Roman"/>
          <w:sz w:val="27"/>
          <w:szCs w:val="27"/>
          <w:lang w:val="uk-UA"/>
        </w:rPr>
        <w:t>репозитарія</w:t>
      </w:r>
      <w:proofErr w:type="spellEnd"/>
      <w:r w:rsidR="00415C37">
        <w:rPr>
          <w:rFonts w:ascii="Times New Roman" w:eastAsia="Times New Roman" w:hAnsi="Times New Roman" w:cs="Times New Roman"/>
          <w:sz w:val="27"/>
          <w:szCs w:val="27"/>
          <w:lang w:val="uk-UA"/>
        </w:rPr>
        <w:t>, вона повністю наводить причини цього рішення.</w:t>
      </w:r>
    </w:p>
    <w:p w:rsidR="00DE77B0" w:rsidRPr="00C77CB3" w:rsidRDefault="00DE77B0" w:rsidP="00415C3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415C37">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proofErr w:type="spellStart"/>
      <w:r w:rsidR="00812EED" w:rsidRPr="00415C37">
        <w:rPr>
          <w:rFonts w:ascii="Times New Roman" w:eastAsia="Times New Roman" w:hAnsi="Times New Roman" w:cs="Times New Roman"/>
          <w:sz w:val="27"/>
          <w:szCs w:val="27"/>
          <w:lang w:val="ru-RU"/>
        </w:rPr>
        <w:t>Компетентни</w:t>
      </w:r>
      <w:proofErr w:type="spellEnd"/>
      <w:r w:rsidR="00415C37">
        <w:rPr>
          <w:rFonts w:ascii="Times New Roman" w:eastAsia="Times New Roman" w:hAnsi="Times New Roman" w:cs="Times New Roman"/>
          <w:sz w:val="27"/>
          <w:szCs w:val="27"/>
          <w:lang w:val="uk-UA"/>
        </w:rPr>
        <w:t>м</w:t>
      </w:r>
      <w:r w:rsidR="00812EED" w:rsidRPr="00415C37">
        <w:rPr>
          <w:rFonts w:ascii="Times New Roman" w:eastAsia="Times New Roman" w:hAnsi="Times New Roman" w:cs="Times New Roman"/>
          <w:sz w:val="27"/>
          <w:szCs w:val="27"/>
          <w:lang w:val="ru-RU"/>
        </w:rPr>
        <w:t xml:space="preserve"> орган</w:t>
      </w:r>
      <w:proofErr w:type="spellStart"/>
      <w:r w:rsidR="00415C37">
        <w:rPr>
          <w:rFonts w:ascii="Times New Roman" w:eastAsia="Times New Roman" w:hAnsi="Times New Roman" w:cs="Times New Roman"/>
          <w:sz w:val="27"/>
          <w:szCs w:val="27"/>
          <w:lang w:val="uk-UA"/>
        </w:rPr>
        <w:t>ом</w:t>
      </w:r>
      <w:proofErr w:type="spellEnd"/>
      <w:r w:rsidR="00415C37">
        <w:rPr>
          <w:rFonts w:ascii="Times New Roman" w:eastAsia="Times New Roman" w:hAnsi="Times New Roman" w:cs="Times New Roman"/>
          <w:sz w:val="27"/>
          <w:szCs w:val="27"/>
          <w:lang w:val="uk-UA"/>
        </w:rPr>
        <w:t>, згаданим у пункті 3 цієї статті, є орган, призначений відповідно до статті 22.</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77CB3">
        <w:rPr>
          <w:rFonts w:ascii="Times New Roman" w:eastAsia="Times New Roman" w:hAnsi="Times New Roman" w:cs="Times New Roman"/>
          <w:i/>
          <w:iCs/>
          <w:sz w:val="27"/>
          <w:szCs w:val="27"/>
          <w:lang w:val="ru-RU"/>
        </w:rPr>
        <w:t>Стаття</w:t>
      </w:r>
      <w:proofErr w:type="spellEnd"/>
      <w:r w:rsidR="00DE77B0" w:rsidRPr="00C77CB3">
        <w:rPr>
          <w:rFonts w:ascii="Times New Roman" w:eastAsia="Times New Roman" w:hAnsi="Times New Roman" w:cs="Times New Roman"/>
          <w:i/>
          <w:iCs/>
          <w:sz w:val="27"/>
          <w:szCs w:val="27"/>
          <w:lang w:val="ru-RU"/>
        </w:rPr>
        <w:t xml:space="preserve"> 72</w:t>
      </w:r>
    </w:p>
    <w:p w:rsidR="00DE77B0" w:rsidRPr="00AC6990" w:rsidRDefault="00AC6990"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Плата за нагляд</w:t>
      </w:r>
    </w:p>
    <w:p w:rsidR="00DE77B0" w:rsidRPr="00AB7DC6" w:rsidRDefault="00DE77B0" w:rsidP="00AB7DC6">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ESMA</w:t>
      </w:r>
      <w:r w:rsidRPr="00AB7DC6">
        <w:rPr>
          <w:rFonts w:ascii="Times New Roman" w:eastAsia="Times New Roman" w:hAnsi="Times New Roman" w:cs="Times New Roman"/>
          <w:sz w:val="27"/>
          <w:szCs w:val="27"/>
          <w:lang w:val="ru-RU"/>
        </w:rPr>
        <w:t xml:space="preserve"> </w:t>
      </w:r>
      <w:r w:rsidR="00AB7DC6">
        <w:rPr>
          <w:rFonts w:ascii="Times New Roman" w:eastAsia="Times New Roman" w:hAnsi="Times New Roman" w:cs="Times New Roman"/>
          <w:sz w:val="27"/>
          <w:szCs w:val="27"/>
          <w:lang w:val="uk-UA"/>
        </w:rPr>
        <w:t>стягує з торгових репозитаріїв плату</w:t>
      </w:r>
      <w:r w:rsidRPr="00AB7DC6">
        <w:rPr>
          <w:rFonts w:ascii="Times New Roman" w:eastAsia="Times New Roman" w:hAnsi="Times New Roman" w:cs="Times New Roman"/>
          <w:sz w:val="27"/>
          <w:szCs w:val="27"/>
          <w:lang w:val="ru-RU"/>
        </w:rPr>
        <w:t xml:space="preserve"> </w:t>
      </w:r>
      <w:proofErr w:type="spellStart"/>
      <w:r w:rsidR="00A81DE6" w:rsidRPr="00AB7DC6">
        <w:rPr>
          <w:rFonts w:ascii="Times New Roman" w:eastAsia="Times New Roman" w:hAnsi="Times New Roman" w:cs="Times New Roman"/>
          <w:sz w:val="27"/>
          <w:szCs w:val="27"/>
          <w:lang w:val="ru-RU"/>
        </w:rPr>
        <w:t>відповідно</w:t>
      </w:r>
      <w:proofErr w:type="spellEnd"/>
      <w:r w:rsidR="00A81DE6" w:rsidRPr="00AB7DC6">
        <w:rPr>
          <w:rFonts w:ascii="Times New Roman" w:eastAsia="Times New Roman" w:hAnsi="Times New Roman" w:cs="Times New Roman"/>
          <w:sz w:val="27"/>
          <w:szCs w:val="27"/>
          <w:lang w:val="ru-RU"/>
        </w:rPr>
        <w:t xml:space="preserve"> до </w:t>
      </w:r>
      <w:proofErr w:type="spellStart"/>
      <w:r w:rsidR="00A81DE6" w:rsidRPr="00AB7DC6">
        <w:rPr>
          <w:rFonts w:ascii="Times New Roman" w:eastAsia="Times New Roman" w:hAnsi="Times New Roman" w:cs="Times New Roman"/>
          <w:sz w:val="27"/>
          <w:szCs w:val="27"/>
          <w:lang w:val="ru-RU"/>
        </w:rPr>
        <w:t>цього</w:t>
      </w:r>
      <w:proofErr w:type="spellEnd"/>
      <w:r w:rsidR="00A81DE6" w:rsidRPr="00AB7DC6">
        <w:rPr>
          <w:rFonts w:ascii="Times New Roman" w:eastAsia="Times New Roman" w:hAnsi="Times New Roman" w:cs="Times New Roman"/>
          <w:sz w:val="27"/>
          <w:szCs w:val="27"/>
          <w:lang w:val="ru-RU"/>
        </w:rPr>
        <w:t xml:space="preserve"> регламенту</w:t>
      </w:r>
      <w:r w:rsidRPr="00AB7DC6">
        <w:rPr>
          <w:rFonts w:ascii="Times New Roman" w:eastAsia="Times New Roman" w:hAnsi="Times New Roman" w:cs="Times New Roman"/>
          <w:sz w:val="27"/>
          <w:szCs w:val="27"/>
          <w:lang w:val="ru-RU"/>
        </w:rPr>
        <w:t xml:space="preserve"> </w:t>
      </w:r>
      <w:r w:rsidR="00AB7DC6">
        <w:rPr>
          <w:rFonts w:ascii="Times New Roman" w:eastAsia="Times New Roman" w:hAnsi="Times New Roman" w:cs="Times New Roman"/>
          <w:sz w:val="27"/>
          <w:szCs w:val="27"/>
          <w:lang w:val="ru-RU"/>
        </w:rPr>
        <w:t xml:space="preserve">та </w:t>
      </w:r>
      <w:r w:rsidR="00AB7DC6">
        <w:rPr>
          <w:rFonts w:ascii="Times New Roman" w:eastAsia="Times New Roman" w:hAnsi="Times New Roman" w:cs="Times New Roman"/>
          <w:sz w:val="27"/>
          <w:szCs w:val="27"/>
          <w:lang w:val="uk-UA"/>
        </w:rPr>
        <w:t xml:space="preserve">згідно з делегованими актами, прийнятими на виконання пункту 3 цієї статті. Ця плата повністю покриває необхідні витрати </w:t>
      </w:r>
      <w:r w:rsidR="00AB7DC6">
        <w:rPr>
          <w:rFonts w:ascii="Times New Roman" w:eastAsia="Times New Roman" w:hAnsi="Times New Roman" w:cs="Times New Roman"/>
          <w:sz w:val="27"/>
          <w:szCs w:val="27"/>
        </w:rPr>
        <w:t>ESMA</w:t>
      </w:r>
      <w:r w:rsidR="00AB7DC6">
        <w:rPr>
          <w:rFonts w:ascii="Times New Roman" w:eastAsia="Times New Roman" w:hAnsi="Times New Roman" w:cs="Times New Roman"/>
          <w:sz w:val="27"/>
          <w:szCs w:val="27"/>
          <w:lang w:val="uk-UA"/>
        </w:rPr>
        <w:t>, пов'язані з реєстрацією торгових репозитаріїв і наглядом за їхньою діяльністю, та відшкодування всіх витрат, що їх компетентні органи можуть понести при виконанні роботи відповідно до цього регламенту, зокрема в результаті делегування завдань</w:t>
      </w:r>
      <w:r w:rsidRPr="00AB7DC6">
        <w:rPr>
          <w:rFonts w:ascii="Times New Roman" w:eastAsia="Times New Roman" w:hAnsi="Times New Roman" w:cs="Times New Roman"/>
          <w:sz w:val="27"/>
          <w:szCs w:val="27"/>
          <w:lang w:val="uk-UA"/>
        </w:rPr>
        <w:t xml:space="preserve"> </w:t>
      </w:r>
      <w:r w:rsidR="001842E4" w:rsidRPr="00AB7DC6">
        <w:rPr>
          <w:rFonts w:ascii="Times New Roman" w:eastAsia="Times New Roman" w:hAnsi="Times New Roman" w:cs="Times New Roman"/>
          <w:sz w:val="27"/>
          <w:szCs w:val="27"/>
          <w:lang w:val="uk-UA"/>
        </w:rPr>
        <w:t>відповідно до статті</w:t>
      </w:r>
      <w:r w:rsidRPr="00AB7DC6">
        <w:rPr>
          <w:rFonts w:ascii="Times New Roman" w:eastAsia="Times New Roman" w:hAnsi="Times New Roman" w:cs="Times New Roman"/>
          <w:sz w:val="27"/>
          <w:szCs w:val="27"/>
          <w:lang w:val="uk-UA"/>
        </w:rPr>
        <w:t xml:space="preserve"> 74.</w:t>
      </w:r>
    </w:p>
    <w:p w:rsidR="00DE77B0" w:rsidRPr="00C77CB3" w:rsidRDefault="00DE77B0" w:rsidP="00B12D5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AB7DC6">
        <w:rPr>
          <w:rFonts w:ascii="Times New Roman" w:eastAsia="Times New Roman" w:hAnsi="Times New Roman" w:cs="Times New Roman"/>
          <w:sz w:val="27"/>
          <w:szCs w:val="27"/>
          <w:lang w:val="uk-UA"/>
        </w:rPr>
        <w:t xml:space="preserve">Розмір плати, стягуваної з торгового </w:t>
      </w:r>
      <w:proofErr w:type="spellStart"/>
      <w:r w:rsidR="00AB7DC6">
        <w:rPr>
          <w:rFonts w:ascii="Times New Roman" w:eastAsia="Times New Roman" w:hAnsi="Times New Roman" w:cs="Times New Roman"/>
          <w:sz w:val="27"/>
          <w:szCs w:val="27"/>
          <w:lang w:val="uk-UA"/>
        </w:rPr>
        <w:t>репозитарія</w:t>
      </w:r>
      <w:proofErr w:type="spellEnd"/>
      <w:r w:rsidR="00AB7DC6">
        <w:rPr>
          <w:rFonts w:ascii="Times New Roman" w:eastAsia="Times New Roman" w:hAnsi="Times New Roman" w:cs="Times New Roman"/>
          <w:sz w:val="27"/>
          <w:szCs w:val="27"/>
          <w:lang w:val="uk-UA"/>
        </w:rPr>
        <w:t xml:space="preserve">, покриває всі адміністративні витрати, понесені </w:t>
      </w:r>
      <w:r w:rsidR="00AB7DC6">
        <w:rPr>
          <w:rFonts w:ascii="Times New Roman" w:eastAsia="Times New Roman" w:hAnsi="Times New Roman" w:cs="Times New Roman"/>
          <w:sz w:val="27"/>
          <w:szCs w:val="27"/>
        </w:rPr>
        <w:t>ESMA</w:t>
      </w:r>
      <w:r w:rsidR="00AB7DC6">
        <w:rPr>
          <w:rFonts w:ascii="Times New Roman" w:eastAsia="Times New Roman" w:hAnsi="Times New Roman" w:cs="Times New Roman"/>
          <w:sz w:val="27"/>
          <w:szCs w:val="27"/>
          <w:lang w:val="uk-UA"/>
        </w:rPr>
        <w:t xml:space="preserve"> у зв'язку з її діяльністю з реєстрації та нагляду, і </w:t>
      </w:r>
      <w:r w:rsidR="00B12D55">
        <w:rPr>
          <w:rFonts w:ascii="Times New Roman" w:eastAsia="Times New Roman" w:hAnsi="Times New Roman" w:cs="Times New Roman"/>
          <w:sz w:val="27"/>
          <w:szCs w:val="27"/>
          <w:lang w:val="uk-UA"/>
        </w:rPr>
        <w:t xml:space="preserve">є пропорційним обігові відповідного торгового </w:t>
      </w:r>
      <w:proofErr w:type="spellStart"/>
      <w:r w:rsidR="00B12D55">
        <w:rPr>
          <w:rFonts w:ascii="Times New Roman" w:eastAsia="Times New Roman" w:hAnsi="Times New Roman" w:cs="Times New Roman"/>
          <w:sz w:val="27"/>
          <w:szCs w:val="27"/>
          <w:lang w:val="uk-UA"/>
        </w:rPr>
        <w:t>репозитарія</w:t>
      </w:r>
      <w:proofErr w:type="spellEnd"/>
      <w:r w:rsidR="00B12D55">
        <w:rPr>
          <w:rFonts w:ascii="Times New Roman" w:eastAsia="Times New Roman" w:hAnsi="Times New Roman" w:cs="Times New Roman"/>
          <w:sz w:val="27"/>
          <w:szCs w:val="27"/>
          <w:lang w:val="uk-UA"/>
        </w:rPr>
        <w:t>.</w:t>
      </w:r>
    </w:p>
    <w:p w:rsidR="00DE77B0" w:rsidRPr="00C77CB3" w:rsidRDefault="00DE77B0" w:rsidP="00B12D5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B12D55">
        <w:rPr>
          <w:rFonts w:ascii="Times New Roman" w:eastAsia="Times New Roman" w:hAnsi="Times New Roman" w:cs="Times New Roman"/>
          <w:sz w:val="27"/>
          <w:szCs w:val="27"/>
          <w:lang w:val="uk-UA"/>
        </w:rPr>
        <w:t>Комісія приймає делегований акт</w:t>
      </w:r>
      <w:r w:rsidRPr="00C77CB3">
        <w:rPr>
          <w:rFonts w:ascii="Times New Roman" w:eastAsia="Times New Roman" w:hAnsi="Times New Roman" w:cs="Times New Roman"/>
          <w:sz w:val="27"/>
          <w:szCs w:val="27"/>
          <w:lang w:val="uk-UA"/>
        </w:rPr>
        <w:t xml:space="preserve"> </w:t>
      </w:r>
      <w:r w:rsidR="001842E4" w:rsidRPr="00C77CB3">
        <w:rPr>
          <w:rFonts w:ascii="Times New Roman" w:eastAsia="Times New Roman" w:hAnsi="Times New Roman" w:cs="Times New Roman"/>
          <w:sz w:val="27"/>
          <w:szCs w:val="27"/>
          <w:lang w:val="uk-UA"/>
        </w:rPr>
        <w:t>відповідно до статті</w:t>
      </w:r>
      <w:r w:rsidRPr="00C77CB3">
        <w:rPr>
          <w:rFonts w:ascii="Times New Roman" w:eastAsia="Times New Roman" w:hAnsi="Times New Roman" w:cs="Times New Roman"/>
          <w:sz w:val="27"/>
          <w:szCs w:val="27"/>
          <w:lang w:val="uk-UA"/>
        </w:rPr>
        <w:t xml:space="preserve"> 82</w:t>
      </w:r>
      <w:r w:rsidR="00B12D55" w:rsidRPr="00C77CB3">
        <w:rPr>
          <w:rFonts w:ascii="Times New Roman" w:eastAsia="Times New Roman" w:hAnsi="Times New Roman" w:cs="Times New Roman"/>
          <w:sz w:val="27"/>
          <w:szCs w:val="27"/>
          <w:lang w:val="uk-UA"/>
        </w:rPr>
        <w:t xml:space="preserve">, де </w:t>
      </w:r>
      <w:r w:rsidR="00B12D55">
        <w:rPr>
          <w:rFonts w:ascii="Times New Roman" w:eastAsia="Times New Roman" w:hAnsi="Times New Roman" w:cs="Times New Roman"/>
          <w:sz w:val="27"/>
          <w:szCs w:val="27"/>
          <w:lang w:val="uk-UA"/>
        </w:rPr>
        <w:t>зазначає вид плати, питання, за які належить стягувати цю плату, розмір цієї плати і спосіб, у який вона повинна здійснюватися.</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77CB3">
        <w:rPr>
          <w:rFonts w:ascii="Times New Roman" w:eastAsia="Times New Roman" w:hAnsi="Times New Roman" w:cs="Times New Roman"/>
          <w:i/>
          <w:iCs/>
          <w:sz w:val="27"/>
          <w:szCs w:val="27"/>
          <w:lang w:val="ru-RU"/>
        </w:rPr>
        <w:t>Стаття</w:t>
      </w:r>
      <w:proofErr w:type="spellEnd"/>
      <w:r w:rsidR="00DE77B0" w:rsidRPr="00C77CB3">
        <w:rPr>
          <w:rFonts w:ascii="Times New Roman" w:eastAsia="Times New Roman" w:hAnsi="Times New Roman" w:cs="Times New Roman"/>
          <w:i/>
          <w:iCs/>
          <w:sz w:val="27"/>
          <w:szCs w:val="27"/>
          <w:lang w:val="ru-RU"/>
        </w:rPr>
        <w:t xml:space="preserve"> 73</w:t>
      </w:r>
    </w:p>
    <w:p w:rsidR="00DE77B0" w:rsidRPr="00C77CB3" w:rsidRDefault="00AC6990"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Наглядові заходи з боку</w:t>
      </w:r>
      <w:r w:rsidR="00DE77B0" w:rsidRPr="00C77CB3">
        <w:rPr>
          <w:rFonts w:ascii="Times New Roman" w:eastAsia="Times New Roman" w:hAnsi="Times New Roman" w:cs="Times New Roman"/>
          <w:b/>
          <w:bCs/>
          <w:sz w:val="27"/>
          <w:szCs w:val="27"/>
          <w:lang w:val="ru-RU"/>
        </w:rPr>
        <w:t xml:space="preserve"> </w:t>
      </w:r>
      <w:r w:rsidR="00DE77B0" w:rsidRPr="006279CF">
        <w:rPr>
          <w:rFonts w:ascii="Times New Roman" w:eastAsia="Times New Roman" w:hAnsi="Times New Roman" w:cs="Times New Roman"/>
          <w:b/>
          <w:bCs/>
          <w:sz w:val="27"/>
          <w:szCs w:val="27"/>
        </w:rPr>
        <w:t>ESMA</w:t>
      </w:r>
    </w:p>
    <w:p w:rsidR="00DE77B0" w:rsidRPr="00C77CB3" w:rsidRDefault="00DE77B0" w:rsidP="00416C50">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B12D55">
        <w:rPr>
          <w:rFonts w:ascii="Times New Roman" w:eastAsia="Times New Roman" w:hAnsi="Times New Roman" w:cs="Times New Roman"/>
          <w:sz w:val="27"/>
          <w:szCs w:val="27"/>
          <w:lang w:val="uk-UA"/>
        </w:rPr>
        <w:t xml:space="preserve">Якщо </w:t>
      </w:r>
      <w:r w:rsidR="00B12D55">
        <w:rPr>
          <w:rFonts w:ascii="Times New Roman" w:eastAsia="Times New Roman" w:hAnsi="Times New Roman" w:cs="Times New Roman"/>
          <w:sz w:val="27"/>
          <w:szCs w:val="27"/>
        </w:rPr>
        <w:t>ESMA</w:t>
      </w:r>
      <w:r w:rsidRPr="00B12D55">
        <w:rPr>
          <w:rFonts w:ascii="Times New Roman" w:eastAsia="Times New Roman" w:hAnsi="Times New Roman" w:cs="Times New Roman"/>
          <w:sz w:val="27"/>
          <w:szCs w:val="27"/>
          <w:lang w:val="ru-RU"/>
        </w:rPr>
        <w:t xml:space="preserve"> </w:t>
      </w:r>
      <w:proofErr w:type="spellStart"/>
      <w:r w:rsidR="001842E4" w:rsidRPr="00B12D55">
        <w:rPr>
          <w:rFonts w:ascii="Times New Roman" w:eastAsia="Times New Roman" w:hAnsi="Times New Roman" w:cs="Times New Roman"/>
          <w:sz w:val="27"/>
          <w:szCs w:val="27"/>
          <w:lang w:val="ru-RU"/>
        </w:rPr>
        <w:t>відповідно</w:t>
      </w:r>
      <w:proofErr w:type="spellEnd"/>
      <w:r w:rsidR="001842E4" w:rsidRPr="00B12D55">
        <w:rPr>
          <w:rFonts w:ascii="Times New Roman" w:eastAsia="Times New Roman" w:hAnsi="Times New Roman" w:cs="Times New Roman"/>
          <w:sz w:val="27"/>
          <w:szCs w:val="27"/>
          <w:lang w:val="ru-RU"/>
        </w:rPr>
        <w:t xml:space="preserve"> до </w:t>
      </w:r>
      <w:proofErr w:type="spellStart"/>
      <w:r w:rsidR="001842E4" w:rsidRPr="00B12D55">
        <w:rPr>
          <w:rFonts w:ascii="Times New Roman" w:eastAsia="Times New Roman" w:hAnsi="Times New Roman" w:cs="Times New Roman"/>
          <w:sz w:val="27"/>
          <w:szCs w:val="27"/>
          <w:lang w:val="ru-RU"/>
        </w:rPr>
        <w:t>статті</w:t>
      </w:r>
      <w:proofErr w:type="spellEnd"/>
      <w:r w:rsidRPr="00B12D55">
        <w:rPr>
          <w:rFonts w:ascii="Times New Roman" w:eastAsia="Times New Roman" w:hAnsi="Times New Roman" w:cs="Times New Roman"/>
          <w:sz w:val="27"/>
          <w:szCs w:val="27"/>
          <w:lang w:val="ru-RU"/>
        </w:rPr>
        <w:t xml:space="preserve"> 64(5)</w:t>
      </w:r>
      <w:r w:rsidR="00B12D55">
        <w:rPr>
          <w:rFonts w:ascii="Times New Roman" w:eastAsia="Times New Roman" w:hAnsi="Times New Roman" w:cs="Times New Roman"/>
          <w:sz w:val="27"/>
          <w:szCs w:val="27"/>
          <w:lang w:val="ru-RU"/>
        </w:rPr>
        <w:t xml:space="preserve"> </w:t>
      </w:r>
      <w:proofErr w:type="spellStart"/>
      <w:r w:rsidR="00B12D55">
        <w:rPr>
          <w:rFonts w:ascii="Times New Roman" w:eastAsia="Times New Roman" w:hAnsi="Times New Roman" w:cs="Times New Roman"/>
          <w:sz w:val="27"/>
          <w:szCs w:val="27"/>
          <w:lang w:val="ru-RU"/>
        </w:rPr>
        <w:t>встановила</w:t>
      </w:r>
      <w:proofErr w:type="spellEnd"/>
      <w:r w:rsidR="00B12D55">
        <w:rPr>
          <w:rFonts w:ascii="Times New Roman" w:eastAsia="Times New Roman" w:hAnsi="Times New Roman" w:cs="Times New Roman"/>
          <w:sz w:val="27"/>
          <w:szCs w:val="27"/>
          <w:lang w:val="ru-RU"/>
        </w:rPr>
        <w:t xml:space="preserve">, </w:t>
      </w:r>
      <w:r w:rsidR="00B12D55">
        <w:rPr>
          <w:rFonts w:ascii="Times New Roman" w:eastAsia="Times New Roman" w:hAnsi="Times New Roman" w:cs="Times New Roman"/>
          <w:sz w:val="27"/>
          <w:szCs w:val="27"/>
          <w:lang w:val="uk-UA"/>
        </w:rPr>
        <w:t xml:space="preserve">що торговий </w:t>
      </w:r>
      <w:proofErr w:type="spellStart"/>
      <w:r w:rsidR="00B12D55">
        <w:rPr>
          <w:rFonts w:ascii="Times New Roman" w:eastAsia="Times New Roman" w:hAnsi="Times New Roman" w:cs="Times New Roman"/>
          <w:sz w:val="27"/>
          <w:szCs w:val="27"/>
          <w:lang w:val="uk-UA"/>
        </w:rPr>
        <w:t>репозитарій</w:t>
      </w:r>
      <w:proofErr w:type="spellEnd"/>
      <w:r w:rsidR="00B12D55">
        <w:rPr>
          <w:rFonts w:ascii="Times New Roman" w:eastAsia="Times New Roman" w:hAnsi="Times New Roman" w:cs="Times New Roman"/>
          <w:sz w:val="27"/>
          <w:szCs w:val="27"/>
          <w:lang w:val="uk-UA"/>
        </w:rPr>
        <w:t xml:space="preserve"> учинив одне з порушень, наведених у </w:t>
      </w:r>
      <w:r w:rsidR="00416C50">
        <w:rPr>
          <w:rFonts w:ascii="Times New Roman" w:eastAsia="Times New Roman" w:hAnsi="Times New Roman" w:cs="Times New Roman"/>
          <w:sz w:val="27"/>
          <w:szCs w:val="27"/>
          <w:lang w:val="uk-UA"/>
        </w:rPr>
        <w:t>Додатку І, вона ухвалює одне чи декілька з наступних рішень:</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8"/>
        <w:gridCol w:w="9007"/>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913B72" w:rsidRDefault="00913B72" w:rsidP="00913B72">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про вимогу до торгового </w:t>
            </w:r>
            <w:proofErr w:type="spellStart"/>
            <w:r>
              <w:rPr>
                <w:rFonts w:ascii="Times New Roman" w:eastAsia="Times New Roman" w:hAnsi="Times New Roman" w:cs="Times New Roman"/>
                <w:sz w:val="27"/>
                <w:szCs w:val="27"/>
                <w:lang w:val="uk-UA"/>
              </w:rPr>
              <w:t>репозитарія</w:t>
            </w:r>
            <w:proofErr w:type="spellEnd"/>
            <w:r>
              <w:rPr>
                <w:rFonts w:ascii="Times New Roman" w:eastAsia="Times New Roman" w:hAnsi="Times New Roman" w:cs="Times New Roman"/>
                <w:sz w:val="27"/>
                <w:szCs w:val="27"/>
                <w:lang w:val="uk-UA"/>
              </w:rPr>
              <w:t xml:space="preserve"> щодо припинення порушення;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8963"/>
      </w:tblGrid>
      <w:tr w:rsidR="00913B72" w:rsidRPr="00113714" w:rsidTr="00913B72">
        <w:tc>
          <w:tcPr>
            <w:tcW w:w="26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47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913B72" w:rsidRDefault="00913B72" w:rsidP="00913B72">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про накладення штрафів відповідно до статті 65;</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48"/>
        <w:gridCol w:w="8717"/>
      </w:tblGrid>
      <w:tr w:rsidR="00913B72"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913B72" w:rsidP="00913B72">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ru-RU"/>
              </w:rPr>
              <w:t>про</w:t>
            </w:r>
            <w:r w:rsidRPr="00913B72">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lang w:val="uk-UA"/>
              </w:rPr>
              <w:t>публікацію офіційних повідомлень;</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8"/>
        <w:gridCol w:w="8977"/>
      </w:tblGrid>
      <w:tr w:rsidR="006B3986"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B3986" w:rsidRDefault="00913B72" w:rsidP="006B3986">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про скасування </w:t>
            </w:r>
            <w:r w:rsidR="006B3986">
              <w:rPr>
                <w:rFonts w:ascii="Times New Roman" w:eastAsia="Times New Roman" w:hAnsi="Times New Roman" w:cs="Times New Roman"/>
                <w:sz w:val="27"/>
                <w:szCs w:val="27"/>
                <w:lang w:val="uk-UA"/>
              </w:rPr>
              <w:t xml:space="preserve">реєстрації торгового </w:t>
            </w:r>
            <w:proofErr w:type="spellStart"/>
            <w:r w:rsidR="006B3986">
              <w:rPr>
                <w:rFonts w:ascii="Times New Roman" w:eastAsia="Times New Roman" w:hAnsi="Times New Roman" w:cs="Times New Roman"/>
                <w:sz w:val="27"/>
                <w:szCs w:val="27"/>
                <w:lang w:val="uk-UA"/>
              </w:rPr>
              <w:t>репозитарія</w:t>
            </w:r>
            <w:proofErr w:type="spellEnd"/>
            <w:r w:rsidR="006B3986">
              <w:rPr>
                <w:rFonts w:ascii="Times New Roman" w:eastAsia="Times New Roman" w:hAnsi="Times New Roman" w:cs="Times New Roman"/>
                <w:sz w:val="27"/>
                <w:szCs w:val="27"/>
                <w:lang w:val="uk-UA"/>
              </w:rPr>
              <w:t xml:space="preserve"> як крайній захід.</w:t>
            </w:r>
          </w:p>
        </w:tc>
      </w:tr>
    </w:tbl>
    <w:p w:rsidR="006B3986" w:rsidRPr="006B3986"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6B3986">
        <w:rPr>
          <w:rFonts w:ascii="Times New Roman" w:eastAsia="Times New Roman" w:hAnsi="Times New Roman" w:cs="Times New Roman"/>
          <w:sz w:val="27"/>
          <w:szCs w:val="27"/>
          <w:lang w:val="ru-RU"/>
        </w:rPr>
        <w:lastRenderedPageBreak/>
        <w:t>2.</w:t>
      </w:r>
      <w:r w:rsidRPr="006279CF">
        <w:rPr>
          <w:rFonts w:ascii="Times New Roman" w:eastAsia="Times New Roman" w:hAnsi="Times New Roman" w:cs="Times New Roman"/>
          <w:sz w:val="27"/>
          <w:szCs w:val="27"/>
        </w:rPr>
        <w:t>   </w:t>
      </w:r>
      <w:r w:rsidR="006B3986">
        <w:rPr>
          <w:rFonts w:ascii="Times New Roman" w:eastAsia="Times New Roman" w:hAnsi="Times New Roman" w:cs="Times New Roman"/>
          <w:sz w:val="27"/>
          <w:szCs w:val="27"/>
          <w:lang w:val="uk-UA"/>
        </w:rPr>
        <w:t xml:space="preserve">При ухваленні рішень, згаданих у пункті 1 цієї статті, </w:t>
      </w:r>
      <w:r w:rsidR="006B3986">
        <w:rPr>
          <w:rFonts w:ascii="Times New Roman" w:eastAsia="Times New Roman" w:hAnsi="Times New Roman" w:cs="Times New Roman"/>
          <w:sz w:val="27"/>
          <w:szCs w:val="27"/>
        </w:rPr>
        <w:t>ESMA</w:t>
      </w:r>
      <w:r w:rsidR="006B3986">
        <w:rPr>
          <w:rFonts w:ascii="Times New Roman" w:eastAsia="Times New Roman" w:hAnsi="Times New Roman" w:cs="Times New Roman"/>
          <w:sz w:val="27"/>
          <w:szCs w:val="27"/>
          <w:lang w:val="uk-UA"/>
        </w:rPr>
        <w:t xml:space="preserve"> враховує характер і тяжкість порушення, беручи до уваги наступні </w:t>
      </w:r>
      <w:r w:rsidR="00761897">
        <w:rPr>
          <w:rFonts w:ascii="Times New Roman" w:eastAsia="Times New Roman" w:hAnsi="Times New Roman" w:cs="Times New Roman"/>
          <w:sz w:val="27"/>
          <w:szCs w:val="27"/>
          <w:lang w:val="uk-UA"/>
        </w:rPr>
        <w:t>критерії:</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8963"/>
      </w:tblGrid>
      <w:tr w:rsidR="00763E3E" w:rsidRPr="006279CF" w:rsidTr="00BE6034">
        <w:tc>
          <w:tcPr>
            <w:tcW w:w="26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47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61897" w:rsidP="00761897">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тривалість і частоту порушення</w:t>
            </w:r>
            <w:r w:rsidR="00DE77B0" w:rsidRPr="006279CF">
              <w:rPr>
                <w:rFonts w:ascii="Times New Roman" w:eastAsia="Times New Roman" w:hAnsi="Times New Roman" w:cs="Times New Roman"/>
                <w:sz w:val="27"/>
                <w:szCs w:val="27"/>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77CB3" w:rsidRDefault="00761897" w:rsidP="00EA725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те, чи виявило порушення серйозні або системні недоліки у процедурах підприємства або в його системах управління чи внутрішн</w:t>
            </w:r>
            <w:r w:rsidR="00BE6034">
              <w:rPr>
                <w:rFonts w:ascii="Times New Roman" w:eastAsia="Times New Roman" w:hAnsi="Times New Roman" w:cs="Times New Roman"/>
                <w:sz w:val="27"/>
                <w:szCs w:val="27"/>
                <w:lang w:val="uk-UA"/>
              </w:rPr>
              <w:t>ь</w:t>
            </w:r>
            <w:r>
              <w:rPr>
                <w:rFonts w:ascii="Times New Roman" w:eastAsia="Times New Roman" w:hAnsi="Times New Roman" w:cs="Times New Roman"/>
                <w:sz w:val="27"/>
                <w:szCs w:val="27"/>
                <w:lang w:val="uk-UA"/>
              </w:rPr>
              <w:t>ому ко</w:t>
            </w:r>
            <w:r w:rsidR="00BE6034">
              <w:rPr>
                <w:rFonts w:ascii="Times New Roman" w:eastAsia="Times New Roman" w:hAnsi="Times New Roman" w:cs="Times New Roman"/>
                <w:sz w:val="27"/>
                <w:szCs w:val="27"/>
                <w:lang w:val="uk-UA"/>
              </w:rPr>
              <w:t>нтролі;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A7259" w:rsidRDefault="00EA7259" w:rsidP="00EA725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чи</w:t>
            </w:r>
            <w:r w:rsidRPr="00EA7259">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спричинило порушення фінансовий злочин, сприяло йому або в інший спосіб призвело до нього;</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EA7259" w:rsidRDefault="00EA7259" w:rsidP="00EA725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чи було порушення вчинено навмисно або за недбалістю.</w:t>
            </w:r>
          </w:p>
        </w:tc>
      </w:tr>
    </w:tbl>
    <w:p w:rsidR="00EA7259" w:rsidRPr="00A67D0A"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EA7259">
        <w:rPr>
          <w:rFonts w:ascii="Times New Roman" w:eastAsia="Times New Roman" w:hAnsi="Times New Roman" w:cs="Times New Roman"/>
          <w:sz w:val="27"/>
          <w:szCs w:val="27"/>
        </w:rPr>
        <w:t>ESMA</w:t>
      </w:r>
      <w:r w:rsidR="00EA7259">
        <w:rPr>
          <w:rFonts w:ascii="Times New Roman" w:eastAsia="Times New Roman" w:hAnsi="Times New Roman" w:cs="Times New Roman"/>
          <w:sz w:val="27"/>
          <w:szCs w:val="27"/>
          <w:lang w:val="uk-UA"/>
        </w:rPr>
        <w:t xml:space="preserve"> без необґрунтованої затримки повідомляє про рішення, ухвалене відповідно до пункту 1 цієї статті</w:t>
      </w:r>
      <w:r w:rsidR="00A67D0A">
        <w:rPr>
          <w:rFonts w:ascii="Times New Roman" w:eastAsia="Times New Roman" w:hAnsi="Times New Roman" w:cs="Times New Roman"/>
          <w:sz w:val="27"/>
          <w:szCs w:val="27"/>
          <w:lang w:val="uk-UA"/>
        </w:rPr>
        <w:t xml:space="preserve">, відповідному торговому </w:t>
      </w:r>
      <w:proofErr w:type="spellStart"/>
      <w:r w:rsidR="00A67D0A">
        <w:rPr>
          <w:rFonts w:ascii="Times New Roman" w:eastAsia="Times New Roman" w:hAnsi="Times New Roman" w:cs="Times New Roman"/>
          <w:sz w:val="27"/>
          <w:szCs w:val="27"/>
          <w:lang w:val="uk-UA"/>
        </w:rPr>
        <w:t>репозитарію</w:t>
      </w:r>
      <w:proofErr w:type="spellEnd"/>
      <w:r w:rsidR="00A67D0A">
        <w:rPr>
          <w:rFonts w:ascii="Times New Roman" w:eastAsia="Times New Roman" w:hAnsi="Times New Roman" w:cs="Times New Roman"/>
          <w:sz w:val="27"/>
          <w:szCs w:val="27"/>
          <w:lang w:val="uk-UA"/>
        </w:rPr>
        <w:t xml:space="preserve">, і доводить його до відома компетентних органів держав-членів Союзу та Комісії. </w:t>
      </w:r>
      <w:r w:rsidR="00A67D0A">
        <w:rPr>
          <w:rFonts w:ascii="Times New Roman" w:eastAsia="Times New Roman" w:hAnsi="Times New Roman" w:cs="Times New Roman"/>
          <w:sz w:val="27"/>
          <w:szCs w:val="27"/>
        </w:rPr>
        <w:t>ESMA</w:t>
      </w:r>
      <w:r w:rsidR="00A67D0A">
        <w:rPr>
          <w:rFonts w:ascii="Times New Roman" w:eastAsia="Times New Roman" w:hAnsi="Times New Roman" w:cs="Times New Roman"/>
          <w:sz w:val="27"/>
          <w:szCs w:val="27"/>
          <w:lang w:val="uk-UA"/>
        </w:rPr>
        <w:t xml:space="preserve"> оприлюднює всі такі рішення на своєму веб-сайті впродовж 10 робочих днів з дати ухвалення рішення.</w:t>
      </w:r>
    </w:p>
    <w:p w:rsidR="00DE77B0" w:rsidRPr="00C77CB3" w:rsidRDefault="00A67D0A"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Оприлюднюючи своє рішення, згадане у першому абзаці, </w:t>
      </w:r>
      <w:r>
        <w:rPr>
          <w:rFonts w:ascii="Times New Roman" w:eastAsia="Times New Roman" w:hAnsi="Times New Roman" w:cs="Times New Roman"/>
          <w:sz w:val="27"/>
          <w:szCs w:val="27"/>
        </w:rPr>
        <w:t>ESMA</w:t>
      </w:r>
      <w:r w:rsidR="005B72D4" w:rsidRPr="005B72D4">
        <w:rPr>
          <w:rFonts w:ascii="Times New Roman" w:eastAsia="Times New Roman" w:hAnsi="Times New Roman" w:cs="Times New Roman"/>
          <w:sz w:val="27"/>
          <w:szCs w:val="27"/>
          <w:lang w:val="uk-UA"/>
        </w:rPr>
        <w:t xml:space="preserve"> </w:t>
      </w:r>
      <w:r w:rsidR="005B72D4">
        <w:rPr>
          <w:rFonts w:ascii="Times New Roman" w:eastAsia="Times New Roman" w:hAnsi="Times New Roman" w:cs="Times New Roman"/>
          <w:sz w:val="27"/>
          <w:szCs w:val="27"/>
          <w:lang w:val="uk-UA"/>
        </w:rPr>
        <w:t xml:space="preserve">також оприлюднює інформацію про право відповідного торгового </w:t>
      </w:r>
      <w:proofErr w:type="spellStart"/>
      <w:r w:rsidR="005B72D4">
        <w:rPr>
          <w:rFonts w:ascii="Times New Roman" w:eastAsia="Times New Roman" w:hAnsi="Times New Roman" w:cs="Times New Roman"/>
          <w:sz w:val="27"/>
          <w:szCs w:val="27"/>
          <w:lang w:val="uk-UA"/>
        </w:rPr>
        <w:t>репозитарія</w:t>
      </w:r>
      <w:proofErr w:type="spellEnd"/>
      <w:r w:rsidR="005B72D4">
        <w:rPr>
          <w:rFonts w:ascii="Times New Roman" w:eastAsia="Times New Roman" w:hAnsi="Times New Roman" w:cs="Times New Roman"/>
          <w:sz w:val="27"/>
          <w:szCs w:val="27"/>
          <w:lang w:val="uk-UA"/>
        </w:rPr>
        <w:t xml:space="preserve"> на оскарження рішення, той факт, що така апеляція подана </w:t>
      </w:r>
      <w:r w:rsidR="002B7DBC">
        <w:rPr>
          <w:rFonts w:ascii="Times New Roman" w:eastAsia="Times New Roman" w:hAnsi="Times New Roman" w:cs="Times New Roman"/>
          <w:sz w:val="27"/>
          <w:szCs w:val="27"/>
          <w:lang w:val="uk-UA"/>
        </w:rPr>
        <w:t xml:space="preserve">(у доречних випадках), зазначаючи, що така апеляція не має </w:t>
      </w:r>
      <w:proofErr w:type="spellStart"/>
      <w:r w:rsidR="002B7DBC">
        <w:rPr>
          <w:rFonts w:ascii="Times New Roman" w:eastAsia="Times New Roman" w:hAnsi="Times New Roman" w:cs="Times New Roman"/>
          <w:sz w:val="27"/>
          <w:szCs w:val="27"/>
          <w:lang w:val="uk-UA"/>
        </w:rPr>
        <w:t>призупиняючої</w:t>
      </w:r>
      <w:proofErr w:type="spellEnd"/>
      <w:r w:rsidR="002B7DBC">
        <w:rPr>
          <w:rFonts w:ascii="Times New Roman" w:eastAsia="Times New Roman" w:hAnsi="Times New Roman" w:cs="Times New Roman"/>
          <w:sz w:val="27"/>
          <w:szCs w:val="27"/>
          <w:lang w:val="uk-UA"/>
        </w:rPr>
        <w:t xml:space="preserve"> дії, і те, що </w:t>
      </w:r>
      <w:r w:rsidR="001011FB">
        <w:rPr>
          <w:rFonts w:ascii="Times New Roman" w:eastAsia="Times New Roman" w:hAnsi="Times New Roman" w:cs="Times New Roman"/>
          <w:sz w:val="27"/>
          <w:szCs w:val="27"/>
          <w:lang w:val="uk-UA"/>
        </w:rPr>
        <w:t xml:space="preserve">Апеляційна рада </w:t>
      </w:r>
      <w:r w:rsidR="001011FB">
        <w:rPr>
          <w:rFonts w:ascii="Times New Roman" w:eastAsia="Times New Roman" w:hAnsi="Times New Roman" w:cs="Times New Roman"/>
          <w:sz w:val="27"/>
          <w:szCs w:val="27"/>
        </w:rPr>
        <w:t>ESMA</w:t>
      </w:r>
      <w:r w:rsidR="001011FB">
        <w:rPr>
          <w:rFonts w:ascii="Times New Roman" w:eastAsia="Times New Roman" w:hAnsi="Times New Roman" w:cs="Times New Roman"/>
          <w:sz w:val="27"/>
          <w:szCs w:val="27"/>
          <w:lang w:val="uk-UA"/>
        </w:rPr>
        <w:t xml:space="preserve"> може призупинити застосування оскарженого рішення</w:t>
      </w:r>
      <w:r w:rsidR="00DE77B0" w:rsidRPr="00141F26">
        <w:rPr>
          <w:rFonts w:ascii="Times New Roman" w:eastAsia="Times New Roman" w:hAnsi="Times New Roman" w:cs="Times New Roman"/>
          <w:sz w:val="27"/>
          <w:szCs w:val="27"/>
          <w:lang w:val="uk-UA"/>
        </w:rPr>
        <w:t xml:space="preserve"> </w:t>
      </w:r>
      <w:r w:rsidR="001842E4" w:rsidRPr="00141F26">
        <w:rPr>
          <w:rFonts w:ascii="Times New Roman" w:eastAsia="Times New Roman" w:hAnsi="Times New Roman" w:cs="Times New Roman"/>
          <w:sz w:val="27"/>
          <w:szCs w:val="27"/>
          <w:lang w:val="uk-UA"/>
        </w:rPr>
        <w:t>відповідно до статті</w:t>
      </w:r>
      <w:r w:rsidR="00DE77B0" w:rsidRPr="00141F26">
        <w:rPr>
          <w:rFonts w:ascii="Times New Roman" w:eastAsia="Times New Roman" w:hAnsi="Times New Roman" w:cs="Times New Roman"/>
          <w:sz w:val="27"/>
          <w:szCs w:val="27"/>
          <w:lang w:val="uk-UA"/>
        </w:rPr>
        <w:t xml:space="preserve"> 60(3) </w:t>
      </w:r>
      <w:r w:rsidR="00AC2299" w:rsidRPr="00141F26">
        <w:rPr>
          <w:rFonts w:ascii="Times New Roman" w:eastAsia="Times New Roman" w:hAnsi="Times New Roman" w:cs="Times New Roman"/>
          <w:sz w:val="27"/>
          <w:szCs w:val="27"/>
          <w:lang w:val="uk-UA"/>
        </w:rPr>
        <w:t>Регламенту (</w:t>
      </w:r>
      <w:r w:rsidR="00AC2299">
        <w:rPr>
          <w:rFonts w:ascii="Times New Roman" w:eastAsia="Times New Roman" w:hAnsi="Times New Roman" w:cs="Times New Roman"/>
          <w:sz w:val="27"/>
          <w:szCs w:val="27"/>
        </w:rPr>
        <w:t>EU</w:t>
      </w:r>
      <w:r w:rsidR="00AC2299" w:rsidRPr="00141F26">
        <w:rPr>
          <w:rFonts w:ascii="Times New Roman" w:eastAsia="Times New Roman" w:hAnsi="Times New Roman" w:cs="Times New Roman"/>
          <w:sz w:val="27"/>
          <w:szCs w:val="27"/>
          <w:lang w:val="uk-UA"/>
        </w:rPr>
        <w:t>) №</w:t>
      </w:r>
      <w:r w:rsidR="00DE77B0" w:rsidRPr="006279CF">
        <w:rPr>
          <w:rFonts w:ascii="Times New Roman" w:eastAsia="Times New Roman" w:hAnsi="Times New Roman" w:cs="Times New Roman"/>
          <w:sz w:val="27"/>
          <w:szCs w:val="27"/>
        </w:rPr>
        <w:t> </w:t>
      </w:r>
      <w:r w:rsidR="00DE77B0" w:rsidRPr="00141F26">
        <w:rPr>
          <w:rFonts w:ascii="Times New Roman" w:eastAsia="Times New Roman" w:hAnsi="Times New Roman" w:cs="Times New Roman"/>
          <w:sz w:val="27"/>
          <w:szCs w:val="27"/>
          <w:lang w:val="uk-UA"/>
        </w:rPr>
        <w:t>1095/2010.</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77CB3">
        <w:rPr>
          <w:rFonts w:ascii="Times New Roman" w:eastAsia="Times New Roman" w:hAnsi="Times New Roman" w:cs="Times New Roman"/>
          <w:i/>
          <w:iCs/>
          <w:sz w:val="27"/>
          <w:szCs w:val="27"/>
          <w:lang w:val="ru-RU"/>
        </w:rPr>
        <w:t>Стаття</w:t>
      </w:r>
      <w:proofErr w:type="spellEnd"/>
      <w:r w:rsidR="00DE77B0" w:rsidRPr="00C77CB3">
        <w:rPr>
          <w:rFonts w:ascii="Times New Roman" w:eastAsia="Times New Roman" w:hAnsi="Times New Roman" w:cs="Times New Roman"/>
          <w:i/>
          <w:iCs/>
          <w:sz w:val="27"/>
          <w:szCs w:val="27"/>
          <w:lang w:val="ru-RU"/>
        </w:rPr>
        <w:t xml:space="preserve"> 74</w:t>
      </w:r>
    </w:p>
    <w:p w:rsidR="00DE77B0" w:rsidRPr="00AC6990" w:rsidRDefault="00AC6990"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 xml:space="preserve">Делегування завдань </w:t>
      </w:r>
      <w:r w:rsidR="00DE77B0" w:rsidRPr="006279CF">
        <w:rPr>
          <w:rFonts w:ascii="Times New Roman" w:eastAsia="Times New Roman" w:hAnsi="Times New Roman" w:cs="Times New Roman"/>
          <w:b/>
          <w:bCs/>
          <w:sz w:val="27"/>
          <w:szCs w:val="27"/>
        </w:rPr>
        <w:t>ESMA</w:t>
      </w:r>
      <w:r w:rsidR="00DE77B0" w:rsidRPr="0077592E">
        <w:rPr>
          <w:rFonts w:ascii="Times New Roman" w:eastAsia="Times New Roman" w:hAnsi="Times New Roman" w:cs="Times New Roman"/>
          <w:b/>
          <w:bCs/>
          <w:sz w:val="27"/>
          <w:szCs w:val="27"/>
          <w:lang w:val="ru-RU"/>
        </w:rPr>
        <w:t xml:space="preserve"> </w:t>
      </w:r>
      <w:r>
        <w:rPr>
          <w:rFonts w:ascii="Times New Roman" w:eastAsia="Times New Roman" w:hAnsi="Times New Roman" w:cs="Times New Roman"/>
          <w:b/>
          <w:bCs/>
          <w:sz w:val="27"/>
          <w:szCs w:val="27"/>
          <w:lang w:val="uk-UA"/>
        </w:rPr>
        <w:t>компетентним органам</w:t>
      </w:r>
    </w:p>
    <w:p w:rsidR="00DE77B0" w:rsidRPr="00027833" w:rsidRDefault="00DE77B0" w:rsidP="0077592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77592E">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77592E">
        <w:rPr>
          <w:rFonts w:ascii="Times New Roman" w:eastAsia="Times New Roman" w:hAnsi="Times New Roman" w:cs="Times New Roman"/>
          <w:sz w:val="27"/>
          <w:szCs w:val="27"/>
          <w:lang w:val="uk-UA"/>
        </w:rPr>
        <w:t xml:space="preserve">Якщо це необхідно для належного виконання наглядового завдання, </w:t>
      </w:r>
      <w:r w:rsidR="0077592E">
        <w:rPr>
          <w:rFonts w:ascii="Times New Roman" w:eastAsia="Times New Roman" w:hAnsi="Times New Roman" w:cs="Times New Roman"/>
          <w:sz w:val="27"/>
          <w:szCs w:val="27"/>
        </w:rPr>
        <w:t>ESMA</w:t>
      </w:r>
      <w:r w:rsidR="0077592E">
        <w:rPr>
          <w:rFonts w:ascii="Times New Roman" w:eastAsia="Times New Roman" w:hAnsi="Times New Roman" w:cs="Times New Roman"/>
          <w:sz w:val="27"/>
          <w:szCs w:val="27"/>
          <w:lang w:val="uk-UA"/>
        </w:rPr>
        <w:t xml:space="preserve"> може делегувати виконання конкретних наглядових завдань компетентному органові держави-члена Союзу відповідно до керівних принципів, виданих </w:t>
      </w:r>
      <w:r w:rsidR="0077592E">
        <w:rPr>
          <w:rFonts w:ascii="Times New Roman" w:eastAsia="Times New Roman" w:hAnsi="Times New Roman" w:cs="Times New Roman"/>
          <w:sz w:val="27"/>
          <w:szCs w:val="27"/>
        </w:rPr>
        <w:t>ESMA</w:t>
      </w:r>
      <w:r w:rsidR="0077592E">
        <w:rPr>
          <w:rFonts w:ascii="Times New Roman" w:eastAsia="Times New Roman" w:hAnsi="Times New Roman" w:cs="Times New Roman"/>
          <w:sz w:val="27"/>
          <w:szCs w:val="27"/>
          <w:lang w:val="uk-UA"/>
        </w:rPr>
        <w:t xml:space="preserve"> на виконання статті 16</w:t>
      </w:r>
      <w:r w:rsidRPr="0077592E">
        <w:rPr>
          <w:rFonts w:ascii="Times New Roman" w:eastAsia="Times New Roman" w:hAnsi="Times New Roman" w:cs="Times New Roman"/>
          <w:sz w:val="27"/>
          <w:szCs w:val="27"/>
          <w:lang w:val="ru-RU"/>
        </w:rPr>
        <w:t xml:space="preserve"> </w:t>
      </w:r>
      <w:r w:rsidR="00AC2299" w:rsidRPr="0077592E">
        <w:rPr>
          <w:rFonts w:ascii="Times New Roman" w:eastAsia="Times New Roman" w:hAnsi="Times New Roman" w:cs="Times New Roman"/>
          <w:sz w:val="27"/>
          <w:szCs w:val="27"/>
          <w:lang w:val="ru-RU"/>
        </w:rPr>
        <w:t>Регламенту (</w:t>
      </w:r>
      <w:r w:rsidR="00AC2299">
        <w:rPr>
          <w:rFonts w:ascii="Times New Roman" w:eastAsia="Times New Roman" w:hAnsi="Times New Roman" w:cs="Times New Roman"/>
          <w:sz w:val="27"/>
          <w:szCs w:val="27"/>
        </w:rPr>
        <w:t>EU</w:t>
      </w:r>
      <w:r w:rsidR="00AC2299" w:rsidRPr="0077592E">
        <w:rPr>
          <w:rFonts w:ascii="Times New Roman" w:eastAsia="Times New Roman" w:hAnsi="Times New Roman" w:cs="Times New Roman"/>
          <w:sz w:val="27"/>
          <w:szCs w:val="27"/>
          <w:lang w:val="ru-RU"/>
        </w:rPr>
        <w:t>) №</w:t>
      </w:r>
      <w:r w:rsidRPr="006279CF">
        <w:rPr>
          <w:rFonts w:ascii="Times New Roman" w:eastAsia="Times New Roman" w:hAnsi="Times New Roman" w:cs="Times New Roman"/>
          <w:sz w:val="27"/>
          <w:szCs w:val="27"/>
        </w:rPr>
        <w:t> </w:t>
      </w:r>
      <w:r w:rsidRPr="0077592E">
        <w:rPr>
          <w:rFonts w:ascii="Times New Roman" w:eastAsia="Times New Roman" w:hAnsi="Times New Roman" w:cs="Times New Roman"/>
          <w:sz w:val="27"/>
          <w:szCs w:val="27"/>
          <w:lang w:val="ru-RU"/>
        </w:rPr>
        <w:t xml:space="preserve">1095/2010. </w:t>
      </w:r>
      <w:r w:rsidR="00DF7935">
        <w:rPr>
          <w:rFonts w:ascii="Times New Roman" w:eastAsia="Times New Roman" w:hAnsi="Times New Roman" w:cs="Times New Roman"/>
          <w:sz w:val="27"/>
          <w:szCs w:val="27"/>
          <w:lang w:val="uk-UA"/>
        </w:rPr>
        <w:t xml:space="preserve">Такі конкретні наглядові завдання можуть, зокрема, включати повноваження на подання запитів </w:t>
      </w:r>
      <w:r w:rsidR="00027833">
        <w:rPr>
          <w:rFonts w:ascii="Times New Roman" w:eastAsia="Times New Roman" w:hAnsi="Times New Roman" w:cs="Times New Roman"/>
          <w:sz w:val="27"/>
          <w:szCs w:val="27"/>
          <w:lang w:val="uk-UA"/>
        </w:rPr>
        <w:t xml:space="preserve">на отримання </w:t>
      </w:r>
      <w:r w:rsidR="00DF7935">
        <w:rPr>
          <w:rFonts w:ascii="Times New Roman" w:eastAsia="Times New Roman" w:hAnsi="Times New Roman" w:cs="Times New Roman"/>
          <w:sz w:val="27"/>
          <w:szCs w:val="27"/>
          <w:lang w:val="uk-UA"/>
        </w:rPr>
        <w:t xml:space="preserve">інформації </w:t>
      </w:r>
      <w:proofErr w:type="spellStart"/>
      <w:r w:rsidR="001842E4" w:rsidRPr="00027833">
        <w:rPr>
          <w:rFonts w:ascii="Times New Roman" w:eastAsia="Times New Roman" w:hAnsi="Times New Roman" w:cs="Times New Roman"/>
          <w:sz w:val="27"/>
          <w:szCs w:val="27"/>
          <w:lang w:val="ru-RU"/>
        </w:rPr>
        <w:t>відповідно</w:t>
      </w:r>
      <w:proofErr w:type="spellEnd"/>
      <w:r w:rsidR="001842E4" w:rsidRPr="00027833">
        <w:rPr>
          <w:rFonts w:ascii="Times New Roman" w:eastAsia="Times New Roman" w:hAnsi="Times New Roman" w:cs="Times New Roman"/>
          <w:sz w:val="27"/>
          <w:szCs w:val="27"/>
          <w:lang w:val="ru-RU"/>
        </w:rPr>
        <w:t xml:space="preserve"> до </w:t>
      </w:r>
      <w:proofErr w:type="spellStart"/>
      <w:r w:rsidR="001842E4" w:rsidRPr="00027833">
        <w:rPr>
          <w:rFonts w:ascii="Times New Roman" w:eastAsia="Times New Roman" w:hAnsi="Times New Roman" w:cs="Times New Roman"/>
          <w:sz w:val="27"/>
          <w:szCs w:val="27"/>
          <w:lang w:val="ru-RU"/>
        </w:rPr>
        <w:t>статті</w:t>
      </w:r>
      <w:proofErr w:type="spellEnd"/>
      <w:r w:rsidRPr="00027833">
        <w:rPr>
          <w:rFonts w:ascii="Times New Roman" w:eastAsia="Times New Roman" w:hAnsi="Times New Roman" w:cs="Times New Roman"/>
          <w:sz w:val="27"/>
          <w:szCs w:val="27"/>
          <w:lang w:val="ru-RU"/>
        </w:rPr>
        <w:t xml:space="preserve"> 61 </w:t>
      </w:r>
      <w:r w:rsidR="00027833">
        <w:rPr>
          <w:rFonts w:ascii="Times New Roman" w:eastAsia="Times New Roman" w:hAnsi="Times New Roman" w:cs="Times New Roman"/>
          <w:sz w:val="27"/>
          <w:szCs w:val="27"/>
          <w:lang w:val="ru-RU"/>
        </w:rPr>
        <w:t xml:space="preserve">і на </w:t>
      </w:r>
      <w:r w:rsidR="00027833">
        <w:rPr>
          <w:rFonts w:ascii="Times New Roman" w:eastAsia="Times New Roman" w:hAnsi="Times New Roman" w:cs="Times New Roman"/>
          <w:sz w:val="27"/>
          <w:szCs w:val="27"/>
          <w:lang w:val="uk-UA"/>
        </w:rPr>
        <w:t>проведення розслідувань і виїзних перевірок</w:t>
      </w:r>
      <w:r w:rsidR="001842E4" w:rsidRPr="00027833">
        <w:rPr>
          <w:rFonts w:ascii="Times New Roman" w:eastAsia="Times New Roman" w:hAnsi="Times New Roman" w:cs="Times New Roman"/>
          <w:sz w:val="27"/>
          <w:szCs w:val="27"/>
          <w:lang w:val="ru-RU"/>
        </w:rPr>
        <w:t xml:space="preserve"> до </w:t>
      </w:r>
      <w:proofErr w:type="spellStart"/>
      <w:r w:rsidR="001842E4" w:rsidRPr="00027833">
        <w:rPr>
          <w:rFonts w:ascii="Times New Roman" w:eastAsia="Times New Roman" w:hAnsi="Times New Roman" w:cs="Times New Roman"/>
          <w:sz w:val="27"/>
          <w:szCs w:val="27"/>
          <w:lang w:val="ru-RU"/>
        </w:rPr>
        <w:t>статті</w:t>
      </w:r>
      <w:proofErr w:type="spellEnd"/>
      <w:r w:rsidRPr="00027833">
        <w:rPr>
          <w:rFonts w:ascii="Times New Roman" w:eastAsia="Times New Roman" w:hAnsi="Times New Roman" w:cs="Times New Roman"/>
          <w:sz w:val="27"/>
          <w:szCs w:val="27"/>
          <w:lang w:val="ru-RU"/>
        </w:rPr>
        <w:t xml:space="preserve"> 62 </w:t>
      </w:r>
      <w:r w:rsidR="00027833">
        <w:rPr>
          <w:rFonts w:ascii="Times New Roman" w:eastAsia="Times New Roman" w:hAnsi="Times New Roman" w:cs="Times New Roman"/>
          <w:sz w:val="27"/>
          <w:szCs w:val="27"/>
          <w:lang w:val="uk-UA"/>
        </w:rPr>
        <w:t>та статті</w:t>
      </w:r>
      <w:r w:rsidRPr="00027833">
        <w:rPr>
          <w:rFonts w:ascii="Times New Roman" w:eastAsia="Times New Roman" w:hAnsi="Times New Roman" w:cs="Times New Roman"/>
          <w:sz w:val="27"/>
          <w:szCs w:val="27"/>
          <w:lang w:val="ru-RU"/>
        </w:rPr>
        <w:t xml:space="preserve"> 63(6).</w:t>
      </w:r>
    </w:p>
    <w:p w:rsidR="00027833" w:rsidRPr="0002783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027833">
        <w:rPr>
          <w:rFonts w:ascii="Times New Roman" w:eastAsia="Times New Roman" w:hAnsi="Times New Roman" w:cs="Times New Roman"/>
          <w:sz w:val="27"/>
          <w:szCs w:val="27"/>
          <w:lang w:val="uk-UA"/>
        </w:rPr>
        <w:t xml:space="preserve">Перш ніж делегувати виконання завдання, </w:t>
      </w:r>
      <w:r w:rsidR="00027833">
        <w:rPr>
          <w:rFonts w:ascii="Times New Roman" w:eastAsia="Times New Roman" w:hAnsi="Times New Roman" w:cs="Times New Roman"/>
          <w:sz w:val="27"/>
          <w:szCs w:val="27"/>
        </w:rPr>
        <w:t>ESMA</w:t>
      </w:r>
      <w:r w:rsidR="00027833">
        <w:rPr>
          <w:rFonts w:ascii="Times New Roman" w:eastAsia="Times New Roman" w:hAnsi="Times New Roman" w:cs="Times New Roman"/>
          <w:sz w:val="27"/>
          <w:szCs w:val="27"/>
          <w:lang w:val="uk-UA"/>
        </w:rPr>
        <w:t xml:space="preserve"> консультується з відповідним компетентним органом. Така ко</w:t>
      </w:r>
      <w:r w:rsidR="00551546">
        <w:rPr>
          <w:rFonts w:ascii="Times New Roman" w:eastAsia="Times New Roman" w:hAnsi="Times New Roman" w:cs="Times New Roman"/>
          <w:sz w:val="27"/>
          <w:szCs w:val="27"/>
          <w:lang w:val="uk-UA"/>
        </w:rPr>
        <w:t>нсультація стосується:</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85"/>
        <w:gridCol w:w="8780"/>
      </w:tblGrid>
      <w:tr w:rsidR="00551546" w:rsidRPr="00113714" w:rsidTr="00D70424">
        <w:tc>
          <w:tcPr>
            <w:tcW w:w="362"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4638"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551546" w:rsidRDefault="00551546" w:rsidP="00551546">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обсягу завдання, що планується делегувати;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8963"/>
      </w:tblGrid>
      <w:tr w:rsidR="00551546" w:rsidRPr="006279CF" w:rsidTr="00551546">
        <w:tc>
          <w:tcPr>
            <w:tcW w:w="26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47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551546" w:rsidP="00551546">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графіку виконання завдання;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3"/>
        <w:gridCol w:w="8942"/>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D70424" w:rsidRDefault="00D70424" w:rsidP="00D70424">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Передачі необхідної інформації самою </w:t>
            </w:r>
            <w:r>
              <w:rPr>
                <w:rFonts w:ascii="Times New Roman" w:eastAsia="Times New Roman" w:hAnsi="Times New Roman" w:cs="Times New Roman"/>
                <w:sz w:val="27"/>
                <w:szCs w:val="27"/>
              </w:rPr>
              <w:t>ESMA</w:t>
            </w:r>
            <w:r w:rsidRPr="00D70424">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 xml:space="preserve">та до </w:t>
            </w:r>
            <w:r>
              <w:rPr>
                <w:rFonts w:ascii="Times New Roman" w:eastAsia="Times New Roman" w:hAnsi="Times New Roman" w:cs="Times New Roman"/>
                <w:sz w:val="27"/>
                <w:szCs w:val="27"/>
              </w:rPr>
              <w:t>ESMA</w:t>
            </w:r>
            <w:r w:rsidRPr="00D70424">
              <w:rPr>
                <w:rFonts w:ascii="Times New Roman" w:eastAsia="Times New Roman" w:hAnsi="Times New Roman" w:cs="Times New Roman"/>
                <w:sz w:val="27"/>
                <w:szCs w:val="27"/>
                <w:lang w:val="ru-RU"/>
              </w:rPr>
              <w:t>.</w:t>
            </w:r>
          </w:p>
        </w:tc>
      </w:tr>
    </w:tbl>
    <w:p w:rsidR="00DE77B0" w:rsidRPr="00C77CB3" w:rsidRDefault="00DE77B0" w:rsidP="00D7042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lastRenderedPageBreak/>
        <w:t>3.</w:t>
      </w:r>
      <w:r w:rsidRPr="006279CF">
        <w:rPr>
          <w:rFonts w:ascii="Times New Roman" w:eastAsia="Times New Roman" w:hAnsi="Times New Roman" w:cs="Times New Roman"/>
          <w:sz w:val="27"/>
          <w:szCs w:val="27"/>
        </w:rPr>
        <w:t>   </w:t>
      </w:r>
      <w:r w:rsidR="00D70424">
        <w:rPr>
          <w:rFonts w:ascii="Times New Roman" w:eastAsia="Times New Roman" w:hAnsi="Times New Roman" w:cs="Times New Roman"/>
          <w:sz w:val="27"/>
          <w:szCs w:val="27"/>
          <w:lang w:val="uk-UA"/>
        </w:rPr>
        <w:t xml:space="preserve">У відповідності до порядку регулювання оплати, прийнятого Комісією на виконання статті 72(3), </w:t>
      </w:r>
      <w:r w:rsidR="00D70424">
        <w:rPr>
          <w:rFonts w:ascii="Times New Roman" w:eastAsia="Times New Roman" w:hAnsi="Times New Roman" w:cs="Times New Roman"/>
          <w:sz w:val="27"/>
          <w:szCs w:val="27"/>
        </w:rPr>
        <w:t>ESMA</w:t>
      </w:r>
      <w:r w:rsidR="00D70424">
        <w:rPr>
          <w:rFonts w:ascii="Times New Roman" w:eastAsia="Times New Roman" w:hAnsi="Times New Roman" w:cs="Times New Roman"/>
          <w:sz w:val="27"/>
          <w:szCs w:val="27"/>
          <w:lang w:val="uk-UA"/>
        </w:rPr>
        <w:t xml:space="preserve"> відшкодовує компетентному органові всі витрати, понесені цим органом у результаті виконання делегованих завдань.</w:t>
      </w:r>
    </w:p>
    <w:p w:rsidR="00DE77B0" w:rsidRPr="00C77CB3" w:rsidRDefault="00DE77B0" w:rsidP="002F03F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ESMA</w:t>
      </w:r>
      <w:r w:rsidRPr="00C77CB3">
        <w:rPr>
          <w:rFonts w:ascii="Times New Roman" w:eastAsia="Times New Roman" w:hAnsi="Times New Roman" w:cs="Times New Roman"/>
          <w:sz w:val="27"/>
          <w:szCs w:val="27"/>
          <w:lang w:val="ru-RU"/>
        </w:rPr>
        <w:t xml:space="preserve"> </w:t>
      </w:r>
      <w:r w:rsidR="002F03F3">
        <w:rPr>
          <w:rFonts w:ascii="Times New Roman" w:eastAsia="Times New Roman" w:hAnsi="Times New Roman" w:cs="Times New Roman"/>
          <w:sz w:val="27"/>
          <w:szCs w:val="27"/>
          <w:lang w:val="uk-UA"/>
        </w:rPr>
        <w:t>переглядає своє рішення, згадане у пункті 1 цієї статті, через певні проміжки часу. Рішення про делегування завдань може бути скасовано у будь-який час.</w:t>
      </w:r>
    </w:p>
    <w:p w:rsidR="00DE77B0" w:rsidRPr="00C77CB3" w:rsidRDefault="00DE77B0" w:rsidP="00775732">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2F03F3">
        <w:rPr>
          <w:rFonts w:ascii="Times New Roman" w:eastAsia="Times New Roman" w:hAnsi="Times New Roman" w:cs="Times New Roman"/>
          <w:sz w:val="27"/>
          <w:szCs w:val="27"/>
          <w:lang w:val="uk-UA"/>
        </w:rPr>
        <w:t xml:space="preserve">Делегування завдань не впливає на відповідальність </w:t>
      </w:r>
      <w:r w:rsidR="002F03F3">
        <w:rPr>
          <w:rFonts w:ascii="Times New Roman" w:eastAsia="Times New Roman" w:hAnsi="Times New Roman" w:cs="Times New Roman"/>
          <w:sz w:val="27"/>
          <w:szCs w:val="27"/>
        </w:rPr>
        <w:t>ESMA</w:t>
      </w:r>
      <w:r w:rsidR="002F03F3">
        <w:rPr>
          <w:rFonts w:ascii="Times New Roman" w:eastAsia="Times New Roman" w:hAnsi="Times New Roman" w:cs="Times New Roman"/>
          <w:sz w:val="27"/>
          <w:szCs w:val="27"/>
          <w:lang w:val="uk-UA"/>
        </w:rPr>
        <w:t xml:space="preserve"> і не обмежує здатність </w:t>
      </w:r>
      <w:r w:rsidR="002F03F3">
        <w:rPr>
          <w:rFonts w:ascii="Times New Roman" w:eastAsia="Times New Roman" w:hAnsi="Times New Roman" w:cs="Times New Roman"/>
          <w:sz w:val="27"/>
          <w:szCs w:val="27"/>
        </w:rPr>
        <w:t>ESMA</w:t>
      </w:r>
      <w:r w:rsidR="002F03F3">
        <w:rPr>
          <w:rFonts w:ascii="Times New Roman" w:eastAsia="Times New Roman" w:hAnsi="Times New Roman" w:cs="Times New Roman"/>
          <w:sz w:val="27"/>
          <w:szCs w:val="27"/>
          <w:lang w:val="uk-UA"/>
        </w:rPr>
        <w:t xml:space="preserve"> вести діяльність, виконання котрої делеговано, та наглядати за її виконанням. Обов’язки щодо нагляду, передбачені цим регламентом, зокрема ухвалення рішень про реєстрацію, проведення підсумкових оцінок і прийняття рішень за результатами усунення порушень</w:t>
      </w:r>
      <w:r w:rsidR="00775732">
        <w:rPr>
          <w:rFonts w:ascii="Times New Roman" w:eastAsia="Times New Roman" w:hAnsi="Times New Roman" w:cs="Times New Roman"/>
          <w:sz w:val="27"/>
          <w:szCs w:val="27"/>
          <w:lang w:val="uk-UA"/>
        </w:rPr>
        <w:t>, не делегуються.</w:t>
      </w:r>
    </w:p>
    <w:p w:rsidR="00AC6990" w:rsidRDefault="00AC6990" w:rsidP="00187079">
      <w:pPr>
        <w:shd w:val="clear" w:color="auto" w:fill="FFFFFF"/>
        <w:spacing w:after="0" w:line="240" w:lineRule="auto"/>
        <w:jc w:val="center"/>
        <w:textAlignment w:val="baseline"/>
        <w:rPr>
          <w:rFonts w:ascii="Times New Roman" w:eastAsia="Times New Roman" w:hAnsi="Times New Roman" w:cs="Times New Roman"/>
          <w:b/>
          <w:bCs/>
          <w:i/>
          <w:iCs/>
          <w:sz w:val="27"/>
          <w:szCs w:val="27"/>
          <w:bdr w:val="none" w:sz="0" w:space="0" w:color="auto" w:frame="1"/>
          <w:lang w:val="uk-UA"/>
        </w:rPr>
      </w:pPr>
    </w:p>
    <w:p w:rsidR="00DE77B0" w:rsidRPr="00C77CB3" w:rsidRDefault="00AC6990"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i/>
          <w:iCs/>
          <w:sz w:val="27"/>
          <w:szCs w:val="27"/>
          <w:bdr w:val="none" w:sz="0" w:space="0" w:color="auto" w:frame="1"/>
          <w:lang w:val="uk-UA"/>
        </w:rPr>
        <w:t>ГЛАВА</w:t>
      </w:r>
      <w:r w:rsidR="00DE77B0" w:rsidRPr="00C77CB3">
        <w:rPr>
          <w:rFonts w:ascii="Times New Roman" w:eastAsia="Times New Roman" w:hAnsi="Times New Roman" w:cs="Times New Roman"/>
          <w:b/>
          <w:bCs/>
          <w:i/>
          <w:iCs/>
          <w:sz w:val="27"/>
          <w:szCs w:val="27"/>
          <w:bdr w:val="none" w:sz="0" w:space="0" w:color="auto" w:frame="1"/>
          <w:lang w:val="ru-RU"/>
        </w:rPr>
        <w:t xml:space="preserve"> 2</w:t>
      </w:r>
    </w:p>
    <w:p w:rsidR="00DE77B0" w:rsidRPr="00AC6990" w:rsidRDefault="00AC6990"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i/>
          <w:iCs/>
          <w:sz w:val="27"/>
          <w:szCs w:val="27"/>
          <w:bdr w:val="none" w:sz="0" w:space="0" w:color="auto" w:frame="1"/>
          <w:lang w:val="uk-UA"/>
        </w:rPr>
        <w:t>Відносини з третіми країнами</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77CB3">
        <w:rPr>
          <w:rFonts w:ascii="Times New Roman" w:eastAsia="Times New Roman" w:hAnsi="Times New Roman" w:cs="Times New Roman"/>
          <w:i/>
          <w:iCs/>
          <w:sz w:val="27"/>
          <w:szCs w:val="27"/>
          <w:lang w:val="ru-RU"/>
        </w:rPr>
        <w:t>Стаття</w:t>
      </w:r>
      <w:proofErr w:type="spellEnd"/>
      <w:r w:rsidR="00DE77B0" w:rsidRPr="00C77CB3">
        <w:rPr>
          <w:rFonts w:ascii="Times New Roman" w:eastAsia="Times New Roman" w:hAnsi="Times New Roman" w:cs="Times New Roman"/>
          <w:i/>
          <w:iCs/>
          <w:sz w:val="27"/>
          <w:szCs w:val="27"/>
          <w:lang w:val="ru-RU"/>
        </w:rPr>
        <w:t xml:space="preserve"> 75</w:t>
      </w:r>
    </w:p>
    <w:p w:rsidR="00DE77B0" w:rsidRPr="00C77CB3" w:rsidRDefault="00601E12"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Еквівалентність і міжнародні угоди</w:t>
      </w:r>
    </w:p>
    <w:p w:rsidR="00DE77B0" w:rsidRPr="00C77CB3" w:rsidRDefault="00DE77B0" w:rsidP="008E6C16">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8E6C16">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8E6C16">
        <w:rPr>
          <w:rFonts w:ascii="Times New Roman" w:eastAsia="Times New Roman" w:hAnsi="Times New Roman" w:cs="Times New Roman"/>
          <w:sz w:val="27"/>
          <w:szCs w:val="27"/>
          <w:lang w:val="uk-UA"/>
        </w:rPr>
        <w:t>Комісія може прийняти виконавчий акт, у якому буде встановлено, що юридичні та наглядові механізми третьої країни повинні забезпечити, щоб:</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8E6C16" w:rsidP="008E6C16">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торгові </w:t>
            </w:r>
            <w:proofErr w:type="spellStart"/>
            <w:r>
              <w:rPr>
                <w:rFonts w:ascii="Times New Roman" w:eastAsia="Times New Roman" w:hAnsi="Times New Roman" w:cs="Times New Roman"/>
                <w:sz w:val="27"/>
                <w:szCs w:val="27"/>
                <w:lang w:val="uk-UA"/>
              </w:rPr>
              <w:t>репозитарії</w:t>
            </w:r>
            <w:proofErr w:type="spellEnd"/>
            <w:r>
              <w:rPr>
                <w:rFonts w:ascii="Times New Roman" w:eastAsia="Times New Roman" w:hAnsi="Times New Roman" w:cs="Times New Roman"/>
                <w:sz w:val="27"/>
                <w:szCs w:val="27"/>
                <w:lang w:val="uk-UA"/>
              </w:rPr>
              <w:t>, уповноважені у цій третій країні, дотримуються юридично обов’язкових вимог, які еквівалентні вимогам, викладеним у цьому регламенті;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C23409" w:rsidP="00C2340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у цій третій країні постійно здійснюється ефективний нагляд за діяльністю торгових репозитаріїв і контроль виконання ними своїх зобов’язань;</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2A2BDF" w:rsidP="007F473E">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існують гарантії збереження професійної таємниці, зокрема захисту комерційних секретів, якими відповідні органи діляться з третіми особами, і ці гарантії як мінімум еквівалентні гарантіям, установленим у цьому регламенті.</w:t>
            </w:r>
          </w:p>
        </w:tc>
      </w:tr>
    </w:tbl>
    <w:p w:rsidR="007F473E" w:rsidRDefault="007F473E"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Вищезгаданий виконавчий акт приймається відповідно до </w:t>
      </w:r>
      <w:r w:rsidR="00981508">
        <w:rPr>
          <w:rFonts w:ascii="Times New Roman" w:eastAsia="Times New Roman" w:hAnsi="Times New Roman" w:cs="Times New Roman"/>
          <w:sz w:val="27"/>
          <w:szCs w:val="27"/>
          <w:lang w:val="uk-UA"/>
        </w:rPr>
        <w:t>процедури розгляду, передбаченої у статті 86(2).</w:t>
      </w:r>
    </w:p>
    <w:p w:rsidR="00981508" w:rsidRPr="00981508"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981508">
        <w:rPr>
          <w:rFonts w:ascii="Times New Roman" w:eastAsia="Times New Roman" w:hAnsi="Times New Roman" w:cs="Times New Roman"/>
          <w:sz w:val="27"/>
          <w:szCs w:val="27"/>
          <w:lang w:val="uk-UA"/>
        </w:rPr>
        <w:t xml:space="preserve">Де доречно, але в будь-якому випадку після прийняття виконавчого акту, згаданого у пункті 1 цієї статті, Комісія подає до Ради рекомендації щодо укладення міжнародних угод із відповідними третіми країнами стосовно взаємного доступу до контрактів на деривативи, що зберігаються у торгових репозитаріїв, створених у цій третій країні, та стосовно обміну інформацією про такі контракти, у спосіб, що забезпечує негайний та постійний доступ органів </w:t>
      </w:r>
      <w:r w:rsidR="00981508">
        <w:rPr>
          <w:rFonts w:ascii="Times New Roman" w:eastAsia="Times New Roman" w:hAnsi="Times New Roman" w:cs="Times New Roman"/>
          <w:sz w:val="27"/>
          <w:szCs w:val="27"/>
          <w:lang w:val="uk-UA"/>
        </w:rPr>
        <w:lastRenderedPageBreak/>
        <w:t xml:space="preserve">Союзу, зокрема </w:t>
      </w:r>
      <w:r w:rsidR="00981508">
        <w:rPr>
          <w:rFonts w:ascii="Times New Roman" w:eastAsia="Times New Roman" w:hAnsi="Times New Roman" w:cs="Times New Roman"/>
          <w:sz w:val="27"/>
          <w:szCs w:val="27"/>
        </w:rPr>
        <w:t>ESMA</w:t>
      </w:r>
      <w:r w:rsidR="00981508">
        <w:rPr>
          <w:rFonts w:ascii="Times New Roman" w:eastAsia="Times New Roman" w:hAnsi="Times New Roman" w:cs="Times New Roman"/>
          <w:sz w:val="27"/>
          <w:szCs w:val="27"/>
          <w:lang w:val="uk-UA"/>
        </w:rPr>
        <w:t xml:space="preserve">, до всієї інформації, потрібної для виконання </w:t>
      </w:r>
      <w:r w:rsidR="00906248">
        <w:rPr>
          <w:rFonts w:ascii="Times New Roman" w:eastAsia="Times New Roman" w:hAnsi="Times New Roman" w:cs="Times New Roman"/>
          <w:sz w:val="27"/>
          <w:szCs w:val="27"/>
          <w:lang w:val="uk-UA"/>
        </w:rPr>
        <w:t>ними своїх</w:t>
      </w:r>
      <w:r w:rsidR="00981508">
        <w:rPr>
          <w:rFonts w:ascii="Times New Roman" w:eastAsia="Times New Roman" w:hAnsi="Times New Roman" w:cs="Times New Roman"/>
          <w:sz w:val="27"/>
          <w:szCs w:val="27"/>
          <w:lang w:val="uk-UA"/>
        </w:rPr>
        <w:t xml:space="preserve"> обов’язків.</w:t>
      </w:r>
    </w:p>
    <w:p w:rsidR="00906248" w:rsidRPr="00716D2E"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906248">
        <w:rPr>
          <w:rFonts w:ascii="Times New Roman" w:eastAsia="Times New Roman" w:hAnsi="Times New Roman" w:cs="Times New Roman"/>
          <w:sz w:val="27"/>
          <w:szCs w:val="27"/>
          <w:lang w:val="uk-UA"/>
        </w:rPr>
        <w:t xml:space="preserve">Після укладення угод, згаданих у пункті 2 цієї статті, та у відповідності до них, </w:t>
      </w:r>
      <w:r w:rsidR="00906248">
        <w:rPr>
          <w:rFonts w:ascii="Times New Roman" w:eastAsia="Times New Roman" w:hAnsi="Times New Roman" w:cs="Times New Roman"/>
          <w:sz w:val="27"/>
          <w:szCs w:val="27"/>
        </w:rPr>
        <w:t>ESMA</w:t>
      </w:r>
      <w:r w:rsidR="00906248">
        <w:rPr>
          <w:rFonts w:ascii="Times New Roman" w:eastAsia="Times New Roman" w:hAnsi="Times New Roman" w:cs="Times New Roman"/>
          <w:sz w:val="27"/>
          <w:szCs w:val="27"/>
          <w:lang w:val="uk-UA"/>
        </w:rPr>
        <w:t xml:space="preserve"> </w:t>
      </w:r>
      <w:r w:rsidR="00EC7526">
        <w:rPr>
          <w:rFonts w:ascii="Times New Roman" w:eastAsia="Times New Roman" w:hAnsi="Times New Roman" w:cs="Times New Roman"/>
          <w:sz w:val="27"/>
          <w:szCs w:val="27"/>
          <w:lang w:val="uk-UA"/>
        </w:rPr>
        <w:t>укладає домовленості про</w:t>
      </w:r>
      <w:r w:rsidR="00906248">
        <w:rPr>
          <w:rFonts w:ascii="Times New Roman" w:eastAsia="Times New Roman" w:hAnsi="Times New Roman" w:cs="Times New Roman"/>
          <w:sz w:val="27"/>
          <w:szCs w:val="27"/>
          <w:lang w:val="uk-UA"/>
        </w:rPr>
        <w:t xml:space="preserve"> співробітництв</w:t>
      </w:r>
      <w:r w:rsidR="00EC7526">
        <w:rPr>
          <w:rFonts w:ascii="Times New Roman" w:eastAsia="Times New Roman" w:hAnsi="Times New Roman" w:cs="Times New Roman"/>
          <w:sz w:val="27"/>
          <w:szCs w:val="27"/>
          <w:lang w:val="uk-UA"/>
        </w:rPr>
        <w:t>о</w:t>
      </w:r>
      <w:r w:rsidR="00906248">
        <w:rPr>
          <w:rFonts w:ascii="Times New Roman" w:eastAsia="Times New Roman" w:hAnsi="Times New Roman" w:cs="Times New Roman"/>
          <w:sz w:val="27"/>
          <w:szCs w:val="27"/>
          <w:lang w:val="uk-UA"/>
        </w:rPr>
        <w:t xml:space="preserve"> з компетентними орга</w:t>
      </w:r>
      <w:r w:rsidR="00716D2E">
        <w:rPr>
          <w:rFonts w:ascii="Times New Roman" w:eastAsia="Times New Roman" w:hAnsi="Times New Roman" w:cs="Times New Roman"/>
          <w:sz w:val="27"/>
          <w:szCs w:val="27"/>
          <w:lang w:val="uk-UA"/>
        </w:rPr>
        <w:t xml:space="preserve">нами відповідних третіх країн. Ці </w:t>
      </w:r>
      <w:r w:rsidR="00AA77F6">
        <w:rPr>
          <w:rFonts w:ascii="Times New Roman" w:eastAsia="Times New Roman" w:hAnsi="Times New Roman" w:cs="Times New Roman"/>
          <w:sz w:val="27"/>
          <w:szCs w:val="27"/>
          <w:lang w:val="uk-UA"/>
        </w:rPr>
        <w:t xml:space="preserve">домовленості </w:t>
      </w:r>
      <w:r w:rsidR="00716D2E">
        <w:rPr>
          <w:rFonts w:ascii="Times New Roman" w:eastAsia="Times New Roman" w:hAnsi="Times New Roman" w:cs="Times New Roman"/>
          <w:sz w:val="27"/>
          <w:szCs w:val="27"/>
          <w:lang w:val="uk-UA"/>
        </w:rPr>
        <w:t>передбачають, як мінімум, наступне:</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16D2E" w:rsidP="00716D2E">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механізми обміну інформацією між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та іншими органами Союзу, які виконують обов’язки </w:t>
            </w:r>
            <w:r w:rsidR="00DE77B0" w:rsidRPr="006279CF">
              <w:rPr>
                <w:rFonts w:ascii="Times New Roman" w:eastAsia="Times New Roman" w:hAnsi="Times New Roman" w:cs="Times New Roman"/>
                <w:sz w:val="27"/>
                <w:szCs w:val="27"/>
              </w:rPr>
              <w:t xml:space="preserve"> </w:t>
            </w:r>
            <w:proofErr w:type="spellStart"/>
            <w:r w:rsidR="00A81DE6">
              <w:rPr>
                <w:rFonts w:ascii="Times New Roman" w:eastAsia="Times New Roman" w:hAnsi="Times New Roman" w:cs="Times New Roman"/>
                <w:sz w:val="27"/>
                <w:szCs w:val="27"/>
              </w:rPr>
              <w:t>відповідно</w:t>
            </w:r>
            <w:proofErr w:type="spellEnd"/>
            <w:r w:rsidR="00A81DE6">
              <w:rPr>
                <w:rFonts w:ascii="Times New Roman" w:eastAsia="Times New Roman" w:hAnsi="Times New Roman" w:cs="Times New Roman"/>
                <w:sz w:val="27"/>
                <w:szCs w:val="27"/>
              </w:rPr>
              <w:t xml:space="preserve"> </w:t>
            </w:r>
            <w:proofErr w:type="spellStart"/>
            <w:r w:rsidR="00A81DE6">
              <w:rPr>
                <w:rFonts w:ascii="Times New Roman" w:eastAsia="Times New Roman" w:hAnsi="Times New Roman" w:cs="Times New Roman"/>
                <w:sz w:val="27"/>
                <w:szCs w:val="27"/>
              </w:rPr>
              <w:t>до</w:t>
            </w:r>
            <w:proofErr w:type="spellEnd"/>
            <w:r w:rsidR="00A81DE6">
              <w:rPr>
                <w:rFonts w:ascii="Times New Roman" w:eastAsia="Times New Roman" w:hAnsi="Times New Roman" w:cs="Times New Roman"/>
                <w:sz w:val="27"/>
                <w:szCs w:val="27"/>
              </w:rPr>
              <w:t xml:space="preserve"> </w:t>
            </w:r>
            <w:proofErr w:type="spellStart"/>
            <w:r w:rsidR="00A81DE6">
              <w:rPr>
                <w:rFonts w:ascii="Times New Roman" w:eastAsia="Times New Roman" w:hAnsi="Times New Roman" w:cs="Times New Roman"/>
                <w:sz w:val="27"/>
                <w:szCs w:val="27"/>
              </w:rPr>
              <w:t>цього</w:t>
            </w:r>
            <w:proofErr w:type="spellEnd"/>
            <w:r w:rsidR="00A81DE6">
              <w:rPr>
                <w:rFonts w:ascii="Times New Roman" w:eastAsia="Times New Roman" w:hAnsi="Times New Roman" w:cs="Times New Roman"/>
                <w:sz w:val="27"/>
                <w:szCs w:val="27"/>
              </w:rPr>
              <w:t xml:space="preserve"> </w:t>
            </w:r>
            <w:proofErr w:type="spellStart"/>
            <w:r w:rsidR="00A81DE6">
              <w:rPr>
                <w:rFonts w:ascii="Times New Roman" w:eastAsia="Times New Roman" w:hAnsi="Times New Roman" w:cs="Times New Roman"/>
                <w:sz w:val="27"/>
                <w:szCs w:val="27"/>
              </w:rPr>
              <w:t>регламенту</w:t>
            </w:r>
            <w:proofErr w:type="spellEnd"/>
            <w:r>
              <w:rPr>
                <w:rFonts w:ascii="Times New Roman" w:eastAsia="Times New Roman" w:hAnsi="Times New Roman" w:cs="Times New Roman"/>
                <w:sz w:val="27"/>
                <w:szCs w:val="27"/>
                <w:lang w:val="uk-UA"/>
              </w:rPr>
              <w:t>, з одного боку, та відповідними органами зацікавлених третіх країн, з іншого боку;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892"/>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77CB3" w:rsidRDefault="005436ED" w:rsidP="005436ED">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процедури стосовно координації наглядової діяльності.</w:t>
            </w:r>
          </w:p>
        </w:tc>
      </w:tr>
    </w:tbl>
    <w:p w:rsidR="00DE77B0" w:rsidRPr="00C77CB3" w:rsidRDefault="00DE77B0" w:rsidP="005436E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ESMA</w:t>
      </w:r>
      <w:r w:rsidRPr="005436ED">
        <w:rPr>
          <w:rFonts w:ascii="Times New Roman" w:eastAsia="Times New Roman" w:hAnsi="Times New Roman" w:cs="Times New Roman"/>
          <w:sz w:val="27"/>
          <w:szCs w:val="27"/>
          <w:lang w:val="ru-RU"/>
        </w:rPr>
        <w:t xml:space="preserve"> </w:t>
      </w:r>
      <w:r w:rsidR="005436ED">
        <w:rPr>
          <w:rFonts w:ascii="Times New Roman" w:eastAsia="Times New Roman" w:hAnsi="Times New Roman" w:cs="Times New Roman"/>
          <w:sz w:val="27"/>
          <w:szCs w:val="27"/>
          <w:lang w:val="uk-UA"/>
        </w:rPr>
        <w:t>застосовує Регламент (ЕС) №</w:t>
      </w:r>
      <w:r w:rsidR="005436ED" w:rsidRPr="005436ED">
        <w:rPr>
          <w:rFonts w:ascii="Times New Roman" w:eastAsia="Times New Roman" w:hAnsi="Times New Roman" w:cs="Times New Roman"/>
          <w:sz w:val="27"/>
          <w:szCs w:val="27"/>
          <w:lang w:val="ru-RU"/>
        </w:rPr>
        <w:t xml:space="preserve"> </w:t>
      </w:r>
      <w:r w:rsidRPr="005436ED">
        <w:rPr>
          <w:rFonts w:ascii="Times New Roman" w:eastAsia="Times New Roman" w:hAnsi="Times New Roman" w:cs="Times New Roman"/>
          <w:sz w:val="27"/>
          <w:szCs w:val="27"/>
          <w:lang w:val="ru-RU"/>
        </w:rPr>
        <w:t xml:space="preserve">45/2001 </w:t>
      </w:r>
      <w:r w:rsidR="005436ED">
        <w:rPr>
          <w:rFonts w:ascii="Times New Roman" w:eastAsia="Times New Roman" w:hAnsi="Times New Roman" w:cs="Times New Roman"/>
          <w:sz w:val="27"/>
          <w:szCs w:val="27"/>
          <w:lang w:val="uk-UA"/>
        </w:rPr>
        <w:t>по відношенню до передачі персональних даних до третьої країни.</w:t>
      </w:r>
    </w:p>
    <w:p w:rsidR="00DE77B0" w:rsidRPr="005436ED"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5436ED">
        <w:rPr>
          <w:rFonts w:ascii="Times New Roman" w:eastAsia="Times New Roman" w:hAnsi="Times New Roman" w:cs="Times New Roman"/>
          <w:i/>
          <w:iCs/>
          <w:sz w:val="27"/>
          <w:szCs w:val="27"/>
          <w:lang w:val="ru-RU"/>
        </w:rPr>
        <w:t>Стаття</w:t>
      </w:r>
      <w:proofErr w:type="spellEnd"/>
      <w:r w:rsidR="00DE77B0" w:rsidRPr="005436ED">
        <w:rPr>
          <w:rFonts w:ascii="Times New Roman" w:eastAsia="Times New Roman" w:hAnsi="Times New Roman" w:cs="Times New Roman"/>
          <w:i/>
          <w:iCs/>
          <w:sz w:val="27"/>
          <w:szCs w:val="27"/>
          <w:lang w:val="ru-RU"/>
        </w:rPr>
        <w:t xml:space="preserve"> 76</w:t>
      </w:r>
    </w:p>
    <w:p w:rsidR="00DE77B0" w:rsidRPr="00601E12" w:rsidRDefault="00AA77F6"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Домовленості про співробітництво</w:t>
      </w:r>
    </w:p>
    <w:p w:rsidR="00DE77B0" w:rsidRPr="00AA77F6" w:rsidRDefault="005436ED" w:rsidP="002F3C6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Відповідні органи третіх країн, у юрисдикції яких не створений жодний торговий </w:t>
      </w:r>
      <w:proofErr w:type="spellStart"/>
      <w:r>
        <w:rPr>
          <w:rFonts w:ascii="Times New Roman" w:eastAsia="Times New Roman" w:hAnsi="Times New Roman" w:cs="Times New Roman"/>
          <w:sz w:val="27"/>
          <w:szCs w:val="27"/>
          <w:lang w:val="uk-UA"/>
        </w:rPr>
        <w:t>репозитарій</w:t>
      </w:r>
      <w:proofErr w:type="spellEnd"/>
      <w:r>
        <w:rPr>
          <w:rFonts w:ascii="Times New Roman" w:eastAsia="Times New Roman" w:hAnsi="Times New Roman" w:cs="Times New Roman"/>
          <w:sz w:val="27"/>
          <w:szCs w:val="27"/>
          <w:lang w:val="uk-UA"/>
        </w:rPr>
        <w:t xml:space="preserve">, можуть звертатися до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з метою </w:t>
      </w:r>
      <w:r w:rsidR="00AA77F6">
        <w:rPr>
          <w:rFonts w:ascii="Times New Roman" w:eastAsia="Times New Roman" w:hAnsi="Times New Roman" w:cs="Times New Roman"/>
          <w:sz w:val="27"/>
          <w:szCs w:val="27"/>
          <w:lang w:val="uk-UA"/>
        </w:rPr>
        <w:t>укладення домовленостей про</w:t>
      </w:r>
      <w:r>
        <w:rPr>
          <w:rFonts w:ascii="Times New Roman" w:eastAsia="Times New Roman" w:hAnsi="Times New Roman" w:cs="Times New Roman"/>
          <w:sz w:val="27"/>
          <w:szCs w:val="27"/>
          <w:lang w:val="uk-UA"/>
        </w:rPr>
        <w:t xml:space="preserve"> співробітництв</w:t>
      </w:r>
      <w:r w:rsidR="00AA77F6">
        <w:rPr>
          <w:rFonts w:ascii="Times New Roman" w:eastAsia="Times New Roman" w:hAnsi="Times New Roman" w:cs="Times New Roman"/>
          <w:sz w:val="27"/>
          <w:szCs w:val="27"/>
          <w:lang w:val="uk-UA"/>
        </w:rPr>
        <w:t>о</w:t>
      </w:r>
      <w:r w:rsidR="002F3C6B">
        <w:rPr>
          <w:rFonts w:ascii="Times New Roman" w:eastAsia="Times New Roman" w:hAnsi="Times New Roman" w:cs="Times New Roman"/>
          <w:sz w:val="27"/>
          <w:szCs w:val="27"/>
          <w:lang w:val="uk-UA"/>
        </w:rPr>
        <w:t xml:space="preserve"> на предмет доступу до інформації </w:t>
      </w:r>
      <w:r w:rsidR="00AA77F6">
        <w:rPr>
          <w:rFonts w:ascii="Times New Roman" w:eastAsia="Times New Roman" w:hAnsi="Times New Roman" w:cs="Times New Roman"/>
          <w:sz w:val="27"/>
          <w:szCs w:val="27"/>
          <w:lang w:val="uk-UA"/>
        </w:rPr>
        <w:t>про контракти на деривативи, що зберігаються у торгових репозитаріїв Союзу.</w:t>
      </w:r>
    </w:p>
    <w:p w:rsidR="00DE77B0" w:rsidRPr="002A2BDF"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t>ESMA</w:t>
      </w:r>
      <w:r w:rsidRPr="002F3C6B">
        <w:rPr>
          <w:rFonts w:ascii="Times New Roman" w:eastAsia="Times New Roman" w:hAnsi="Times New Roman" w:cs="Times New Roman"/>
          <w:sz w:val="27"/>
          <w:szCs w:val="27"/>
          <w:lang w:val="ru-RU"/>
        </w:rPr>
        <w:t xml:space="preserve"> </w:t>
      </w:r>
      <w:r w:rsidR="002F3C6B">
        <w:rPr>
          <w:rFonts w:ascii="Times New Roman" w:eastAsia="Times New Roman" w:hAnsi="Times New Roman" w:cs="Times New Roman"/>
          <w:sz w:val="27"/>
          <w:szCs w:val="27"/>
          <w:lang w:val="uk-UA"/>
        </w:rPr>
        <w:t xml:space="preserve">може </w:t>
      </w:r>
      <w:r w:rsidR="00AA77F6">
        <w:rPr>
          <w:rFonts w:ascii="Times New Roman" w:eastAsia="Times New Roman" w:hAnsi="Times New Roman" w:cs="Times New Roman"/>
          <w:sz w:val="27"/>
          <w:szCs w:val="27"/>
          <w:lang w:val="uk-UA"/>
        </w:rPr>
        <w:t xml:space="preserve">укладати домовленості про співробітництво з цими відповідними органами стосовно доступу до інформації про контракти на деривативи, що зберігаються у торгових </w:t>
      </w:r>
      <w:r w:rsidR="002A2BDF">
        <w:rPr>
          <w:rFonts w:ascii="Times New Roman" w:eastAsia="Times New Roman" w:hAnsi="Times New Roman" w:cs="Times New Roman"/>
          <w:sz w:val="27"/>
          <w:szCs w:val="27"/>
          <w:lang w:val="uk-UA"/>
        </w:rPr>
        <w:t>репозитаріїв Союзу, які потрібні цим органам для виконання своїх відповідних обов’язків і функцій, за умови, що існують гарантії збереження професійної таємниці, зокрема захисту комерційних секретів, якими відповідні органи діляться з третіми особами</w:t>
      </w:r>
      <w:r w:rsidRPr="002A2BDF">
        <w:rPr>
          <w:rFonts w:ascii="Times New Roman" w:eastAsia="Times New Roman" w:hAnsi="Times New Roman" w:cs="Times New Roman"/>
          <w:sz w:val="27"/>
          <w:szCs w:val="27"/>
          <w:lang w:val="ru-RU"/>
        </w:rPr>
        <w:t>.</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77CB3">
        <w:rPr>
          <w:rFonts w:ascii="Times New Roman" w:eastAsia="Times New Roman" w:hAnsi="Times New Roman" w:cs="Times New Roman"/>
          <w:i/>
          <w:iCs/>
          <w:sz w:val="27"/>
          <w:szCs w:val="27"/>
          <w:lang w:val="ru-RU"/>
        </w:rPr>
        <w:t>Стаття</w:t>
      </w:r>
      <w:proofErr w:type="spellEnd"/>
      <w:r w:rsidR="00DE77B0" w:rsidRPr="00C77CB3">
        <w:rPr>
          <w:rFonts w:ascii="Times New Roman" w:eastAsia="Times New Roman" w:hAnsi="Times New Roman" w:cs="Times New Roman"/>
          <w:i/>
          <w:iCs/>
          <w:sz w:val="27"/>
          <w:szCs w:val="27"/>
          <w:lang w:val="ru-RU"/>
        </w:rPr>
        <w:t xml:space="preserve"> 77</w:t>
      </w:r>
    </w:p>
    <w:p w:rsidR="00DE77B0" w:rsidRPr="00601E12" w:rsidRDefault="00601E12"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Визнання торгових репозитаріїв</w:t>
      </w:r>
    </w:p>
    <w:p w:rsidR="00EA0818" w:rsidRPr="00EA0818"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EA0818">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EA0818">
        <w:rPr>
          <w:rFonts w:ascii="Times New Roman" w:eastAsia="Times New Roman" w:hAnsi="Times New Roman" w:cs="Times New Roman"/>
          <w:sz w:val="27"/>
          <w:szCs w:val="27"/>
          <w:lang w:val="uk-UA"/>
        </w:rPr>
        <w:t xml:space="preserve">Торговий </w:t>
      </w:r>
      <w:proofErr w:type="spellStart"/>
      <w:r w:rsidR="00EA0818">
        <w:rPr>
          <w:rFonts w:ascii="Times New Roman" w:eastAsia="Times New Roman" w:hAnsi="Times New Roman" w:cs="Times New Roman"/>
          <w:sz w:val="27"/>
          <w:szCs w:val="27"/>
          <w:lang w:val="uk-UA"/>
        </w:rPr>
        <w:t>репозитарій</w:t>
      </w:r>
      <w:proofErr w:type="spellEnd"/>
      <w:r w:rsidR="00EA0818">
        <w:rPr>
          <w:rFonts w:ascii="Times New Roman" w:eastAsia="Times New Roman" w:hAnsi="Times New Roman" w:cs="Times New Roman"/>
          <w:sz w:val="27"/>
          <w:szCs w:val="27"/>
          <w:lang w:val="uk-UA"/>
        </w:rPr>
        <w:t xml:space="preserve">, створений у третій країні, може надавати свої послуги суб’єктам, створеним у Союзі, і вести свою діяльність у цілях статті 9 тільки після його визнання </w:t>
      </w:r>
      <w:r w:rsidR="00EA0818">
        <w:rPr>
          <w:rFonts w:ascii="Times New Roman" w:eastAsia="Times New Roman" w:hAnsi="Times New Roman" w:cs="Times New Roman"/>
          <w:sz w:val="27"/>
          <w:szCs w:val="27"/>
        </w:rPr>
        <w:t>ESMA</w:t>
      </w:r>
      <w:r w:rsidR="00EA0818">
        <w:rPr>
          <w:rFonts w:ascii="Times New Roman" w:eastAsia="Times New Roman" w:hAnsi="Times New Roman" w:cs="Times New Roman"/>
          <w:sz w:val="27"/>
          <w:szCs w:val="27"/>
          <w:lang w:val="uk-UA"/>
        </w:rPr>
        <w:t xml:space="preserve"> відповідно до пункту 2.</w:t>
      </w:r>
    </w:p>
    <w:p w:rsidR="00DE77B0" w:rsidRPr="00C77CB3" w:rsidRDefault="00DE77B0" w:rsidP="00EA0818">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EA0818">
        <w:rPr>
          <w:rFonts w:ascii="Times New Roman" w:eastAsia="Times New Roman" w:hAnsi="Times New Roman" w:cs="Times New Roman"/>
          <w:sz w:val="27"/>
          <w:szCs w:val="27"/>
          <w:lang w:val="uk-UA"/>
        </w:rPr>
        <w:t xml:space="preserve">Торговий </w:t>
      </w:r>
      <w:proofErr w:type="spellStart"/>
      <w:r w:rsidR="00EA0818">
        <w:rPr>
          <w:rFonts w:ascii="Times New Roman" w:eastAsia="Times New Roman" w:hAnsi="Times New Roman" w:cs="Times New Roman"/>
          <w:sz w:val="27"/>
          <w:szCs w:val="27"/>
          <w:lang w:val="uk-UA"/>
        </w:rPr>
        <w:t>репозитарій</w:t>
      </w:r>
      <w:proofErr w:type="spellEnd"/>
      <w:r w:rsidR="00EA0818">
        <w:rPr>
          <w:rFonts w:ascii="Times New Roman" w:eastAsia="Times New Roman" w:hAnsi="Times New Roman" w:cs="Times New Roman"/>
          <w:sz w:val="27"/>
          <w:szCs w:val="27"/>
          <w:lang w:val="uk-UA"/>
        </w:rPr>
        <w:t xml:space="preserve">, згаданий у пункті 1, подає до </w:t>
      </w:r>
      <w:r w:rsidR="00EA0818">
        <w:rPr>
          <w:rFonts w:ascii="Times New Roman" w:eastAsia="Times New Roman" w:hAnsi="Times New Roman" w:cs="Times New Roman"/>
          <w:sz w:val="27"/>
          <w:szCs w:val="27"/>
        </w:rPr>
        <w:t>ESMA</w:t>
      </w:r>
      <w:r w:rsidR="00EA0818">
        <w:rPr>
          <w:rFonts w:ascii="Times New Roman" w:eastAsia="Times New Roman" w:hAnsi="Times New Roman" w:cs="Times New Roman"/>
          <w:sz w:val="27"/>
          <w:szCs w:val="27"/>
          <w:lang w:val="uk-UA"/>
        </w:rPr>
        <w:t xml:space="preserve"> свою заяву про визнання разом з усією необхідною інформацією, включаючи, як мінімум, інформацію, необхідну для того, щоб перевірити, що цей торговий </w:t>
      </w:r>
      <w:proofErr w:type="spellStart"/>
      <w:r w:rsidR="00EA0818">
        <w:rPr>
          <w:rFonts w:ascii="Times New Roman" w:eastAsia="Times New Roman" w:hAnsi="Times New Roman" w:cs="Times New Roman"/>
          <w:sz w:val="27"/>
          <w:szCs w:val="27"/>
          <w:lang w:val="uk-UA"/>
        </w:rPr>
        <w:t>репозитарій</w:t>
      </w:r>
      <w:proofErr w:type="spellEnd"/>
      <w:r w:rsidR="00EA0818">
        <w:rPr>
          <w:rFonts w:ascii="Times New Roman" w:eastAsia="Times New Roman" w:hAnsi="Times New Roman" w:cs="Times New Roman"/>
          <w:sz w:val="27"/>
          <w:szCs w:val="27"/>
          <w:lang w:val="uk-UA"/>
        </w:rPr>
        <w:t xml:space="preserve"> уповноважений та підлягає ефективному наглядові у третій країні, яка</w:t>
      </w:r>
      <w:r w:rsidRPr="00C77CB3">
        <w:rPr>
          <w:rFonts w:ascii="Times New Roman" w:eastAsia="Times New Roman" w:hAnsi="Times New Roman" w:cs="Times New Roman"/>
          <w:sz w:val="27"/>
          <w:szCs w:val="27"/>
          <w:lang w:val="uk-UA"/>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A62853" w:rsidP="00A62853">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визнана Комісією, за допомогою виконавчого акту, прийнятого на виконання </w:t>
            </w:r>
            <w:r>
              <w:rPr>
                <w:rFonts w:ascii="Times New Roman" w:eastAsia="Times New Roman" w:hAnsi="Times New Roman" w:cs="Times New Roman"/>
                <w:sz w:val="27"/>
                <w:szCs w:val="27"/>
                <w:lang w:val="uk-UA"/>
              </w:rPr>
              <w:lastRenderedPageBreak/>
              <w:t>статті 75(1), як така, що має еквівалентну нормативну та наглядову базу з можливістю забезпечення її дотримання;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5"/>
        <w:gridCol w:w="895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77CB3" w:rsidRDefault="00A62853" w:rsidP="00A62853">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уклала міжнародну угоду з Союзом на виконання статті 75(2);</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77CB3" w:rsidRDefault="00A62853" w:rsidP="00A62853">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має домовленості про співробітництво, передбачені статтею 75(3), для забезпечення того, щоб органи Союзу, зокрема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мали негайний та постійний доступ до всієї необхідної інформації.</w:t>
            </w:r>
          </w:p>
        </w:tc>
      </w:tr>
    </w:tbl>
    <w:p w:rsidR="000A7761" w:rsidRPr="000A7761" w:rsidRDefault="000A7761"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Упродовж 30 робочих днів з дня отримання заяви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розглядає заяву на предмет повноти. Якщо заява не повна</w:t>
      </w:r>
      <w:r w:rsidRPr="000A7761">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встановлює строк, у який торговий </w:t>
      </w:r>
      <w:proofErr w:type="spellStart"/>
      <w:r>
        <w:rPr>
          <w:rFonts w:ascii="Times New Roman" w:eastAsia="Times New Roman" w:hAnsi="Times New Roman" w:cs="Times New Roman"/>
          <w:sz w:val="27"/>
          <w:szCs w:val="27"/>
          <w:lang w:val="uk-UA"/>
        </w:rPr>
        <w:t>репозитарій</w:t>
      </w:r>
      <w:proofErr w:type="spellEnd"/>
      <w:r>
        <w:rPr>
          <w:rFonts w:ascii="Times New Roman" w:eastAsia="Times New Roman" w:hAnsi="Times New Roman" w:cs="Times New Roman"/>
          <w:sz w:val="27"/>
          <w:szCs w:val="27"/>
          <w:lang w:val="uk-UA"/>
        </w:rPr>
        <w:t>-заявник має надати додаткову інформацію.</w:t>
      </w:r>
    </w:p>
    <w:p w:rsidR="00DE77B0" w:rsidRPr="00C77CB3" w:rsidRDefault="000A7761" w:rsidP="0068478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Упродовж 180 робочих</w:t>
      </w:r>
      <w:r w:rsidR="0068478E">
        <w:rPr>
          <w:rFonts w:ascii="Times New Roman" w:eastAsia="Times New Roman" w:hAnsi="Times New Roman" w:cs="Times New Roman"/>
          <w:sz w:val="27"/>
          <w:szCs w:val="27"/>
          <w:lang w:val="uk-UA"/>
        </w:rPr>
        <w:t xml:space="preserve"> днів з дня подання повної заяви </w:t>
      </w:r>
      <w:r w:rsidR="0068478E">
        <w:rPr>
          <w:rFonts w:ascii="Times New Roman" w:eastAsia="Times New Roman" w:hAnsi="Times New Roman" w:cs="Times New Roman"/>
          <w:sz w:val="27"/>
          <w:szCs w:val="27"/>
        </w:rPr>
        <w:t>ESMA</w:t>
      </w:r>
      <w:r w:rsidR="0068478E">
        <w:rPr>
          <w:rFonts w:ascii="Times New Roman" w:eastAsia="Times New Roman" w:hAnsi="Times New Roman" w:cs="Times New Roman"/>
          <w:sz w:val="27"/>
          <w:szCs w:val="27"/>
          <w:lang w:val="uk-UA"/>
        </w:rPr>
        <w:t xml:space="preserve"> інформує торгового </w:t>
      </w:r>
      <w:proofErr w:type="spellStart"/>
      <w:r w:rsidR="0068478E">
        <w:rPr>
          <w:rFonts w:ascii="Times New Roman" w:eastAsia="Times New Roman" w:hAnsi="Times New Roman" w:cs="Times New Roman"/>
          <w:sz w:val="27"/>
          <w:szCs w:val="27"/>
          <w:lang w:val="uk-UA"/>
        </w:rPr>
        <w:t>репозитарія</w:t>
      </w:r>
      <w:proofErr w:type="spellEnd"/>
      <w:r w:rsidR="0068478E">
        <w:rPr>
          <w:rFonts w:ascii="Times New Roman" w:eastAsia="Times New Roman" w:hAnsi="Times New Roman" w:cs="Times New Roman"/>
          <w:sz w:val="27"/>
          <w:szCs w:val="27"/>
          <w:lang w:val="uk-UA"/>
        </w:rPr>
        <w:t>-заявника у письмовій формі, з наведенням повністю обґрунтованого пояснення, про визнання чи про відмову у визнанні.</w:t>
      </w:r>
    </w:p>
    <w:p w:rsidR="00DE77B0" w:rsidRPr="00C77CB3" w:rsidRDefault="00DE77B0" w:rsidP="0068478E">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t>ESMA</w:t>
      </w:r>
      <w:r w:rsidRPr="0068478E">
        <w:rPr>
          <w:rFonts w:ascii="Times New Roman" w:eastAsia="Times New Roman" w:hAnsi="Times New Roman" w:cs="Times New Roman"/>
          <w:sz w:val="27"/>
          <w:szCs w:val="27"/>
          <w:lang w:val="ru-RU"/>
        </w:rPr>
        <w:t xml:space="preserve"> </w:t>
      </w:r>
      <w:r w:rsidR="0068478E">
        <w:rPr>
          <w:rFonts w:ascii="Times New Roman" w:eastAsia="Times New Roman" w:hAnsi="Times New Roman" w:cs="Times New Roman"/>
          <w:sz w:val="27"/>
          <w:szCs w:val="27"/>
          <w:lang w:val="uk-UA"/>
        </w:rPr>
        <w:t>публікує на своєму веб-сайті перелік торгових репозитаріїв, визнаних</w:t>
      </w:r>
      <w:r w:rsidRPr="009E4B28">
        <w:rPr>
          <w:rFonts w:ascii="Times New Roman" w:eastAsia="Times New Roman" w:hAnsi="Times New Roman" w:cs="Times New Roman"/>
          <w:sz w:val="27"/>
          <w:szCs w:val="27"/>
          <w:lang w:val="ru-RU"/>
        </w:rPr>
        <w:t xml:space="preserve"> </w:t>
      </w:r>
      <w:proofErr w:type="spellStart"/>
      <w:r w:rsidR="00A81DE6" w:rsidRPr="009E4B28">
        <w:rPr>
          <w:rFonts w:ascii="Times New Roman" w:eastAsia="Times New Roman" w:hAnsi="Times New Roman" w:cs="Times New Roman"/>
          <w:sz w:val="27"/>
          <w:szCs w:val="27"/>
          <w:lang w:val="ru-RU"/>
        </w:rPr>
        <w:t>відповідно</w:t>
      </w:r>
      <w:proofErr w:type="spellEnd"/>
      <w:r w:rsidR="00A81DE6" w:rsidRPr="009E4B28">
        <w:rPr>
          <w:rFonts w:ascii="Times New Roman" w:eastAsia="Times New Roman" w:hAnsi="Times New Roman" w:cs="Times New Roman"/>
          <w:sz w:val="27"/>
          <w:szCs w:val="27"/>
          <w:lang w:val="ru-RU"/>
        </w:rPr>
        <w:t xml:space="preserve"> до </w:t>
      </w:r>
      <w:proofErr w:type="spellStart"/>
      <w:r w:rsidR="00A81DE6" w:rsidRPr="009E4B28">
        <w:rPr>
          <w:rFonts w:ascii="Times New Roman" w:eastAsia="Times New Roman" w:hAnsi="Times New Roman" w:cs="Times New Roman"/>
          <w:sz w:val="27"/>
          <w:szCs w:val="27"/>
          <w:lang w:val="ru-RU"/>
        </w:rPr>
        <w:t>цього</w:t>
      </w:r>
      <w:proofErr w:type="spellEnd"/>
      <w:r w:rsidR="00A81DE6" w:rsidRPr="009E4B28">
        <w:rPr>
          <w:rFonts w:ascii="Times New Roman" w:eastAsia="Times New Roman" w:hAnsi="Times New Roman" w:cs="Times New Roman"/>
          <w:sz w:val="27"/>
          <w:szCs w:val="27"/>
          <w:lang w:val="ru-RU"/>
        </w:rPr>
        <w:t xml:space="preserve"> регламенту</w:t>
      </w:r>
      <w:r w:rsidRPr="009E4B28">
        <w:rPr>
          <w:rFonts w:ascii="Times New Roman" w:eastAsia="Times New Roman" w:hAnsi="Times New Roman" w:cs="Times New Roman"/>
          <w:sz w:val="27"/>
          <w:szCs w:val="27"/>
          <w:lang w:val="ru-RU"/>
        </w:rPr>
        <w:t>.</w:t>
      </w:r>
    </w:p>
    <w:p w:rsidR="00DE77B0" w:rsidRPr="00601E12" w:rsidRDefault="00601E12" w:rsidP="00187079">
      <w:pPr>
        <w:shd w:val="clear" w:color="auto" w:fill="FFFFFF"/>
        <w:spacing w:before="480"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РОЗДІЛ</w:t>
      </w:r>
      <w:r w:rsidR="00DE77B0" w:rsidRPr="00601E12">
        <w:rPr>
          <w:rFonts w:ascii="Times New Roman" w:eastAsia="Times New Roman" w:hAnsi="Times New Roman" w:cs="Times New Roman"/>
          <w:b/>
          <w:bCs/>
          <w:sz w:val="27"/>
          <w:szCs w:val="27"/>
          <w:lang w:val="ru-RU"/>
        </w:rPr>
        <w:t xml:space="preserve"> </w:t>
      </w:r>
      <w:r w:rsidR="00DE77B0" w:rsidRPr="006279CF">
        <w:rPr>
          <w:rFonts w:ascii="Times New Roman" w:eastAsia="Times New Roman" w:hAnsi="Times New Roman" w:cs="Times New Roman"/>
          <w:b/>
          <w:bCs/>
          <w:sz w:val="27"/>
          <w:szCs w:val="27"/>
        </w:rPr>
        <w:t>VII</w:t>
      </w:r>
    </w:p>
    <w:p w:rsidR="00DE77B0" w:rsidRPr="00601E12" w:rsidRDefault="00601E12"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bdr w:val="none" w:sz="0" w:space="0" w:color="auto" w:frame="1"/>
          <w:lang w:val="uk-UA"/>
        </w:rPr>
        <w:t>ВИМОГИ ДО ТОРГОВИХ РЕПОЗИТАРІЇВ</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C77CB3">
        <w:rPr>
          <w:rFonts w:ascii="Times New Roman" w:eastAsia="Times New Roman" w:hAnsi="Times New Roman" w:cs="Times New Roman"/>
          <w:i/>
          <w:iCs/>
          <w:sz w:val="27"/>
          <w:szCs w:val="27"/>
          <w:lang w:val="uk-UA"/>
        </w:rPr>
        <w:t>Стаття</w:t>
      </w:r>
      <w:r w:rsidR="00DE77B0" w:rsidRPr="00C77CB3">
        <w:rPr>
          <w:rFonts w:ascii="Times New Roman" w:eastAsia="Times New Roman" w:hAnsi="Times New Roman" w:cs="Times New Roman"/>
          <w:i/>
          <w:iCs/>
          <w:sz w:val="27"/>
          <w:szCs w:val="27"/>
          <w:lang w:val="uk-UA"/>
        </w:rPr>
        <w:t xml:space="preserve"> 78</w:t>
      </w:r>
    </w:p>
    <w:p w:rsidR="00DE77B0" w:rsidRPr="00601E12" w:rsidRDefault="00601E12"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Загальні вимоги</w:t>
      </w:r>
    </w:p>
    <w:p w:rsidR="00DE77B0" w:rsidRPr="00C77CB3" w:rsidRDefault="00DE77B0" w:rsidP="000059BB">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0059BB">
        <w:rPr>
          <w:rFonts w:ascii="Times New Roman" w:eastAsia="Times New Roman" w:hAnsi="Times New Roman" w:cs="Times New Roman"/>
          <w:sz w:val="27"/>
          <w:szCs w:val="27"/>
          <w:lang w:val="uk-UA"/>
        </w:rPr>
        <w:t xml:space="preserve">Торговий </w:t>
      </w:r>
      <w:proofErr w:type="spellStart"/>
      <w:r w:rsidR="000059BB">
        <w:rPr>
          <w:rFonts w:ascii="Times New Roman" w:eastAsia="Times New Roman" w:hAnsi="Times New Roman" w:cs="Times New Roman"/>
          <w:sz w:val="27"/>
          <w:szCs w:val="27"/>
          <w:lang w:val="uk-UA"/>
        </w:rPr>
        <w:t>репозитарій</w:t>
      </w:r>
      <w:proofErr w:type="spellEnd"/>
      <w:r w:rsidR="009E4B28">
        <w:rPr>
          <w:rFonts w:ascii="Times New Roman" w:eastAsia="Times New Roman" w:hAnsi="Times New Roman" w:cs="Times New Roman"/>
          <w:sz w:val="27"/>
          <w:szCs w:val="27"/>
          <w:lang w:val="uk-UA"/>
        </w:rPr>
        <w:t xml:space="preserve"> має стійкі механізми управління, що включають чітку організаційну структуру з чітко визначеними, прозорими та узгодженими сферами відповідальності, а також належні механізми внутрішнього контролю, включаючи оптимальні адміні</w:t>
      </w:r>
      <w:r w:rsidR="000059BB">
        <w:rPr>
          <w:rFonts w:ascii="Times New Roman" w:eastAsia="Times New Roman" w:hAnsi="Times New Roman" w:cs="Times New Roman"/>
          <w:sz w:val="27"/>
          <w:szCs w:val="27"/>
          <w:lang w:val="uk-UA"/>
        </w:rPr>
        <w:t>стративні та облікові процедури, що запобігають будь-якому розголошенню конфіденційної інформації.</w:t>
      </w:r>
    </w:p>
    <w:p w:rsidR="00DE77B0" w:rsidRPr="00C77CB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52174C">
        <w:rPr>
          <w:rFonts w:ascii="Times New Roman" w:eastAsia="Times New Roman" w:hAnsi="Times New Roman" w:cs="Times New Roman"/>
          <w:sz w:val="27"/>
          <w:szCs w:val="27"/>
          <w:lang w:val="uk-UA"/>
        </w:rPr>
        <w:t xml:space="preserve">Торговий </w:t>
      </w:r>
      <w:proofErr w:type="spellStart"/>
      <w:r w:rsidR="0052174C">
        <w:rPr>
          <w:rFonts w:ascii="Times New Roman" w:eastAsia="Times New Roman" w:hAnsi="Times New Roman" w:cs="Times New Roman"/>
          <w:sz w:val="27"/>
          <w:szCs w:val="27"/>
          <w:lang w:val="uk-UA"/>
        </w:rPr>
        <w:t>репозитарій</w:t>
      </w:r>
      <w:proofErr w:type="spellEnd"/>
      <w:r w:rsidR="000059BB" w:rsidRPr="00C77CB3">
        <w:rPr>
          <w:rFonts w:ascii="Times New Roman" w:eastAsia="Times New Roman" w:hAnsi="Times New Roman" w:cs="Times New Roman"/>
          <w:sz w:val="27"/>
          <w:szCs w:val="27"/>
          <w:lang w:val="uk-UA"/>
        </w:rPr>
        <w:t xml:space="preserve"> </w:t>
      </w:r>
      <w:r w:rsidR="000059BB">
        <w:rPr>
          <w:rFonts w:ascii="Times New Roman" w:eastAsia="Times New Roman" w:hAnsi="Times New Roman" w:cs="Times New Roman"/>
          <w:sz w:val="27"/>
          <w:szCs w:val="27"/>
          <w:lang w:val="uk-UA"/>
        </w:rPr>
        <w:t xml:space="preserve">запроваджує та виконує ефективні письмові організаційні та адміністративні правила щодо виявлення і усунення потенційних конфліктів інтересів </w:t>
      </w:r>
      <w:r w:rsidR="0052174C">
        <w:rPr>
          <w:rFonts w:ascii="Times New Roman" w:eastAsia="Times New Roman" w:hAnsi="Times New Roman" w:cs="Times New Roman"/>
          <w:sz w:val="27"/>
          <w:szCs w:val="27"/>
          <w:lang w:val="uk-UA"/>
        </w:rPr>
        <w:t xml:space="preserve">стосовно </w:t>
      </w:r>
      <w:r w:rsidR="000059BB">
        <w:rPr>
          <w:rFonts w:ascii="Times New Roman" w:eastAsia="Times New Roman" w:hAnsi="Times New Roman" w:cs="Times New Roman"/>
          <w:sz w:val="27"/>
          <w:szCs w:val="27"/>
          <w:lang w:val="uk-UA"/>
        </w:rPr>
        <w:t>його керівник</w:t>
      </w:r>
      <w:r w:rsidR="0052174C">
        <w:rPr>
          <w:rFonts w:ascii="Times New Roman" w:eastAsia="Times New Roman" w:hAnsi="Times New Roman" w:cs="Times New Roman"/>
          <w:sz w:val="27"/>
          <w:szCs w:val="27"/>
          <w:lang w:val="uk-UA"/>
        </w:rPr>
        <w:t>ів</w:t>
      </w:r>
      <w:r w:rsidR="000059BB">
        <w:rPr>
          <w:rFonts w:ascii="Times New Roman" w:eastAsia="Times New Roman" w:hAnsi="Times New Roman" w:cs="Times New Roman"/>
          <w:sz w:val="27"/>
          <w:szCs w:val="27"/>
          <w:lang w:val="uk-UA"/>
        </w:rPr>
        <w:t>, працівник</w:t>
      </w:r>
      <w:r w:rsidR="0052174C">
        <w:rPr>
          <w:rFonts w:ascii="Times New Roman" w:eastAsia="Times New Roman" w:hAnsi="Times New Roman" w:cs="Times New Roman"/>
          <w:sz w:val="27"/>
          <w:szCs w:val="27"/>
          <w:lang w:val="uk-UA"/>
        </w:rPr>
        <w:t>ів</w:t>
      </w:r>
      <w:r w:rsidR="000059BB">
        <w:rPr>
          <w:rFonts w:ascii="Times New Roman" w:eastAsia="Times New Roman" w:hAnsi="Times New Roman" w:cs="Times New Roman"/>
          <w:sz w:val="27"/>
          <w:szCs w:val="27"/>
          <w:lang w:val="uk-UA"/>
        </w:rPr>
        <w:t xml:space="preserve"> або будь-яко</w:t>
      </w:r>
      <w:r w:rsidR="0052174C">
        <w:rPr>
          <w:rFonts w:ascii="Times New Roman" w:eastAsia="Times New Roman" w:hAnsi="Times New Roman" w:cs="Times New Roman"/>
          <w:sz w:val="27"/>
          <w:szCs w:val="27"/>
          <w:lang w:val="uk-UA"/>
        </w:rPr>
        <w:t>ї особи</w:t>
      </w:r>
      <w:r w:rsidR="000059BB">
        <w:rPr>
          <w:rFonts w:ascii="Times New Roman" w:eastAsia="Times New Roman" w:hAnsi="Times New Roman" w:cs="Times New Roman"/>
          <w:sz w:val="27"/>
          <w:szCs w:val="27"/>
          <w:lang w:val="uk-UA"/>
        </w:rPr>
        <w:t xml:space="preserve">, </w:t>
      </w:r>
      <w:r w:rsidR="0052174C">
        <w:rPr>
          <w:rFonts w:ascii="Times New Roman" w:eastAsia="Times New Roman" w:hAnsi="Times New Roman" w:cs="Times New Roman"/>
          <w:sz w:val="27"/>
          <w:szCs w:val="27"/>
          <w:lang w:val="uk-UA"/>
        </w:rPr>
        <w:t>яка має прямі чи непрямі зв'язки з ними</w:t>
      </w:r>
      <w:r w:rsidRPr="00C77CB3">
        <w:rPr>
          <w:rFonts w:ascii="Times New Roman" w:eastAsia="Times New Roman" w:hAnsi="Times New Roman" w:cs="Times New Roman"/>
          <w:sz w:val="27"/>
          <w:szCs w:val="27"/>
          <w:lang w:val="uk-UA"/>
        </w:rPr>
        <w:t>.</w:t>
      </w:r>
    </w:p>
    <w:p w:rsidR="00DE77B0" w:rsidRPr="00525418"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525418">
        <w:rPr>
          <w:rFonts w:ascii="Times New Roman" w:eastAsia="Times New Roman" w:hAnsi="Times New Roman" w:cs="Times New Roman"/>
          <w:sz w:val="27"/>
          <w:szCs w:val="27"/>
          <w:lang w:val="uk-UA"/>
        </w:rPr>
        <w:t xml:space="preserve">Торговий </w:t>
      </w:r>
      <w:proofErr w:type="spellStart"/>
      <w:r w:rsidR="00525418">
        <w:rPr>
          <w:rFonts w:ascii="Times New Roman" w:eastAsia="Times New Roman" w:hAnsi="Times New Roman" w:cs="Times New Roman"/>
          <w:sz w:val="27"/>
          <w:szCs w:val="27"/>
          <w:lang w:val="uk-UA"/>
        </w:rPr>
        <w:t>репозитарій</w:t>
      </w:r>
      <w:proofErr w:type="spellEnd"/>
      <w:r w:rsidRPr="00525418">
        <w:rPr>
          <w:rFonts w:ascii="Times New Roman" w:eastAsia="Times New Roman" w:hAnsi="Times New Roman" w:cs="Times New Roman"/>
          <w:sz w:val="27"/>
          <w:szCs w:val="27"/>
          <w:lang w:val="ru-RU"/>
        </w:rPr>
        <w:t xml:space="preserve"> </w:t>
      </w:r>
      <w:r w:rsidR="0052174C">
        <w:rPr>
          <w:rFonts w:ascii="Times New Roman" w:eastAsia="Times New Roman" w:hAnsi="Times New Roman" w:cs="Times New Roman"/>
          <w:sz w:val="27"/>
          <w:szCs w:val="27"/>
          <w:lang w:val="uk-UA"/>
        </w:rPr>
        <w:t>приймає політику та процедури, які є достатн</w:t>
      </w:r>
      <w:r w:rsidR="00525418">
        <w:rPr>
          <w:rFonts w:ascii="Times New Roman" w:eastAsia="Times New Roman" w:hAnsi="Times New Roman" w:cs="Times New Roman"/>
          <w:sz w:val="27"/>
          <w:szCs w:val="27"/>
          <w:lang w:val="uk-UA"/>
        </w:rPr>
        <w:t>іми</w:t>
      </w:r>
      <w:r w:rsidR="0052174C">
        <w:rPr>
          <w:rFonts w:ascii="Times New Roman" w:eastAsia="Times New Roman" w:hAnsi="Times New Roman" w:cs="Times New Roman"/>
          <w:sz w:val="27"/>
          <w:szCs w:val="27"/>
          <w:lang w:val="uk-UA"/>
        </w:rPr>
        <w:t xml:space="preserve"> для того, щоб забезпечити </w:t>
      </w:r>
      <w:r w:rsidR="00525418">
        <w:rPr>
          <w:rFonts w:ascii="Times New Roman" w:eastAsia="Times New Roman" w:hAnsi="Times New Roman" w:cs="Times New Roman"/>
          <w:sz w:val="27"/>
          <w:szCs w:val="27"/>
          <w:lang w:val="uk-UA"/>
        </w:rPr>
        <w:t xml:space="preserve">виконанням ним, </w:t>
      </w:r>
      <w:r w:rsidR="0052174C">
        <w:rPr>
          <w:rFonts w:ascii="Times New Roman" w:eastAsia="Times New Roman" w:hAnsi="Times New Roman" w:cs="Times New Roman"/>
          <w:sz w:val="27"/>
          <w:szCs w:val="27"/>
          <w:lang w:val="uk-UA"/>
        </w:rPr>
        <w:t>його керівниками та працівниками всіх положень цього регламенту.</w:t>
      </w:r>
    </w:p>
    <w:p w:rsidR="00DE77B0" w:rsidRPr="00C77CB3" w:rsidRDefault="00DE77B0" w:rsidP="001734B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525418">
        <w:rPr>
          <w:rFonts w:ascii="Times New Roman" w:eastAsia="Times New Roman" w:hAnsi="Times New Roman" w:cs="Times New Roman"/>
          <w:sz w:val="27"/>
          <w:szCs w:val="27"/>
          <w:lang w:val="uk-UA"/>
        </w:rPr>
        <w:t xml:space="preserve">Торговий </w:t>
      </w:r>
      <w:proofErr w:type="spellStart"/>
      <w:r w:rsidR="00525418">
        <w:rPr>
          <w:rFonts w:ascii="Times New Roman" w:eastAsia="Times New Roman" w:hAnsi="Times New Roman" w:cs="Times New Roman"/>
          <w:sz w:val="27"/>
          <w:szCs w:val="27"/>
          <w:lang w:val="uk-UA"/>
        </w:rPr>
        <w:t>репозитарій</w:t>
      </w:r>
      <w:proofErr w:type="spellEnd"/>
      <w:r w:rsidR="00525418" w:rsidRPr="00C77CB3">
        <w:rPr>
          <w:rFonts w:ascii="Times New Roman" w:eastAsia="Times New Roman" w:hAnsi="Times New Roman" w:cs="Times New Roman"/>
          <w:sz w:val="27"/>
          <w:szCs w:val="27"/>
          <w:lang w:val="ru-RU"/>
        </w:rPr>
        <w:t xml:space="preserve"> </w:t>
      </w:r>
      <w:r w:rsidR="001734BB">
        <w:rPr>
          <w:rFonts w:ascii="Times New Roman" w:eastAsia="Times New Roman" w:hAnsi="Times New Roman" w:cs="Times New Roman"/>
          <w:sz w:val="27"/>
          <w:szCs w:val="27"/>
          <w:lang w:val="uk-UA"/>
        </w:rPr>
        <w:t xml:space="preserve">підтримує належну організаційну структуру, що забезпечує безперервність і впорядковане функціонування у наданні ним послуг і веденні ним діяльності, та управляє цією структурою. Торговий </w:t>
      </w:r>
      <w:proofErr w:type="spellStart"/>
      <w:r w:rsidR="001734BB">
        <w:rPr>
          <w:rFonts w:ascii="Times New Roman" w:eastAsia="Times New Roman" w:hAnsi="Times New Roman" w:cs="Times New Roman"/>
          <w:sz w:val="27"/>
          <w:szCs w:val="27"/>
          <w:lang w:val="uk-UA"/>
        </w:rPr>
        <w:t>репозитарій</w:t>
      </w:r>
      <w:proofErr w:type="spellEnd"/>
      <w:r w:rsidR="001734BB">
        <w:rPr>
          <w:rFonts w:ascii="Times New Roman" w:eastAsia="Times New Roman" w:hAnsi="Times New Roman" w:cs="Times New Roman"/>
          <w:sz w:val="27"/>
          <w:szCs w:val="27"/>
          <w:lang w:val="uk-UA"/>
        </w:rPr>
        <w:t xml:space="preserve"> використовує належні та сумірні системи, ресурси та процедури.</w:t>
      </w:r>
    </w:p>
    <w:p w:rsidR="00DE77B0" w:rsidRPr="00C77CB3" w:rsidRDefault="00DE77B0" w:rsidP="00FA2D27">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lastRenderedPageBreak/>
        <w:t>5.</w:t>
      </w:r>
      <w:r w:rsidRPr="006279CF">
        <w:rPr>
          <w:rFonts w:ascii="Times New Roman" w:eastAsia="Times New Roman" w:hAnsi="Times New Roman" w:cs="Times New Roman"/>
          <w:sz w:val="27"/>
          <w:szCs w:val="27"/>
        </w:rPr>
        <w:t>   </w:t>
      </w:r>
      <w:r w:rsidR="001734BB">
        <w:rPr>
          <w:rFonts w:ascii="Times New Roman" w:eastAsia="Times New Roman" w:hAnsi="Times New Roman" w:cs="Times New Roman"/>
          <w:sz w:val="27"/>
          <w:szCs w:val="27"/>
          <w:lang w:val="uk-UA"/>
        </w:rPr>
        <w:t xml:space="preserve">Якщо торговий </w:t>
      </w:r>
      <w:proofErr w:type="spellStart"/>
      <w:r w:rsidR="001734BB">
        <w:rPr>
          <w:rFonts w:ascii="Times New Roman" w:eastAsia="Times New Roman" w:hAnsi="Times New Roman" w:cs="Times New Roman"/>
          <w:sz w:val="27"/>
          <w:szCs w:val="27"/>
          <w:lang w:val="uk-UA"/>
        </w:rPr>
        <w:t>репозитарій</w:t>
      </w:r>
      <w:proofErr w:type="spellEnd"/>
      <w:r w:rsidR="001734BB">
        <w:rPr>
          <w:rFonts w:ascii="Times New Roman" w:eastAsia="Times New Roman" w:hAnsi="Times New Roman" w:cs="Times New Roman"/>
          <w:sz w:val="27"/>
          <w:szCs w:val="27"/>
          <w:lang w:val="uk-UA"/>
        </w:rPr>
        <w:t xml:space="preserve"> надає </w:t>
      </w:r>
      <w:r w:rsidR="00FA2D27">
        <w:rPr>
          <w:rFonts w:ascii="Times New Roman" w:eastAsia="Times New Roman" w:hAnsi="Times New Roman" w:cs="Times New Roman"/>
          <w:sz w:val="27"/>
          <w:szCs w:val="27"/>
          <w:lang w:val="uk-UA"/>
        </w:rPr>
        <w:t xml:space="preserve">допоміжні послуги, як-от підтвердження угод, звіряння угод, обслуговування випадків кредитної неплатоспроможності, узгодження або зменшення обсягів портфелів, то торговий </w:t>
      </w:r>
      <w:proofErr w:type="spellStart"/>
      <w:r w:rsidR="00FA2D27">
        <w:rPr>
          <w:rFonts w:ascii="Times New Roman" w:eastAsia="Times New Roman" w:hAnsi="Times New Roman" w:cs="Times New Roman"/>
          <w:sz w:val="27"/>
          <w:szCs w:val="27"/>
          <w:lang w:val="uk-UA"/>
        </w:rPr>
        <w:t>репозитарій</w:t>
      </w:r>
      <w:proofErr w:type="spellEnd"/>
      <w:r w:rsidR="00FA2D27">
        <w:rPr>
          <w:rFonts w:ascii="Times New Roman" w:eastAsia="Times New Roman" w:hAnsi="Times New Roman" w:cs="Times New Roman"/>
          <w:sz w:val="27"/>
          <w:szCs w:val="27"/>
          <w:lang w:val="uk-UA"/>
        </w:rPr>
        <w:t xml:space="preserve"> забезпечує операційне відокремлення цих допоміжних послуг від функції торгового </w:t>
      </w:r>
      <w:proofErr w:type="spellStart"/>
      <w:r w:rsidR="00FA2D27">
        <w:rPr>
          <w:rFonts w:ascii="Times New Roman" w:eastAsia="Times New Roman" w:hAnsi="Times New Roman" w:cs="Times New Roman"/>
          <w:sz w:val="27"/>
          <w:szCs w:val="27"/>
          <w:lang w:val="uk-UA"/>
        </w:rPr>
        <w:t>репозитарія</w:t>
      </w:r>
      <w:proofErr w:type="spellEnd"/>
      <w:r w:rsidR="00FA2D27">
        <w:rPr>
          <w:rFonts w:ascii="Times New Roman" w:eastAsia="Times New Roman" w:hAnsi="Times New Roman" w:cs="Times New Roman"/>
          <w:sz w:val="27"/>
          <w:szCs w:val="27"/>
          <w:lang w:val="uk-UA"/>
        </w:rPr>
        <w:t>, пов'язаної з централізованим збиранням і веденням документації про деривативи.</w:t>
      </w:r>
    </w:p>
    <w:p w:rsidR="00FA2D27"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w:t>
      </w:r>
      <w:r w:rsidR="00BA0CE4">
        <w:rPr>
          <w:rFonts w:ascii="Times New Roman" w:eastAsia="Times New Roman" w:hAnsi="Times New Roman" w:cs="Times New Roman"/>
          <w:sz w:val="27"/>
          <w:szCs w:val="27"/>
          <w:lang w:val="uk-UA"/>
        </w:rPr>
        <w:t xml:space="preserve">Вище керівництво і члени ради торгового </w:t>
      </w:r>
      <w:proofErr w:type="spellStart"/>
      <w:r w:rsidR="00BA0CE4">
        <w:rPr>
          <w:rFonts w:ascii="Times New Roman" w:eastAsia="Times New Roman" w:hAnsi="Times New Roman" w:cs="Times New Roman"/>
          <w:sz w:val="27"/>
          <w:szCs w:val="27"/>
          <w:lang w:val="uk-UA"/>
        </w:rPr>
        <w:t>репозитарія</w:t>
      </w:r>
      <w:proofErr w:type="spellEnd"/>
      <w:r w:rsidR="00BA0CE4">
        <w:rPr>
          <w:rFonts w:ascii="Times New Roman" w:eastAsia="Times New Roman" w:hAnsi="Times New Roman" w:cs="Times New Roman"/>
          <w:sz w:val="27"/>
          <w:szCs w:val="27"/>
          <w:lang w:val="uk-UA"/>
        </w:rPr>
        <w:t xml:space="preserve"> повинні мати достатньо добру репутацію й належний досвід для того, щоб забезпечити раціональне і розумне управління діяльністю торгового </w:t>
      </w:r>
      <w:proofErr w:type="spellStart"/>
      <w:r w:rsidR="00BA0CE4">
        <w:rPr>
          <w:rFonts w:ascii="Times New Roman" w:eastAsia="Times New Roman" w:hAnsi="Times New Roman" w:cs="Times New Roman"/>
          <w:sz w:val="27"/>
          <w:szCs w:val="27"/>
          <w:lang w:val="uk-UA"/>
        </w:rPr>
        <w:t>репозитарія</w:t>
      </w:r>
      <w:proofErr w:type="spellEnd"/>
      <w:r w:rsidR="00BA0CE4">
        <w:rPr>
          <w:rFonts w:ascii="Times New Roman" w:eastAsia="Times New Roman" w:hAnsi="Times New Roman" w:cs="Times New Roman"/>
          <w:sz w:val="27"/>
          <w:szCs w:val="27"/>
          <w:lang w:val="uk-UA"/>
        </w:rPr>
        <w:t>.</w:t>
      </w:r>
    </w:p>
    <w:p w:rsidR="00DE77B0" w:rsidRPr="00C77CB3" w:rsidRDefault="00DE77B0" w:rsidP="00740B5A">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uk-UA"/>
        </w:rPr>
        <w:t>7.</w:t>
      </w:r>
      <w:r w:rsidRPr="006279CF">
        <w:rPr>
          <w:rFonts w:ascii="Times New Roman" w:eastAsia="Times New Roman" w:hAnsi="Times New Roman" w:cs="Times New Roman"/>
          <w:sz w:val="27"/>
          <w:szCs w:val="27"/>
        </w:rPr>
        <w:t>   </w:t>
      </w:r>
      <w:r w:rsidR="00525418">
        <w:rPr>
          <w:rFonts w:ascii="Times New Roman" w:eastAsia="Times New Roman" w:hAnsi="Times New Roman" w:cs="Times New Roman"/>
          <w:sz w:val="27"/>
          <w:szCs w:val="27"/>
          <w:lang w:val="uk-UA"/>
        </w:rPr>
        <w:t xml:space="preserve">Торговий </w:t>
      </w:r>
      <w:proofErr w:type="spellStart"/>
      <w:r w:rsidR="00525418">
        <w:rPr>
          <w:rFonts w:ascii="Times New Roman" w:eastAsia="Times New Roman" w:hAnsi="Times New Roman" w:cs="Times New Roman"/>
          <w:sz w:val="27"/>
          <w:szCs w:val="27"/>
          <w:lang w:val="uk-UA"/>
        </w:rPr>
        <w:t>репозитарій</w:t>
      </w:r>
      <w:proofErr w:type="spellEnd"/>
      <w:r w:rsidRPr="00C77CB3">
        <w:rPr>
          <w:rFonts w:ascii="Times New Roman" w:eastAsia="Times New Roman" w:hAnsi="Times New Roman" w:cs="Times New Roman"/>
          <w:sz w:val="27"/>
          <w:szCs w:val="27"/>
          <w:lang w:val="uk-UA"/>
        </w:rPr>
        <w:t xml:space="preserve"> </w:t>
      </w:r>
      <w:r w:rsidR="00BA0CE4">
        <w:rPr>
          <w:rFonts w:ascii="Times New Roman" w:eastAsia="Times New Roman" w:hAnsi="Times New Roman" w:cs="Times New Roman"/>
          <w:sz w:val="27"/>
          <w:szCs w:val="27"/>
          <w:lang w:val="uk-UA"/>
        </w:rPr>
        <w:t>запроваджує об’єктивні</w:t>
      </w:r>
      <w:r w:rsidR="00912D4C">
        <w:rPr>
          <w:rFonts w:ascii="Times New Roman" w:eastAsia="Times New Roman" w:hAnsi="Times New Roman" w:cs="Times New Roman"/>
          <w:sz w:val="27"/>
          <w:szCs w:val="27"/>
          <w:lang w:val="uk-UA"/>
        </w:rPr>
        <w:t xml:space="preserve">, недискримінаційні та публічно оприлюднені вимоги до доступу підприємств </w:t>
      </w:r>
      <w:r w:rsidR="00E44C74">
        <w:rPr>
          <w:rFonts w:ascii="Times New Roman" w:eastAsia="Times New Roman" w:hAnsi="Times New Roman" w:cs="Times New Roman"/>
          <w:sz w:val="27"/>
          <w:szCs w:val="27"/>
          <w:lang w:val="uk-UA"/>
        </w:rPr>
        <w:t xml:space="preserve">за умови дотримання зобов’язання щодо звітування за статтею 9. Торговий </w:t>
      </w:r>
      <w:proofErr w:type="spellStart"/>
      <w:r w:rsidR="00E44C74">
        <w:rPr>
          <w:rFonts w:ascii="Times New Roman" w:eastAsia="Times New Roman" w:hAnsi="Times New Roman" w:cs="Times New Roman"/>
          <w:sz w:val="27"/>
          <w:szCs w:val="27"/>
          <w:lang w:val="uk-UA"/>
        </w:rPr>
        <w:t>репозитарій</w:t>
      </w:r>
      <w:proofErr w:type="spellEnd"/>
      <w:r w:rsidR="00E44C74">
        <w:rPr>
          <w:rFonts w:ascii="Times New Roman" w:eastAsia="Times New Roman" w:hAnsi="Times New Roman" w:cs="Times New Roman"/>
          <w:sz w:val="27"/>
          <w:szCs w:val="27"/>
          <w:lang w:val="uk-UA"/>
        </w:rPr>
        <w:t xml:space="preserve"> забезпечує надавачам послуг недискримінаційний доступ до інформації, яку він має у своєму розпорядженні, за умови, що відповідні контрагенти надали на це свою згоду. Критерії, що обмежують доступ, дозволяються тільки у тому випадку, якщо їхня мета полягає у контролюванні ризику </w:t>
      </w:r>
      <w:r w:rsidR="00740B5A">
        <w:rPr>
          <w:rFonts w:ascii="Times New Roman" w:eastAsia="Times New Roman" w:hAnsi="Times New Roman" w:cs="Times New Roman"/>
          <w:sz w:val="27"/>
          <w:szCs w:val="27"/>
          <w:lang w:val="uk-UA"/>
        </w:rPr>
        <w:t xml:space="preserve">для даних, які веде торговий </w:t>
      </w:r>
      <w:proofErr w:type="spellStart"/>
      <w:r w:rsidR="00740B5A">
        <w:rPr>
          <w:rFonts w:ascii="Times New Roman" w:eastAsia="Times New Roman" w:hAnsi="Times New Roman" w:cs="Times New Roman"/>
          <w:sz w:val="27"/>
          <w:szCs w:val="27"/>
          <w:lang w:val="uk-UA"/>
        </w:rPr>
        <w:t>репозитарій</w:t>
      </w:r>
      <w:proofErr w:type="spellEnd"/>
      <w:r w:rsidR="00740B5A">
        <w:rPr>
          <w:rFonts w:ascii="Times New Roman" w:eastAsia="Times New Roman" w:hAnsi="Times New Roman" w:cs="Times New Roman"/>
          <w:sz w:val="27"/>
          <w:szCs w:val="27"/>
          <w:lang w:val="uk-UA"/>
        </w:rPr>
        <w:t>.</w:t>
      </w:r>
    </w:p>
    <w:p w:rsidR="00DE77B0" w:rsidRPr="00C77CB3" w:rsidRDefault="00DE77B0" w:rsidP="00E553C1">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D408F8">
        <w:rPr>
          <w:rFonts w:ascii="Times New Roman" w:eastAsia="Times New Roman" w:hAnsi="Times New Roman" w:cs="Times New Roman"/>
          <w:sz w:val="27"/>
          <w:szCs w:val="27"/>
          <w:lang w:val="ru-RU"/>
        </w:rPr>
        <w:t>8.</w:t>
      </w:r>
      <w:r w:rsidRPr="006279CF">
        <w:rPr>
          <w:rFonts w:ascii="Times New Roman" w:eastAsia="Times New Roman" w:hAnsi="Times New Roman" w:cs="Times New Roman"/>
          <w:sz w:val="27"/>
          <w:szCs w:val="27"/>
        </w:rPr>
        <w:t>   </w:t>
      </w:r>
      <w:r w:rsidR="00525418">
        <w:rPr>
          <w:rFonts w:ascii="Times New Roman" w:eastAsia="Times New Roman" w:hAnsi="Times New Roman" w:cs="Times New Roman"/>
          <w:sz w:val="27"/>
          <w:szCs w:val="27"/>
          <w:lang w:val="uk-UA"/>
        </w:rPr>
        <w:t xml:space="preserve">Торговий </w:t>
      </w:r>
      <w:proofErr w:type="spellStart"/>
      <w:r w:rsidR="00525418">
        <w:rPr>
          <w:rFonts w:ascii="Times New Roman" w:eastAsia="Times New Roman" w:hAnsi="Times New Roman" w:cs="Times New Roman"/>
          <w:sz w:val="27"/>
          <w:szCs w:val="27"/>
          <w:lang w:val="uk-UA"/>
        </w:rPr>
        <w:t>репозитарій</w:t>
      </w:r>
      <w:proofErr w:type="spellEnd"/>
      <w:r w:rsidRPr="00D408F8">
        <w:rPr>
          <w:rFonts w:ascii="Times New Roman" w:eastAsia="Times New Roman" w:hAnsi="Times New Roman" w:cs="Times New Roman"/>
          <w:sz w:val="27"/>
          <w:szCs w:val="27"/>
          <w:lang w:val="ru-RU"/>
        </w:rPr>
        <w:t xml:space="preserve"> </w:t>
      </w:r>
      <w:r w:rsidR="00D408F8">
        <w:rPr>
          <w:rFonts w:ascii="Times New Roman" w:eastAsia="Times New Roman" w:hAnsi="Times New Roman" w:cs="Times New Roman"/>
          <w:sz w:val="27"/>
          <w:szCs w:val="27"/>
          <w:lang w:val="uk-UA"/>
        </w:rPr>
        <w:t xml:space="preserve">публічно розголошує ціни та комісійні, пов'язані з послугами, наданими згідно з цим регламентом. Він повідомляє ціни та комісійні за кожну надану послугу окремо, включаючи знижки й компенсації та умови користування такими пільгами. </w:t>
      </w:r>
      <w:r w:rsidR="00E553C1">
        <w:rPr>
          <w:rFonts w:ascii="Times New Roman" w:eastAsia="Times New Roman" w:hAnsi="Times New Roman" w:cs="Times New Roman"/>
          <w:sz w:val="27"/>
          <w:szCs w:val="27"/>
          <w:lang w:val="uk-UA"/>
        </w:rPr>
        <w:t xml:space="preserve">Ціни та комісійні, стягувані торговим </w:t>
      </w:r>
      <w:proofErr w:type="spellStart"/>
      <w:r w:rsidR="00E553C1">
        <w:rPr>
          <w:rFonts w:ascii="Times New Roman" w:eastAsia="Times New Roman" w:hAnsi="Times New Roman" w:cs="Times New Roman"/>
          <w:sz w:val="27"/>
          <w:szCs w:val="27"/>
          <w:lang w:val="uk-UA"/>
        </w:rPr>
        <w:t>репозитарієм</w:t>
      </w:r>
      <w:proofErr w:type="spellEnd"/>
      <w:r w:rsidR="00E553C1">
        <w:rPr>
          <w:rFonts w:ascii="Times New Roman" w:eastAsia="Times New Roman" w:hAnsi="Times New Roman" w:cs="Times New Roman"/>
          <w:sz w:val="27"/>
          <w:szCs w:val="27"/>
          <w:lang w:val="uk-UA"/>
        </w:rPr>
        <w:t>, формуються залежно від витрат.</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77CB3">
        <w:rPr>
          <w:rFonts w:ascii="Times New Roman" w:eastAsia="Times New Roman" w:hAnsi="Times New Roman" w:cs="Times New Roman"/>
          <w:i/>
          <w:iCs/>
          <w:sz w:val="27"/>
          <w:szCs w:val="27"/>
          <w:lang w:val="ru-RU"/>
        </w:rPr>
        <w:t>Стаття</w:t>
      </w:r>
      <w:proofErr w:type="spellEnd"/>
      <w:r w:rsidR="00DE77B0" w:rsidRPr="00C77CB3">
        <w:rPr>
          <w:rFonts w:ascii="Times New Roman" w:eastAsia="Times New Roman" w:hAnsi="Times New Roman" w:cs="Times New Roman"/>
          <w:i/>
          <w:iCs/>
          <w:sz w:val="27"/>
          <w:szCs w:val="27"/>
          <w:lang w:val="ru-RU"/>
        </w:rPr>
        <w:t xml:space="preserve"> 79</w:t>
      </w:r>
    </w:p>
    <w:p w:rsidR="00DE77B0" w:rsidRPr="004B6B3B" w:rsidRDefault="004B6B3B"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Операційна надійність</w:t>
      </w:r>
    </w:p>
    <w:p w:rsidR="00DE77B0" w:rsidRPr="00C77CB3" w:rsidRDefault="00DE77B0" w:rsidP="0078318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78318B">
        <w:rPr>
          <w:rFonts w:ascii="Times New Roman" w:eastAsia="Times New Roman" w:hAnsi="Times New Roman" w:cs="Times New Roman"/>
          <w:sz w:val="27"/>
          <w:szCs w:val="27"/>
          <w:lang w:val="uk-UA"/>
        </w:rPr>
        <w:t xml:space="preserve">Торговий </w:t>
      </w:r>
      <w:proofErr w:type="spellStart"/>
      <w:r w:rsidR="0078318B">
        <w:rPr>
          <w:rFonts w:ascii="Times New Roman" w:eastAsia="Times New Roman" w:hAnsi="Times New Roman" w:cs="Times New Roman"/>
          <w:sz w:val="27"/>
          <w:szCs w:val="27"/>
          <w:lang w:val="uk-UA"/>
        </w:rPr>
        <w:t>репозитарій</w:t>
      </w:r>
      <w:proofErr w:type="spellEnd"/>
      <w:r w:rsidR="0078318B">
        <w:rPr>
          <w:rFonts w:ascii="Times New Roman" w:eastAsia="Times New Roman" w:hAnsi="Times New Roman" w:cs="Times New Roman"/>
          <w:sz w:val="27"/>
          <w:szCs w:val="27"/>
          <w:lang w:val="uk-UA"/>
        </w:rPr>
        <w:t xml:space="preserve"> визначає джерела операційного ризику та зводить їх до мінімуму шляхом розроблення відповідних систем, засобів контролю та процедур. Такі системи мають бути надійними, захищеними та мати достатню спроможність для оброблення отриманої інформації.</w:t>
      </w:r>
    </w:p>
    <w:p w:rsidR="00DE77B0" w:rsidRPr="00C77CB3" w:rsidRDefault="00DE77B0" w:rsidP="00AD71C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78318B">
        <w:rPr>
          <w:rFonts w:ascii="Times New Roman" w:eastAsia="Times New Roman" w:hAnsi="Times New Roman" w:cs="Times New Roman"/>
          <w:sz w:val="27"/>
          <w:szCs w:val="27"/>
          <w:lang w:val="uk-UA"/>
        </w:rPr>
        <w:t xml:space="preserve">Торговий </w:t>
      </w:r>
      <w:proofErr w:type="spellStart"/>
      <w:r w:rsidR="0078318B">
        <w:rPr>
          <w:rFonts w:ascii="Times New Roman" w:eastAsia="Times New Roman" w:hAnsi="Times New Roman" w:cs="Times New Roman"/>
          <w:sz w:val="27"/>
          <w:szCs w:val="27"/>
          <w:lang w:val="uk-UA"/>
        </w:rPr>
        <w:t>репозитарі</w:t>
      </w:r>
      <w:r w:rsidR="00AD71C5">
        <w:rPr>
          <w:rFonts w:ascii="Times New Roman" w:eastAsia="Times New Roman" w:hAnsi="Times New Roman" w:cs="Times New Roman"/>
          <w:sz w:val="27"/>
          <w:szCs w:val="27"/>
          <w:lang w:val="uk-UA"/>
        </w:rPr>
        <w:t>й</w:t>
      </w:r>
      <w:proofErr w:type="spellEnd"/>
      <w:r w:rsidR="00AD71C5">
        <w:rPr>
          <w:rFonts w:ascii="Times New Roman" w:eastAsia="Times New Roman" w:hAnsi="Times New Roman" w:cs="Times New Roman"/>
          <w:sz w:val="27"/>
          <w:szCs w:val="27"/>
          <w:lang w:val="uk-UA"/>
        </w:rPr>
        <w:t xml:space="preserve"> розробляє, запроваджує та реалізує належну</w:t>
      </w:r>
      <w:r w:rsidR="00AD71C5" w:rsidRPr="00515657">
        <w:rPr>
          <w:rFonts w:ascii="Times New Roman" w:eastAsia="Times New Roman" w:hAnsi="Times New Roman" w:cs="Times New Roman"/>
          <w:sz w:val="27"/>
          <w:szCs w:val="27"/>
          <w:lang w:val="uk-UA"/>
        </w:rPr>
        <w:t xml:space="preserve"> </w:t>
      </w:r>
      <w:r w:rsidR="00AD71C5">
        <w:rPr>
          <w:rFonts w:ascii="Times New Roman" w:eastAsia="Times New Roman" w:hAnsi="Times New Roman" w:cs="Times New Roman"/>
          <w:sz w:val="27"/>
          <w:szCs w:val="27"/>
          <w:lang w:val="uk-UA"/>
        </w:rPr>
        <w:t xml:space="preserve">політику щодо безперервності ведення діяльності та план відновлення у надзвичайних ситуаціях, спрямовані на забезпечення збереження його функцій, своєчасне відновлення діяльності та виконання зобов’язань торгового </w:t>
      </w:r>
      <w:proofErr w:type="spellStart"/>
      <w:r w:rsidR="00AD71C5">
        <w:rPr>
          <w:rFonts w:ascii="Times New Roman" w:eastAsia="Times New Roman" w:hAnsi="Times New Roman" w:cs="Times New Roman"/>
          <w:sz w:val="27"/>
          <w:szCs w:val="27"/>
          <w:lang w:val="uk-UA"/>
        </w:rPr>
        <w:t>репозитарія</w:t>
      </w:r>
      <w:proofErr w:type="spellEnd"/>
      <w:r w:rsidR="00AD71C5">
        <w:rPr>
          <w:rFonts w:ascii="Times New Roman" w:eastAsia="Times New Roman" w:hAnsi="Times New Roman" w:cs="Times New Roman"/>
          <w:sz w:val="27"/>
          <w:szCs w:val="27"/>
          <w:lang w:val="uk-UA"/>
        </w:rPr>
        <w:t>. Такий план передбачає, як мінімум, створення резервних засобів.</w:t>
      </w:r>
    </w:p>
    <w:p w:rsidR="00DE77B0" w:rsidRPr="00C77CB3" w:rsidRDefault="00DE77B0" w:rsidP="00AD71C5">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uk-UA"/>
        </w:rPr>
        <w:t>3.</w:t>
      </w:r>
      <w:r w:rsidRPr="006279CF">
        <w:rPr>
          <w:rFonts w:ascii="Times New Roman" w:eastAsia="Times New Roman" w:hAnsi="Times New Roman" w:cs="Times New Roman"/>
          <w:sz w:val="27"/>
          <w:szCs w:val="27"/>
        </w:rPr>
        <w:t>   </w:t>
      </w:r>
      <w:r w:rsidR="00AD71C5">
        <w:rPr>
          <w:rFonts w:ascii="Times New Roman" w:eastAsia="Times New Roman" w:hAnsi="Times New Roman" w:cs="Times New Roman"/>
          <w:sz w:val="27"/>
          <w:szCs w:val="27"/>
          <w:lang w:val="uk-UA"/>
        </w:rPr>
        <w:t xml:space="preserve">Торговий </w:t>
      </w:r>
      <w:proofErr w:type="spellStart"/>
      <w:r w:rsidR="00AD71C5">
        <w:rPr>
          <w:rFonts w:ascii="Times New Roman" w:eastAsia="Times New Roman" w:hAnsi="Times New Roman" w:cs="Times New Roman"/>
          <w:sz w:val="27"/>
          <w:szCs w:val="27"/>
          <w:lang w:val="uk-UA"/>
        </w:rPr>
        <w:t>репозитарій</w:t>
      </w:r>
      <w:proofErr w:type="spellEnd"/>
      <w:r w:rsidR="00AD71C5">
        <w:rPr>
          <w:rFonts w:ascii="Times New Roman" w:eastAsia="Times New Roman" w:hAnsi="Times New Roman" w:cs="Times New Roman"/>
          <w:sz w:val="27"/>
          <w:szCs w:val="27"/>
          <w:lang w:val="uk-UA"/>
        </w:rPr>
        <w:t xml:space="preserve">, реєстрацію якого скасовано, забезпечує впорядковану заміну, зокрема передачу даних іншим торговим </w:t>
      </w:r>
      <w:proofErr w:type="spellStart"/>
      <w:r w:rsidR="00AD71C5">
        <w:rPr>
          <w:rFonts w:ascii="Times New Roman" w:eastAsia="Times New Roman" w:hAnsi="Times New Roman" w:cs="Times New Roman"/>
          <w:sz w:val="27"/>
          <w:szCs w:val="27"/>
          <w:lang w:val="uk-UA"/>
        </w:rPr>
        <w:t>репозитаріям</w:t>
      </w:r>
      <w:proofErr w:type="spellEnd"/>
      <w:r w:rsidR="00AD71C5">
        <w:rPr>
          <w:rFonts w:ascii="Times New Roman" w:eastAsia="Times New Roman" w:hAnsi="Times New Roman" w:cs="Times New Roman"/>
          <w:sz w:val="27"/>
          <w:szCs w:val="27"/>
          <w:lang w:val="uk-UA"/>
        </w:rPr>
        <w:t xml:space="preserve"> і переорієнтацію потоків звітності до інших торгових репозитаріїв.</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C77CB3">
        <w:rPr>
          <w:rFonts w:ascii="Times New Roman" w:eastAsia="Times New Roman" w:hAnsi="Times New Roman" w:cs="Times New Roman"/>
          <w:i/>
          <w:iCs/>
          <w:sz w:val="27"/>
          <w:szCs w:val="27"/>
          <w:lang w:val="uk-UA"/>
        </w:rPr>
        <w:lastRenderedPageBreak/>
        <w:t>Стаття</w:t>
      </w:r>
      <w:r w:rsidR="00DE77B0" w:rsidRPr="00C77CB3">
        <w:rPr>
          <w:rFonts w:ascii="Times New Roman" w:eastAsia="Times New Roman" w:hAnsi="Times New Roman" w:cs="Times New Roman"/>
          <w:i/>
          <w:iCs/>
          <w:sz w:val="27"/>
          <w:szCs w:val="27"/>
          <w:lang w:val="uk-UA"/>
        </w:rPr>
        <w:t xml:space="preserve"> 80</w:t>
      </w:r>
    </w:p>
    <w:p w:rsidR="00DE77B0" w:rsidRPr="00716920" w:rsidRDefault="00716920"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Захист і реєстрація</w:t>
      </w:r>
    </w:p>
    <w:p w:rsidR="00DE77B0" w:rsidRPr="00C77CB3" w:rsidRDefault="00DE77B0" w:rsidP="0034178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341784" w:rsidRPr="00C77CB3">
        <w:rPr>
          <w:rFonts w:ascii="Times New Roman" w:eastAsia="Times New Roman" w:hAnsi="Times New Roman" w:cs="Times New Roman"/>
          <w:sz w:val="27"/>
          <w:szCs w:val="27"/>
          <w:lang w:val="uk-UA"/>
        </w:rPr>
        <w:t xml:space="preserve">Торговий </w:t>
      </w:r>
      <w:proofErr w:type="spellStart"/>
      <w:r w:rsidR="00341784" w:rsidRPr="00C77CB3">
        <w:rPr>
          <w:rFonts w:ascii="Times New Roman" w:eastAsia="Times New Roman" w:hAnsi="Times New Roman" w:cs="Times New Roman"/>
          <w:sz w:val="27"/>
          <w:szCs w:val="27"/>
          <w:lang w:val="uk-UA"/>
        </w:rPr>
        <w:t>репозитарій</w:t>
      </w:r>
      <w:proofErr w:type="spellEnd"/>
      <w:r w:rsidRPr="00C77CB3">
        <w:rPr>
          <w:rFonts w:ascii="Times New Roman" w:eastAsia="Times New Roman" w:hAnsi="Times New Roman" w:cs="Times New Roman"/>
          <w:sz w:val="27"/>
          <w:szCs w:val="27"/>
          <w:lang w:val="uk-UA"/>
        </w:rPr>
        <w:t xml:space="preserve"> </w:t>
      </w:r>
      <w:r w:rsidR="00341784">
        <w:rPr>
          <w:rFonts w:ascii="Times New Roman" w:eastAsia="Times New Roman" w:hAnsi="Times New Roman" w:cs="Times New Roman"/>
          <w:sz w:val="27"/>
          <w:szCs w:val="27"/>
          <w:lang w:val="uk-UA"/>
        </w:rPr>
        <w:t>забезпечує конфіденційність, цілісність і захист інформації, отриманої згідно зі статтею 9.</w:t>
      </w:r>
    </w:p>
    <w:p w:rsidR="00DE77B0" w:rsidRPr="00341784" w:rsidRDefault="00DE77B0" w:rsidP="0034178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41784">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proofErr w:type="spellStart"/>
      <w:r w:rsidR="00341784" w:rsidRPr="00341784">
        <w:rPr>
          <w:rFonts w:ascii="Times New Roman" w:eastAsia="Times New Roman" w:hAnsi="Times New Roman" w:cs="Times New Roman"/>
          <w:sz w:val="27"/>
          <w:szCs w:val="27"/>
          <w:lang w:val="ru-RU"/>
        </w:rPr>
        <w:t>Торговий</w:t>
      </w:r>
      <w:proofErr w:type="spellEnd"/>
      <w:r w:rsidR="00341784" w:rsidRPr="00341784">
        <w:rPr>
          <w:rFonts w:ascii="Times New Roman" w:eastAsia="Times New Roman" w:hAnsi="Times New Roman" w:cs="Times New Roman"/>
          <w:sz w:val="27"/>
          <w:szCs w:val="27"/>
          <w:lang w:val="ru-RU"/>
        </w:rPr>
        <w:t xml:space="preserve"> </w:t>
      </w:r>
      <w:proofErr w:type="spellStart"/>
      <w:r w:rsidR="00341784" w:rsidRPr="00341784">
        <w:rPr>
          <w:rFonts w:ascii="Times New Roman" w:eastAsia="Times New Roman" w:hAnsi="Times New Roman" w:cs="Times New Roman"/>
          <w:sz w:val="27"/>
          <w:szCs w:val="27"/>
          <w:lang w:val="ru-RU"/>
        </w:rPr>
        <w:t>репозитарій</w:t>
      </w:r>
      <w:proofErr w:type="spellEnd"/>
      <w:r w:rsidRPr="00341784">
        <w:rPr>
          <w:rFonts w:ascii="Times New Roman" w:eastAsia="Times New Roman" w:hAnsi="Times New Roman" w:cs="Times New Roman"/>
          <w:sz w:val="27"/>
          <w:szCs w:val="27"/>
          <w:lang w:val="ru-RU"/>
        </w:rPr>
        <w:t xml:space="preserve"> </w:t>
      </w:r>
      <w:r w:rsidR="00341784">
        <w:rPr>
          <w:rFonts w:ascii="Times New Roman" w:eastAsia="Times New Roman" w:hAnsi="Times New Roman" w:cs="Times New Roman"/>
          <w:sz w:val="27"/>
          <w:szCs w:val="27"/>
          <w:lang w:val="uk-UA"/>
        </w:rPr>
        <w:t>може використовувати дані, отримані ним за цим регламентом, у комерційних цілях, тільки якщо відповідні контрагенти надали свою згоду на це.</w:t>
      </w:r>
    </w:p>
    <w:p w:rsidR="00DE77B0" w:rsidRPr="00C77CB3" w:rsidRDefault="00DE77B0" w:rsidP="00716920">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716920">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proofErr w:type="spellStart"/>
      <w:r w:rsidR="00341784" w:rsidRPr="00716920">
        <w:rPr>
          <w:rFonts w:ascii="Times New Roman" w:eastAsia="Times New Roman" w:hAnsi="Times New Roman" w:cs="Times New Roman"/>
          <w:sz w:val="27"/>
          <w:szCs w:val="27"/>
          <w:lang w:val="ru-RU"/>
        </w:rPr>
        <w:t>Торговий</w:t>
      </w:r>
      <w:proofErr w:type="spellEnd"/>
      <w:r w:rsidR="00341784" w:rsidRPr="00716920">
        <w:rPr>
          <w:rFonts w:ascii="Times New Roman" w:eastAsia="Times New Roman" w:hAnsi="Times New Roman" w:cs="Times New Roman"/>
          <w:sz w:val="27"/>
          <w:szCs w:val="27"/>
          <w:lang w:val="ru-RU"/>
        </w:rPr>
        <w:t xml:space="preserve"> </w:t>
      </w:r>
      <w:proofErr w:type="spellStart"/>
      <w:r w:rsidR="00341784" w:rsidRPr="00716920">
        <w:rPr>
          <w:rFonts w:ascii="Times New Roman" w:eastAsia="Times New Roman" w:hAnsi="Times New Roman" w:cs="Times New Roman"/>
          <w:sz w:val="27"/>
          <w:szCs w:val="27"/>
          <w:lang w:val="ru-RU"/>
        </w:rPr>
        <w:t>репозитарій</w:t>
      </w:r>
      <w:proofErr w:type="spellEnd"/>
      <w:r w:rsidRPr="00716920">
        <w:rPr>
          <w:rFonts w:ascii="Times New Roman" w:eastAsia="Times New Roman" w:hAnsi="Times New Roman" w:cs="Times New Roman"/>
          <w:sz w:val="27"/>
          <w:szCs w:val="27"/>
          <w:lang w:val="ru-RU"/>
        </w:rPr>
        <w:t xml:space="preserve"> </w:t>
      </w:r>
      <w:r w:rsidR="00716920">
        <w:rPr>
          <w:rFonts w:ascii="Times New Roman" w:eastAsia="Times New Roman" w:hAnsi="Times New Roman" w:cs="Times New Roman"/>
          <w:sz w:val="27"/>
          <w:szCs w:val="27"/>
          <w:lang w:val="uk-UA"/>
        </w:rPr>
        <w:t>негайно реєструє інформацію, отриману згідно зі статтею 9, і зберігає її протягом як мінімум 10 років після припинення дії відповідних контрактів. Він застосовує своєчасні та ефективні процедури обліку для документального відображення змін у зареєстрованій інформації.</w:t>
      </w:r>
    </w:p>
    <w:p w:rsidR="00DE77B0" w:rsidRPr="00B90879" w:rsidRDefault="00DE77B0" w:rsidP="00B908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B90879">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proofErr w:type="spellStart"/>
      <w:r w:rsidR="00341784" w:rsidRPr="00B90879">
        <w:rPr>
          <w:rFonts w:ascii="Times New Roman" w:eastAsia="Times New Roman" w:hAnsi="Times New Roman" w:cs="Times New Roman"/>
          <w:sz w:val="27"/>
          <w:szCs w:val="27"/>
          <w:lang w:val="ru-RU"/>
        </w:rPr>
        <w:t>Торговий</w:t>
      </w:r>
      <w:proofErr w:type="spellEnd"/>
      <w:r w:rsidR="00341784" w:rsidRPr="00B90879">
        <w:rPr>
          <w:rFonts w:ascii="Times New Roman" w:eastAsia="Times New Roman" w:hAnsi="Times New Roman" w:cs="Times New Roman"/>
          <w:sz w:val="27"/>
          <w:szCs w:val="27"/>
          <w:lang w:val="ru-RU"/>
        </w:rPr>
        <w:t xml:space="preserve"> </w:t>
      </w:r>
      <w:proofErr w:type="spellStart"/>
      <w:r w:rsidR="00341784" w:rsidRPr="00B90879">
        <w:rPr>
          <w:rFonts w:ascii="Times New Roman" w:eastAsia="Times New Roman" w:hAnsi="Times New Roman" w:cs="Times New Roman"/>
          <w:sz w:val="27"/>
          <w:szCs w:val="27"/>
          <w:lang w:val="ru-RU"/>
        </w:rPr>
        <w:t>репозитарій</w:t>
      </w:r>
      <w:proofErr w:type="spellEnd"/>
      <w:r w:rsidRPr="00B90879">
        <w:rPr>
          <w:rFonts w:ascii="Times New Roman" w:eastAsia="Times New Roman" w:hAnsi="Times New Roman" w:cs="Times New Roman"/>
          <w:sz w:val="27"/>
          <w:szCs w:val="27"/>
          <w:lang w:val="ru-RU"/>
        </w:rPr>
        <w:t xml:space="preserve"> </w:t>
      </w:r>
      <w:r w:rsidR="00B90879">
        <w:rPr>
          <w:rFonts w:ascii="Times New Roman" w:eastAsia="Times New Roman" w:hAnsi="Times New Roman" w:cs="Times New Roman"/>
          <w:sz w:val="27"/>
          <w:szCs w:val="27"/>
          <w:lang w:val="uk-UA"/>
        </w:rPr>
        <w:t xml:space="preserve">розраховує позиції по класах деривативів і по підзвітних суб’єктах, основуючись на деталях контрактів на деривативи, повідомлених </w:t>
      </w:r>
      <w:proofErr w:type="spellStart"/>
      <w:r w:rsidR="001842E4" w:rsidRPr="00B90879">
        <w:rPr>
          <w:rFonts w:ascii="Times New Roman" w:eastAsia="Times New Roman" w:hAnsi="Times New Roman" w:cs="Times New Roman"/>
          <w:sz w:val="27"/>
          <w:szCs w:val="27"/>
          <w:lang w:val="ru-RU"/>
        </w:rPr>
        <w:t>відповідно</w:t>
      </w:r>
      <w:proofErr w:type="spellEnd"/>
      <w:r w:rsidR="001842E4" w:rsidRPr="00B90879">
        <w:rPr>
          <w:rFonts w:ascii="Times New Roman" w:eastAsia="Times New Roman" w:hAnsi="Times New Roman" w:cs="Times New Roman"/>
          <w:sz w:val="27"/>
          <w:szCs w:val="27"/>
          <w:lang w:val="ru-RU"/>
        </w:rPr>
        <w:t xml:space="preserve"> до </w:t>
      </w:r>
      <w:proofErr w:type="spellStart"/>
      <w:r w:rsidR="001842E4" w:rsidRPr="00B90879">
        <w:rPr>
          <w:rFonts w:ascii="Times New Roman" w:eastAsia="Times New Roman" w:hAnsi="Times New Roman" w:cs="Times New Roman"/>
          <w:sz w:val="27"/>
          <w:szCs w:val="27"/>
          <w:lang w:val="ru-RU"/>
        </w:rPr>
        <w:t>статті</w:t>
      </w:r>
      <w:proofErr w:type="spellEnd"/>
      <w:r w:rsidRPr="00B90879">
        <w:rPr>
          <w:rFonts w:ascii="Times New Roman" w:eastAsia="Times New Roman" w:hAnsi="Times New Roman" w:cs="Times New Roman"/>
          <w:sz w:val="27"/>
          <w:szCs w:val="27"/>
          <w:lang w:val="ru-RU"/>
        </w:rPr>
        <w:t xml:space="preserve"> 9.</w:t>
      </w:r>
    </w:p>
    <w:p w:rsidR="00DE77B0" w:rsidRPr="00C77CB3" w:rsidRDefault="00DE77B0" w:rsidP="00B908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proofErr w:type="spellStart"/>
      <w:r w:rsidR="00341784" w:rsidRPr="00B90879">
        <w:rPr>
          <w:rFonts w:ascii="Times New Roman" w:eastAsia="Times New Roman" w:hAnsi="Times New Roman" w:cs="Times New Roman"/>
          <w:sz w:val="27"/>
          <w:szCs w:val="27"/>
          <w:lang w:val="ru-RU"/>
        </w:rPr>
        <w:t>Торговий</w:t>
      </w:r>
      <w:proofErr w:type="spellEnd"/>
      <w:r w:rsidR="00341784" w:rsidRPr="00B90879">
        <w:rPr>
          <w:rFonts w:ascii="Times New Roman" w:eastAsia="Times New Roman" w:hAnsi="Times New Roman" w:cs="Times New Roman"/>
          <w:sz w:val="27"/>
          <w:szCs w:val="27"/>
          <w:lang w:val="ru-RU"/>
        </w:rPr>
        <w:t xml:space="preserve"> </w:t>
      </w:r>
      <w:proofErr w:type="spellStart"/>
      <w:r w:rsidR="00341784" w:rsidRPr="00B90879">
        <w:rPr>
          <w:rFonts w:ascii="Times New Roman" w:eastAsia="Times New Roman" w:hAnsi="Times New Roman" w:cs="Times New Roman"/>
          <w:sz w:val="27"/>
          <w:szCs w:val="27"/>
          <w:lang w:val="ru-RU"/>
        </w:rPr>
        <w:t>репозитарій</w:t>
      </w:r>
      <w:proofErr w:type="spellEnd"/>
      <w:r w:rsidRPr="00B90879">
        <w:rPr>
          <w:rFonts w:ascii="Times New Roman" w:eastAsia="Times New Roman" w:hAnsi="Times New Roman" w:cs="Times New Roman"/>
          <w:sz w:val="27"/>
          <w:szCs w:val="27"/>
          <w:lang w:val="ru-RU"/>
        </w:rPr>
        <w:t xml:space="preserve"> </w:t>
      </w:r>
      <w:r w:rsidR="00B90879">
        <w:rPr>
          <w:rFonts w:ascii="Times New Roman" w:eastAsia="Times New Roman" w:hAnsi="Times New Roman" w:cs="Times New Roman"/>
          <w:sz w:val="27"/>
          <w:szCs w:val="27"/>
          <w:lang w:val="uk-UA"/>
        </w:rPr>
        <w:t>дозволяє сторонам контракту своєчасно отримувати доступ до інформації стосовно цього контракту і вносити до неї зміни.</w:t>
      </w:r>
    </w:p>
    <w:p w:rsidR="00DE77B0" w:rsidRPr="00C77CB3" w:rsidRDefault="00DE77B0" w:rsidP="00DE3896">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B90879">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w:t>
      </w:r>
      <w:proofErr w:type="spellStart"/>
      <w:r w:rsidR="00341784" w:rsidRPr="00B90879">
        <w:rPr>
          <w:rFonts w:ascii="Times New Roman" w:eastAsia="Times New Roman" w:hAnsi="Times New Roman" w:cs="Times New Roman"/>
          <w:sz w:val="27"/>
          <w:szCs w:val="27"/>
          <w:lang w:val="ru-RU"/>
        </w:rPr>
        <w:t>Торговий</w:t>
      </w:r>
      <w:proofErr w:type="spellEnd"/>
      <w:r w:rsidR="00341784" w:rsidRPr="00B90879">
        <w:rPr>
          <w:rFonts w:ascii="Times New Roman" w:eastAsia="Times New Roman" w:hAnsi="Times New Roman" w:cs="Times New Roman"/>
          <w:sz w:val="27"/>
          <w:szCs w:val="27"/>
          <w:lang w:val="ru-RU"/>
        </w:rPr>
        <w:t xml:space="preserve"> </w:t>
      </w:r>
      <w:proofErr w:type="spellStart"/>
      <w:r w:rsidR="00341784" w:rsidRPr="00B90879">
        <w:rPr>
          <w:rFonts w:ascii="Times New Roman" w:eastAsia="Times New Roman" w:hAnsi="Times New Roman" w:cs="Times New Roman"/>
          <w:sz w:val="27"/>
          <w:szCs w:val="27"/>
          <w:lang w:val="ru-RU"/>
        </w:rPr>
        <w:t>репозитарій</w:t>
      </w:r>
      <w:proofErr w:type="spellEnd"/>
      <w:r w:rsidRPr="00B90879">
        <w:rPr>
          <w:rFonts w:ascii="Times New Roman" w:eastAsia="Times New Roman" w:hAnsi="Times New Roman" w:cs="Times New Roman"/>
          <w:sz w:val="27"/>
          <w:szCs w:val="27"/>
          <w:lang w:val="ru-RU"/>
        </w:rPr>
        <w:t xml:space="preserve"> </w:t>
      </w:r>
      <w:r w:rsidR="00B90879">
        <w:rPr>
          <w:rFonts w:ascii="Times New Roman" w:eastAsia="Times New Roman" w:hAnsi="Times New Roman" w:cs="Times New Roman"/>
          <w:sz w:val="27"/>
          <w:szCs w:val="27"/>
          <w:lang w:val="uk-UA"/>
        </w:rPr>
        <w:t>уживає всіх розумних кроків для запобігання будь-якого зловживання інформацією, що зберігається в його системах.</w:t>
      </w:r>
    </w:p>
    <w:p w:rsidR="00DE77B0" w:rsidRPr="00C77CB3" w:rsidRDefault="002C45F1" w:rsidP="007D32A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Фізична особа, яка має тісний зв'язок із торговим </w:t>
      </w:r>
      <w:proofErr w:type="spellStart"/>
      <w:r>
        <w:rPr>
          <w:rFonts w:ascii="Times New Roman" w:eastAsia="Times New Roman" w:hAnsi="Times New Roman" w:cs="Times New Roman"/>
          <w:sz w:val="27"/>
          <w:szCs w:val="27"/>
          <w:lang w:val="uk-UA"/>
        </w:rPr>
        <w:t>репозитарієм</w:t>
      </w:r>
      <w:proofErr w:type="spellEnd"/>
      <w:r>
        <w:rPr>
          <w:rFonts w:ascii="Times New Roman" w:eastAsia="Times New Roman" w:hAnsi="Times New Roman" w:cs="Times New Roman"/>
          <w:sz w:val="27"/>
          <w:szCs w:val="27"/>
          <w:lang w:val="uk-UA"/>
        </w:rPr>
        <w:t xml:space="preserve">, або юридична особа, що має з торговим </w:t>
      </w:r>
      <w:proofErr w:type="spellStart"/>
      <w:r>
        <w:rPr>
          <w:rFonts w:ascii="Times New Roman" w:eastAsia="Times New Roman" w:hAnsi="Times New Roman" w:cs="Times New Roman"/>
          <w:sz w:val="27"/>
          <w:szCs w:val="27"/>
          <w:lang w:val="uk-UA"/>
        </w:rPr>
        <w:t>репозитарієм</w:t>
      </w:r>
      <w:proofErr w:type="spellEnd"/>
      <w:r>
        <w:rPr>
          <w:rFonts w:ascii="Times New Roman" w:eastAsia="Times New Roman" w:hAnsi="Times New Roman" w:cs="Times New Roman"/>
          <w:sz w:val="27"/>
          <w:szCs w:val="27"/>
          <w:lang w:val="uk-UA"/>
        </w:rPr>
        <w:t xml:space="preserve"> відносини як материнське </w:t>
      </w:r>
      <w:r w:rsidR="007D32A2">
        <w:rPr>
          <w:rFonts w:ascii="Times New Roman" w:eastAsia="Times New Roman" w:hAnsi="Times New Roman" w:cs="Times New Roman"/>
          <w:sz w:val="27"/>
          <w:szCs w:val="27"/>
          <w:lang w:val="uk-UA"/>
        </w:rPr>
        <w:t xml:space="preserve">підприємство або як дочірнє підприємство, не використовує конфіденційну інформацію, зареєстровану у торгового </w:t>
      </w:r>
      <w:proofErr w:type="spellStart"/>
      <w:r w:rsidR="007D32A2">
        <w:rPr>
          <w:rFonts w:ascii="Times New Roman" w:eastAsia="Times New Roman" w:hAnsi="Times New Roman" w:cs="Times New Roman"/>
          <w:sz w:val="27"/>
          <w:szCs w:val="27"/>
          <w:lang w:val="uk-UA"/>
        </w:rPr>
        <w:t>репозитарія</w:t>
      </w:r>
      <w:proofErr w:type="spellEnd"/>
      <w:r w:rsidR="007D32A2">
        <w:rPr>
          <w:rFonts w:ascii="Times New Roman" w:eastAsia="Times New Roman" w:hAnsi="Times New Roman" w:cs="Times New Roman"/>
          <w:sz w:val="27"/>
          <w:szCs w:val="27"/>
          <w:lang w:val="uk-UA"/>
        </w:rPr>
        <w:t>, у комерційних цілях.</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77CB3">
        <w:rPr>
          <w:rFonts w:ascii="Times New Roman" w:eastAsia="Times New Roman" w:hAnsi="Times New Roman" w:cs="Times New Roman"/>
          <w:i/>
          <w:iCs/>
          <w:sz w:val="27"/>
          <w:szCs w:val="27"/>
          <w:lang w:val="ru-RU"/>
        </w:rPr>
        <w:t>Стаття</w:t>
      </w:r>
      <w:proofErr w:type="spellEnd"/>
      <w:r w:rsidR="00DE77B0" w:rsidRPr="00C77CB3">
        <w:rPr>
          <w:rFonts w:ascii="Times New Roman" w:eastAsia="Times New Roman" w:hAnsi="Times New Roman" w:cs="Times New Roman"/>
          <w:i/>
          <w:iCs/>
          <w:sz w:val="27"/>
          <w:szCs w:val="27"/>
          <w:lang w:val="ru-RU"/>
        </w:rPr>
        <w:t xml:space="preserve"> 81</w:t>
      </w:r>
    </w:p>
    <w:p w:rsidR="00DE77B0" w:rsidRPr="004B6B3B" w:rsidRDefault="004B6B3B"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Прозорість і доступність даних</w:t>
      </w:r>
    </w:p>
    <w:p w:rsidR="00DE77B0" w:rsidRPr="00C77CB3" w:rsidRDefault="00DE77B0" w:rsidP="002D377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proofErr w:type="spellStart"/>
      <w:r w:rsidR="00341784" w:rsidRPr="002D3773">
        <w:rPr>
          <w:rFonts w:ascii="Times New Roman" w:eastAsia="Times New Roman" w:hAnsi="Times New Roman" w:cs="Times New Roman"/>
          <w:sz w:val="27"/>
          <w:szCs w:val="27"/>
          <w:lang w:val="ru-RU"/>
        </w:rPr>
        <w:t>Торговий</w:t>
      </w:r>
      <w:proofErr w:type="spellEnd"/>
      <w:r w:rsidR="00341784" w:rsidRPr="002D3773">
        <w:rPr>
          <w:rFonts w:ascii="Times New Roman" w:eastAsia="Times New Roman" w:hAnsi="Times New Roman" w:cs="Times New Roman"/>
          <w:sz w:val="27"/>
          <w:szCs w:val="27"/>
          <w:lang w:val="ru-RU"/>
        </w:rPr>
        <w:t xml:space="preserve"> </w:t>
      </w:r>
      <w:proofErr w:type="spellStart"/>
      <w:r w:rsidR="00341784" w:rsidRPr="002D3773">
        <w:rPr>
          <w:rFonts w:ascii="Times New Roman" w:eastAsia="Times New Roman" w:hAnsi="Times New Roman" w:cs="Times New Roman"/>
          <w:sz w:val="27"/>
          <w:szCs w:val="27"/>
          <w:lang w:val="ru-RU"/>
        </w:rPr>
        <w:t>репозитарій</w:t>
      </w:r>
      <w:proofErr w:type="spellEnd"/>
      <w:r w:rsidRPr="002D3773">
        <w:rPr>
          <w:rFonts w:ascii="Times New Roman" w:eastAsia="Times New Roman" w:hAnsi="Times New Roman" w:cs="Times New Roman"/>
          <w:sz w:val="27"/>
          <w:szCs w:val="27"/>
          <w:lang w:val="ru-RU"/>
        </w:rPr>
        <w:t xml:space="preserve"> </w:t>
      </w:r>
      <w:r w:rsidR="002D3773">
        <w:rPr>
          <w:rFonts w:ascii="Times New Roman" w:eastAsia="Times New Roman" w:hAnsi="Times New Roman" w:cs="Times New Roman"/>
          <w:sz w:val="27"/>
          <w:szCs w:val="27"/>
          <w:lang w:val="uk-UA"/>
        </w:rPr>
        <w:t>регулярно, у легкодоступний спосіб публікує сукупні позиції по класах деривативів за контрактами, про які йому повідомлено.</w:t>
      </w:r>
    </w:p>
    <w:p w:rsidR="00DE77B0" w:rsidRPr="00C77CB3" w:rsidRDefault="00DE77B0" w:rsidP="002D377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proofErr w:type="spellStart"/>
      <w:r w:rsidR="00341784" w:rsidRPr="00C77CB3">
        <w:rPr>
          <w:rFonts w:ascii="Times New Roman" w:eastAsia="Times New Roman" w:hAnsi="Times New Roman" w:cs="Times New Roman"/>
          <w:sz w:val="27"/>
          <w:szCs w:val="27"/>
          <w:lang w:val="ru-RU"/>
        </w:rPr>
        <w:t>Торговий</w:t>
      </w:r>
      <w:proofErr w:type="spellEnd"/>
      <w:r w:rsidR="00341784" w:rsidRPr="00C77CB3">
        <w:rPr>
          <w:rFonts w:ascii="Times New Roman" w:eastAsia="Times New Roman" w:hAnsi="Times New Roman" w:cs="Times New Roman"/>
          <w:sz w:val="27"/>
          <w:szCs w:val="27"/>
          <w:lang w:val="ru-RU"/>
        </w:rPr>
        <w:t xml:space="preserve"> </w:t>
      </w:r>
      <w:proofErr w:type="spellStart"/>
      <w:r w:rsidR="00341784" w:rsidRPr="00C77CB3">
        <w:rPr>
          <w:rFonts w:ascii="Times New Roman" w:eastAsia="Times New Roman" w:hAnsi="Times New Roman" w:cs="Times New Roman"/>
          <w:sz w:val="27"/>
          <w:szCs w:val="27"/>
          <w:lang w:val="ru-RU"/>
        </w:rPr>
        <w:t>репозитарій</w:t>
      </w:r>
      <w:proofErr w:type="spellEnd"/>
      <w:r w:rsidRPr="00C77CB3">
        <w:rPr>
          <w:rFonts w:ascii="Times New Roman" w:eastAsia="Times New Roman" w:hAnsi="Times New Roman" w:cs="Times New Roman"/>
          <w:sz w:val="27"/>
          <w:szCs w:val="27"/>
          <w:lang w:val="ru-RU"/>
        </w:rPr>
        <w:t xml:space="preserve"> </w:t>
      </w:r>
      <w:r w:rsidR="002D3773">
        <w:rPr>
          <w:rFonts w:ascii="Times New Roman" w:eastAsia="Times New Roman" w:hAnsi="Times New Roman" w:cs="Times New Roman"/>
          <w:sz w:val="27"/>
          <w:szCs w:val="27"/>
          <w:lang w:val="uk-UA"/>
        </w:rPr>
        <w:t xml:space="preserve">збирає і веде дані та забезпечує, щоб суб’єкти, згадані у пункті 3, мали безпосередній та негайний доступ до деталей контрактів на деривативи, які їм потрібні для виконання їхніх відповідних </w:t>
      </w:r>
      <w:r w:rsidR="00370206">
        <w:rPr>
          <w:rFonts w:ascii="Times New Roman" w:eastAsia="Times New Roman" w:hAnsi="Times New Roman" w:cs="Times New Roman"/>
          <w:sz w:val="27"/>
          <w:szCs w:val="27"/>
          <w:lang w:val="uk-UA"/>
        </w:rPr>
        <w:t>обов’язків</w:t>
      </w:r>
      <w:r w:rsidR="002D3773">
        <w:rPr>
          <w:rFonts w:ascii="Times New Roman" w:eastAsia="Times New Roman" w:hAnsi="Times New Roman" w:cs="Times New Roman"/>
          <w:sz w:val="27"/>
          <w:szCs w:val="27"/>
          <w:lang w:val="uk-UA"/>
        </w:rPr>
        <w:t xml:space="preserve"> і повноважень.</w:t>
      </w:r>
    </w:p>
    <w:p w:rsidR="00DE77B0" w:rsidRPr="00C77CB3" w:rsidRDefault="00DE77B0" w:rsidP="00370206">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70206">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proofErr w:type="spellStart"/>
      <w:r w:rsidR="00341784" w:rsidRPr="00370206">
        <w:rPr>
          <w:rFonts w:ascii="Times New Roman" w:eastAsia="Times New Roman" w:hAnsi="Times New Roman" w:cs="Times New Roman"/>
          <w:sz w:val="27"/>
          <w:szCs w:val="27"/>
          <w:lang w:val="ru-RU"/>
        </w:rPr>
        <w:t>Торговий</w:t>
      </w:r>
      <w:proofErr w:type="spellEnd"/>
      <w:r w:rsidR="00341784" w:rsidRPr="00370206">
        <w:rPr>
          <w:rFonts w:ascii="Times New Roman" w:eastAsia="Times New Roman" w:hAnsi="Times New Roman" w:cs="Times New Roman"/>
          <w:sz w:val="27"/>
          <w:szCs w:val="27"/>
          <w:lang w:val="ru-RU"/>
        </w:rPr>
        <w:t xml:space="preserve"> </w:t>
      </w:r>
      <w:proofErr w:type="spellStart"/>
      <w:r w:rsidR="00341784" w:rsidRPr="00370206">
        <w:rPr>
          <w:rFonts w:ascii="Times New Roman" w:eastAsia="Times New Roman" w:hAnsi="Times New Roman" w:cs="Times New Roman"/>
          <w:sz w:val="27"/>
          <w:szCs w:val="27"/>
          <w:lang w:val="ru-RU"/>
        </w:rPr>
        <w:t>репозитарій</w:t>
      </w:r>
      <w:proofErr w:type="spellEnd"/>
      <w:r w:rsidRPr="00370206">
        <w:rPr>
          <w:rFonts w:ascii="Times New Roman" w:eastAsia="Times New Roman" w:hAnsi="Times New Roman" w:cs="Times New Roman"/>
          <w:sz w:val="27"/>
          <w:szCs w:val="27"/>
          <w:lang w:val="ru-RU"/>
        </w:rPr>
        <w:t xml:space="preserve"> </w:t>
      </w:r>
      <w:r w:rsidR="00370206">
        <w:rPr>
          <w:rFonts w:ascii="Times New Roman" w:eastAsia="Times New Roman" w:hAnsi="Times New Roman" w:cs="Times New Roman"/>
          <w:sz w:val="27"/>
          <w:szCs w:val="27"/>
          <w:lang w:val="uk-UA"/>
        </w:rPr>
        <w:t>надає необхідну інформацію наступним суб’єктам, щоб вони могли виконувати свої відповідні обов’язки та повноваження:</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2"/>
        <w:gridCol w:w="8823"/>
      </w:tblGrid>
      <w:tr w:rsidR="00763E3E" w:rsidRPr="006279CF" w:rsidTr="007D32A2">
        <w:tc>
          <w:tcPr>
            <w:tcW w:w="33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466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ESMA;</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2"/>
        <w:gridCol w:w="8823"/>
      </w:tblGrid>
      <w:tr w:rsidR="00763E3E" w:rsidRPr="006279CF" w:rsidTr="007D32A2">
        <w:tc>
          <w:tcPr>
            <w:tcW w:w="33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466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4E7873" w:rsidP="0018707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rPr>
              <w:t>ESRB</w:t>
            </w:r>
            <w:r w:rsidR="00DE77B0" w:rsidRPr="006279CF">
              <w:rPr>
                <w:rFonts w:ascii="Times New Roman" w:eastAsia="Times New Roman" w:hAnsi="Times New Roman" w:cs="Times New Roman"/>
                <w:sz w:val="27"/>
                <w:szCs w:val="27"/>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1C29A3" w:rsidRDefault="00812EED" w:rsidP="001C29A3">
            <w:pPr>
              <w:spacing w:before="120" w:after="0" w:line="240" w:lineRule="auto"/>
              <w:jc w:val="both"/>
              <w:textAlignment w:val="baseline"/>
              <w:rPr>
                <w:rFonts w:ascii="Times New Roman" w:eastAsia="Times New Roman" w:hAnsi="Times New Roman" w:cs="Times New Roman"/>
                <w:sz w:val="27"/>
                <w:szCs w:val="27"/>
                <w:lang w:val="uk-UA"/>
              </w:rPr>
            </w:pPr>
            <w:proofErr w:type="spellStart"/>
            <w:r w:rsidRPr="001C29A3">
              <w:rPr>
                <w:rFonts w:ascii="Times New Roman" w:eastAsia="Times New Roman" w:hAnsi="Times New Roman" w:cs="Times New Roman"/>
                <w:sz w:val="27"/>
                <w:szCs w:val="27"/>
                <w:lang w:val="ru-RU"/>
              </w:rPr>
              <w:t>компетентний</w:t>
            </w:r>
            <w:proofErr w:type="spellEnd"/>
            <w:r w:rsidRPr="001C29A3">
              <w:rPr>
                <w:rFonts w:ascii="Times New Roman" w:eastAsia="Times New Roman" w:hAnsi="Times New Roman" w:cs="Times New Roman"/>
                <w:sz w:val="27"/>
                <w:szCs w:val="27"/>
                <w:lang w:val="ru-RU"/>
              </w:rPr>
              <w:t xml:space="preserve"> орган</w:t>
            </w:r>
            <w:r w:rsidR="001C29A3">
              <w:rPr>
                <w:rFonts w:ascii="Times New Roman" w:eastAsia="Times New Roman" w:hAnsi="Times New Roman" w:cs="Times New Roman"/>
                <w:sz w:val="27"/>
                <w:szCs w:val="27"/>
                <w:lang w:val="uk-UA"/>
              </w:rPr>
              <w:t xml:space="preserve">, що здійснює нагляд за діяльністю ЦКА, які отримують доступ до торгового </w:t>
            </w:r>
            <w:proofErr w:type="spellStart"/>
            <w:r w:rsidR="001C29A3">
              <w:rPr>
                <w:rFonts w:ascii="Times New Roman" w:eastAsia="Times New Roman" w:hAnsi="Times New Roman" w:cs="Times New Roman"/>
                <w:sz w:val="27"/>
                <w:szCs w:val="27"/>
                <w:lang w:val="uk-UA"/>
              </w:rPr>
              <w:t>репозитарія</w:t>
            </w:r>
            <w:proofErr w:type="spellEnd"/>
            <w:r w:rsidR="001C29A3">
              <w:rPr>
                <w:rFonts w:ascii="Times New Roman" w:eastAsia="Times New Roman" w:hAnsi="Times New Roman" w:cs="Times New Roman"/>
                <w:sz w:val="27"/>
                <w:szCs w:val="27"/>
                <w:lang w:val="uk-UA"/>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77CB3" w:rsidRDefault="00812EED" w:rsidP="001C29A3">
            <w:pPr>
              <w:spacing w:before="120" w:after="0" w:line="240" w:lineRule="auto"/>
              <w:jc w:val="both"/>
              <w:textAlignment w:val="baseline"/>
              <w:rPr>
                <w:rFonts w:ascii="Times New Roman" w:eastAsia="Times New Roman" w:hAnsi="Times New Roman" w:cs="Times New Roman"/>
                <w:sz w:val="27"/>
                <w:szCs w:val="27"/>
                <w:lang w:val="ru-RU"/>
              </w:rPr>
            </w:pPr>
            <w:proofErr w:type="spellStart"/>
            <w:r w:rsidRPr="001C29A3">
              <w:rPr>
                <w:rFonts w:ascii="Times New Roman" w:eastAsia="Times New Roman" w:hAnsi="Times New Roman" w:cs="Times New Roman"/>
                <w:sz w:val="27"/>
                <w:szCs w:val="27"/>
                <w:lang w:val="ru-RU"/>
              </w:rPr>
              <w:t>компетентний</w:t>
            </w:r>
            <w:proofErr w:type="spellEnd"/>
            <w:r w:rsidRPr="001C29A3">
              <w:rPr>
                <w:rFonts w:ascii="Times New Roman" w:eastAsia="Times New Roman" w:hAnsi="Times New Roman" w:cs="Times New Roman"/>
                <w:sz w:val="27"/>
                <w:szCs w:val="27"/>
                <w:lang w:val="ru-RU"/>
              </w:rPr>
              <w:t xml:space="preserve"> орган</w:t>
            </w:r>
            <w:r w:rsidR="001C29A3">
              <w:rPr>
                <w:rFonts w:ascii="Times New Roman" w:eastAsia="Times New Roman" w:hAnsi="Times New Roman" w:cs="Times New Roman"/>
                <w:sz w:val="27"/>
                <w:szCs w:val="27"/>
                <w:lang w:val="uk-UA"/>
              </w:rPr>
              <w:t>, що здійснює нагляд за діяльністю торговельних майданчиків контрактів, про які надаються повідомлення;</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8963"/>
      </w:tblGrid>
      <w:tr w:rsidR="00763E3E" w:rsidRPr="006279CF" w:rsidTr="007D32A2">
        <w:tc>
          <w:tcPr>
            <w:tcW w:w="26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w:t>
            </w:r>
          </w:p>
        </w:tc>
        <w:tc>
          <w:tcPr>
            <w:tcW w:w="47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1C29A3" w:rsidP="001C29A3">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відповідні члени ЄСЦБ;</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1C29A3" w:rsidP="001C29A3">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відповідні органи третьої країни, яка уклала міжнародну угоду з Союзом згідно зі статтею 75;</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814A29" w:rsidRDefault="00814A29" w:rsidP="00814A29">
            <w:pPr>
              <w:spacing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наглядові органи, призначені відповідно до статті 4 Директиви</w:t>
            </w:r>
            <w:r w:rsidR="00DE77B0" w:rsidRPr="00814A29">
              <w:rPr>
                <w:rFonts w:ascii="Times New Roman" w:eastAsia="Times New Roman" w:hAnsi="Times New Roman" w:cs="Times New Roman"/>
                <w:sz w:val="27"/>
                <w:szCs w:val="27"/>
                <w:lang w:val="ru-RU"/>
              </w:rPr>
              <w:t xml:space="preserve"> 2004/25/</w:t>
            </w:r>
            <w:r w:rsidR="00DE77B0" w:rsidRPr="006279CF">
              <w:rPr>
                <w:rFonts w:ascii="Times New Roman" w:eastAsia="Times New Roman" w:hAnsi="Times New Roman" w:cs="Times New Roman"/>
                <w:sz w:val="27"/>
                <w:szCs w:val="27"/>
              </w:rPr>
              <w:t>EC</w:t>
            </w:r>
            <w:r w:rsidR="00DE77B0" w:rsidRPr="00814A29">
              <w:rPr>
                <w:rFonts w:ascii="Times New Roman" w:eastAsia="Times New Roman" w:hAnsi="Times New Roman" w:cs="Times New Roman"/>
                <w:sz w:val="27"/>
                <w:szCs w:val="27"/>
                <w:lang w:val="ru-RU"/>
              </w:rPr>
              <w:t xml:space="preserve"> </w:t>
            </w:r>
            <w:proofErr w:type="spellStart"/>
            <w:r w:rsidR="00B46108" w:rsidRPr="00814A29">
              <w:rPr>
                <w:rFonts w:ascii="Times New Roman" w:eastAsia="Times New Roman" w:hAnsi="Times New Roman" w:cs="Times New Roman"/>
                <w:sz w:val="27"/>
                <w:szCs w:val="27"/>
                <w:lang w:val="ru-RU"/>
              </w:rPr>
              <w:t>Європейського</w:t>
            </w:r>
            <w:proofErr w:type="spellEnd"/>
            <w:r w:rsidR="00B46108" w:rsidRPr="00814A29">
              <w:rPr>
                <w:rFonts w:ascii="Times New Roman" w:eastAsia="Times New Roman" w:hAnsi="Times New Roman" w:cs="Times New Roman"/>
                <w:sz w:val="27"/>
                <w:szCs w:val="27"/>
                <w:lang w:val="ru-RU"/>
              </w:rPr>
              <w:t xml:space="preserve"> Парламенту та Ради</w:t>
            </w:r>
            <w:r w:rsidRPr="00814A29">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від 21 квітня 2004 р. про пропозиції щодо поглинання</w:t>
            </w:r>
            <w:hyperlink r:id="rId36" w:anchor="ntr32-L_2012201EN.01000101-E0032" w:history="1">
              <w:r w:rsidR="00DE77B0" w:rsidRPr="006279CF">
                <w:rPr>
                  <w:rFonts w:ascii="Times New Roman" w:eastAsia="Times New Roman" w:hAnsi="Times New Roman" w:cs="Times New Roman"/>
                  <w:sz w:val="27"/>
                  <w:szCs w:val="27"/>
                  <w:bdr w:val="none" w:sz="0" w:space="0" w:color="auto" w:frame="1"/>
                </w:rPr>
                <w:t> </w:t>
              </w:r>
              <w:r w:rsidR="00DE77B0" w:rsidRPr="00814A29">
                <w:rPr>
                  <w:rFonts w:ascii="Times New Roman" w:eastAsia="Times New Roman" w:hAnsi="Times New Roman" w:cs="Times New Roman"/>
                  <w:sz w:val="27"/>
                  <w:szCs w:val="27"/>
                  <w:bdr w:val="none" w:sz="0" w:space="0" w:color="auto" w:frame="1"/>
                  <w:lang w:val="ru-RU"/>
                </w:rPr>
                <w:t>(</w:t>
              </w:r>
              <w:r w:rsidR="00DE77B0" w:rsidRPr="00814A29">
                <w:rPr>
                  <w:rFonts w:ascii="Times New Roman" w:eastAsia="Times New Roman" w:hAnsi="Times New Roman" w:cs="Times New Roman"/>
                  <w:sz w:val="19"/>
                  <w:szCs w:val="19"/>
                  <w:bdr w:val="none" w:sz="0" w:space="0" w:color="auto" w:frame="1"/>
                  <w:vertAlign w:val="superscript"/>
                  <w:lang w:val="ru-RU"/>
                </w:rPr>
                <w:t>32</w:t>
              </w:r>
              <w:r w:rsidR="00DE77B0" w:rsidRPr="00814A29">
                <w:rPr>
                  <w:rFonts w:ascii="Times New Roman" w:eastAsia="Times New Roman" w:hAnsi="Times New Roman" w:cs="Times New Roman"/>
                  <w:sz w:val="27"/>
                  <w:szCs w:val="27"/>
                  <w:bdr w:val="none" w:sz="0" w:space="0" w:color="auto" w:frame="1"/>
                  <w:lang w:val="ru-RU"/>
                </w:rPr>
                <w:t>)</w:t>
              </w:r>
            </w:hyperlink>
            <w:r w:rsidR="00DE77B0" w:rsidRPr="00814A29">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22"/>
        <w:gridCol w:w="8843"/>
      </w:tblGrid>
      <w:tr w:rsidR="00814A29"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814A29" w:rsidRDefault="00814A29" w:rsidP="00814A2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відповідні органи Союзу з цінних паперів і ринків</w:t>
            </w:r>
            <w:r w:rsidR="00DE77B0" w:rsidRPr="00814A29">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10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w:t>
            </w:r>
            <w:proofErr w:type="spellStart"/>
            <w:r w:rsidRPr="006279CF">
              <w:rPr>
                <w:rFonts w:ascii="Times New Roman" w:eastAsia="Times New Roman" w:hAnsi="Times New Roman" w:cs="Times New Roman"/>
                <w:sz w:val="27"/>
                <w:szCs w:val="27"/>
              </w:rPr>
              <w:t>i</w:t>
            </w:r>
            <w:proofErr w:type="spellEnd"/>
            <w:r w:rsidRPr="006279CF">
              <w:rPr>
                <w:rFonts w:ascii="Times New Roman" w:eastAsia="Times New Roman" w:hAnsi="Times New Roman" w:cs="Times New Roman"/>
                <w:sz w:val="27"/>
                <w:szCs w:val="27"/>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814A29" w:rsidP="008916EB">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відповідні органи третьої країни, які уклали домовленість про співробітництво з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згідно зі статтею 76</w:t>
            </w:r>
            <w:r w:rsidR="008916EB">
              <w:rPr>
                <w:rFonts w:ascii="Times New Roman" w:eastAsia="Times New Roman" w:hAnsi="Times New Roman" w:cs="Times New Roman"/>
                <w:sz w:val="27"/>
                <w:szCs w:val="27"/>
                <w:lang w:val="uk-UA"/>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7"/>
        <w:gridCol w:w="9018"/>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8916EB" w:rsidRDefault="008916EB" w:rsidP="008916EB">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Агентство із співробітництва регуляторів у галузі енергетики.</w:t>
            </w:r>
          </w:p>
        </w:tc>
      </w:tr>
    </w:tbl>
    <w:p w:rsidR="00DE77B0" w:rsidRPr="00C77CB3" w:rsidRDefault="00DE77B0" w:rsidP="008916E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77CB3">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ESMA</w:t>
      </w:r>
      <w:r w:rsidRPr="008916EB">
        <w:rPr>
          <w:rFonts w:ascii="Times New Roman" w:eastAsia="Times New Roman" w:hAnsi="Times New Roman" w:cs="Times New Roman"/>
          <w:sz w:val="27"/>
          <w:szCs w:val="27"/>
          <w:lang w:val="ru-RU"/>
        </w:rPr>
        <w:t xml:space="preserve"> </w:t>
      </w:r>
      <w:r w:rsidR="008916EB">
        <w:rPr>
          <w:rFonts w:ascii="Times New Roman" w:eastAsia="Times New Roman" w:hAnsi="Times New Roman" w:cs="Times New Roman"/>
          <w:sz w:val="27"/>
          <w:szCs w:val="27"/>
          <w:lang w:val="uk-UA"/>
        </w:rPr>
        <w:t>надає іншим відповідним органам Союзу інформацію, необхідну для виконання ними своїх обов’язків.</w:t>
      </w:r>
    </w:p>
    <w:p w:rsidR="008916EB" w:rsidRPr="00AA5149" w:rsidRDefault="00DE77B0" w:rsidP="008916EB">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8916EB">
        <w:rPr>
          <w:rFonts w:ascii="Times New Roman" w:eastAsia="Times New Roman" w:hAnsi="Times New Roman" w:cs="Times New Roman"/>
          <w:sz w:val="27"/>
          <w:szCs w:val="27"/>
          <w:lang w:val="uk-UA"/>
        </w:rPr>
        <w:t xml:space="preserve">Для того, щоб забезпечити послідовне застосування цієї статті, </w:t>
      </w:r>
      <w:r w:rsidR="008916EB">
        <w:rPr>
          <w:rFonts w:ascii="Times New Roman" w:eastAsia="Times New Roman" w:hAnsi="Times New Roman" w:cs="Times New Roman"/>
          <w:sz w:val="27"/>
          <w:szCs w:val="27"/>
        </w:rPr>
        <w:t>ESMA</w:t>
      </w:r>
      <w:r w:rsidR="008916EB">
        <w:rPr>
          <w:rFonts w:ascii="Times New Roman" w:eastAsia="Times New Roman" w:hAnsi="Times New Roman" w:cs="Times New Roman"/>
          <w:sz w:val="27"/>
          <w:szCs w:val="27"/>
          <w:lang w:val="uk-UA"/>
        </w:rPr>
        <w:t xml:space="preserve"> </w:t>
      </w:r>
      <w:r w:rsidR="00DC6C76">
        <w:rPr>
          <w:rFonts w:ascii="Times New Roman" w:eastAsia="Times New Roman" w:hAnsi="Times New Roman" w:cs="Times New Roman"/>
          <w:sz w:val="27"/>
          <w:szCs w:val="27"/>
          <w:lang w:val="uk-UA"/>
        </w:rPr>
        <w:t xml:space="preserve">після консультацій з членами ЄСЦБ </w:t>
      </w:r>
      <w:r w:rsidR="008916EB">
        <w:rPr>
          <w:rFonts w:ascii="Times New Roman" w:eastAsia="Times New Roman" w:hAnsi="Times New Roman" w:cs="Times New Roman"/>
          <w:sz w:val="27"/>
          <w:szCs w:val="27"/>
          <w:lang w:val="uk-UA"/>
        </w:rPr>
        <w:t xml:space="preserve">розробляє проекти регуляторних технічних стандартів, де зазначає </w:t>
      </w:r>
      <w:r w:rsidR="00DC6C76">
        <w:rPr>
          <w:rFonts w:ascii="Times New Roman" w:eastAsia="Times New Roman" w:hAnsi="Times New Roman" w:cs="Times New Roman"/>
          <w:sz w:val="27"/>
          <w:szCs w:val="27"/>
          <w:lang w:val="uk-UA"/>
        </w:rPr>
        <w:t>частоту надання і зміст інформації, згаданої у пунктах 1 і 3</w:t>
      </w:r>
      <w:r w:rsidR="00C22A3A">
        <w:rPr>
          <w:rFonts w:ascii="Times New Roman" w:eastAsia="Times New Roman" w:hAnsi="Times New Roman" w:cs="Times New Roman"/>
          <w:sz w:val="27"/>
          <w:szCs w:val="27"/>
          <w:lang w:val="uk-UA"/>
        </w:rPr>
        <w:t xml:space="preserve"> цієї статті</w:t>
      </w:r>
      <w:r w:rsidR="00DC6C76">
        <w:rPr>
          <w:rFonts w:ascii="Times New Roman" w:eastAsia="Times New Roman" w:hAnsi="Times New Roman" w:cs="Times New Roman"/>
          <w:sz w:val="27"/>
          <w:szCs w:val="27"/>
          <w:lang w:val="uk-UA"/>
        </w:rPr>
        <w:t xml:space="preserve">, а також операційні стандарти, потрібні для агрегування і порівняння даних по </w:t>
      </w:r>
      <w:proofErr w:type="spellStart"/>
      <w:r w:rsidR="00DC6C76">
        <w:rPr>
          <w:rFonts w:ascii="Times New Roman" w:eastAsia="Times New Roman" w:hAnsi="Times New Roman" w:cs="Times New Roman"/>
          <w:sz w:val="27"/>
          <w:szCs w:val="27"/>
          <w:lang w:val="uk-UA"/>
        </w:rPr>
        <w:t>репозиторіях</w:t>
      </w:r>
      <w:proofErr w:type="spellEnd"/>
      <w:r w:rsidR="00DC6C76">
        <w:rPr>
          <w:rFonts w:ascii="Times New Roman" w:eastAsia="Times New Roman" w:hAnsi="Times New Roman" w:cs="Times New Roman"/>
          <w:sz w:val="27"/>
          <w:szCs w:val="27"/>
          <w:lang w:val="uk-UA"/>
        </w:rPr>
        <w:t xml:space="preserve">, а також для доступу </w:t>
      </w:r>
      <w:r w:rsidR="00C22A3A">
        <w:rPr>
          <w:rFonts w:ascii="Times New Roman" w:eastAsia="Times New Roman" w:hAnsi="Times New Roman" w:cs="Times New Roman"/>
          <w:sz w:val="27"/>
          <w:szCs w:val="27"/>
          <w:lang w:val="uk-UA"/>
        </w:rPr>
        <w:t xml:space="preserve">суб’єктів, зазначених у пункті 3 цієї статті, до необхідної інформації. Ці проекти регуляторних технічних стандартів </w:t>
      </w:r>
      <w:r w:rsidR="00AA5149">
        <w:rPr>
          <w:rFonts w:ascii="Times New Roman" w:eastAsia="Times New Roman" w:hAnsi="Times New Roman" w:cs="Times New Roman"/>
          <w:sz w:val="27"/>
          <w:szCs w:val="27"/>
          <w:lang w:val="uk-UA"/>
        </w:rPr>
        <w:t>мають на меті забезпечити, щоб інформація, опублікована відповідно до пункту 1 цієї статті, не дозволяла визначити сторону будь-якого контракту.</w:t>
      </w:r>
    </w:p>
    <w:p w:rsidR="008916EB" w:rsidRPr="00EE17BA" w:rsidRDefault="008916EB" w:rsidP="008916EB">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t>ESMA</w:t>
      </w:r>
      <w:r w:rsidRPr="00EE17BA">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подає</w:t>
      </w:r>
      <w:proofErr w:type="spellEnd"/>
      <w:r w:rsidRPr="00EE17BA">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ці</w:t>
      </w:r>
      <w:proofErr w:type="spellEnd"/>
      <w:r w:rsidRPr="00EE17BA">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проекти</w:t>
      </w:r>
      <w:proofErr w:type="spellEnd"/>
      <w:r w:rsidRPr="00EE17BA">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регуляторних</w:t>
      </w:r>
      <w:proofErr w:type="spellEnd"/>
      <w:r w:rsidRPr="00EE17BA">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технічних</w:t>
      </w:r>
      <w:proofErr w:type="spellEnd"/>
      <w:r w:rsidRPr="00EE17BA">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стандартів</w:t>
      </w:r>
      <w:proofErr w:type="spellEnd"/>
      <w:r w:rsidRPr="00EE17BA">
        <w:rPr>
          <w:rFonts w:ascii="Times New Roman" w:eastAsia="Times New Roman" w:hAnsi="Times New Roman" w:cs="Times New Roman"/>
          <w:sz w:val="27"/>
          <w:szCs w:val="27"/>
          <w:lang w:val="ru-RU"/>
        </w:rPr>
        <w:t xml:space="preserve"> </w:t>
      </w:r>
      <w:proofErr w:type="spellStart"/>
      <w:r w:rsidRPr="00EE17BA">
        <w:rPr>
          <w:rFonts w:ascii="Times New Roman" w:eastAsia="Times New Roman" w:hAnsi="Times New Roman" w:cs="Times New Roman"/>
          <w:sz w:val="27"/>
          <w:szCs w:val="27"/>
          <w:lang w:val="ru-RU"/>
        </w:rPr>
        <w:t>Комісії</w:t>
      </w:r>
      <w:proofErr w:type="spellEnd"/>
      <w:r w:rsidRPr="00EE17BA">
        <w:rPr>
          <w:rFonts w:ascii="Times New Roman" w:eastAsia="Times New Roman" w:hAnsi="Times New Roman" w:cs="Times New Roman"/>
          <w:sz w:val="27"/>
          <w:szCs w:val="27"/>
          <w:lang w:val="ru-RU"/>
        </w:rPr>
        <w:t xml:space="preserve"> до 30 </w:t>
      </w:r>
      <w:proofErr w:type="spellStart"/>
      <w:r w:rsidRPr="00EE17BA">
        <w:rPr>
          <w:rFonts w:ascii="Times New Roman" w:eastAsia="Times New Roman" w:hAnsi="Times New Roman" w:cs="Times New Roman"/>
          <w:sz w:val="27"/>
          <w:szCs w:val="27"/>
          <w:lang w:val="ru-RU"/>
        </w:rPr>
        <w:t>вересня</w:t>
      </w:r>
      <w:proofErr w:type="spellEnd"/>
      <w:r w:rsidRPr="00EE17BA">
        <w:rPr>
          <w:rFonts w:ascii="Times New Roman" w:eastAsia="Times New Roman" w:hAnsi="Times New Roman" w:cs="Times New Roman"/>
          <w:sz w:val="27"/>
          <w:szCs w:val="27"/>
          <w:lang w:val="ru-RU"/>
        </w:rPr>
        <w:t xml:space="preserve"> 2012 р.</w:t>
      </w:r>
    </w:p>
    <w:p w:rsidR="008916EB" w:rsidRDefault="008916EB" w:rsidP="008916EB">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Комісії надається повноваження на прийняття регуляторних технічних стандартів, згаданих у першому абзаці цього пункту, </w:t>
      </w:r>
      <w:r w:rsidRPr="00620DC3">
        <w:rPr>
          <w:rFonts w:ascii="Times New Roman" w:eastAsia="Times New Roman" w:hAnsi="Times New Roman" w:cs="Times New Roman"/>
          <w:sz w:val="27"/>
          <w:szCs w:val="27"/>
          <w:lang w:val="uk-UA"/>
        </w:rPr>
        <w:t xml:space="preserve">відповідно до </w:t>
      </w:r>
      <w:proofErr w:type="spellStart"/>
      <w:r w:rsidRPr="00620DC3">
        <w:rPr>
          <w:rFonts w:ascii="Times New Roman" w:eastAsia="Times New Roman" w:hAnsi="Times New Roman" w:cs="Times New Roman"/>
          <w:sz w:val="27"/>
          <w:szCs w:val="27"/>
          <w:lang w:val="uk-UA"/>
        </w:rPr>
        <w:t>статтей</w:t>
      </w:r>
      <w:proofErr w:type="spellEnd"/>
      <w:r w:rsidRPr="00620DC3">
        <w:rPr>
          <w:rFonts w:ascii="Times New Roman" w:eastAsia="Times New Roman" w:hAnsi="Times New Roman" w:cs="Times New Roman"/>
          <w:sz w:val="27"/>
          <w:szCs w:val="27"/>
          <w:lang w:val="uk-UA"/>
        </w:rPr>
        <w:t xml:space="preserve"> 10-14 Регламенту (</w:t>
      </w:r>
      <w:r>
        <w:rPr>
          <w:rFonts w:ascii="Times New Roman" w:eastAsia="Times New Roman" w:hAnsi="Times New Roman" w:cs="Times New Roman"/>
          <w:sz w:val="27"/>
          <w:szCs w:val="27"/>
        </w:rPr>
        <w:t>EU</w:t>
      </w:r>
      <w:r w:rsidRPr="00620DC3">
        <w:rPr>
          <w:rFonts w:ascii="Times New Roman" w:eastAsia="Times New Roman" w:hAnsi="Times New Roman" w:cs="Times New Roman"/>
          <w:sz w:val="27"/>
          <w:szCs w:val="27"/>
          <w:lang w:val="uk-UA"/>
        </w:rPr>
        <w:t>) №</w:t>
      </w:r>
      <w:r w:rsidRPr="006279CF">
        <w:rPr>
          <w:rFonts w:ascii="Times New Roman" w:eastAsia="Times New Roman" w:hAnsi="Times New Roman" w:cs="Times New Roman"/>
          <w:sz w:val="27"/>
          <w:szCs w:val="27"/>
        </w:rPr>
        <w:t> </w:t>
      </w:r>
      <w:r w:rsidRPr="00620DC3">
        <w:rPr>
          <w:rFonts w:ascii="Times New Roman" w:eastAsia="Times New Roman" w:hAnsi="Times New Roman" w:cs="Times New Roman"/>
          <w:sz w:val="27"/>
          <w:szCs w:val="27"/>
          <w:lang w:val="uk-UA"/>
        </w:rPr>
        <w:t>1095/2010.</w:t>
      </w:r>
    </w:p>
    <w:p w:rsidR="00AA5149" w:rsidRDefault="00AA5149"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p>
    <w:p w:rsidR="00AA5149" w:rsidRDefault="00AA5149"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p>
    <w:p w:rsidR="00DE77B0" w:rsidRPr="00200864"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200864">
        <w:rPr>
          <w:rFonts w:ascii="Times New Roman" w:eastAsia="Times New Roman" w:hAnsi="Times New Roman" w:cs="Times New Roman"/>
          <w:i/>
          <w:iCs/>
          <w:sz w:val="27"/>
          <w:szCs w:val="27"/>
          <w:lang w:val="ru-RU"/>
        </w:rPr>
        <w:lastRenderedPageBreak/>
        <w:t>Стаття</w:t>
      </w:r>
      <w:proofErr w:type="spellEnd"/>
      <w:r w:rsidR="00DE77B0" w:rsidRPr="00200864">
        <w:rPr>
          <w:rFonts w:ascii="Times New Roman" w:eastAsia="Times New Roman" w:hAnsi="Times New Roman" w:cs="Times New Roman"/>
          <w:i/>
          <w:iCs/>
          <w:sz w:val="27"/>
          <w:szCs w:val="27"/>
          <w:lang w:val="ru-RU"/>
        </w:rPr>
        <w:t xml:space="preserve"> 82</w:t>
      </w:r>
    </w:p>
    <w:p w:rsidR="00DE77B0" w:rsidRPr="00AA5149" w:rsidRDefault="00AA5149"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Порядок делегування</w:t>
      </w:r>
    </w:p>
    <w:p w:rsidR="00DE77B0" w:rsidRPr="00C77CB3" w:rsidRDefault="00DE77B0" w:rsidP="00D941C0">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200864">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200864">
        <w:rPr>
          <w:rFonts w:ascii="Times New Roman" w:eastAsia="Times New Roman" w:hAnsi="Times New Roman" w:cs="Times New Roman"/>
          <w:sz w:val="27"/>
          <w:szCs w:val="27"/>
          <w:lang w:val="uk-UA"/>
        </w:rPr>
        <w:t xml:space="preserve">Повноваження на прийняття делегованих </w:t>
      </w:r>
      <w:r w:rsidR="00D941C0">
        <w:rPr>
          <w:rFonts w:ascii="Times New Roman" w:eastAsia="Times New Roman" w:hAnsi="Times New Roman" w:cs="Times New Roman"/>
          <w:sz w:val="27"/>
          <w:szCs w:val="27"/>
          <w:lang w:val="uk-UA"/>
        </w:rPr>
        <w:t>актів надається Комісії з урахуванням умов, викладених у цій статті.</w:t>
      </w:r>
    </w:p>
    <w:p w:rsidR="00DE77B0" w:rsidRPr="00C77CB3" w:rsidRDefault="00DE77B0" w:rsidP="00C446DC">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D293F">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CD293F">
        <w:rPr>
          <w:rFonts w:ascii="Times New Roman" w:eastAsia="Times New Roman" w:hAnsi="Times New Roman" w:cs="Times New Roman"/>
          <w:sz w:val="27"/>
          <w:szCs w:val="27"/>
          <w:lang w:val="uk-UA"/>
        </w:rPr>
        <w:t xml:space="preserve">Повноваження на прийняття делегованих актів, </w:t>
      </w:r>
      <w:r w:rsidR="00C446DC">
        <w:rPr>
          <w:rFonts w:ascii="Times New Roman" w:eastAsia="Times New Roman" w:hAnsi="Times New Roman" w:cs="Times New Roman"/>
          <w:sz w:val="27"/>
          <w:szCs w:val="27"/>
          <w:lang w:val="uk-UA"/>
        </w:rPr>
        <w:t>згадане у статті</w:t>
      </w:r>
      <w:r w:rsidRPr="00C446DC">
        <w:rPr>
          <w:rFonts w:ascii="Times New Roman" w:eastAsia="Times New Roman" w:hAnsi="Times New Roman" w:cs="Times New Roman"/>
          <w:sz w:val="27"/>
          <w:szCs w:val="27"/>
          <w:lang w:val="ru-RU"/>
        </w:rPr>
        <w:t xml:space="preserve"> 1(6), </w:t>
      </w:r>
      <w:r w:rsidR="00C446DC">
        <w:rPr>
          <w:rFonts w:ascii="Times New Roman" w:eastAsia="Times New Roman" w:hAnsi="Times New Roman" w:cs="Times New Roman"/>
          <w:sz w:val="27"/>
          <w:szCs w:val="27"/>
          <w:lang w:val="uk-UA"/>
        </w:rPr>
        <w:t>статті</w:t>
      </w:r>
      <w:r w:rsidRPr="00C446DC">
        <w:rPr>
          <w:rFonts w:ascii="Times New Roman" w:eastAsia="Times New Roman" w:hAnsi="Times New Roman" w:cs="Times New Roman"/>
          <w:sz w:val="27"/>
          <w:szCs w:val="27"/>
          <w:lang w:val="ru-RU"/>
        </w:rPr>
        <w:t xml:space="preserve"> 64(7), </w:t>
      </w:r>
      <w:r w:rsidR="00C446DC">
        <w:rPr>
          <w:rFonts w:ascii="Times New Roman" w:eastAsia="Times New Roman" w:hAnsi="Times New Roman" w:cs="Times New Roman"/>
          <w:sz w:val="27"/>
          <w:szCs w:val="27"/>
          <w:lang w:val="uk-UA"/>
        </w:rPr>
        <w:t>статті</w:t>
      </w:r>
      <w:r w:rsidRPr="00C446DC">
        <w:rPr>
          <w:rFonts w:ascii="Times New Roman" w:eastAsia="Times New Roman" w:hAnsi="Times New Roman" w:cs="Times New Roman"/>
          <w:sz w:val="27"/>
          <w:szCs w:val="27"/>
          <w:lang w:val="ru-RU"/>
        </w:rPr>
        <w:t xml:space="preserve"> 70, </w:t>
      </w:r>
      <w:r w:rsidR="00C446DC">
        <w:rPr>
          <w:rFonts w:ascii="Times New Roman" w:eastAsia="Times New Roman" w:hAnsi="Times New Roman" w:cs="Times New Roman"/>
          <w:sz w:val="27"/>
          <w:szCs w:val="27"/>
          <w:lang w:val="uk-UA"/>
        </w:rPr>
        <w:t>статті</w:t>
      </w:r>
      <w:r w:rsidRPr="00C446DC">
        <w:rPr>
          <w:rFonts w:ascii="Times New Roman" w:eastAsia="Times New Roman" w:hAnsi="Times New Roman" w:cs="Times New Roman"/>
          <w:sz w:val="27"/>
          <w:szCs w:val="27"/>
          <w:lang w:val="ru-RU"/>
        </w:rPr>
        <w:t xml:space="preserve"> 72(3) </w:t>
      </w:r>
      <w:r w:rsidR="00C446DC">
        <w:rPr>
          <w:rFonts w:ascii="Times New Roman" w:eastAsia="Times New Roman" w:hAnsi="Times New Roman" w:cs="Times New Roman"/>
          <w:sz w:val="27"/>
          <w:szCs w:val="27"/>
          <w:lang w:val="uk-UA"/>
        </w:rPr>
        <w:t>і статті</w:t>
      </w:r>
      <w:r w:rsidRPr="00C446DC">
        <w:rPr>
          <w:rFonts w:ascii="Times New Roman" w:eastAsia="Times New Roman" w:hAnsi="Times New Roman" w:cs="Times New Roman"/>
          <w:sz w:val="27"/>
          <w:szCs w:val="27"/>
          <w:lang w:val="ru-RU"/>
        </w:rPr>
        <w:t xml:space="preserve"> 85(2)</w:t>
      </w:r>
      <w:r w:rsidR="00C446DC">
        <w:rPr>
          <w:rFonts w:ascii="Times New Roman" w:eastAsia="Times New Roman" w:hAnsi="Times New Roman" w:cs="Times New Roman"/>
          <w:sz w:val="27"/>
          <w:szCs w:val="27"/>
          <w:lang w:val="ru-RU"/>
        </w:rPr>
        <w:t xml:space="preserve">, </w:t>
      </w:r>
      <w:r w:rsidR="00C446DC">
        <w:rPr>
          <w:rFonts w:ascii="Times New Roman" w:eastAsia="Times New Roman" w:hAnsi="Times New Roman" w:cs="Times New Roman"/>
          <w:sz w:val="27"/>
          <w:szCs w:val="27"/>
          <w:lang w:val="uk-UA"/>
        </w:rPr>
        <w:t>надається Комісії на невизначений період часу.</w:t>
      </w:r>
    </w:p>
    <w:p w:rsidR="00DE77B0" w:rsidRPr="00B24DE4" w:rsidRDefault="00DE77B0" w:rsidP="00B24DE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B24DE4">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B24DE4">
        <w:rPr>
          <w:rFonts w:ascii="Times New Roman" w:eastAsia="Times New Roman" w:hAnsi="Times New Roman" w:cs="Times New Roman"/>
          <w:sz w:val="27"/>
          <w:szCs w:val="27"/>
          <w:lang w:val="uk-UA"/>
        </w:rPr>
        <w:t xml:space="preserve">Перш ніж приймати делегований акт, Комісія докладає зусиль для консультування з </w:t>
      </w:r>
      <w:r w:rsidR="00B24DE4">
        <w:rPr>
          <w:rFonts w:ascii="Times New Roman" w:eastAsia="Times New Roman" w:hAnsi="Times New Roman" w:cs="Times New Roman"/>
          <w:sz w:val="27"/>
          <w:szCs w:val="27"/>
        </w:rPr>
        <w:t>ESMA</w:t>
      </w:r>
      <w:r w:rsidRPr="00B24DE4">
        <w:rPr>
          <w:rFonts w:ascii="Times New Roman" w:eastAsia="Times New Roman" w:hAnsi="Times New Roman" w:cs="Times New Roman"/>
          <w:sz w:val="27"/>
          <w:szCs w:val="27"/>
          <w:lang w:val="ru-RU"/>
        </w:rPr>
        <w:t>.</w:t>
      </w:r>
    </w:p>
    <w:p w:rsidR="00DE77B0" w:rsidRPr="00C77CB3" w:rsidRDefault="00DE77B0" w:rsidP="00B019AF">
      <w:pPr>
        <w:shd w:val="clear" w:color="auto" w:fill="FFFFFF"/>
        <w:spacing w:after="0" w:line="240" w:lineRule="auto"/>
        <w:jc w:val="both"/>
        <w:textAlignment w:val="baseline"/>
        <w:rPr>
          <w:rFonts w:ascii="Times New Roman" w:eastAsia="Times New Roman" w:hAnsi="Times New Roman" w:cs="Times New Roman"/>
          <w:sz w:val="27"/>
          <w:szCs w:val="27"/>
          <w:lang w:val="ru-RU"/>
        </w:rPr>
      </w:pPr>
      <w:r w:rsidRPr="00B019AF">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B24DE4">
        <w:rPr>
          <w:rFonts w:ascii="Times New Roman" w:eastAsia="Times New Roman" w:hAnsi="Times New Roman" w:cs="Times New Roman"/>
          <w:sz w:val="27"/>
          <w:szCs w:val="27"/>
          <w:lang w:val="uk-UA"/>
        </w:rPr>
        <w:t xml:space="preserve">Повноваження на прийняття </w:t>
      </w:r>
      <w:r w:rsidR="00B019AF">
        <w:rPr>
          <w:rFonts w:ascii="Times New Roman" w:eastAsia="Times New Roman" w:hAnsi="Times New Roman" w:cs="Times New Roman"/>
          <w:sz w:val="27"/>
          <w:szCs w:val="27"/>
          <w:lang w:val="uk-UA"/>
        </w:rPr>
        <w:t>делегованих актів, згадане у статті</w:t>
      </w:r>
      <w:r w:rsidRPr="000F1DE1">
        <w:rPr>
          <w:rFonts w:ascii="Times New Roman" w:eastAsia="Times New Roman" w:hAnsi="Times New Roman" w:cs="Times New Roman"/>
          <w:sz w:val="27"/>
          <w:szCs w:val="27"/>
          <w:lang w:val="ru-RU"/>
        </w:rPr>
        <w:t xml:space="preserve"> 1(6), </w:t>
      </w:r>
      <w:r w:rsidR="00B019AF">
        <w:rPr>
          <w:rFonts w:ascii="Times New Roman" w:eastAsia="Times New Roman" w:hAnsi="Times New Roman" w:cs="Times New Roman"/>
          <w:sz w:val="27"/>
          <w:szCs w:val="27"/>
          <w:lang w:val="uk-UA"/>
        </w:rPr>
        <w:t>статті</w:t>
      </w:r>
      <w:r w:rsidRPr="000F1DE1">
        <w:rPr>
          <w:rFonts w:ascii="Times New Roman" w:eastAsia="Times New Roman" w:hAnsi="Times New Roman" w:cs="Times New Roman"/>
          <w:sz w:val="27"/>
          <w:szCs w:val="27"/>
          <w:lang w:val="ru-RU"/>
        </w:rPr>
        <w:t xml:space="preserve"> 64(7), </w:t>
      </w:r>
      <w:r w:rsidR="00B019AF">
        <w:rPr>
          <w:rFonts w:ascii="Times New Roman" w:eastAsia="Times New Roman" w:hAnsi="Times New Roman" w:cs="Times New Roman"/>
          <w:sz w:val="27"/>
          <w:szCs w:val="27"/>
          <w:lang w:val="uk-UA"/>
        </w:rPr>
        <w:t>статті</w:t>
      </w:r>
      <w:r w:rsidRPr="000F1DE1">
        <w:rPr>
          <w:rFonts w:ascii="Times New Roman" w:eastAsia="Times New Roman" w:hAnsi="Times New Roman" w:cs="Times New Roman"/>
          <w:sz w:val="27"/>
          <w:szCs w:val="27"/>
          <w:lang w:val="ru-RU"/>
        </w:rPr>
        <w:t xml:space="preserve"> 70, </w:t>
      </w:r>
      <w:r w:rsidR="00B019AF">
        <w:rPr>
          <w:rFonts w:ascii="Times New Roman" w:eastAsia="Times New Roman" w:hAnsi="Times New Roman" w:cs="Times New Roman"/>
          <w:sz w:val="27"/>
          <w:szCs w:val="27"/>
          <w:lang w:val="uk-UA"/>
        </w:rPr>
        <w:t>статті</w:t>
      </w:r>
      <w:r w:rsidRPr="000F1DE1">
        <w:rPr>
          <w:rFonts w:ascii="Times New Roman" w:eastAsia="Times New Roman" w:hAnsi="Times New Roman" w:cs="Times New Roman"/>
          <w:sz w:val="27"/>
          <w:szCs w:val="27"/>
          <w:lang w:val="ru-RU"/>
        </w:rPr>
        <w:t xml:space="preserve"> 72(3) </w:t>
      </w:r>
      <w:r w:rsidR="00B019AF">
        <w:rPr>
          <w:rFonts w:ascii="Times New Roman" w:eastAsia="Times New Roman" w:hAnsi="Times New Roman" w:cs="Times New Roman"/>
          <w:sz w:val="27"/>
          <w:szCs w:val="27"/>
          <w:lang w:val="uk-UA"/>
        </w:rPr>
        <w:t>і статті</w:t>
      </w:r>
      <w:r w:rsidR="000F1DE1">
        <w:rPr>
          <w:rFonts w:ascii="Times New Roman" w:eastAsia="Times New Roman" w:hAnsi="Times New Roman" w:cs="Times New Roman"/>
          <w:sz w:val="27"/>
          <w:szCs w:val="27"/>
          <w:lang w:val="ru-RU"/>
        </w:rPr>
        <w:t xml:space="preserve"> 85(2), </w:t>
      </w:r>
      <w:r w:rsidR="000F1DE1">
        <w:rPr>
          <w:rFonts w:ascii="Times New Roman" w:eastAsia="Times New Roman" w:hAnsi="Times New Roman" w:cs="Times New Roman"/>
          <w:sz w:val="27"/>
          <w:szCs w:val="27"/>
          <w:lang w:val="uk-UA"/>
        </w:rPr>
        <w:t xml:space="preserve">може </w:t>
      </w:r>
      <w:r w:rsidR="004D5188">
        <w:rPr>
          <w:rFonts w:ascii="Times New Roman" w:eastAsia="Times New Roman" w:hAnsi="Times New Roman" w:cs="Times New Roman"/>
          <w:sz w:val="27"/>
          <w:szCs w:val="27"/>
          <w:lang w:val="uk-UA"/>
        </w:rPr>
        <w:t>бути в будь-який момент відкликано Європейським Парламентом або Радою. Рішення про відкликання цього повноваження</w:t>
      </w:r>
      <w:r w:rsidR="004F786D">
        <w:rPr>
          <w:rFonts w:ascii="Times New Roman" w:eastAsia="Times New Roman" w:hAnsi="Times New Roman" w:cs="Times New Roman"/>
          <w:sz w:val="27"/>
          <w:szCs w:val="27"/>
          <w:lang w:val="uk-UA"/>
        </w:rPr>
        <w:t xml:space="preserve"> припиняє делегування повноваження, зазначеного в цьому рішенні. Рішення про відкликання повноваження набирає чинності на наступний день після його публікації в «Офіційному віснику Європейського Союзу» або в інший день, зазначений у рішенні. Це рішення не впливає на чинність будь-яких делегованих актів, які вже є чинними.</w:t>
      </w:r>
    </w:p>
    <w:p w:rsidR="00DE77B0" w:rsidRPr="00C77CB3" w:rsidRDefault="00DE77B0" w:rsidP="007E7A9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7E7A92">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7E7A92">
        <w:rPr>
          <w:rFonts w:ascii="Times New Roman" w:eastAsia="Times New Roman" w:hAnsi="Times New Roman" w:cs="Times New Roman"/>
          <w:sz w:val="27"/>
          <w:szCs w:val="27"/>
          <w:lang w:val="uk-UA"/>
        </w:rPr>
        <w:t>Негайно після прийняття делегованого акту Комісія одночасно доводить його до відома Європейського Парламенту і Ради.</w:t>
      </w:r>
    </w:p>
    <w:p w:rsidR="00DE77B0" w:rsidRPr="00C77CB3" w:rsidRDefault="00DE77B0" w:rsidP="00DB406A">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7E7A92">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w:t>
      </w:r>
      <w:r w:rsidR="007E7A92">
        <w:rPr>
          <w:rFonts w:ascii="Times New Roman" w:eastAsia="Times New Roman" w:hAnsi="Times New Roman" w:cs="Times New Roman"/>
          <w:sz w:val="27"/>
          <w:szCs w:val="27"/>
          <w:lang w:val="uk-UA"/>
        </w:rPr>
        <w:t>Делегований акт, прийнятий відповідно до статті</w:t>
      </w:r>
      <w:r w:rsidRPr="00C77CB3">
        <w:rPr>
          <w:rFonts w:ascii="Times New Roman" w:eastAsia="Times New Roman" w:hAnsi="Times New Roman" w:cs="Times New Roman"/>
          <w:sz w:val="27"/>
          <w:szCs w:val="27"/>
          <w:lang w:val="ru-RU"/>
        </w:rPr>
        <w:t xml:space="preserve"> 1(6), </w:t>
      </w:r>
      <w:r w:rsidR="007E7A92">
        <w:rPr>
          <w:rFonts w:ascii="Times New Roman" w:eastAsia="Times New Roman" w:hAnsi="Times New Roman" w:cs="Times New Roman"/>
          <w:sz w:val="27"/>
          <w:szCs w:val="27"/>
          <w:lang w:val="uk-UA"/>
        </w:rPr>
        <w:t>с</w:t>
      </w:r>
      <w:proofErr w:type="spellStart"/>
      <w:r w:rsidR="00155A2A" w:rsidRPr="007E7A92">
        <w:rPr>
          <w:rFonts w:ascii="Times New Roman" w:eastAsia="Times New Roman" w:hAnsi="Times New Roman" w:cs="Times New Roman"/>
          <w:sz w:val="27"/>
          <w:szCs w:val="27"/>
          <w:lang w:val="ru-RU"/>
        </w:rPr>
        <w:t>татт</w:t>
      </w:r>
      <w:proofErr w:type="spellEnd"/>
      <w:r w:rsidR="007E7A92">
        <w:rPr>
          <w:rFonts w:ascii="Times New Roman" w:eastAsia="Times New Roman" w:hAnsi="Times New Roman" w:cs="Times New Roman"/>
          <w:sz w:val="27"/>
          <w:szCs w:val="27"/>
          <w:lang w:val="uk-UA"/>
        </w:rPr>
        <w:t>і</w:t>
      </w:r>
      <w:r w:rsidRPr="00C77CB3">
        <w:rPr>
          <w:rFonts w:ascii="Times New Roman" w:eastAsia="Times New Roman" w:hAnsi="Times New Roman" w:cs="Times New Roman"/>
          <w:sz w:val="27"/>
          <w:szCs w:val="27"/>
          <w:lang w:val="ru-RU"/>
        </w:rPr>
        <w:t xml:space="preserve"> 64(7), </w:t>
      </w:r>
      <w:r w:rsidR="007E7A92">
        <w:rPr>
          <w:rFonts w:ascii="Times New Roman" w:eastAsia="Times New Roman" w:hAnsi="Times New Roman" w:cs="Times New Roman"/>
          <w:sz w:val="27"/>
          <w:szCs w:val="27"/>
          <w:lang w:val="uk-UA"/>
        </w:rPr>
        <w:t>с</w:t>
      </w:r>
      <w:proofErr w:type="spellStart"/>
      <w:r w:rsidR="00155A2A" w:rsidRPr="007E7A92">
        <w:rPr>
          <w:rFonts w:ascii="Times New Roman" w:eastAsia="Times New Roman" w:hAnsi="Times New Roman" w:cs="Times New Roman"/>
          <w:sz w:val="27"/>
          <w:szCs w:val="27"/>
          <w:lang w:val="ru-RU"/>
        </w:rPr>
        <w:t>татт</w:t>
      </w:r>
      <w:proofErr w:type="spellEnd"/>
      <w:r w:rsidR="007E7A92">
        <w:rPr>
          <w:rFonts w:ascii="Times New Roman" w:eastAsia="Times New Roman" w:hAnsi="Times New Roman" w:cs="Times New Roman"/>
          <w:sz w:val="27"/>
          <w:szCs w:val="27"/>
          <w:lang w:val="uk-UA"/>
        </w:rPr>
        <w:t>і</w:t>
      </w:r>
      <w:r w:rsidRPr="00C77CB3">
        <w:rPr>
          <w:rFonts w:ascii="Times New Roman" w:eastAsia="Times New Roman" w:hAnsi="Times New Roman" w:cs="Times New Roman"/>
          <w:sz w:val="27"/>
          <w:szCs w:val="27"/>
          <w:lang w:val="ru-RU"/>
        </w:rPr>
        <w:t xml:space="preserve"> 70, </w:t>
      </w:r>
      <w:r w:rsidR="007E7A92">
        <w:rPr>
          <w:rFonts w:ascii="Times New Roman" w:eastAsia="Times New Roman" w:hAnsi="Times New Roman" w:cs="Times New Roman"/>
          <w:sz w:val="27"/>
          <w:szCs w:val="27"/>
          <w:lang w:val="uk-UA"/>
        </w:rPr>
        <w:t>с</w:t>
      </w:r>
      <w:proofErr w:type="spellStart"/>
      <w:r w:rsidR="00155A2A" w:rsidRPr="007E7A92">
        <w:rPr>
          <w:rFonts w:ascii="Times New Roman" w:eastAsia="Times New Roman" w:hAnsi="Times New Roman" w:cs="Times New Roman"/>
          <w:sz w:val="27"/>
          <w:szCs w:val="27"/>
          <w:lang w:val="ru-RU"/>
        </w:rPr>
        <w:t>татт</w:t>
      </w:r>
      <w:proofErr w:type="spellEnd"/>
      <w:r w:rsidR="007E7A92">
        <w:rPr>
          <w:rFonts w:ascii="Times New Roman" w:eastAsia="Times New Roman" w:hAnsi="Times New Roman" w:cs="Times New Roman"/>
          <w:sz w:val="27"/>
          <w:szCs w:val="27"/>
          <w:lang w:val="uk-UA"/>
        </w:rPr>
        <w:t>і</w:t>
      </w:r>
      <w:r w:rsidRPr="00C77CB3">
        <w:rPr>
          <w:rFonts w:ascii="Times New Roman" w:eastAsia="Times New Roman" w:hAnsi="Times New Roman" w:cs="Times New Roman"/>
          <w:sz w:val="27"/>
          <w:szCs w:val="27"/>
          <w:lang w:val="ru-RU"/>
        </w:rPr>
        <w:t xml:space="preserve"> 72(3) </w:t>
      </w:r>
      <w:r w:rsidR="007E7A92">
        <w:rPr>
          <w:rFonts w:ascii="Times New Roman" w:eastAsia="Times New Roman" w:hAnsi="Times New Roman" w:cs="Times New Roman"/>
          <w:sz w:val="27"/>
          <w:szCs w:val="27"/>
          <w:lang w:val="uk-UA"/>
        </w:rPr>
        <w:t>і</w:t>
      </w:r>
      <w:r w:rsidRPr="00C77CB3">
        <w:rPr>
          <w:rFonts w:ascii="Times New Roman" w:eastAsia="Times New Roman" w:hAnsi="Times New Roman" w:cs="Times New Roman"/>
          <w:sz w:val="27"/>
          <w:szCs w:val="27"/>
          <w:lang w:val="ru-RU"/>
        </w:rPr>
        <w:t xml:space="preserve"> </w:t>
      </w:r>
      <w:r w:rsidR="007E7A92">
        <w:rPr>
          <w:rFonts w:ascii="Times New Roman" w:eastAsia="Times New Roman" w:hAnsi="Times New Roman" w:cs="Times New Roman"/>
          <w:sz w:val="27"/>
          <w:szCs w:val="27"/>
          <w:lang w:val="uk-UA"/>
        </w:rPr>
        <w:t>с</w:t>
      </w:r>
      <w:proofErr w:type="spellStart"/>
      <w:r w:rsidR="00155A2A" w:rsidRPr="007E7A92">
        <w:rPr>
          <w:rFonts w:ascii="Times New Roman" w:eastAsia="Times New Roman" w:hAnsi="Times New Roman" w:cs="Times New Roman"/>
          <w:sz w:val="27"/>
          <w:szCs w:val="27"/>
          <w:lang w:val="ru-RU"/>
        </w:rPr>
        <w:t>татт</w:t>
      </w:r>
      <w:proofErr w:type="spellEnd"/>
      <w:r w:rsidR="007E7A92">
        <w:rPr>
          <w:rFonts w:ascii="Times New Roman" w:eastAsia="Times New Roman" w:hAnsi="Times New Roman" w:cs="Times New Roman"/>
          <w:sz w:val="27"/>
          <w:szCs w:val="27"/>
          <w:lang w:val="uk-UA"/>
        </w:rPr>
        <w:t>і</w:t>
      </w:r>
      <w:r w:rsidRPr="00C77CB3">
        <w:rPr>
          <w:rFonts w:ascii="Times New Roman" w:eastAsia="Times New Roman" w:hAnsi="Times New Roman" w:cs="Times New Roman"/>
          <w:sz w:val="27"/>
          <w:szCs w:val="27"/>
          <w:lang w:val="ru-RU"/>
        </w:rPr>
        <w:t xml:space="preserve"> 85(2)</w:t>
      </w:r>
      <w:r w:rsidR="007E7A92" w:rsidRPr="00C77CB3">
        <w:rPr>
          <w:rFonts w:ascii="Times New Roman" w:eastAsia="Times New Roman" w:hAnsi="Times New Roman" w:cs="Times New Roman"/>
          <w:sz w:val="27"/>
          <w:szCs w:val="27"/>
          <w:lang w:val="ru-RU"/>
        </w:rPr>
        <w:t xml:space="preserve">, </w:t>
      </w:r>
      <w:r w:rsidR="00B54B41">
        <w:rPr>
          <w:rFonts w:ascii="Times New Roman" w:eastAsia="Times New Roman" w:hAnsi="Times New Roman" w:cs="Times New Roman"/>
          <w:sz w:val="27"/>
          <w:szCs w:val="27"/>
          <w:lang w:val="uk-UA"/>
        </w:rPr>
        <w:t xml:space="preserve">набирає чинності тільки за умови, що ані Європейський Парламент, ані Рада не висунули заперечення впродовж трьох місяців з моменту доведення акту </w:t>
      </w:r>
      <w:r w:rsidR="00570CF5">
        <w:rPr>
          <w:rFonts w:ascii="Times New Roman" w:eastAsia="Times New Roman" w:hAnsi="Times New Roman" w:cs="Times New Roman"/>
          <w:sz w:val="27"/>
          <w:szCs w:val="27"/>
          <w:lang w:val="uk-UA"/>
        </w:rPr>
        <w:t>до відома Європейського Парламенту або Ради, або якщо до закінчення цього періоду</w:t>
      </w:r>
      <w:r w:rsidR="00DB406A">
        <w:rPr>
          <w:rFonts w:ascii="Times New Roman" w:eastAsia="Times New Roman" w:hAnsi="Times New Roman" w:cs="Times New Roman"/>
          <w:sz w:val="27"/>
          <w:szCs w:val="27"/>
          <w:lang w:val="uk-UA"/>
        </w:rPr>
        <w:t xml:space="preserve"> і Європейський Парламент, і Рада повідомили Комісії про відсутність у них заперечень. Цей термін продовжується на три місяці за ініціативою Європейського Парламенту і Ради.</w:t>
      </w:r>
    </w:p>
    <w:p w:rsidR="00DE77B0" w:rsidRPr="00C77CB3" w:rsidRDefault="004B6B3B" w:rsidP="00187079">
      <w:pPr>
        <w:shd w:val="clear" w:color="auto" w:fill="FFFFFF"/>
        <w:spacing w:before="480"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РОЗДІЛ</w:t>
      </w:r>
      <w:r w:rsidR="00DE77B0" w:rsidRPr="00C77CB3">
        <w:rPr>
          <w:rFonts w:ascii="Times New Roman" w:eastAsia="Times New Roman" w:hAnsi="Times New Roman" w:cs="Times New Roman"/>
          <w:b/>
          <w:bCs/>
          <w:sz w:val="27"/>
          <w:szCs w:val="27"/>
          <w:lang w:val="ru-RU"/>
        </w:rPr>
        <w:t xml:space="preserve"> </w:t>
      </w:r>
      <w:r w:rsidR="00DE77B0" w:rsidRPr="006279CF">
        <w:rPr>
          <w:rFonts w:ascii="Times New Roman" w:eastAsia="Times New Roman" w:hAnsi="Times New Roman" w:cs="Times New Roman"/>
          <w:b/>
          <w:bCs/>
          <w:sz w:val="27"/>
          <w:szCs w:val="27"/>
        </w:rPr>
        <w:t>VIII</w:t>
      </w:r>
    </w:p>
    <w:p w:rsidR="00DE77B0" w:rsidRPr="004B6B3B" w:rsidRDefault="004B6B3B"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bdr w:val="none" w:sz="0" w:space="0" w:color="auto" w:frame="1"/>
          <w:lang w:val="uk-UA"/>
        </w:rPr>
        <w:t>ЗАГАЛЬНІ ПОЛОЖЕННЯ</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77CB3">
        <w:rPr>
          <w:rFonts w:ascii="Times New Roman" w:eastAsia="Times New Roman" w:hAnsi="Times New Roman" w:cs="Times New Roman"/>
          <w:i/>
          <w:iCs/>
          <w:sz w:val="27"/>
          <w:szCs w:val="27"/>
          <w:lang w:val="ru-RU"/>
        </w:rPr>
        <w:t>Стаття</w:t>
      </w:r>
      <w:proofErr w:type="spellEnd"/>
      <w:r w:rsidR="00DE77B0" w:rsidRPr="00C77CB3">
        <w:rPr>
          <w:rFonts w:ascii="Times New Roman" w:eastAsia="Times New Roman" w:hAnsi="Times New Roman" w:cs="Times New Roman"/>
          <w:i/>
          <w:iCs/>
          <w:sz w:val="27"/>
          <w:szCs w:val="27"/>
          <w:lang w:val="ru-RU"/>
        </w:rPr>
        <w:t xml:space="preserve"> 83</w:t>
      </w:r>
    </w:p>
    <w:p w:rsidR="00DE77B0" w:rsidRPr="004B6B3B" w:rsidRDefault="004B6B3B"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Професійна таємниця</w:t>
      </w:r>
    </w:p>
    <w:p w:rsidR="00DE77B0" w:rsidRPr="002E54C8" w:rsidRDefault="00DE77B0" w:rsidP="008D1C61">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DC669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C77CB3">
        <w:rPr>
          <w:rFonts w:ascii="Times New Roman" w:eastAsia="Times New Roman" w:hAnsi="Times New Roman" w:cs="Times New Roman"/>
          <w:sz w:val="27"/>
          <w:szCs w:val="27"/>
          <w:lang w:val="uk-UA"/>
        </w:rPr>
        <w:t>Зобов’язання щодо збереження професійної таємниці поширюється на всіх осіб, які працюють або працювали у компетентних органах, призначених</w:t>
      </w:r>
      <w:r w:rsidRPr="00DC6693">
        <w:rPr>
          <w:rFonts w:ascii="Times New Roman" w:eastAsia="Times New Roman" w:hAnsi="Times New Roman" w:cs="Times New Roman"/>
          <w:sz w:val="27"/>
          <w:szCs w:val="27"/>
          <w:lang w:val="ru-RU"/>
        </w:rPr>
        <w:t xml:space="preserve"> </w:t>
      </w:r>
      <w:proofErr w:type="spellStart"/>
      <w:r w:rsidR="001842E4" w:rsidRPr="00DC6693">
        <w:rPr>
          <w:rFonts w:ascii="Times New Roman" w:eastAsia="Times New Roman" w:hAnsi="Times New Roman" w:cs="Times New Roman"/>
          <w:sz w:val="27"/>
          <w:szCs w:val="27"/>
          <w:lang w:val="ru-RU"/>
        </w:rPr>
        <w:t>відповідно</w:t>
      </w:r>
      <w:proofErr w:type="spellEnd"/>
      <w:r w:rsidR="001842E4" w:rsidRPr="00DC6693">
        <w:rPr>
          <w:rFonts w:ascii="Times New Roman" w:eastAsia="Times New Roman" w:hAnsi="Times New Roman" w:cs="Times New Roman"/>
          <w:sz w:val="27"/>
          <w:szCs w:val="27"/>
          <w:lang w:val="ru-RU"/>
        </w:rPr>
        <w:t xml:space="preserve"> до </w:t>
      </w:r>
      <w:proofErr w:type="spellStart"/>
      <w:r w:rsidR="001842E4" w:rsidRPr="00DC6693">
        <w:rPr>
          <w:rFonts w:ascii="Times New Roman" w:eastAsia="Times New Roman" w:hAnsi="Times New Roman" w:cs="Times New Roman"/>
          <w:sz w:val="27"/>
          <w:szCs w:val="27"/>
          <w:lang w:val="ru-RU"/>
        </w:rPr>
        <w:t>статті</w:t>
      </w:r>
      <w:proofErr w:type="spellEnd"/>
      <w:r w:rsidRPr="00DC6693">
        <w:rPr>
          <w:rFonts w:ascii="Times New Roman" w:eastAsia="Times New Roman" w:hAnsi="Times New Roman" w:cs="Times New Roman"/>
          <w:sz w:val="27"/>
          <w:szCs w:val="27"/>
          <w:lang w:val="ru-RU"/>
        </w:rPr>
        <w:t xml:space="preserve"> 22</w:t>
      </w:r>
      <w:r w:rsidR="00C77CB3">
        <w:rPr>
          <w:rFonts w:ascii="Times New Roman" w:eastAsia="Times New Roman" w:hAnsi="Times New Roman" w:cs="Times New Roman"/>
          <w:sz w:val="27"/>
          <w:szCs w:val="27"/>
          <w:lang w:val="uk-UA"/>
        </w:rPr>
        <w:t>, і органів, згаданих</w:t>
      </w:r>
      <w:r w:rsidR="00812EED" w:rsidRPr="00DC6693">
        <w:rPr>
          <w:rFonts w:ascii="Times New Roman" w:eastAsia="Times New Roman" w:hAnsi="Times New Roman" w:cs="Times New Roman"/>
          <w:sz w:val="27"/>
          <w:szCs w:val="27"/>
          <w:lang w:val="ru-RU"/>
        </w:rPr>
        <w:t xml:space="preserve"> у </w:t>
      </w:r>
      <w:proofErr w:type="spellStart"/>
      <w:r w:rsidR="00812EED" w:rsidRPr="00DC6693">
        <w:rPr>
          <w:rFonts w:ascii="Times New Roman" w:eastAsia="Times New Roman" w:hAnsi="Times New Roman" w:cs="Times New Roman"/>
          <w:sz w:val="27"/>
          <w:szCs w:val="27"/>
          <w:lang w:val="ru-RU"/>
        </w:rPr>
        <w:t>статті</w:t>
      </w:r>
      <w:proofErr w:type="spellEnd"/>
      <w:r w:rsidRPr="00DC6693">
        <w:rPr>
          <w:rFonts w:ascii="Times New Roman" w:eastAsia="Times New Roman" w:hAnsi="Times New Roman" w:cs="Times New Roman"/>
          <w:sz w:val="27"/>
          <w:szCs w:val="27"/>
          <w:lang w:val="ru-RU"/>
        </w:rPr>
        <w:t xml:space="preserve"> 81(3), </w:t>
      </w:r>
      <w:r w:rsidR="00E66D9C">
        <w:rPr>
          <w:rFonts w:ascii="Times New Roman" w:eastAsia="Times New Roman" w:hAnsi="Times New Roman" w:cs="Times New Roman"/>
          <w:sz w:val="27"/>
          <w:szCs w:val="27"/>
          <w:lang w:val="uk-UA"/>
        </w:rPr>
        <w:t>у</w:t>
      </w:r>
      <w:r w:rsidRPr="00DC6693">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ESMA</w:t>
      </w:r>
      <w:r w:rsidR="00E66D9C">
        <w:rPr>
          <w:rFonts w:ascii="Times New Roman" w:eastAsia="Times New Roman" w:hAnsi="Times New Roman" w:cs="Times New Roman"/>
          <w:sz w:val="27"/>
          <w:szCs w:val="27"/>
          <w:lang w:val="uk-UA"/>
        </w:rPr>
        <w:t xml:space="preserve"> або у аудиторів та експертів, керованих компетентними органами або</w:t>
      </w:r>
      <w:r w:rsidRPr="00DC6693">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ESMA</w:t>
      </w:r>
      <w:r w:rsidRPr="00DC6693">
        <w:rPr>
          <w:rFonts w:ascii="Times New Roman" w:eastAsia="Times New Roman" w:hAnsi="Times New Roman" w:cs="Times New Roman"/>
          <w:sz w:val="27"/>
          <w:szCs w:val="27"/>
          <w:lang w:val="ru-RU"/>
        </w:rPr>
        <w:t xml:space="preserve">. </w:t>
      </w:r>
      <w:r w:rsidR="00E66D9C">
        <w:rPr>
          <w:rFonts w:ascii="Times New Roman" w:eastAsia="Times New Roman" w:hAnsi="Times New Roman" w:cs="Times New Roman"/>
          <w:sz w:val="27"/>
          <w:szCs w:val="27"/>
          <w:lang w:val="uk-UA"/>
        </w:rPr>
        <w:t xml:space="preserve">Конфіденційна інформація, що її ці особи отримують в ході виконання своїх </w:t>
      </w:r>
      <w:r w:rsidR="00E66D9C">
        <w:rPr>
          <w:rFonts w:ascii="Times New Roman" w:eastAsia="Times New Roman" w:hAnsi="Times New Roman" w:cs="Times New Roman"/>
          <w:sz w:val="27"/>
          <w:szCs w:val="27"/>
          <w:lang w:val="uk-UA"/>
        </w:rPr>
        <w:lastRenderedPageBreak/>
        <w:t xml:space="preserve">обов’язків, </w:t>
      </w:r>
      <w:r w:rsidR="003043D1">
        <w:rPr>
          <w:rFonts w:ascii="Times New Roman" w:eastAsia="Times New Roman" w:hAnsi="Times New Roman" w:cs="Times New Roman"/>
          <w:sz w:val="27"/>
          <w:szCs w:val="27"/>
          <w:lang w:val="uk-UA"/>
        </w:rPr>
        <w:t xml:space="preserve">не розголошується жодним особам або органам, крім як у стислій або узагальненій формі, щоб неможливо було визначити жодного окремого ЦКА, торгового </w:t>
      </w:r>
      <w:proofErr w:type="spellStart"/>
      <w:r w:rsidR="003043D1">
        <w:rPr>
          <w:rFonts w:ascii="Times New Roman" w:eastAsia="Times New Roman" w:hAnsi="Times New Roman" w:cs="Times New Roman"/>
          <w:sz w:val="27"/>
          <w:szCs w:val="27"/>
          <w:lang w:val="uk-UA"/>
        </w:rPr>
        <w:t>репозитарія</w:t>
      </w:r>
      <w:proofErr w:type="spellEnd"/>
      <w:r w:rsidR="003043D1">
        <w:rPr>
          <w:rFonts w:ascii="Times New Roman" w:eastAsia="Times New Roman" w:hAnsi="Times New Roman" w:cs="Times New Roman"/>
          <w:sz w:val="27"/>
          <w:szCs w:val="27"/>
          <w:lang w:val="uk-UA"/>
        </w:rPr>
        <w:t xml:space="preserve"> або будь-яку іншу особу, без обмеження для випадків</w:t>
      </w:r>
      <w:r w:rsidR="008D1C61">
        <w:rPr>
          <w:rFonts w:ascii="Times New Roman" w:eastAsia="Times New Roman" w:hAnsi="Times New Roman" w:cs="Times New Roman"/>
          <w:sz w:val="27"/>
          <w:szCs w:val="27"/>
          <w:lang w:val="uk-UA"/>
        </w:rPr>
        <w:t>, охоплених кримінальним або податковим законодавством, і для цього регламенту.</w:t>
      </w:r>
    </w:p>
    <w:p w:rsidR="00DE77B0" w:rsidRPr="00DC6693" w:rsidRDefault="00DE77B0" w:rsidP="007C4681">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DC6693">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8D1C61">
        <w:rPr>
          <w:rFonts w:ascii="Times New Roman" w:eastAsia="Times New Roman" w:hAnsi="Times New Roman" w:cs="Times New Roman"/>
          <w:sz w:val="27"/>
          <w:szCs w:val="27"/>
          <w:lang w:val="uk-UA"/>
        </w:rPr>
        <w:t xml:space="preserve">Якщо ЦКА оголошений банкрутом або примусово ліквідується, то конфіденційна інформація, що не стосується третіх осіб, може бути розголошена </w:t>
      </w:r>
      <w:r w:rsidR="007C4681">
        <w:rPr>
          <w:rFonts w:ascii="Times New Roman" w:eastAsia="Times New Roman" w:hAnsi="Times New Roman" w:cs="Times New Roman"/>
          <w:sz w:val="27"/>
          <w:szCs w:val="27"/>
          <w:lang w:val="uk-UA"/>
        </w:rPr>
        <w:t>у цивільних або комерційних провадженнях, де це необхідно для проведення провадження.</w:t>
      </w:r>
    </w:p>
    <w:p w:rsidR="009D09FA" w:rsidRPr="009D09FA"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2E54C8">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7C4681">
        <w:rPr>
          <w:rFonts w:ascii="Times New Roman" w:eastAsia="Times New Roman" w:hAnsi="Times New Roman" w:cs="Times New Roman"/>
          <w:sz w:val="27"/>
          <w:szCs w:val="27"/>
          <w:lang w:val="uk-UA"/>
        </w:rPr>
        <w:t xml:space="preserve">Без обмеження </w:t>
      </w:r>
      <w:r w:rsidR="00DF5DBD">
        <w:rPr>
          <w:rFonts w:ascii="Times New Roman" w:eastAsia="Times New Roman" w:hAnsi="Times New Roman" w:cs="Times New Roman"/>
          <w:sz w:val="27"/>
          <w:szCs w:val="27"/>
          <w:lang w:val="uk-UA"/>
        </w:rPr>
        <w:t xml:space="preserve">для випадків, охоплених кримінальним або податковим законодавством, компетентні органи, </w:t>
      </w:r>
      <w:r w:rsidR="00DF5DBD">
        <w:rPr>
          <w:rFonts w:ascii="Times New Roman" w:eastAsia="Times New Roman" w:hAnsi="Times New Roman" w:cs="Times New Roman"/>
          <w:sz w:val="27"/>
          <w:szCs w:val="27"/>
        </w:rPr>
        <w:t>ESMA</w:t>
      </w:r>
      <w:r w:rsidR="00DF5DBD">
        <w:rPr>
          <w:rFonts w:ascii="Times New Roman" w:eastAsia="Times New Roman" w:hAnsi="Times New Roman" w:cs="Times New Roman"/>
          <w:sz w:val="27"/>
          <w:szCs w:val="27"/>
          <w:lang w:val="uk-UA"/>
        </w:rPr>
        <w:t xml:space="preserve">, інші </w:t>
      </w:r>
      <w:r w:rsidR="0089790E">
        <w:rPr>
          <w:rFonts w:ascii="Times New Roman" w:eastAsia="Times New Roman" w:hAnsi="Times New Roman" w:cs="Times New Roman"/>
          <w:sz w:val="27"/>
          <w:szCs w:val="27"/>
          <w:lang w:val="uk-UA"/>
        </w:rPr>
        <w:t>установи</w:t>
      </w:r>
      <w:r w:rsidR="00DF5DBD">
        <w:rPr>
          <w:rFonts w:ascii="Times New Roman" w:eastAsia="Times New Roman" w:hAnsi="Times New Roman" w:cs="Times New Roman"/>
          <w:sz w:val="27"/>
          <w:szCs w:val="27"/>
          <w:lang w:val="uk-UA"/>
        </w:rPr>
        <w:t xml:space="preserve"> або фізичні чи юридичні особи, ніж компетентні органи, які отримують конфіденційну інформацію на виконання цього регламенту, можуть користуватися нею тільки для виконання своїх обов’язків</w:t>
      </w:r>
      <w:r w:rsidR="0089790E">
        <w:rPr>
          <w:rFonts w:ascii="Times New Roman" w:eastAsia="Times New Roman" w:hAnsi="Times New Roman" w:cs="Times New Roman"/>
          <w:sz w:val="27"/>
          <w:szCs w:val="27"/>
          <w:lang w:val="uk-UA"/>
        </w:rPr>
        <w:t xml:space="preserve"> і для здійснення своїх функцій,</w:t>
      </w:r>
      <w:r w:rsidR="00DF5DBD">
        <w:rPr>
          <w:rFonts w:ascii="Times New Roman" w:eastAsia="Times New Roman" w:hAnsi="Times New Roman" w:cs="Times New Roman"/>
          <w:sz w:val="27"/>
          <w:szCs w:val="27"/>
          <w:lang w:val="uk-UA"/>
        </w:rPr>
        <w:t xml:space="preserve"> якщо мова йде про компетентні органи</w:t>
      </w:r>
      <w:r w:rsidR="0089790E">
        <w:rPr>
          <w:rFonts w:ascii="Times New Roman" w:eastAsia="Times New Roman" w:hAnsi="Times New Roman" w:cs="Times New Roman"/>
          <w:sz w:val="27"/>
          <w:szCs w:val="27"/>
          <w:lang w:val="uk-UA"/>
        </w:rPr>
        <w:t xml:space="preserve">, у межах сфери дії цього регламенту або, якщо мова йде про інші органи, установи або фізичні чи юридичні особи, в цілях, для яких така інформація була їм надана, або в контексті адміністративних чи судових проваджень, що конкретно стосуються здійснення цих функцій, або </w:t>
      </w:r>
      <w:r w:rsidR="009D09FA">
        <w:rPr>
          <w:rFonts w:ascii="Times New Roman" w:eastAsia="Times New Roman" w:hAnsi="Times New Roman" w:cs="Times New Roman"/>
          <w:sz w:val="27"/>
          <w:szCs w:val="27"/>
          <w:lang w:val="uk-UA"/>
        </w:rPr>
        <w:t xml:space="preserve">в обох таких випадках. Якщо </w:t>
      </w:r>
      <w:r w:rsidR="009D09FA">
        <w:rPr>
          <w:rFonts w:ascii="Times New Roman" w:eastAsia="Times New Roman" w:hAnsi="Times New Roman" w:cs="Times New Roman"/>
          <w:sz w:val="27"/>
          <w:szCs w:val="27"/>
        </w:rPr>
        <w:t>ESMA</w:t>
      </w:r>
      <w:r w:rsidR="009D09FA">
        <w:rPr>
          <w:rFonts w:ascii="Times New Roman" w:eastAsia="Times New Roman" w:hAnsi="Times New Roman" w:cs="Times New Roman"/>
          <w:sz w:val="27"/>
          <w:szCs w:val="27"/>
          <w:lang w:val="uk-UA"/>
        </w:rPr>
        <w:t>, компетентний орган або інший орган, установа чи особа, що повідомляє інформацію, надає свою згоду, то орган, що отримує інформацію, може користуватися нею для інших некомерційних цілей.</w:t>
      </w:r>
    </w:p>
    <w:p w:rsidR="00DE77B0" w:rsidRPr="00DC6693" w:rsidRDefault="00DE77B0" w:rsidP="00296BC7">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1329E">
        <w:rPr>
          <w:rFonts w:ascii="Times New Roman" w:eastAsia="Times New Roman" w:hAnsi="Times New Roman" w:cs="Times New Roman"/>
          <w:sz w:val="27"/>
          <w:szCs w:val="27"/>
          <w:lang w:val="uk-UA"/>
        </w:rPr>
        <w:t>4.</w:t>
      </w:r>
      <w:r w:rsidRPr="006279CF">
        <w:rPr>
          <w:rFonts w:ascii="Times New Roman" w:eastAsia="Times New Roman" w:hAnsi="Times New Roman" w:cs="Times New Roman"/>
          <w:sz w:val="27"/>
          <w:szCs w:val="27"/>
        </w:rPr>
        <w:t>   </w:t>
      </w:r>
      <w:r w:rsidR="0051329E">
        <w:rPr>
          <w:rFonts w:ascii="Times New Roman" w:eastAsia="Times New Roman" w:hAnsi="Times New Roman" w:cs="Times New Roman"/>
          <w:sz w:val="27"/>
          <w:szCs w:val="27"/>
          <w:lang w:val="uk-UA"/>
        </w:rPr>
        <w:t xml:space="preserve">Будь-яка конфіденційна інформація, отримана, надана або передана на виконання цього регламенту, підпадає під умови збереження професійної таємниці, викладені у пунктах 1, 2 і 3 цієї статті. Проте, ці умови не заважають </w:t>
      </w:r>
      <w:r w:rsidR="0051329E">
        <w:rPr>
          <w:rFonts w:ascii="Times New Roman" w:eastAsia="Times New Roman" w:hAnsi="Times New Roman" w:cs="Times New Roman"/>
          <w:sz w:val="27"/>
          <w:szCs w:val="27"/>
        </w:rPr>
        <w:t>ESMA</w:t>
      </w:r>
      <w:r w:rsidR="002A783B">
        <w:rPr>
          <w:rFonts w:ascii="Times New Roman" w:eastAsia="Times New Roman" w:hAnsi="Times New Roman" w:cs="Times New Roman"/>
          <w:sz w:val="27"/>
          <w:szCs w:val="27"/>
          <w:lang w:val="uk-UA"/>
        </w:rPr>
        <w:t xml:space="preserve">, компетентним органам і відповідним центральним банкам обмінюватися конфіденційною інформацією або передавати конфіденційну інформацію відповідно до цього регламенту і до </w:t>
      </w:r>
      <w:r w:rsidR="00296BC7">
        <w:rPr>
          <w:rFonts w:ascii="Times New Roman" w:eastAsia="Times New Roman" w:hAnsi="Times New Roman" w:cs="Times New Roman"/>
          <w:sz w:val="27"/>
          <w:szCs w:val="27"/>
          <w:lang w:val="uk-UA"/>
        </w:rPr>
        <w:t xml:space="preserve">іншого законодавства, застосовного до інвестиційних фірм, кредитних установ, пенсійних фондів, </w:t>
      </w:r>
      <w:r w:rsidRPr="006279CF">
        <w:rPr>
          <w:rFonts w:ascii="Times New Roman" w:eastAsia="Times New Roman" w:hAnsi="Times New Roman" w:cs="Times New Roman"/>
          <w:sz w:val="27"/>
          <w:szCs w:val="27"/>
        </w:rPr>
        <w:t>UCITS</w:t>
      </w:r>
      <w:r w:rsidRPr="00296BC7">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AIFM</w:t>
      </w:r>
      <w:r w:rsidRPr="00296BC7">
        <w:rPr>
          <w:rFonts w:ascii="Times New Roman" w:eastAsia="Times New Roman" w:hAnsi="Times New Roman" w:cs="Times New Roman"/>
          <w:sz w:val="27"/>
          <w:szCs w:val="27"/>
          <w:lang w:val="uk-UA"/>
        </w:rPr>
        <w:t xml:space="preserve">, </w:t>
      </w:r>
      <w:r w:rsidR="00296BC7">
        <w:rPr>
          <w:rFonts w:ascii="Times New Roman" w:eastAsia="Times New Roman" w:hAnsi="Times New Roman" w:cs="Times New Roman"/>
          <w:sz w:val="27"/>
          <w:szCs w:val="27"/>
          <w:lang w:val="uk-UA"/>
        </w:rPr>
        <w:t>страхових і перестрахувальних посередників, страхових компаній, регульованих ринків або операторів ринку тощо, за згодою компетентного органу чи іншого органу, установи, фізичної чи юридичної особи, яка надала цю інформацію.</w:t>
      </w:r>
    </w:p>
    <w:p w:rsidR="00DE77B0" w:rsidRPr="00DC6693" w:rsidRDefault="00DE77B0" w:rsidP="00E92BB2">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E92BB2">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296BC7">
        <w:rPr>
          <w:rFonts w:ascii="Times New Roman" w:eastAsia="Times New Roman" w:hAnsi="Times New Roman" w:cs="Times New Roman"/>
          <w:sz w:val="27"/>
          <w:szCs w:val="27"/>
          <w:lang w:val="uk-UA"/>
        </w:rPr>
        <w:t>Пункти 1, 2 і 3 цієї статті</w:t>
      </w:r>
      <w:r w:rsidR="00E92BB2">
        <w:rPr>
          <w:rFonts w:ascii="Times New Roman" w:eastAsia="Times New Roman" w:hAnsi="Times New Roman" w:cs="Times New Roman"/>
          <w:sz w:val="27"/>
          <w:szCs w:val="27"/>
          <w:lang w:val="uk-UA"/>
        </w:rPr>
        <w:t xml:space="preserve"> не заважають компетентним органам обмінюватися конфіденційною інформацією або передавати конфіденційну інформацію, відповідно до національного законодавства, яка не отримана від компетентного органу іншої держави-члена Союзу.</w:t>
      </w:r>
    </w:p>
    <w:p w:rsidR="00E92BB2" w:rsidRDefault="00E92BB2"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p>
    <w:p w:rsidR="00E92BB2" w:rsidRDefault="00E92BB2"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p>
    <w:p w:rsidR="00DE77B0" w:rsidRPr="00DC669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DC6693">
        <w:rPr>
          <w:rFonts w:ascii="Times New Roman" w:eastAsia="Times New Roman" w:hAnsi="Times New Roman" w:cs="Times New Roman"/>
          <w:i/>
          <w:iCs/>
          <w:sz w:val="27"/>
          <w:szCs w:val="27"/>
          <w:lang w:val="uk-UA"/>
        </w:rPr>
        <w:lastRenderedPageBreak/>
        <w:t>Стаття</w:t>
      </w:r>
      <w:r w:rsidR="00DE77B0" w:rsidRPr="00DC6693">
        <w:rPr>
          <w:rFonts w:ascii="Times New Roman" w:eastAsia="Times New Roman" w:hAnsi="Times New Roman" w:cs="Times New Roman"/>
          <w:i/>
          <w:iCs/>
          <w:sz w:val="27"/>
          <w:szCs w:val="27"/>
          <w:lang w:val="uk-UA"/>
        </w:rPr>
        <w:t xml:space="preserve"> 84</w:t>
      </w:r>
    </w:p>
    <w:p w:rsidR="00DE77B0" w:rsidRPr="004B6B3B" w:rsidRDefault="004B6B3B"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Обмін інформацією</w:t>
      </w:r>
    </w:p>
    <w:p w:rsidR="00E43D3F" w:rsidRPr="00E43D3F"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DC6693">
        <w:rPr>
          <w:rFonts w:ascii="Times New Roman" w:eastAsia="Times New Roman" w:hAnsi="Times New Roman" w:cs="Times New Roman"/>
          <w:sz w:val="27"/>
          <w:szCs w:val="27"/>
          <w:lang w:val="uk-UA"/>
        </w:rPr>
        <w:t>1.</w:t>
      </w:r>
      <w:r w:rsidRPr="006279CF">
        <w:rPr>
          <w:rFonts w:ascii="Times New Roman" w:eastAsia="Times New Roman" w:hAnsi="Times New Roman" w:cs="Times New Roman"/>
          <w:sz w:val="27"/>
          <w:szCs w:val="27"/>
        </w:rPr>
        <w:t>   </w:t>
      </w:r>
      <w:r w:rsidR="00E43D3F">
        <w:rPr>
          <w:rFonts w:ascii="Times New Roman" w:eastAsia="Times New Roman" w:hAnsi="Times New Roman" w:cs="Times New Roman"/>
          <w:sz w:val="27"/>
          <w:szCs w:val="27"/>
          <w:lang w:val="uk-UA"/>
        </w:rPr>
        <w:t>Компетентні органи</w:t>
      </w:r>
      <w:r w:rsidR="00E43D3F" w:rsidRPr="00DC6693">
        <w:rPr>
          <w:rFonts w:ascii="Times New Roman" w:eastAsia="Times New Roman" w:hAnsi="Times New Roman" w:cs="Times New Roman"/>
          <w:sz w:val="27"/>
          <w:szCs w:val="27"/>
          <w:lang w:val="uk-UA"/>
        </w:rPr>
        <w:t xml:space="preserve">, </w:t>
      </w:r>
      <w:r w:rsidR="00E43D3F" w:rsidRPr="006279CF">
        <w:rPr>
          <w:rFonts w:ascii="Times New Roman" w:eastAsia="Times New Roman" w:hAnsi="Times New Roman" w:cs="Times New Roman"/>
          <w:sz w:val="27"/>
          <w:szCs w:val="27"/>
        </w:rPr>
        <w:t>ESMA</w:t>
      </w:r>
      <w:r w:rsidR="00E43D3F">
        <w:rPr>
          <w:rFonts w:ascii="Times New Roman" w:eastAsia="Times New Roman" w:hAnsi="Times New Roman" w:cs="Times New Roman"/>
          <w:sz w:val="27"/>
          <w:szCs w:val="27"/>
          <w:lang w:val="uk-UA"/>
        </w:rPr>
        <w:t xml:space="preserve"> та інші відповідні органи без необґрунтованої затримки надають один одному інформацію, потрібну в цілях виконання ними своїх обов’язків.</w:t>
      </w:r>
    </w:p>
    <w:p w:rsidR="00DE77B0" w:rsidRPr="00DC669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DC6693">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E43D3F">
        <w:rPr>
          <w:rFonts w:ascii="Times New Roman" w:eastAsia="Times New Roman" w:hAnsi="Times New Roman" w:cs="Times New Roman"/>
          <w:sz w:val="27"/>
          <w:szCs w:val="27"/>
          <w:lang w:val="uk-UA"/>
        </w:rPr>
        <w:t>Компетентні органи</w:t>
      </w:r>
      <w:r w:rsidR="00E43D3F" w:rsidRPr="00DC6693">
        <w:rPr>
          <w:rFonts w:ascii="Times New Roman" w:eastAsia="Times New Roman" w:hAnsi="Times New Roman" w:cs="Times New Roman"/>
          <w:sz w:val="27"/>
          <w:szCs w:val="27"/>
          <w:lang w:val="uk-UA"/>
        </w:rPr>
        <w:t xml:space="preserve">, </w:t>
      </w:r>
      <w:r w:rsidR="00E43D3F" w:rsidRPr="006279CF">
        <w:rPr>
          <w:rFonts w:ascii="Times New Roman" w:eastAsia="Times New Roman" w:hAnsi="Times New Roman" w:cs="Times New Roman"/>
          <w:sz w:val="27"/>
          <w:szCs w:val="27"/>
        </w:rPr>
        <w:t>ESMA</w:t>
      </w:r>
      <w:r w:rsidR="00A035FF">
        <w:rPr>
          <w:rFonts w:ascii="Times New Roman" w:eastAsia="Times New Roman" w:hAnsi="Times New Roman" w:cs="Times New Roman"/>
          <w:sz w:val="27"/>
          <w:szCs w:val="27"/>
          <w:lang w:val="uk-UA"/>
        </w:rPr>
        <w:t>,</w:t>
      </w:r>
      <w:r w:rsidR="00E43D3F">
        <w:rPr>
          <w:rFonts w:ascii="Times New Roman" w:eastAsia="Times New Roman" w:hAnsi="Times New Roman" w:cs="Times New Roman"/>
          <w:sz w:val="27"/>
          <w:szCs w:val="27"/>
          <w:lang w:val="uk-UA"/>
        </w:rPr>
        <w:t xml:space="preserve"> інші відповідні органи</w:t>
      </w:r>
      <w:r w:rsidR="00A035FF">
        <w:rPr>
          <w:rFonts w:ascii="Times New Roman" w:eastAsia="Times New Roman" w:hAnsi="Times New Roman" w:cs="Times New Roman"/>
          <w:sz w:val="27"/>
          <w:szCs w:val="27"/>
          <w:lang w:val="uk-UA"/>
        </w:rPr>
        <w:t>, інші установи або фізичні чи юридичні особи, що отримують конфіденційну інформацію в ході виконання своїх обов’язків за цим регламентом, користуються нею тільки в ході виконання своїх обов’язків.</w:t>
      </w:r>
    </w:p>
    <w:p w:rsidR="00DE77B0" w:rsidRPr="00DC6693" w:rsidRDefault="00DE77B0" w:rsidP="00A035FF">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DC6693">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A035FF">
        <w:rPr>
          <w:rFonts w:ascii="Times New Roman" w:eastAsia="Times New Roman" w:hAnsi="Times New Roman" w:cs="Times New Roman"/>
          <w:sz w:val="27"/>
          <w:szCs w:val="27"/>
          <w:lang w:val="uk-UA"/>
        </w:rPr>
        <w:t>Компетентні органи доводять інформацію до відома відповідних членів ЄСЦБ, якщо така інформація актуальна для виконання ними своїх обов’язків.</w:t>
      </w:r>
    </w:p>
    <w:p w:rsidR="00DE77B0" w:rsidRPr="004B6B3B" w:rsidRDefault="004B6B3B" w:rsidP="00187079">
      <w:pPr>
        <w:shd w:val="clear" w:color="auto" w:fill="FFFFFF"/>
        <w:spacing w:before="480" w:after="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РОЗДІЛ</w:t>
      </w:r>
      <w:r w:rsidR="00DE77B0" w:rsidRPr="004B6B3B">
        <w:rPr>
          <w:rFonts w:ascii="Times New Roman" w:eastAsia="Times New Roman" w:hAnsi="Times New Roman" w:cs="Times New Roman"/>
          <w:b/>
          <w:bCs/>
          <w:sz w:val="27"/>
          <w:szCs w:val="27"/>
          <w:lang w:val="ru-RU"/>
        </w:rPr>
        <w:t xml:space="preserve"> </w:t>
      </w:r>
      <w:r w:rsidR="00DE77B0" w:rsidRPr="006279CF">
        <w:rPr>
          <w:rFonts w:ascii="Times New Roman" w:eastAsia="Times New Roman" w:hAnsi="Times New Roman" w:cs="Times New Roman"/>
          <w:b/>
          <w:bCs/>
          <w:sz w:val="27"/>
          <w:szCs w:val="27"/>
        </w:rPr>
        <w:t>IX</w:t>
      </w:r>
    </w:p>
    <w:p w:rsidR="00DE77B0" w:rsidRPr="004B6B3B" w:rsidRDefault="004B6B3B" w:rsidP="00187079">
      <w:pPr>
        <w:shd w:val="clear" w:color="auto" w:fill="FFFFFF"/>
        <w:spacing w:after="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bdr w:val="none" w:sz="0" w:space="0" w:color="auto" w:frame="1"/>
          <w:lang w:val="uk-UA"/>
        </w:rPr>
        <w:t>ПЕРЕХІДНІ ТА ПРИКІНЦЕВІ ПОЛОЖЕННЯ</w:t>
      </w:r>
    </w:p>
    <w:p w:rsidR="00DE77B0" w:rsidRPr="00DC669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DC6693">
        <w:rPr>
          <w:rFonts w:ascii="Times New Roman" w:eastAsia="Times New Roman" w:hAnsi="Times New Roman" w:cs="Times New Roman"/>
          <w:i/>
          <w:iCs/>
          <w:sz w:val="27"/>
          <w:szCs w:val="27"/>
          <w:lang w:val="ru-RU"/>
        </w:rPr>
        <w:t>Стаття</w:t>
      </w:r>
      <w:proofErr w:type="spellEnd"/>
      <w:r w:rsidR="00DE77B0" w:rsidRPr="00DC6693">
        <w:rPr>
          <w:rFonts w:ascii="Times New Roman" w:eastAsia="Times New Roman" w:hAnsi="Times New Roman" w:cs="Times New Roman"/>
          <w:i/>
          <w:iCs/>
          <w:sz w:val="27"/>
          <w:szCs w:val="27"/>
          <w:lang w:val="ru-RU"/>
        </w:rPr>
        <w:t xml:space="preserve"> 85</w:t>
      </w:r>
    </w:p>
    <w:p w:rsidR="00DE77B0" w:rsidRPr="004B6B3B" w:rsidRDefault="004B6B3B"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Звіти та перегляд</w:t>
      </w:r>
    </w:p>
    <w:p w:rsidR="00DE77B0" w:rsidRPr="00DC6693" w:rsidRDefault="00DE77B0" w:rsidP="00CB2253">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DC669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CB2253">
        <w:rPr>
          <w:rFonts w:ascii="Times New Roman" w:eastAsia="Times New Roman" w:hAnsi="Times New Roman" w:cs="Times New Roman"/>
          <w:sz w:val="27"/>
          <w:szCs w:val="27"/>
          <w:lang w:val="uk-UA"/>
        </w:rPr>
        <w:t>До 17 серпня 2015 р. Комісія проводить перегляд і готує загальну доповідь стосовно цього регламенту. Комісія подає вищезгадану доповідь Європейському Парламенту і Раді, разом із відповідними пропозиціями, якщо такі є.</w:t>
      </w:r>
    </w:p>
    <w:p w:rsidR="00DE77B0" w:rsidRPr="00CB2253" w:rsidRDefault="00CB2253"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Комісія, зокрема:</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CB2253" w:rsidRDefault="00CB2253" w:rsidP="00CB2253">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оцінює у співробітництві з іншими членами ЄСЦБ потребу в заходах для сприяння доступові ЦКА до ліквідних коштів центральних банків;</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86E09" w:rsidP="00786E0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оцінює, за координації з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та відповідними галузевими органами, системну значущість операцій нефінансових фірм із позабіржовими деривативами, зокрема, вплив цього регламенту на використання позабіржових деривативів нефінансовими фірмами;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45580E" w:rsidP="0045580E">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оцінює у світлі набутого досвіду функціонування наглядової бази для ЦКА, включаючи ефективність наглядових колегій, відповідні механізми голосування, викладені у статті 19(3), і роль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зокрема під час процесу надання повноважень ЦКА;</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45580E" w:rsidP="002E33D8">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оцінює, у співробітництві з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та </w:t>
            </w:r>
            <w:r>
              <w:rPr>
                <w:rFonts w:ascii="Times New Roman" w:eastAsia="Times New Roman" w:hAnsi="Times New Roman" w:cs="Times New Roman"/>
                <w:sz w:val="27"/>
                <w:szCs w:val="27"/>
              </w:rPr>
              <w:t>ESRB</w:t>
            </w:r>
            <w:r>
              <w:rPr>
                <w:rFonts w:ascii="Times New Roman" w:eastAsia="Times New Roman" w:hAnsi="Times New Roman" w:cs="Times New Roman"/>
                <w:sz w:val="27"/>
                <w:szCs w:val="27"/>
                <w:lang w:val="uk-UA"/>
              </w:rPr>
              <w:t xml:space="preserve">, ефективність вимог до маржі з точки зору обмеження </w:t>
            </w:r>
            <w:proofErr w:type="spellStart"/>
            <w:r>
              <w:rPr>
                <w:rFonts w:ascii="Times New Roman" w:eastAsia="Times New Roman" w:hAnsi="Times New Roman" w:cs="Times New Roman"/>
                <w:sz w:val="27"/>
                <w:szCs w:val="27"/>
                <w:lang w:val="uk-UA"/>
              </w:rPr>
              <w:t>проциклічності</w:t>
            </w:r>
            <w:proofErr w:type="spellEnd"/>
            <w:r>
              <w:rPr>
                <w:rFonts w:ascii="Times New Roman" w:eastAsia="Times New Roman" w:hAnsi="Times New Roman" w:cs="Times New Roman"/>
                <w:sz w:val="27"/>
                <w:szCs w:val="27"/>
                <w:lang w:val="uk-UA"/>
              </w:rPr>
              <w:t xml:space="preserve"> та потребу у визначенні</w:t>
            </w:r>
            <w:r w:rsidR="002E33D8">
              <w:rPr>
                <w:rFonts w:ascii="Times New Roman" w:eastAsia="Times New Roman" w:hAnsi="Times New Roman" w:cs="Times New Roman"/>
                <w:sz w:val="27"/>
                <w:szCs w:val="27"/>
                <w:lang w:val="uk-UA"/>
              </w:rPr>
              <w:t xml:space="preserve"> спроможності щодо додаткових інтервенцій у цій сфері;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2E33D8" w:rsidP="00381C1D">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оцінює, у співробітництві з </w:t>
            </w:r>
            <w:r>
              <w:rPr>
                <w:rFonts w:ascii="Times New Roman" w:eastAsia="Times New Roman" w:hAnsi="Times New Roman" w:cs="Times New Roman"/>
                <w:sz w:val="27"/>
                <w:szCs w:val="27"/>
              </w:rPr>
              <w:t>ESMA</w:t>
            </w:r>
            <w:r>
              <w:rPr>
                <w:rFonts w:ascii="Times New Roman" w:eastAsia="Times New Roman" w:hAnsi="Times New Roman" w:cs="Times New Roman"/>
                <w:sz w:val="27"/>
                <w:szCs w:val="27"/>
                <w:lang w:val="uk-UA"/>
              </w:rPr>
              <w:t xml:space="preserve">, еволюцію </w:t>
            </w:r>
            <w:r w:rsidR="001F18C6">
              <w:rPr>
                <w:rFonts w:ascii="Times New Roman" w:eastAsia="Times New Roman" w:hAnsi="Times New Roman" w:cs="Times New Roman"/>
                <w:sz w:val="27"/>
                <w:szCs w:val="27"/>
                <w:lang w:val="uk-UA"/>
              </w:rPr>
              <w:t>політики ЦКА щодо вимог до</w:t>
            </w:r>
            <w:r w:rsidR="001F18C6">
              <w:rPr>
                <w:rFonts w:ascii="Times New Roman" w:eastAsia="Times New Roman" w:hAnsi="Times New Roman" w:cs="Times New Roman"/>
                <w:sz w:val="27"/>
                <w:szCs w:val="27"/>
              </w:rPr>
              <w:t xml:space="preserve"> </w:t>
            </w:r>
            <w:r w:rsidR="001F18C6">
              <w:rPr>
                <w:rFonts w:ascii="Times New Roman" w:eastAsia="Times New Roman" w:hAnsi="Times New Roman" w:cs="Times New Roman"/>
                <w:sz w:val="27"/>
                <w:szCs w:val="27"/>
                <w:lang w:val="uk-UA"/>
              </w:rPr>
              <w:t>заставної маржі та забезпечення і їхню а</w:t>
            </w:r>
            <w:r w:rsidR="00381C1D">
              <w:rPr>
                <w:rFonts w:ascii="Times New Roman" w:eastAsia="Times New Roman" w:hAnsi="Times New Roman" w:cs="Times New Roman"/>
                <w:sz w:val="27"/>
                <w:szCs w:val="27"/>
                <w:lang w:val="uk-UA"/>
              </w:rPr>
              <w:t>даптацію до конкретних видів діяльності та профілів ризику їхніх користувачів.</w:t>
            </w:r>
          </w:p>
        </w:tc>
      </w:tr>
    </w:tbl>
    <w:p w:rsidR="00DE77B0" w:rsidRPr="00DC6693" w:rsidRDefault="00381C1D" w:rsidP="005E302A">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Оцінка, згадана у </w:t>
      </w:r>
      <w:proofErr w:type="spellStart"/>
      <w:r>
        <w:rPr>
          <w:rFonts w:ascii="Times New Roman" w:eastAsia="Times New Roman" w:hAnsi="Times New Roman" w:cs="Times New Roman"/>
          <w:sz w:val="27"/>
          <w:szCs w:val="27"/>
          <w:lang w:val="uk-UA"/>
        </w:rPr>
        <w:t>пп</w:t>
      </w:r>
      <w:proofErr w:type="spellEnd"/>
      <w:r>
        <w:rPr>
          <w:rFonts w:ascii="Times New Roman" w:eastAsia="Times New Roman" w:hAnsi="Times New Roman" w:cs="Times New Roman"/>
          <w:sz w:val="27"/>
          <w:szCs w:val="27"/>
          <w:lang w:val="uk-UA"/>
        </w:rPr>
        <w:t>. (а) першого абзацу, враховує результати поточної співпраці між центральними банками Союзу й на міжнародному рівні. Оцінка також ураховує принцип незалежності центральних банків та їхнє право надавати доступ до ліквідних коштів на власний розсуд, а також потенційний ненавмисний вплив на поведінку ЦКА або на внутрішній ринок.</w:t>
      </w:r>
      <w:r w:rsidR="005E302A">
        <w:rPr>
          <w:rFonts w:ascii="Times New Roman" w:eastAsia="Times New Roman" w:hAnsi="Times New Roman" w:cs="Times New Roman"/>
          <w:sz w:val="27"/>
          <w:szCs w:val="27"/>
          <w:lang w:val="uk-UA"/>
        </w:rPr>
        <w:t xml:space="preserve"> У пропозиціях, що супроводжують доповідь, якщо такі є, забезпечується відсутність дискримінації, прямої чи непрямої, щодо будь-якої держави-члена Союзу або групи держав-членів Союзу як місця надання клірингових послуг.</w:t>
      </w:r>
    </w:p>
    <w:p w:rsidR="00DE77B0" w:rsidRPr="00DC6693" w:rsidRDefault="00DE77B0" w:rsidP="00272EFF">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DC6693">
        <w:rPr>
          <w:rFonts w:ascii="Times New Roman" w:eastAsia="Times New Roman" w:hAnsi="Times New Roman" w:cs="Times New Roman"/>
          <w:sz w:val="27"/>
          <w:szCs w:val="27"/>
          <w:lang w:val="uk-UA"/>
        </w:rPr>
        <w:t>2.</w:t>
      </w:r>
      <w:r w:rsidRPr="006279CF">
        <w:rPr>
          <w:rFonts w:ascii="Times New Roman" w:eastAsia="Times New Roman" w:hAnsi="Times New Roman" w:cs="Times New Roman"/>
          <w:sz w:val="27"/>
          <w:szCs w:val="27"/>
        </w:rPr>
        <w:t>   </w:t>
      </w:r>
      <w:r w:rsidR="009B2441">
        <w:rPr>
          <w:rFonts w:ascii="Times New Roman" w:eastAsia="Times New Roman" w:hAnsi="Times New Roman" w:cs="Times New Roman"/>
          <w:sz w:val="27"/>
          <w:szCs w:val="27"/>
          <w:lang w:val="uk-UA"/>
        </w:rPr>
        <w:t xml:space="preserve">До 17 серпня 2014 р. Комісія, після консультацій з </w:t>
      </w:r>
      <w:r w:rsidR="009B2441">
        <w:rPr>
          <w:rFonts w:ascii="Times New Roman" w:eastAsia="Times New Roman" w:hAnsi="Times New Roman" w:cs="Times New Roman"/>
          <w:sz w:val="27"/>
          <w:szCs w:val="27"/>
        </w:rPr>
        <w:t>ESMA</w:t>
      </w:r>
      <w:r w:rsidR="009B2441">
        <w:rPr>
          <w:rFonts w:ascii="Times New Roman" w:eastAsia="Times New Roman" w:hAnsi="Times New Roman" w:cs="Times New Roman"/>
          <w:sz w:val="27"/>
          <w:szCs w:val="27"/>
          <w:lang w:val="uk-UA"/>
        </w:rPr>
        <w:t xml:space="preserve"> та ЕІОРА, готує звіт за результатами оцінки прогресу та зусиль ЦКА у виробленні технічних рішень щодо пере</w:t>
      </w:r>
      <w:r w:rsidR="00533095">
        <w:rPr>
          <w:rFonts w:ascii="Times New Roman" w:eastAsia="Times New Roman" w:hAnsi="Times New Roman" w:cs="Times New Roman"/>
          <w:sz w:val="27"/>
          <w:szCs w:val="27"/>
          <w:lang w:val="uk-UA"/>
        </w:rPr>
        <w:t xml:space="preserve">дачі пенсійними схемами негрошового забезпечення як варіаційної маржі, а також потреби </w:t>
      </w:r>
      <w:r w:rsidR="00347D46">
        <w:rPr>
          <w:rFonts w:ascii="Times New Roman" w:eastAsia="Times New Roman" w:hAnsi="Times New Roman" w:cs="Times New Roman"/>
          <w:sz w:val="27"/>
          <w:szCs w:val="27"/>
          <w:lang w:val="uk-UA"/>
        </w:rPr>
        <w:t xml:space="preserve">в будь-яких заходах для сприяння впровадженню такого рішення. Якщо Комісія вважає, що </w:t>
      </w:r>
      <w:r w:rsidR="008919B9">
        <w:rPr>
          <w:rFonts w:ascii="Times New Roman" w:eastAsia="Times New Roman" w:hAnsi="Times New Roman" w:cs="Times New Roman"/>
          <w:sz w:val="27"/>
          <w:szCs w:val="27"/>
          <w:lang w:val="uk-UA"/>
        </w:rPr>
        <w:t xml:space="preserve">необхідні зусилля з вироблення відповідних технічних рішень не докладені й несприятливий вплив централізованого клірингу контрактів на деривативи на пенсійну допомогу майбутніх пенсіонерів </w:t>
      </w:r>
      <w:r w:rsidR="00272EFF">
        <w:rPr>
          <w:rFonts w:ascii="Times New Roman" w:eastAsia="Times New Roman" w:hAnsi="Times New Roman" w:cs="Times New Roman"/>
          <w:sz w:val="27"/>
          <w:szCs w:val="27"/>
          <w:lang w:val="uk-UA"/>
        </w:rPr>
        <w:t xml:space="preserve">залишається незмінним, Комісія уповноважується на прийняття делегованих актів відповідно до статті 82 для продовження трирічного періоду, </w:t>
      </w:r>
      <w:r w:rsidR="00812EED" w:rsidRPr="00272EFF">
        <w:rPr>
          <w:rFonts w:ascii="Times New Roman" w:eastAsia="Times New Roman" w:hAnsi="Times New Roman" w:cs="Times New Roman"/>
          <w:sz w:val="27"/>
          <w:szCs w:val="27"/>
          <w:lang w:val="uk-UA"/>
        </w:rPr>
        <w:t>згаданого у статті</w:t>
      </w:r>
      <w:r w:rsidRPr="00272EFF">
        <w:rPr>
          <w:rFonts w:ascii="Times New Roman" w:eastAsia="Times New Roman" w:hAnsi="Times New Roman" w:cs="Times New Roman"/>
          <w:sz w:val="27"/>
          <w:szCs w:val="27"/>
          <w:lang w:val="uk-UA"/>
        </w:rPr>
        <w:t xml:space="preserve"> 89(1)</w:t>
      </w:r>
      <w:r w:rsidR="00272EFF">
        <w:rPr>
          <w:rFonts w:ascii="Times New Roman" w:eastAsia="Times New Roman" w:hAnsi="Times New Roman" w:cs="Times New Roman"/>
          <w:sz w:val="27"/>
          <w:szCs w:val="27"/>
          <w:lang w:val="uk-UA"/>
        </w:rPr>
        <w:t>, один раз на два роки і один раз на один рік.</w:t>
      </w:r>
    </w:p>
    <w:p w:rsidR="00DE77B0" w:rsidRPr="006279CF"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 xml:space="preserve">3.   ESMA </w:t>
      </w:r>
      <w:r w:rsidR="00756F2A">
        <w:rPr>
          <w:rFonts w:ascii="Times New Roman" w:eastAsia="Times New Roman" w:hAnsi="Times New Roman" w:cs="Times New Roman"/>
          <w:sz w:val="27"/>
          <w:szCs w:val="27"/>
          <w:lang w:val="uk-UA"/>
        </w:rPr>
        <w:t>подає Комісії звіти:</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56F2A" w:rsidP="00756F2A">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про застосування зобов’язання щодо клірингу за Розділом ІІ, зокрема про відсутність зобов’язання щодо клірингу контрактів на позабіржові деривативи, укладені до дати набрання чинності цим регламентом;</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2"/>
        <w:gridCol w:w="8903"/>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7802EE" w:rsidP="007802EE">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про застосування процедури визначення за статтею 5(3);</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9"/>
        <w:gridCol w:w="9016"/>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DC6693" w:rsidRDefault="00507534" w:rsidP="00507534">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w:t>
            </w:r>
            <w:r w:rsidR="007802EE">
              <w:rPr>
                <w:rFonts w:ascii="Times New Roman" w:eastAsia="Times New Roman" w:hAnsi="Times New Roman" w:cs="Times New Roman"/>
                <w:sz w:val="27"/>
                <w:szCs w:val="27"/>
                <w:lang w:val="uk-UA"/>
              </w:rPr>
              <w:t xml:space="preserve">ро </w:t>
            </w:r>
            <w:r>
              <w:rPr>
                <w:rFonts w:ascii="Times New Roman" w:eastAsia="Times New Roman" w:hAnsi="Times New Roman" w:cs="Times New Roman"/>
                <w:sz w:val="27"/>
                <w:szCs w:val="27"/>
                <w:lang w:val="uk-UA"/>
              </w:rPr>
              <w:t>застосування вимог щодо відокремлення, викладених у статті 39;</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DC6693" w:rsidRDefault="00507534" w:rsidP="00507534">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про поширення сфери дії угод про сумісність за Розділом</w:t>
            </w:r>
            <w:r w:rsidR="00DE77B0" w:rsidRPr="00507534">
              <w:rPr>
                <w:rFonts w:ascii="Times New Roman" w:eastAsia="Times New Roman" w:hAnsi="Times New Roman" w:cs="Times New Roman"/>
                <w:sz w:val="27"/>
                <w:szCs w:val="27"/>
                <w:lang w:val="ru-RU"/>
              </w:rPr>
              <w:t xml:space="preserve"> </w:t>
            </w:r>
            <w:r w:rsidR="00DE77B0" w:rsidRPr="006279CF">
              <w:rPr>
                <w:rFonts w:ascii="Times New Roman" w:eastAsia="Times New Roman" w:hAnsi="Times New Roman" w:cs="Times New Roman"/>
                <w:sz w:val="27"/>
                <w:szCs w:val="27"/>
              </w:rPr>
              <w:t>V</w:t>
            </w:r>
            <w:r w:rsidR="00DE77B0" w:rsidRPr="00507534">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на угоди в</w:t>
            </w:r>
            <w:r>
              <w:rPr>
                <w:rFonts w:ascii="Times New Roman" w:eastAsia="Times New Roman" w:hAnsi="Times New Roman" w:cs="Times New Roman"/>
                <w:sz w:val="27"/>
                <w:szCs w:val="27"/>
                <w:lang w:val="uk-UA"/>
              </w:rPr>
              <w:t xml:space="preserve"> інших класах фінансових інструментів, ніж оборотні цінні папери та інструменти фінансового ринку;</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DC6693" w:rsidRDefault="0029529E" w:rsidP="0029529E">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про доступ ЦКА до торговельних майданчиків, вплив певних практичних методів на конкурентоспроможність і наслідки для фрагментації ліквідності;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29529E" w:rsidP="00A774E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про </w:t>
            </w:r>
            <w:r w:rsidR="00A774E9">
              <w:rPr>
                <w:rFonts w:ascii="Times New Roman" w:eastAsia="Times New Roman" w:hAnsi="Times New Roman" w:cs="Times New Roman"/>
                <w:sz w:val="27"/>
                <w:szCs w:val="27"/>
                <w:lang w:val="uk-UA"/>
              </w:rPr>
              <w:t xml:space="preserve">потреби </w:t>
            </w:r>
            <w:r w:rsidR="00A774E9">
              <w:rPr>
                <w:rFonts w:ascii="Times New Roman" w:eastAsia="Times New Roman" w:hAnsi="Times New Roman" w:cs="Times New Roman"/>
                <w:sz w:val="27"/>
                <w:szCs w:val="27"/>
              </w:rPr>
              <w:t>ESMA</w:t>
            </w:r>
            <w:r w:rsidR="00A774E9" w:rsidRPr="0029529E">
              <w:rPr>
                <w:rFonts w:ascii="Times New Roman" w:eastAsia="Times New Roman" w:hAnsi="Times New Roman" w:cs="Times New Roman"/>
                <w:sz w:val="27"/>
                <w:szCs w:val="27"/>
              </w:rPr>
              <w:t xml:space="preserve"> </w:t>
            </w:r>
            <w:r w:rsidR="00A774E9">
              <w:rPr>
                <w:rFonts w:ascii="Times New Roman" w:eastAsia="Times New Roman" w:hAnsi="Times New Roman" w:cs="Times New Roman"/>
                <w:sz w:val="27"/>
                <w:szCs w:val="27"/>
                <w:lang w:val="ru-RU"/>
              </w:rPr>
              <w:t>у</w:t>
            </w:r>
            <w:r w:rsidR="00A774E9" w:rsidRPr="0029529E">
              <w:rPr>
                <w:rFonts w:ascii="Times New Roman" w:eastAsia="Times New Roman" w:hAnsi="Times New Roman" w:cs="Times New Roman"/>
                <w:sz w:val="27"/>
                <w:szCs w:val="27"/>
              </w:rPr>
              <w:t xml:space="preserve"> </w:t>
            </w:r>
            <w:r w:rsidR="00A774E9">
              <w:rPr>
                <w:rFonts w:ascii="Times New Roman" w:eastAsia="Times New Roman" w:hAnsi="Times New Roman" w:cs="Times New Roman"/>
                <w:sz w:val="27"/>
                <w:szCs w:val="27"/>
                <w:lang w:val="ru-RU"/>
              </w:rPr>
              <w:t>кадрах</w:t>
            </w:r>
            <w:r w:rsidR="00A774E9" w:rsidRPr="0029529E">
              <w:rPr>
                <w:rFonts w:ascii="Times New Roman" w:eastAsia="Times New Roman" w:hAnsi="Times New Roman" w:cs="Times New Roman"/>
                <w:sz w:val="27"/>
                <w:szCs w:val="27"/>
              </w:rPr>
              <w:t xml:space="preserve"> </w:t>
            </w:r>
            <w:r w:rsidR="00A774E9">
              <w:rPr>
                <w:rFonts w:ascii="Times New Roman" w:eastAsia="Times New Roman" w:hAnsi="Times New Roman" w:cs="Times New Roman"/>
                <w:sz w:val="27"/>
                <w:szCs w:val="27"/>
                <w:lang w:val="ru-RU"/>
              </w:rPr>
              <w:t>і</w:t>
            </w:r>
            <w:r w:rsidR="00A774E9" w:rsidRPr="0029529E">
              <w:rPr>
                <w:rFonts w:ascii="Times New Roman" w:eastAsia="Times New Roman" w:hAnsi="Times New Roman" w:cs="Times New Roman"/>
                <w:sz w:val="27"/>
                <w:szCs w:val="27"/>
              </w:rPr>
              <w:t xml:space="preserve"> </w:t>
            </w:r>
            <w:r w:rsidR="00A774E9">
              <w:rPr>
                <w:rFonts w:ascii="Times New Roman" w:eastAsia="Times New Roman" w:hAnsi="Times New Roman" w:cs="Times New Roman"/>
                <w:sz w:val="27"/>
                <w:szCs w:val="27"/>
                <w:lang w:val="ru-RU"/>
              </w:rPr>
              <w:t>ресурсах</w:t>
            </w:r>
            <w:r w:rsidR="00A774E9" w:rsidRPr="0029529E">
              <w:rPr>
                <w:rFonts w:ascii="Times New Roman" w:eastAsia="Times New Roman" w:hAnsi="Times New Roman" w:cs="Times New Roman"/>
                <w:sz w:val="27"/>
                <w:szCs w:val="27"/>
              </w:rPr>
              <w:t xml:space="preserve">, </w:t>
            </w:r>
            <w:r w:rsidR="00A774E9">
              <w:rPr>
                <w:rFonts w:ascii="Times New Roman" w:eastAsia="Times New Roman" w:hAnsi="Times New Roman" w:cs="Times New Roman"/>
                <w:sz w:val="27"/>
                <w:szCs w:val="27"/>
                <w:lang w:val="uk-UA"/>
              </w:rPr>
              <w:t xml:space="preserve">що виникають із прийняття нею своїх повноважень і обов’язків </w:t>
            </w:r>
            <w:proofErr w:type="spellStart"/>
            <w:r w:rsidR="00A774E9">
              <w:rPr>
                <w:rFonts w:ascii="Times New Roman" w:eastAsia="Times New Roman" w:hAnsi="Times New Roman" w:cs="Times New Roman"/>
                <w:sz w:val="27"/>
                <w:szCs w:val="27"/>
              </w:rPr>
              <w:t>відповідно</w:t>
            </w:r>
            <w:proofErr w:type="spellEnd"/>
            <w:r w:rsidR="00A774E9">
              <w:rPr>
                <w:rFonts w:ascii="Times New Roman" w:eastAsia="Times New Roman" w:hAnsi="Times New Roman" w:cs="Times New Roman"/>
                <w:sz w:val="27"/>
                <w:szCs w:val="27"/>
              </w:rPr>
              <w:t xml:space="preserve"> </w:t>
            </w:r>
            <w:proofErr w:type="spellStart"/>
            <w:r w:rsidR="00A774E9">
              <w:rPr>
                <w:rFonts w:ascii="Times New Roman" w:eastAsia="Times New Roman" w:hAnsi="Times New Roman" w:cs="Times New Roman"/>
                <w:sz w:val="27"/>
                <w:szCs w:val="27"/>
              </w:rPr>
              <w:t>до</w:t>
            </w:r>
            <w:proofErr w:type="spellEnd"/>
            <w:r w:rsidR="00A774E9">
              <w:rPr>
                <w:rFonts w:ascii="Times New Roman" w:eastAsia="Times New Roman" w:hAnsi="Times New Roman" w:cs="Times New Roman"/>
                <w:sz w:val="27"/>
                <w:szCs w:val="27"/>
              </w:rPr>
              <w:t xml:space="preserve"> </w:t>
            </w:r>
            <w:proofErr w:type="spellStart"/>
            <w:r w:rsidR="00A774E9">
              <w:rPr>
                <w:rFonts w:ascii="Times New Roman" w:eastAsia="Times New Roman" w:hAnsi="Times New Roman" w:cs="Times New Roman"/>
                <w:sz w:val="27"/>
                <w:szCs w:val="27"/>
              </w:rPr>
              <w:t>цього</w:t>
            </w:r>
            <w:proofErr w:type="spellEnd"/>
            <w:r w:rsidR="00A774E9">
              <w:rPr>
                <w:rFonts w:ascii="Times New Roman" w:eastAsia="Times New Roman" w:hAnsi="Times New Roman" w:cs="Times New Roman"/>
                <w:sz w:val="27"/>
                <w:szCs w:val="27"/>
              </w:rPr>
              <w:t xml:space="preserve"> </w:t>
            </w:r>
            <w:proofErr w:type="spellStart"/>
            <w:r w:rsidR="00A774E9">
              <w:rPr>
                <w:rFonts w:ascii="Times New Roman" w:eastAsia="Times New Roman" w:hAnsi="Times New Roman" w:cs="Times New Roman"/>
                <w:sz w:val="27"/>
                <w:szCs w:val="27"/>
              </w:rPr>
              <w:t>регламенту</w:t>
            </w:r>
            <w:proofErr w:type="spellEnd"/>
            <w:r w:rsidR="00A774E9" w:rsidRPr="006279CF">
              <w:rPr>
                <w:rFonts w:ascii="Times New Roman" w:eastAsia="Times New Roman" w:hAnsi="Times New Roman" w:cs="Times New Roman"/>
                <w:sz w:val="27"/>
                <w:szCs w:val="27"/>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lastRenderedPageBreak/>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29529E" w:rsidRDefault="0029529E" w:rsidP="0029529E">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про вплив застосування додаткових вимог державами-членами Союзу на виконання статті</w:t>
            </w:r>
            <w:r w:rsidR="00DE77B0" w:rsidRPr="0029529E">
              <w:rPr>
                <w:rFonts w:ascii="Times New Roman" w:eastAsia="Times New Roman" w:hAnsi="Times New Roman" w:cs="Times New Roman"/>
                <w:sz w:val="27"/>
                <w:szCs w:val="27"/>
                <w:lang w:val="ru-RU"/>
              </w:rPr>
              <w:t xml:space="preserve"> 14(5).</w:t>
            </w:r>
          </w:p>
        </w:tc>
      </w:tr>
    </w:tbl>
    <w:p w:rsidR="00DE77B0" w:rsidRPr="002E54C8" w:rsidRDefault="0029529E" w:rsidP="0029529E">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proofErr w:type="spellStart"/>
      <w:r>
        <w:rPr>
          <w:rFonts w:ascii="Times New Roman" w:eastAsia="Times New Roman" w:hAnsi="Times New Roman" w:cs="Times New Roman"/>
          <w:sz w:val="27"/>
          <w:szCs w:val="27"/>
          <w:lang w:val="ru-RU"/>
        </w:rPr>
        <w:t>Ці</w:t>
      </w:r>
      <w:proofErr w:type="spellEnd"/>
      <w:r>
        <w:rPr>
          <w:rFonts w:ascii="Times New Roman" w:eastAsia="Times New Roman" w:hAnsi="Times New Roman" w:cs="Times New Roman"/>
          <w:sz w:val="27"/>
          <w:szCs w:val="27"/>
          <w:lang w:val="ru-RU"/>
        </w:rPr>
        <w:t xml:space="preserve"> </w:t>
      </w:r>
      <w:proofErr w:type="spellStart"/>
      <w:r>
        <w:rPr>
          <w:rFonts w:ascii="Times New Roman" w:eastAsia="Times New Roman" w:hAnsi="Times New Roman" w:cs="Times New Roman"/>
          <w:sz w:val="27"/>
          <w:szCs w:val="27"/>
          <w:lang w:val="ru-RU"/>
        </w:rPr>
        <w:t>звіти</w:t>
      </w:r>
      <w:proofErr w:type="spellEnd"/>
      <w:r>
        <w:rPr>
          <w:rFonts w:ascii="Times New Roman" w:eastAsia="Times New Roman" w:hAnsi="Times New Roman" w:cs="Times New Roman"/>
          <w:sz w:val="27"/>
          <w:szCs w:val="27"/>
          <w:lang w:val="uk-UA"/>
        </w:rPr>
        <w:t xml:space="preserve"> доводяться до відома Комісії до 30 вересня 2014 р. в цілях пункту 1 цієї статті. Вони також подаються Європейському Парламенту і Раді.</w:t>
      </w:r>
    </w:p>
    <w:p w:rsidR="00DE77B0" w:rsidRPr="002E54C8" w:rsidRDefault="00DE77B0" w:rsidP="0033636A">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2E54C8">
        <w:rPr>
          <w:rFonts w:ascii="Times New Roman" w:eastAsia="Times New Roman" w:hAnsi="Times New Roman" w:cs="Times New Roman"/>
          <w:sz w:val="27"/>
          <w:szCs w:val="27"/>
          <w:lang w:val="uk-UA"/>
        </w:rPr>
        <w:t>4.</w:t>
      </w:r>
      <w:r w:rsidRPr="006279CF">
        <w:rPr>
          <w:rFonts w:ascii="Times New Roman" w:eastAsia="Times New Roman" w:hAnsi="Times New Roman" w:cs="Times New Roman"/>
          <w:sz w:val="27"/>
          <w:szCs w:val="27"/>
        </w:rPr>
        <w:t>   </w:t>
      </w:r>
      <w:r w:rsidR="0029529E">
        <w:rPr>
          <w:rFonts w:ascii="Times New Roman" w:eastAsia="Times New Roman" w:hAnsi="Times New Roman" w:cs="Times New Roman"/>
          <w:sz w:val="27"/>
          <w:szCs w:val="27"/>
          <w:lang w:val="uk-UA"/>
        </w:rPr>
        <w:t xml:space="preserve">У співробітництві з державами-членами Союзу і </w:t>
      </w:r>
      <w:r w:rsidR="0029529E">
        <w:rPr>
          <w:rFonts w:ascii="Times New Roman" w:eastAsia="Times New Roman" w:hAnsi="Times New Roman" w:cs="Times New Roman"/>
          <w:sz w:val="27"/>
          <w:szCs w:val="27"/>
        </w:rPr>
        <w:t>ESMA</w:t>
      </w:r>
      <w:r w:rsidR="0029529E">
        <w:rPr>
          <w:rFonts w:ascii="Times New Roman" w:eastAsia="Times New Roman" w:hAnsi="Times New Roman" w:cs="Times New Roman"/>
          <w:sz w:val="27"/>
          <w:szCs w:val="27"/>
          <w:lang w:val="uk-UA"/>
        </w:rPr>
        <w:t xml:space="preserve"> й після звернення щодо оцінки до </w:t>
      </w:r>
      <w:r w:rsidR="0029529E">
        <w:rPr>
          <w:rFonts w:ascii="Times New Roman" w:eastAsia="Times New Roman" w:hAnsi="Times New Roman" w:cs="Times New Roman"/>
          <w:sz w:val="27"/>
          <w:szCs w:val="27"/>
        </w:rPr>
        <w:t>ESRB</w:t>
      </w:r>
      <w:r w:rsidR="0033636A">
        <w:rPr>
          <w:rFonts w:ascii="Times New Roman" w:eastAsia="Times New Roman" w:hAnsi="Times New Roman" w:cs="Times New Roman"/>
          <w:sz w:val="27"/>
          <w:szCs w:val="27"/>
          <w:lang w:val="uk-UA"/>
        </w:rPr>
        <w:t>, Комісія готує річний звіт з оцінкою можливого системного ризику та фінансових наслідків угод про сумісність.</w:t>
      </w:r>
    </w:p>
    <w:p w:rsidR="00DE77B0" w:rsidRPr="00DC6693" w:rsidRDefault="00521B00" w:rsidP="00521B00">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Основна увага у вищезгаданому звіті приділяється кількості та складності таких угод, а також адекватності систем і моделей управління ризиками. Комісія подає цей звіт Європейському Парламенту і Раді разом з відповідними пропозиціями, якщо такі є.</w:t>
      </w:r>
    </w:p>
    <w:p w:rsidR="00521B00" w:rsidRPr="00521B00" w:rsidRDefault="004E7873"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rPr>
        <w:t>ESRB</w:t>
      </w:r>
      <w:r w:rsidR="00DE77B0" w:rsidRPr="00521B00">
        <w:rPr>
          <w:rFonts w:ascii="Times New Roman" w:eastAsia="Times New Roman" w:hAnsi="Times New Roman" w:cs="Times New Roman"/>
          <w:sz w:val="27"/>
          <w:szCs w:val="27"/>
          <w:lang w:val="ru-RU"/>
        </w:rPr>
        <w:t xml:space="preserve"> </w:t>
      </w:r>
      <w:r w:rsidR="00521B00">
        <w:rPr>
          <w:rFonts w:ascii="Times New Roman" w:eastAsia="Times New Roman" w:hAnsi="Times New Roman" w:cs="Times New Roman"/>
          <w:sz w:val="27"/>
          <w:szCs w:val="27"/>
          <w:lang w:val="uk-UA"/>
        </w:rPr>
        <w:t>надає Комісії свою оцінку можливих наслідків угод про сумісність із точки зору системного ризику.</w:t>
      </w:r>
    </w:p>
    <w:p w:rsidR="00DE77B0" w:rsidRPr="00DC669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521B00">
        <w:rPr>
          <w:rFonts w:ascii="Times New Roman" w:eastAsia="Times New Roman" w:hAnsi="Times New Roman" w:cs="Times New Roman"/>
          <w:sz w:val="27"/>
          <w:szCs w:val="27"/>
          <w:lang w:val="uk-UA"/>
        </w:rPr>
        <w:t>5.</w:t>
      </w:r>
      <w:r w:rsidRPr="006279CF">
        <w:rPr>
          <w:rFonts w:ascii="Times New Roman" w:eastAsia="Times New Roman" w:hAnsi="Times New Roman" w:cs="Times New Roman"/>
          <w:sz w:val="27"/>
          <w:szCs w:val="27"/>
        </w:rPr>
        <w:t>   ESMA</w:t>
      </w:r>
      <w:r w:rsidRPr="00521B00">
        <w:rPr>
          <w:rFonts w:ascii="Times New Roman" w:eastAsia="Times New Roman" w:hAnsi="Times New Roman" w:cs="Times New Roman"/>
          <w:sz w:val="27"/>
          <w:szCs w:val="27"/>
          <w:lang w:val="uk-UA"/>
        </w:rPr>
        <w:t xml:space="preserve"> </w:t>
      </w:r>
      <w:r w:rsidR="00521B00">
        <w:rPr>
          <w:rFonts w:ascii="Times New Roman" w:eastAsia="Times New Roman" w:hAnsi="Times New Roman" w:cs="Times New Roman"/>
          <w:sz w:val="27"/>
          <w:szCs w:val="27"/>
          <w:lang w:val="uk-UA"/>
        </w:rPr>
        <w:t>подає Європейському Парламенту, Раді та Комісії річний звіт про санкції, накладені компетентними органами, включаючи наглядові заходи, разові штрафи та періодичні штрафні платежі.</w:t>
      </w:r>
    </w:p>
    <w:p w:rsidR="00DE77B0" w:rsidRPr="00DC669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DC6693">
        <w:rPr>
          <w:rFonts w:ascii="Times New Roman" w:eastAsia="Times New Roman" w:hAnsi="Times New Roman" w:cs="Times New Roman"/>
          <w:i/>
          <w:iCs/>
          <w:sz w:val="27"/>
          <w:szCs w:val="27"/>
          <w:lang w:val="ru-RU"/>
        </w:rPr>
        <w:t>Стаття</w:t>
      </w:r>
      <w:proofErr w:type="spellEnd"/>
      <w:r w:rsidR="00DE77B0" w:rsidRPr="00DC6693">
        <w:rPr>
          <w:rFonts w:ascii="Times New Roman" w:eastAsia="Times New Roman" w:hAnsi="Times New Roman" w:cs="Times New Roman"/>
          <w:i/>
          <w:iCs/>
          <w:sz w:val="27"/>
          <w:szCs w:val="27"/>
          <w:lang w:val="ru-RU"/>
        </w:rPr>
        <w:t xml:space="preserve"> 86</w:t>
      </w:r>
    </w:p>
    <w:p w:rsidR="00DE77B0" w:rsidRPr="00E210BB" w:rsidRDefault="00E210BB"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 xml:space="preserve">Регламент роботи </w:t>
      </w:r>
      <w:r w:rsidR="00FE0599">
        <w:rPr>
          <w:rFonts w:ascii="Times New Roman" w:eastAsia="Times New Roman" w:hAnsi="Times New Roman" w:cs="Times New Roman"/>
          <w:b/>
          <w:bCs/>
          <w:sz w:val="27"/>
          <w:szCs w:val="27"/>
          <w:lang w:val="uk-UA"/>
        </w:rPr>
        <w:t>к</w:t>
      </w:r>
      <w:r>
        <w:rPr>
          <w:rFonts w:ascii="Times New Roman" w:eastAsia="Times New Roman" w:hAnsi="Times New Roman" w:cs="Times New Roman"/>
          <w:b/>
          <w:bCs/>
          <w:sz w:val="27"/>
          <w:szCs w:val="27"/>
          <w:lang w:val="uk-UA"/>
        </w:rPr>
        <w:t>омітету</w:t>
      </w:r>
    </w:p>
    <w:p w:rsidR="00DE77B0" w:rsidRPr="00FE0599" w:rsidRDefault="00DE77B0" w:rsidP="00FE0599">
      <w:pPr>
        <w:shd w:val="clear" w:color="auto" w:fill="FFFFFF"/>
        <w:spacing w:after="0" w:line="240" w:lineRule="auto"/>
        <w:jc w:val="both"/>
        <w:textAlignment w:val="baseline"/>
        <w:rPr>
          <w:rFonts w:ascii="Times New Roman" w:eastAsia="Times New Roman" w:hAnsi="Times New Roman" w:cs="Times New Roman"/>
          <w:sz w:val="27"/>
          <w:szCs w:val="27"/>
          <w:lang w:val="ru-RU"/>
        </w:rPr>
      </w:pPr>
      <w:r w:rsidRPr="00AC78DB">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AC78DB">
        <w:rPr>
          <w:rFonts w:ascii="Times New Roman" w:eastAsia="Times New Roman" w:hAnsi="Times New Roman" w:cs="Times New Roman"/>
          <w:sz w:val="27"/>
          <w:szCs w:val="27"/>
          <w:lang w:val="uk-UA"/>
        </w:rPr>
        <w:t>Комісія користується допомогою Європейського комітету з</w:t>
      </w:r>
      <w:r w:rsidR="00FE0599">
        <w:rPr>
          <w:rFonts w:ascii="Times New Roman" w:eastAsia="Times New Roman" w:hAnsi="Times New Roman" w:cs="Times New Roman"/>
          <w:sz w:val="27"/>
          <w:szCs w:val="27"/>
          <w:lang w:val="uk-UA"/>
        </w:rPr>
        <w:t xml:space="preserve"> цінних паперів, створеного Рішенням Комісії </w:t>
      </w:r>
      <w:r w:rsidRPr="00FE0599">
        <w:rPr>
          <w:rFonts w:ascii="Times New Roman" w:eastAsia="Times New Roman" w:hAnsi="Times New Roman" w:cs="Times New Roman"/>
          <w:sz w:val="27"/>
          <w:szCs w:val="27"/>
          <w:lang w:val="ru-RU"/>
        </w:rPr>
        <w:t>2001/528/</w:t>
      </w:r>
      <w:r w:rsidRPr="006279CF">
        <w:rPr>
          <w:rFonts w:ascii="Times New Roman" w:eastAsia="Times New Roman" w:hAnsi="Times New Roman" w:cs="Times New Roman"/>
          <w:sz w:val="27"/>
          <w:szCs w:val="27"/>
        </w:rPr>
        <w:t>EC</w:t>
      </w:r>
      <w:hyperlink r:id="rId37" w:anchor="ntr33-L_2012201EN.01000101-E0033" w:history="1">
        <w:r w:rsidRPr="006279CF">
          <w:rPr>
            <w:rFonts w:ascii="Times New Roman" w:eastAsia="Times New Roman" w:hAnsi="Times New Roman" w:cs="Times New Roman"/>
            <w:sz w:val="27"/>
            <w:szCs w:val="27"/>
            <w:bdr w:val="none" w:sz="0" w:space="0" w:color="auto" w:frame="1"/>
          </w:rPr>
          <w:t> </w:t>
        </w:r>
        <w:r w:rsidRPr="00FE0599">
          <w:rPr>
            <w:rFonts w:ascii="Times New Roman" w:eastAsia="Times New Roman" w:hAnsi="Times New Roman" w:cs="Times New Roman"/>
            <w:sz w:val="27"/>
            <w:szCs w:val="27"/>
            <w:bdr w:val="none" w:sz="0" w:space="0" w:color="auto" w:frame="1"/>
            <w:lang w:val="ru-RU"/>
          </w:rPr>
          <w:t>(</w:t>
        </w:r>
        <w:r w:rsidRPr="00FE0599">
          <w:rPr>
            <w:rFonts w:ascii="Times New Roman" w:eastAsia="Times New Roman" w:hAnsi="Times New Roman" w:cs="Times New Roman"/>
            <w:sz w:val="19"/>
            <w:szCs w:val="19"/>
            <w:bdr w:val="none" w:sz="0" w:space="0" w:color="auto" w:frame="1"/>
            <w:vertAlign w:val="superscript"/>
            <w:lang w:val="ru-RU"/>
          </w:rPr>
          <w:t>33</w:t>
        </w:r>
        <w:r w:rsidRPr="00FE0599">
          <w:rPr>
            <w:rFonts w:ascii="Times New Roman" w:eastAsia="Times New Roman" w:hAnsi="Times New Roman" w:cs="Times New Roman"/>
            <w:sz w:val="27"/>
            <w:szCs w:val="27"/>
            <w:bdr w:val="none" w:sz="0" w:space="0" w:color="auto" w:frame="1"/>
            <w:lang w:val="ru-RU"/>
          </w:rPr>
          <w:t>)</w:t>
        </w:r>
      </w:hyperlink>
      <w:r w:rsidRPr="00FE0599">
        <w:rPr>
          <w:rFonts w:ascii="Times New Roman" w:eastAsia="Times New Roman" w:hAnsi="Times New Roman" w:cs="Times New Roman"/>
          <w:sz w:val="27"/>
          <w:szCs w:val="27"/>
          <w:lang w:val="ru-RU"/>
        </w:rPr>
        <w:t xml:space="preserve">. </w:t>
      </w:r>
      <w:r w:rsidR="00FE0599">
        <w:rPr>
          <w:rFonts w:ascii="Times New Roman" w:eastAsia="Times New Roman" w:hAnsi="Times New Roman" w:cs="Times New Roman"/>
          <w:sz w:val="27"/>
          <w:szCs w:val="27"/>
          <w:lang w:val="uk-UA"/>
        </w:rPr>
        <w:t>Цей комітет є комітетом у значенні, передбаченому Регламентом</w:t>
      </w:r>
      <w:r w:rsidR="00AC2299" w:rsidRPr="00FE0599">
        <w:rPr>
          <w:rFonts w:ascii="Times New Roman" w:eastAsia="Times New Roman" w:hAnsi="Times New Roman" w:cs="Times New Roman"/>
          <w:sz w:val="27"/>
          <w:szCs w:val="27"/>
          <w:lang w:val="ru-RU"/>
        </w:rPr>
        <w:t xml:space="preserve"> (</w:t>
      </w:r>
      <w:r w:rsidR="00AC2299">
        <w:rPr>
          <w:rFonts w:ascii="Times New Roman" w:eastAsia="Times New Roman" w:hAnsi="Times New Roman" w:cs="Times New Roman"/>
          <w:sz w:val="27"/>
          <w:szCs w:val="27"/>
        </w:rPr>
        <w:t>EU</w:t>
      </w:r>
      <w:r w:rsidR="00AC2299" w:rsidRPr="00FE0599">
        <w:rPr>
          <w:rFonts w:ascii="Times New Roman" w:eastAsia="Times New Roman" w:hAnsi="Times New Roman" w:cs="Times New Roman"/>
          <w:sz w:val="27"/>
          <w:szCs w:val="27"/>
          <w:lang w:val="ru-RU"/>
        </w:rPr>
        <w:t>) №</w:t>
      </w:r>
      <w:r w:rsidRPr="006279CF">
        <w:rPr>
          <w:rFonts w:ascii="Times New Roman" w:eastAsia="Times New Roman" w:hAnsi="Times New Roman" w:cs="Times New Roman"/>
          <w:sz w:val="27"/>
          <w:szCs w:val="27"/>
        </w:rPr>
        <w:t> </w:t>
      </w:r>
      <w:r w:rsidRPr="00FE0599">
        <w:rPr>
          <w:rFonts w:ascii="Times New Roman" w:eastAsia="Times New Roman" w:hAnsi="Times New Roman" w:cs="Times New Roman"/>
          <w:sz w:val="27"/>
          <w:szCs w:val="27"/>
          <w:lang w:val="ru-RU"/>
        </w:rPr>
        <w:t>182/2011.</w:t>
      </w:r>
    </w:p>
    <w:p w:rsidR="00DE77B0" w:rsidRPr="00FE0599" w:rsidRDefault="00DE77B0" w:rsidP="00FE059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FE0599">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FE0599">
        <w:rPr>
          <w:rFonts w:ascii="Times New Roman" w:eastAsia="Times New Roman" w:hAnsi="Times New Roman" w:cs="Times New Roman"/>
          <w:sz w:val="27"/>
          <w:szCs w:val="27"/>
          <w:lang w:val="uk-UA"/>
        </w:rPr>
        <w:t>У випадку посилання на цей пункт застосовується стаття 5</w:t>
      </w:r>
      <w:r w:rsidRPr="00FE0599">
        <w:rPr>
          <w:rFonts w:ascii="Times New Roman" w:eastAsia="Times New Roman" w:hAnsi="Times New Roman" w:cs="Times New Roman"/>
          <w:sz w:val="27"/>
          <w:szCs w:val="27"/>
          <w:lang w:val="ru-RU"/>
        </w:rPr>
        <w:t xml:space="preserve"> </w:t>
      </w:r>
      <w:r w:rsidR="00AC2299" w:rsidRPr="00FE0599">
        <w:rPr>
          <w:rFonts w:ascii="Times New Roman" w:eastAsia="Times New Roman" w:hAnsi="Times New Roman" w:cs="Times New Roman"/>
          <w:sz w:val="27"/>
          <w:szCs w:val="27"/>
          <w:lang w:val="ru-RU"/>
        </w:rPr>
        <w:t>Регламенту (</w:t>
      </w:r>
      <w:r w:rsidR="00AC2299">
        <w:rPr>
          <w:rFonts w:ascii="Times New Roman" w:eastAsia="Times New Roman" w:hAnsi="Times New Roman" w:cs="Times New Roman"/>
          <w:sz w:val="27"/>
          <w:szCs w:val="27"/>
        </w:rPr>
        <w:t>EU</w:t>
      </w:r>
      <w:r w:rsidR="00AC2299" w:rsidRPr="00FE0599">
        <w:rPr>
          <w:rFonts w:ascii="Times New Roman" w:eastAsia="Times New Roman" w:hAnsi="Times New Roman" w:cs="Times New Roman"/>
          <w:sz w:val="27"/>
          <w:szCs w:val="27"/>
          <w:lang w:val="ru-RU"/>
        </w:rPr>
        <w:t>) №</w:t>
      </w:r>
      <w:r w:rsidRPr="006279CF">
        <w:rPr>
          <w:rFonts w:ascii="Times New Roman" w:eastAsia="Times New Roman" w:hAnsi="Times New Roman" w:cs="Times New Roman"/>
          <w:sz w:val="27"/>
          <w:szCs w:val="27"/>
        </w:rPr>
        <w:t> </w:t>
      </w:r>
      <w:r w:rsidRPr="00FE0599">
        <w:rPr>
          <w:rFonts w:ascii="Times New Roman" w:eastAsia="Times New Roman" w:hAnsi="Times New Roman" w:cs="Times New Roman"/>
          <w:sz w:val="27"/>
          <w:szCs w:val="27"/>
          <w:lang w:val="ru-RU"/>
        </w:rPr>
        <w:t xml:space="preserve">182/2011 </w:t>
      </w:r>
      <w:r w:rsidRPr="006279CF">
        <w:rPr>
          <w:rFonts w:ascii="Times New Roman" w:eastAsia="Times New Roman" w:hAnsi="Times New Roman" w:cs="Times New Roman"/>
          <w:sz w:val="27"/>
          <w:szCs w:val="27"/>
        </w:rPr>
        <w:t>shall</w:t>
      </w:r>
      <w:r w:rsidRPr="00FE0599">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apply</w:t>
      </w:r>
      <w:r w:rsidRPr="00FE0599">
        <w:rPr>
          <w:rFonts w:ascii="Times New Roman" w:eastAsia="Times New Roman" w:hAnsi="Times New Roman" w:cs="Times New Roman"/>
          <w:sz w:val="27"/>
          <w:szCs w:val="27"/>
          <w:lang w:val="ru-RU"/>
        </w:rPr>
        <w:t>.</w:t>
      </w:r>
    </w:p>
    <w:p w:rsidR="00DE77B0" w:rsidRPr="00C77CB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C77CB3">
        <w:rPr>
          <w:rFonts w:ascii="Times New Roman" w:eastAsia="Times New Roman" w:hAnsi="Times New Roman" w:cs="Times New Roman"/>
          <w:i/>
          <w:iCs/>
          <w:sz w:val="27"/>
          <w:szCs w:val="27"/>
          <w:lang w:val="ru-RU"/>
        </w:rPr>
        <w:t>Стаття</w:t>
      </w:r>
      <w:proofErr w:type="spellEnd"/>
      <w:r w:rsidR="00DE77B0" w:rsidRPr="00C77CB3">
        <w:rPr>
          <w:rFonts w:ascii="Times New Roman" w:eastAsia="Times New Roman" w:hAnsi="Times New Roman" w:cs="Times New Roman"/>
          <w:i/>
          <w:iCs/>
          <w:sz w:val="27"/>
          <w:szCs w:val="27"/>
          <w:lang w:val="ru-RU"/>
        </w:rPr>
        <w:t xml:space="preserve"> 87</w:t>
      </w:r>
    </w:p>
    <w:p w:rsidR="00DE77B0" w:rsidRPr="00C77CB3" w:rsidRDefault="00E210BB"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uk-UA"/>
        </w:rPr>
        <w:t>Зміни до Директиви</w:t>
      </w:r>
      <w:r w:rsidR="00DE77B0" w:rsidRPr="00C77CB3">
        <w:rPr>
          <w:rFonts w:ascii="Times New Roman" w:eastAsia="Times New Roman" w:hAnsi="Times New Roman" w:cs="Times New Roman"/>
          <w:b/>
          <w:bCs/>
          <w:sz w:val="27"/>
          <w:szCs w:val="27"/>
          <w:lang w:val="ru-RU"/>
        </w:rPr>
        <w:t xml:space="preserve"> 98/26/</w:t>
      </w:r>
      <w:r w:rsidR="00DE77B0" w:rsidRPr="006279CF">
        <w:rPr>
          <w:rFonts w:ascii="Times New Roman" w:eastAsia="Times New Roman" w:hAnsi="Times New Roman" w:cs="Times New Roman"/>
          <w:b/>
          <w:bCs/>
          <w:sz w:val="27"/>
          <w:szCs w:val="27"/>
        </w:rPr>
        <w:t>EC</w:t>
      </w:r>
    </w:p>
    <w:p w:rsidR="00DE77B0" w:rsidRPr="005C1106" w:rsidRDefault="00DE77B0" w:rsidP="00FE059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C77CB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FE0599">
        <w:rPr>
          <w:rFonts w:ascii="Times New Roman" w:eastAsia="Times New Roman" w:hAnsi="Times New Roman" w:cs="Times New Roman"/>
          <w:sz w:val="27"/>
          <w:szCs w:val="27"/>
          <w:lang w:val="uk-UA"/>
        </w:rPr>
        <w:t>Стаття 9(1) Директиви</w:t>
      </w:r>
      <w:r w:rsidRPr="005C1106">
        <w:rPr>
          <w:rFonts w:ascii="Times New Roman" w:eastAsia="Times New Roman" w:hAnsi="Times New Roman" w:cs="Times New Roman"/>
          <w:sz w:val="27"/>
          <w:szCs w:val="27"/>
          <w:lang w:val="ru-RU"/>
        </w:rPr>
        <w:t xml:space="preserve"> 98/26/</w:t>
      </w:r>
      <w:r w:rsidRPr="006279CF">
        <w:rPr>
          <w:rFonts w:ascii="Times New Roman" w:eastAsia="Times New Roman" w:hAnsi="Times New Roman" w:cs="Times New Roman"/>
          <w:sz w:val="27"/>
          <w:szCs w:val="27"/>
        </w:rPr>
        <w:t>EC</w:t>
      </w:r>
      <w:r w:rsidR="005C1106">
        <w:rPr>
          <w:rFonts w:ascii="Times New Roman" w:eastAsia="Times New Roman" w:hAnsi="Times New Roman" w:cs="Times New Roman"/>
          <w:sz w:val="27"/>
          <w:szCs w:val="27"/>
          <w:lang w:val="uk-UA"/>
        </w:rPr>
        <w:t xml:space="preserve"> доповнюється наступним </w:t>
      </w:r>
      <w:proofErr w:type="spellStart"/>
      <w:r w:rsidR="005C1106">
        <w:rPr>
          <w:rFonts w:ascii="Times New Roman" w:eastAsia="Times New Roman" w:hAnsi="Times New Roman" w:cs="Times New Roman"/>
          <w:sz w:val="27"/>
          <w:szCs w:val="27"/>
          <w:lang w:val="uk-UA"/>
        </w:rPr>
        <w:t>абзацем</w:t>
      </w:r>
      <w:proofErr w:type="spellEnd"/>
      <w:r w:rsidR="005C1106">
        <w:rPr>
          <w:rFonts w:ascii="Times New Roman" w:eastAsia="Times New Roman" w:hAnsi="Times New Roman" w:cs="Times New Roman"/>
          <w:sz w:val="27"/>
          <w:szCs w:val="27"/>
          <w:lang w:val="uk-UA"/>
        </w:rPr>
        <w:t>:</w:t>
      </w:r>
    </w:p>
    <w:p w:rsidR="00DE77B0" w:rsidRPr="00DC6693" w:rsidRDefault="005C1106" w:rsidP="00370F6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«Якщо оператор системи надав іншому операторові системи додаткове забезпечення у зв'язку з сумісністю систем, то на права оператора системи-надавача на це додаткове забезпечення не впливає провадження </w:t>
      </w:r>
      <w:r w:rsidR="00370F65">
        <w:rPr>
          <w:rFonts w:ascii="Times New Roman" w:eastAsia="Times New Roman" w:hAnsi="Times New Roman" w:cs="Times New Roman"/>
          <w:sz w:val="27"/>
          <w:szCs w:val="27"/>
          <w:lang w:val="uk-UA"/>
        </w:rPr>
        <w:t>щодо неспроможності оператора системи-одержувача».</w:t>
      </w:r>
    </w:p>
    <w:p w:rsidR="00DE77B0" w:rsidRPr="00DC6693" w:rsidRDefault="00DE77B0" w:rsidP="00A01818">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370F65">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370F65">
        <w:rPr>
          <w:rFonts w:ascii="Times New Roman" w:eastAsia="Times New Roman" w:hAnsi="Times New Roman" w:cs="Times New Roman"/>
          <w:sz w:val="27"/>
          <w:szCs w:val="27"/>
          <w:lang w:val="uk-UA"/>
        </w:rPr>
        <w:t xml:space="preserve">Держави-члени Союзу приймають і публікують закони, нормативні акти і адміністративні положення, необхідні для виконання пункту 1 до 17 серпня 2014 р. </w:t>
      </w:r>
      <w:r w:rsidR="00A01818">
        <w:rPr>
          <w:rFonts w:ascii="Times New Roman" w:eastAsia="Times New Roman" w:hAnsi="Times New Roman" w:cs="Times New Roman"/>
          <w:sz w:val="27"/>
          <w:szCs w:val="27"/>
          <w:lang w:val="uk-UA"/>
        </w:rPr>
        <w:t>Вони негайно інформують про це Комісію.</w:t>
      </w:r>
    </w:p>
    <w:p w:rsidR="00DE77B0" w:rsidRPr="00DC6693" w:rsidRDefault="00A01818" w:rsidP="0082630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lastRenderedPageBreak/>
        <w:t xml:space="preserve">Якщо держави-члени Союзу вживають цих заходів, </w:t>
      </w:r>
      <w:r w:rsidR="00826305">
        <w:rPr>
          <w:rFonts w:ascii="Times New Roman" w:eastAsia="Times New Roman" w:hAnsi="Times New Roman" w:cs="Times New Roman"/>
          <w:sz w:val="27"/>
          <w:szCs w:val="27"/>
          <w:lang w:val="uk-UA"/>
        </w:rPr>
        <w:t>то вищезгадані документи містять</w:t>
      </w:r>
      <w:r>
        <w:rPr>
          <w:rFonts w:ascii="Times New Roman" w:eastAsia="Times New Roman" w:hAnsi="Times New Roman" w:cs="Times New Roman"/>
          <w:sz w:val="27"/>
          <w:szCs w:val="27"/>
          <w:lang w:val="uk-UA"/>
        </w:rPr>
        <w:t xml:space="preserve"> посилання на Директиву</w:t>
      </w:r>
      <w:r w:rsidR="00826305">
        <w:rPr>
          <w:rFonts w:ascii="Times New Roman" w:eastAsia="Times New Roman" w:hAnsi="Times New Roman" w:cs="Times New Roman"/>
          <w:sz w:val="27"/>
          <w:szCs w:val="27"/>
          <w:lang w:val="uk-UA"/>
        </w:rPr>
        <w:t xml:space="preserve"> 98/26/ЕС або супроводжуються таким посиланням при їхній офіційній публікації. Методи наведення таких посилань установлюються державами-членами Союзу.</w:t>
      </w:r>
    </w:p>
    <w:p w:rsidR="00DE77B0" w:rsidRPr="00DC669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DC6693">
        <w:rPr>
          <w:rFonts w:ascii="Times New Roman" w:eastAsia="Times New Roman" w:hAnsi="Times New Roman" w:cs="Times New Roman"/>
          <w:i/>
          <w:iCs/>
          <w:sz w:val="27"/>
          <w:szCs w:val="27"/>
          <w:lang w:val="ru-RU"/>
        </w:rPr>
        <w:t>Стаття</w:t>
      </w:r>
      <w:proofErr w:type="spellEnd"/>
      <w:r w:rsidR="00DE77B0" w:rsidRPr="00DC6693">
        <w:rPr>
          <w:rFonts w:ascii="Times New Roman" w:eastAsia="Times New Roman" w:hAnsi="Times New Roman" w:cs="Times New Roman"/>
          <w:i/>
          <w:iCs/>
          <w:sz w:val="27"/>
          <w:szCs w:val="27"/>
          <w:lang w:val="ru-RU"/>
        </w:rPr>
        <w:t xml:space="preserve"> 88</w:t>
      </w:r>
    </w:p>
    <w:p w:rsidR="00DE77B0" w:rsidRPr="00E210BB" w:rsidRDefault="00E210BB"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Веб-сайти</w:t>
      </w:r>
    </w:p>
    <w:p w:rsidR="00DE77B0" w:rsidRPr="00DC6693" w:rsidRDefault="00DE77B0" w:rsidP="00826305">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DC669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ESMA</w:t>
      </w:r>
      <w:r w:rsidRPr="00826305">
        <w:rPr>
          <w:rFonts w:ascii="Times New Roman" w:eastAsia="Times New Roman" w:hAnsi="Times New Roman" w:cs="Times New Roman"/>
          <w:sz w:val="27"/>
          <w:szCs w:val="27"/>
          <w:lang w:val="ru-RU"/>
        </w:rPr>
        <w:t xml:space="preserve"> </w:t>
      </w:r>
      <w:r w:rsidR="00826305">
        <w:rPr>
          <w:rFonts w:ascii="Times New Roman" w:eastAsia="Times New Roman" w:hAnsi="Times New Roman" w:cs="Times New Roman"/>
          <w:sz w:val="27"/>
          <w:szCs w:val="27"/>
          <w:lang w:val="uk-UA"/>
        </w:rPr>
        <w:t>веде веб-сайт, на якому наводяться детальні відомості про наступне:</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1"/>
        <w:gridCol w:w="9054"/>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180318" w:rsidP="00180318">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контракти, що підпадають під дію зобов’язання щодо клірингу за статтею 5;</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0"/>
        <w:gridCol w:w="883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180318" w:rsidRDefault="00180318" w:rsidP="00180318">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санкції, накладені за порушення статей 4, 5 і 7-11;</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9A1CA9" w:rsidP="009A1CA9">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ЦКА, уповноважені надавати послуги або вести діяльність у Союзі, які створені у Союзі, та послуги й види діяльності, які вони уповноважені надавати та вести, включаючи класи фінансових інструментів, охоплені наданими їм повноваженнями;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4"/>
        <w:gridCol w:w="8811"/>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9A1CA9" w:rsidRDefault="009A1CA9" w:rsidP="009A1CA9">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санкції, накладені за порушення розділів</w:t>
            </w:r>
            <w:r w:rsidR="00DE77B0" w:rsidRPr="009A1CA9">
              <w:rPr>
                <w:rFonts w:ascii="Times New Roman" w:eastAsia="Times New Roman" w:hAnsi="Times New Roman" w:cs="Times New Roman"/>
                <w:sz w:val="27"/>
                <w:szCs w:val="27"/>
                <w:lang w:val="ru-RU"/>
              </w:rPr>
              <w:t xml:space="preserve"> </w:t>
            </w:r>
            <w:r w:rsidR="00DE77B0" w:rsidRPr="006279CF">
              <w:rPr>
                <w:rFonts w:ascii="Times New Roman" w:eastAsia="Times New Roman" w:hAnsi="Times New Roman" w:cs="Times New Roman"/>
                <w:sz w:val="27"/>
                <w:szCs w:val="27"/>
              </w:rPr>
              <w:t>IV</w:t>
            </w:r>
            <w:r w:rsidR="00DE77B0" w:rsidRPr="009A1CA9">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uk-UA"/>
              </w:rPr>
              <w:t>і</w:t>
            </w:r>
            <w:r w:rsidR="00DE77B0" w:rsidRPr="009A1CA9">
              <w:rPr>
                <w:rFonts w:ascii="Times New Roman" w:eastAsia="Times New Roman" w:hAnsi="Times New Roman" w:cs="Times New Roman"/>
                <w:sz w:val="27"/>
                <w:szCs w:val="27"/>
                <w:lang w:val="ru-RU"/>
              </w:rPr>
              <w:t xml:space="preserve"> </w:t>
            </w:r>
            <w:r w:rsidR="00DE77B0" w:rsidRPr="006279CF">
              <w:rPr>
                <w:rFonts w:ascii="Times New Roman" w:eastAsia="Times New Roman" w:hAnsi="Times New Roman" w:cs="Times New Roman"/>
                <w:sz w:val="27"/>
                <w:szCs w:val="27"/>
              </w:rPr>
              <w:t>V</w:t>
            </w:r>
            <w:r w:rsidR="00DE77B0" w:rsidRPr="009A1CA9">
              <w:rPr>
                <w:rFonts w:ascii="Times New Roman" w:eastAsia="Times New Roman" w:hAnsi="Times New Roman" w:cs="Times New Roman"/>
                <w:sz w:val="27"/>
                <w:szCs w:val="27"/>
                <w:lang w:val="ru-RU"/>
              </w:rPr>
              <w:t>;</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763E3E" w:rsidRPr="006279CF"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9A1CA9" w:rsidP="005A794C">
            <w:pPr>
              <w:spacing w:before="120" w:after="0" w:line="240" w:lineRule="auto"/>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 xml:space="preserve">ЦКА, уповноважені надавати послуги або вести діяльність у Союзі, які створені у </w:t>
            </w:r>
            <w:r w:rsidR="005A794C">
              <w:rPr>
                <w:rFonts w:ascii="Times New Roman" w:eastAsia="Times New Roman" w:hAnsi="Times New Roman" w:cs="Times New Roman"/>
                <w:sz w:val="27"/>
                <w:szCs w:val="27"/>
                <w:lang w:val="uk-UA"/>
              </w:rPr>
              <w:t>третій країні</w:t>
            </w:r>
            <w:r>
              <w:rPr>
                <w:rFonts w:ascii="Times New Roman" w:eastAsia="Times New Roman" w:hAnsi="Times New Roman" w:cs="Times New Roman"/>
                <w:sz w:val="27"/>
                <w:szCs w:val="27"/>
                <w:lang w:val="uk-UA"/>
              </w:rPr>
              <w:t>, та послуги й види діяльності, які вони уповноважені надавати та вести, включаючи класи фінансових інструментів, охоплені наданими їм повноваженнями;</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DC6693" w:rsidRDefault="005A794C" w:rsidP="005A794C">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торгові </w:t>
            </w:r>
            <w:proofErr w:type="spellStart"/>
            <w:r>
              <w:rPr>
                <w:rFonts w:ascii="Times New Roman" w:eastAsia="Times New Roman" w:hAnsi="Times New Roman" w:cs="Times New Roman"/>
                <w:sz w:val="27"/>
                <w:szCs w:val="27"/>
                <w:lang w:val="uk-UA"/>
              </w:rPr>
              <w:t>репозитарії</w:t>
            </w:r>
            <w:proofErr w:type="spellEnd"/>
            <w:r>
              <w:rPr>
                <w:rFonts w:ascii="Times New Roman" w:eastAsia="Times New Roman" w:hAnsi="Times New Roman" w:cs="Times New Roman"/>
                <w:sz w:val="27"/>
                <w:szCs w:val="27"/>
                <w:lang w:val="uk-UA"/>
              </w:rPr>
              <w:t>, уповноважені надавати послуги або вести діяльність у Союзі;</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DA7F31" w:rsidRDefault="005A794C" w:rsidP="00DA7F3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разові штрафи та періодичні штрафні платежі, накладені</w:t>
            </w:r>
            <w:r w:rsidR="00DE77B0" w:rsidRPr="00DA7F31">
              <w:rPr>
                <w:rFonts w:ascii="Times New Roman" w:eastAsia="Times New Roman" w:hAnsi="Times New Roman" w:cs="Times New Roman"/>
                <w:sz w:val="27"/>
                <w:szCs w:val="27"/>
                <w:lang w:val="ru-RU"/>
              </w:rPr>
              <w:t xml:space="preserve"> </w:t>
            </w:r>
            <w:proofErr w:type="spellStart"/>
            <w:r w:rsidR="001842E4" w:rsidRPr="00DA7F31">
              <w:rPr>
                <w:rFonts w:ascii="Times New Roman" w:eastAsia="Times New Roman" w:hAnsi="Times New Roman" w:cs="Times New Roman"/>
                <w:sz w:val="27"/>
                <w:szCs w:val="27"/>
                <w:lang w:val="ru-RU"/>
              </w:rPr>
              <w:t>відповідно</w:t>
            </w:r>
            <w:proofErr w:type="spellEnd"/>
            <w:r w:rsidR="001842E4" w:rsidRPr="00DA7F31">
              <w:rPr>
                <w:rFonts w:ascii="Times New Roman" w:eastAsia="Times New Roman" w:hAnsi="Times New Roman" w:cs="Times New Roman"/>
                <w:sz w:val="27"/>
                <w:szCs w:val="27"/>
                <w:lang w:val="ru-RU"/>
              </w:rPr>
              <w:t xml:space="preserve"> до </w:t>
            </w:r>
            <w:proofErr w:type="spellStart"/>
            <w:r w:rsidR="001842E4" w:rsidRPr="00DA7F31">
              <w:rPr>
                <w:rFonts w:ascii="Times New Roman" w:eastAsia="Times New Roman" w:hAnsi="Times New Roman" w:cs="Times New Roman"/>
                <w:sz w:val="27"/>
                <w:szCs w:val="27"/>
                <w:lang w:val="ru-RU"/>
              </w:rPr>
              <w:t>стат</w:t>
            </w:r>
            <w:proofErr w:type="spellEnd"/>
            <w:r>
              <w:rPr>
                <w:rFonts w:ascii="Times New Roman" w:eastAsia="Times New Roman" w:hAnsi="Times New Roman" w:cs="Times New Roman"/>
                <w:sz w:val="27"/>
                <w:szCs w:val="27"/>
                <w:lang w:val="uk-UA"/>
              </w:rPr>
              <w:t>ей</w:t>
            </w:r>
            <w:r w:rsidR="00DE77B0" w:rsidRPr="00DA7F31">
              <w:rPr>
                <w:rFonts w:ascii="Times New Roman" w:eastAsia="Times New Roman" w:hAnsi="Times New Roman" w:cs="Times New Roman"/>
                <w:sz w:val="27"/>
                <w:szCs w:val="27"/>
                <w:lang w:val="ru-RU"/>
              </w:rPr>
              <w:t xml:space="preserve"> 65 </w:t>
            </w:r>
            <w:r>
              <w:rPr>
                <w:rFonts w:ascii="Times New Roman" w:eastAsia="Times New Roman" w:hAnsi="Times New Roman" w:cs="Times New Roman"/>
                <w:sz w:val="27"/>
                <w:szCs w:val="27"/>
                <w:lang w:val="uk-UA"/>
              </w:rPr>
              <w:t>і</w:t>
            </w:r>
            <w:r w:rsidR="00DE77B0" w:rsidRPr="00DA7F31">
              <w:rPr>
                <w:rFonts w:ascii="Times New Roman" w:eastAsia="Times New Roman" w:hAnsi="Times New Roman" w:cs="Times New Roman"/>
                <w:sz w:val="27"/>
                <w:szCs w:val="27"/>
                <w:lang w:val="ru-RU"/>
              </w:rPr>
              <w:t xml:space="preserve"> 66;</w:t>
            </w:r>
          </w:p>
        </w:tc>
      </w:tr>
    </w:tbl>
    <w:p w:rsidR="00DE77B0" w:rsidRPr="006279CF" w:rsidRDefault="00DE77B0" w:rsidP="00187079">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17"/>
        <w:gridCol w:w="8648"/>
      </w:tblGrid>
      <w:tr w:rsidR="00763E3E" w:rsidRPr="00113714" w:rsidTr="00DE77B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6279CF" w:rsidRDefault="00DE77B0" w:rsidP="00187079">
            <w:pPr>
              <w:spacing w:before="120" w:after="0" w:line="240" w:lineRule="auto"/>
              <w:jc w:val="both"/>
              <w:textAlignment w:val="baseline"/>
              <w:rPr>
                <w:rFonts w:ascii="Times New Roman" w:eastAsia="Times New Roman" w:hAnsi="Times New Roman" w:cs="Times New Roman"/>
                <w:sz w:val="27"/>
                <w:szCs w:val="27"/>
              </w:rPr>
            </w:pPr>
            <w:r w:rsidRPr="006279CF">
              <w:rPr>
                <w:rFonts w:ascii="Times New Roman" w:eastAsia="Times New Roman" w:hAnsi="Times New Roman" w:cs="Times New Roman"/>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77B0" w:rsidRPr="00DA7F31" w:rsidRDefault="00DA7F31" w:rsidP="00DA7F31">
            <w:pPr>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відкритий реєстр, згаданий у статті 6</w:t>
            </w:r>
            <w:r w:rsidR="00DE77B0" w:rsidRPr="00DA7F31">
              <w:rPr>
                <w:rFonts w:ascii="Times New Roman" w:eastAsia="Times New Roman" w:hAnsi="Times New Roman" w:cs="Times New Roman"/>
                <w:sz w:val="27"/>
                <w:szCs w:val="27"/>
                <w:lang w:val="ru-RU"/>
              </w:rPr>
              <w:t>.</w:t>
            </w:r>
          </w:p>
        </w:tc>
      </w:tr>
    </w:tbl>
    <w:p w:rsidR="00DE77B0" w:rsidRPr="00CD62EE"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CD62EE">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DA7F31">
        <w:rPr>
          <w:rFonts w:ascii="Times New Roman" w:eastAsia="Times New Roman" w:hAnsi="Times New Roman" w:cs="Times New Roman"/>
          <w:sz w:val="27"/>
          <w:szCs w:val="27"/>
          <w:lang w:val="uk-UA"/>
        </w:rPr>
        <w:t xml:space="preserve">Для цілей </w:t>
      </w:r>
      <w:proofErr w:type="spellStart"/>
      <w:r w:rsidR="00DA7F31">
        <w:rPr>
          <w:rFonts w:ascii="Times New Roman" w:eastAsia="Times New Roman" w:hAnsi="Times New Roman" w:cs="Times New Roman"/>
          <w:sz w:val="27"/>
          <w:szCs w:val="27"/>
          <w:lang w:val="uk-UA"/>
        </w:rPr>
        <w:t>пп</w:t>
      </w:r>
      <w:proofErr w:type="spellEnd"/>
      <w:r w:rsidR="00DA7F31">
        <w:rPr>
          <w:rFonts w:ascii="Times New Roman" w:eastAsia="Times New Roman" w:hAnsi="Times New Roman" w:cs="Times New Roman"/>
          <w:sz w:val="27"/>
          <w:szCs w:val="27"/>
          <w:lang w:val="uk-UA"/>
        </w:rPr>
        <w:t>.</w:t>
      </w:r>
      <w:r w:rsidRPr="00CD62EE">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b</w:t>
      </w:r>
      <w:r w:rsidRPr="00CD62EE">
        <w:rPr>
          <w:rFonts w:ascii="Times New Roman" w:eastAsia="Times New Roman" w:hAnsi="Times New Roman" w:cs="Times New Roman"/>
          <w:sz w:val="27"/>
          <w:szCs w:val="27"/>
          <w:lang w:val="ru-RU"/>
        </w:rPr>
        <w:t>), (</w:t>
      </w:r>
      <w:r w:rsidRPr="006279CF">
        <w:rPr>
          <w:rFonts w:ascii="Times New Roman" w:eastAsia="Times New Roman" w:hAnsi="Times New Roman" w:cs="Times New Roman"/>
          <w:sz w:val="27"/>
          <w:szCs w:val="27"/>
        </w:rPr>
        <w:t>c</w:t>
      </w:r>
      <w:r w:rsidRPr="00CD62EE">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and</w:t>
      </w:r>
      <w:r w:rsidRPr="00CD62EE">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d</w:t>
      </w:r>
      <w:r w:rsidRPr="00CD62EE">
        <w:rPr>
          <w:rFonts w:ascii="Times New Roman" w:eastAsia="Times New Roman" w:hAnsi="Times New Roman" w:cs="Times New Roman"/>
          <w:sz w:val="27"/>
          <w:szCs w:val="27"/>
          <w:lang w:val="ru-RU"/>
        </w:rPr>
        <w:t xml:space="preserve">) </w:t>
      </w:r>
      <w:r w:rsidR="00DA7F31">
        <w:rPr>
          <w:rFonts w:ascii="Times New Roman" w:eastAsia="Times New Roman" w:hAnsi="Times New Roman" w:cs="Times New Roman"/>
          <w:sz w:val="27"/>
          <w:szCs w:val="27"/>
          <w:lang w:val="uk-UA"/>
        </w:rPr>
        <w:t xml:space="preserve">пункту 1 компетентні органи ведуть веб-сайти, які зв'язані з веб-сайтом </w:t>
      </w:r>
      <w:r w:rsidR="00DA7F31">
        <w:rPr>
          <w:rFonts w:ascii="Times New Roman" w:eastAsia="Times New Roman" w:hAnsi="Times New Roman" w:cs="Times New Roman"/>
          <w:sz w:val="27"/>
          <w:szCs w:val="27"/>
        </w:rPr>
        <w:t>ESMA</w:t>
      </w:r>
      <w:r w:rsidR="00DA7F31" w:rsidRPr="00CD62EE">
        <w:rPr>
          <w:rFonts w:ascii="Times New Roman" w:eastAsia="Times New Roman" w:hAnsi="Times New Roman" w:cs="Times New Roman"/>
          <w:sz w:val="27"/>
          <w:szCs w:val="27"/>
          <w:lang w:val="ru-RU"/>
        </w:rPr>
        <w:t>.</w:t>
      </w:r>
    </w:p>
    <w:p w:rsidR="00DE77B0" w:rsidRPr="00DC669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DC6693">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074AD4">
        <w:rPr>
          <w:rFonts w:ascii="Times New Roman" w:eastAsia="Times New Roman" w:hAnsi="Times New Roman" w:cs="Times New Roman"/>
          <w:sz w:val="27"/>
          <w:szCs w:val="27"/>
          <w:lang w:val="uk-UA"/>
        </w:rPr>
        <w:t>Усі веб-сайти, згадані у цій статті, є загальнодоступними, регулярно оновлюються та містять інформацію у зрозумілій формі.</w:t>
      </w:r>
    </w:p>
    <w:p w:rsidR="00DE77B0" w:rsidRPr="00DC669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DC6693">
        <w:rPr>
          <w:rFonts w:ascii="Times New Roman" w:eastAsia="Times New Roman" w:hAnsi="Times New Roman" w:cs="Times New Roman"/>
          <w:i/>
          <w:iCs/>
          <w:sz w:val="27"/>
          <w:szCs w:val="27"/>
          <w:lang w:val="ru-RU"/>
        </w:rPr>
        <w:t>Стаття</w:t>
      </w:r>
      <w:proofErr w:type="spellEnd"/>
      <w:r w:rsidR="00DE77B0" w:rsidRPr="00DC6693">
        <w:rPr>
          <w:rFonts w:ascii="Times New Roman" w:eastAsia="Times New Roman" w:hAnsi="Times New Roman" w:cs="Times New Roman"/>
          <w:i/>
          <w:iCs/>
          <w:sz w:val="27"/>
          <w:szCs w:val="27"/>
          <w:lang w:val="ru-RU"/>
        </w:rPr>
        <w:t xml:space="preserve"> 89</w:t>
      </w:r>
    </w:p>
    <w:p w:rsidR="00DE77B0" w:rsidRPr="00E210BB" w:rsidRDefault="00E210BB"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Перехідні положення</w:t>
      </w:r>
    </w:p>
    <w:p w:rsidR="00DE77B0" w:rsidRPr="00DC6693" w:rsidRDefault="00DE77B0" w:rsidP="007A3FD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DC6693">
        <w:rPr>
          <w:rFonts w:ascii="Times New Roman" w:eastAsia="Times New Roman" w:hAnsi="Times New Roman" w:cs="Times New Roman"/>
          <w:sz w:val="27"/>
          <w:szCs w:val="27"/>
          <w:lang w:val="ru-RU"/>
        </w:rPr>
        <w:t>1.</w:t>
      </w:r>
      <w:r w:rsidRPr="006279CF">
        <w:rPr>
          <w:rFonts w:ascii="Times New Roman" w:eastAsia="Times New Roman" w:hAnsi="Times New Roman" w:cs="Times New Roman"/>
          <w:sz w:val="27"/>
          <w:szCs w:val="27"/>
        </w:rPr>
        <w:t>   </w:t>
      </w:r>
      <w:r w:rsidR="00074AD4">
        <w:rPr>
          <w:rFonts w:ascii="Times New Roman" w:eastAsia="Times New Roman" w:hAnsi="Times New Roman" w:cs="Times New Roman"/>
          <w:sz w:val="27"/>
          <w:szCs w:val="27"/>
          <w:lang w:val="uk-UA"/>
        </w:rPr>
        <w:t xml:space="preserve">Упродовж трьох років після набрання чинності цим регламентом зобов’язання щодо клірингу, встановлене у статті 4, не поширюється на </w:t>
      </w:r>
      <w:r w:rsidR="00074AD4">
        <w:rPr>
          <w:rFonts w:ascii="Times New Roman" w:eastAsia="Times New Roman" w:hAnsi="Times New Roman" w:cs="Times New Roman"/>
          <w:sz w:val="27"/>
          <w:szCs w:val="27"/>
          <w:lang w:val="uk-UA"/>
        </w:rPr>
        <w:lastRenderedPageBreak/>
        <w:t xml:space="preserve">контракти на позабіржові деривативи, які є </w:t>
      </w:r>
      <w:r w:rsidR="00F40035">
        <w:rPr>
          <w:rFonts w:ascii="Times New Roman" w:eastAsia="Times New Roman" w:hAnsi="Times New Roman" w:cs="Times New Roman"/>
          <w:sz w:val="27"/>
          <w:szCs w:val="27"/>
          <w:lang w:val="uk-UA"/>
        </w:rPr>
        <w:t>об’єктивно</w:t>
      </w:r>
      <w:r w:rsidR="00074AD4">
        <w:rPr>
          <w:rFonts w:ascii="Times New Roman" w:eastAsia="Times New Roman" w:hAnsi="Times New Roman" w:cs="Times New Roman"/>
          <w:sz w:val="27"/>
          <w:szCs w:val="27"/>
          <w:lang w:val="uk-UA"/>
        </w:rPr>
        <w:t xml:space="preserve"> </w:t>
      </w:r>
      <w:r w:rsidR="00F40035">
        <w:rPr>
          <w:rFonts w:ascii="Times New Roman" w:eastAsia="Times New Roman" w:hAnsi="Times New Roman" w:cs="Times New Roman"/>
          <w:sz w:val="27"/>
          <w:szCs w:val="27"/>
          <w:lang w:val="uk-UA"/>
        </w:rPr>
        <w:t xml:space="preserve">вимірними як такі, що зменшують інвестиційні ризик, безпосередньо пов'язані з фінансовою спроможністю </w:t>
      </w:r>
      <w:r w:rsidR="007A3FDD">
        <w:rPr>
          <w:rFonts w:ascii="Times New Roman" w:eastAsia="Times New Roman" w:hAnsi="Times New Roman" w:cs="Times New Roman"/>
          <w:sz w:val="27"/>
          <w:szCs w:val="27"/>
          <w:lang w:val="uk-UA"/>
        </w:rPr>
        <w:t>механізмів пенсійного забезпечення</w:t>
      </w:r>
      <w:r w:rsidR="00F40035">
        <w:rPr>
          <w:rFonts w:ascii="Times New Roman" w:eastAsia="Times New Roman" w:hAnsi="Times New Roman" w:cs="Times New Roman"/>
          <w:sz w:val="27"/>
          <w:szCs w:val="27"/>
          <w:lang w:val="uk-UA"/>
        </w:rPr>
        <w:t>, визначених у статті 2(10). Вищезгаданий перехідний період застосовується також до суб’єкт</w:t>
      </w:r>
      <w:r w:rsidR="007A3FDD">
        <w:rPr>
          <w:rFonts w:ascii="Times New Roman" w:eastAsia="Times New Roman" w:hAnsi="Times New Roman" w:cs="Times New Roman"/>
          <w:sz w:val="27"/>
          <w:szCs w:val="27"/>
          <w:lang w:val="uk-UA"/>
        </w:rPr>
        <w:t>ів, створених із метою надання компенсації учасникам механізмів пенсійного забезпечення у випадку неплатоспроможності.</w:t>
      </w:r>
    </w:p>
    <w:p w:rsidR="00DE77B0" w:rsidRPr="00DC6693" w:rsidRDefault="007A3FDD" w:rsidP="007A3FDD">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Ті контракти на позабіржові деривативи, які в іншому випадку підпадали б під дію зобов’язання щодо клірингу за статтею 4, укладені цими суб’єктами за вищезгаданий період, підпадають під дію вимог, викладених у статті 11.</w:t>
      </w:r>
    </w:p>
    <w:p w:rsidR="008C275A" w:rsidRPr="008909EF" w:rsidRDefault="00DE77B0" w:rsidP="008C275A">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2E54C8">
        <w:rPr>
          <w:rFonts w:ascii="Times New Roman" w:eastAsia="Times New Roman" w:hAnsi="Times New Roman" w:cs="Times New Roman"/>
          <w:sz w:val="27"/>
          <w:szCs w:val="27"/>
          <w:lang w:val="ru-RU"/>
        </w:rPr>
        <w:t>2.</w:t>
      </w:r>
      <w:r w:rsidRPr="006279CF">
        <w:rPr>
          <w:rFonts w:ascii="Times New Roman" w:eastAsia="Times New Roman" w:hAnsi="Times New Roman" w:cs="Times New Roman"/>
          <w:sz w:val="27"/>
          <w:szCs w:val="27"/>
        </w:rPr>
        <w:t>   </w:t>
      </w:r>
      <w:r w:rsidR="008A0D20">
        <w:rPr>
          <w:rFonts w:ascii="Times New Roman" w:eastAsia="Times New Roman" w:hAnsi="Times New Roman" w:cs="Times New Roman"/>
          <w:sz w:val="27"/>
          <w:szCs w:val="27"/>
          <w:lang w:val="uk-UA"/>
        </w:rPr>
        <w:t>По відношенню до механізмів пенсійного забезпечення, згаданих у статті</w:t>
      </w:r>
      <w:r w:rsidRPr="002E54C8">
        <w:rPr>
          <w:rFonts w:ascii="Times New Roman" w:eastAsia="Times New Roman" w:hAnsi="Times New Roman" w:cs="Times New Roman"/>
          <w:sz w:val="27"/>
          <w:szCs w:val="27"/>
          <w:lang w:val="ru-RU"/>
        </w:rPr>
        <w:t xml:space="preserve"> 2(10)(</w:t>
      </w:r>
      <w:r w:rsidRPr="006279CF">
        <w:rPr>
          <w:rFonts w:ascii="Times New Roman" w:eastAsia="Times New Roman" w:hAnsi="Times New Roman" w:cs="Times New Roman"/>
          <w:sz w:val="27"/>
          <w:szCs w:val="27"/>
        </w:rPr>
        <w:t>c</w:t>
      </w:r>
      <w:r w:rsidRPr="002E54C8">
        <w:rPr>
          <w:rFonts w:ascii="Times New Roman" w:eastAsia="Times New Roman" w:hAnsi="Times New Roman" w:cs="Times New Roman"/>
          <w:sz w:val="27"/>
          <w:szCs w:val="27"/>
          <w:lang w:val="ru-RU"/>
        </w:rPr>
        <w:t xml:space="preserve">) </w:t>
      </w:r>
      <w:r w:rsidR="008A0D20">
        <w:rPr>
          <w:rFonts w:ascii="Times New Roman" w:eastAsia="Times New Roman" w:hAnsi="Times New Roman" w:cs="Times New Roman"/>
          <w:sz w:val="27"/>
          <w:szCs w:val="27"/>
          <w:lang w:val="uk-UA"/>
        </w:rPr>
        <w:t>і</w:t>
      </w:r>
      <w:r w:rsidRPr="002E54C8">
        <w:rPr>
          <w:rFonts w:ascii="Times New Roman" w:eastAsia="Times New Roman" w:hAnsi="Times New Roman" w:cs="Times New Roman"/>
          <w:sz w:val="27"/>
          <w:szCs w:val="27"/>
          <w:lang w:val="ru-RU"/>
        </w:rPr>
        <w:t xml:space="preserve"> (</w:t>
      </w:r>
      <w:r w:rsidRPr="006279CF">
        <w:rPr>
          <w:rFonts w:ascii="Times New Roman" w:eastAsia="Times New Roman" w:hAnsi="Times New Roman" w:cs="Times New Roman"/>
          <w:sz w:val="27"/>
          <w:szCs w:val="27"/>
        </w:rPr>
        <w:t>d</w:t>
      </w:r>
      <w:r w:rsidRPr="002E54C8">
        <w:rPr>
          <w:rFonts w:ascii="Times New Roman" w:eastAsia="Times New Roman" w:hAnsi="Times New Roman" w:cs="Times New Roman"/>
          <w:sz w:val="27"/>
          <w:szCs w:val="27"/>
          <w:lang w:val="ru-RU"/>
        </w:rPr>
        <w:t>)</w:t>
      </w:r>
      <w:r w:rsidR="008A0D20" w:rsidRPr="002E54C8">
        <w:rPr>
          <w:rFonts w:ascii="Times New Roman" w:eastAsia="Times New Roman" w:hAnsi="Times New Roman" w:cs="Times New Roman"/>
          <w:sz w:val="27"/>
          <w:szCs w:val="27"/>
          <w:lang w:val="ru-RU"/>
        </w:rPr>
        <w:t xml:space="preserve">, </w:t>
      </w:r>
      <w:r w:rsidR="008A0D20">
        <w:rPr>
          <w:rFonts w:ascii="Times New Roman" w:eastAsia="Times New Roman" w:hAnsi="Times New Roman" w:cs="Times New Roman"/>
          <w:sz w:val="27"/>
          <w:szCs w:val="27"/>
          <w:lang w:val="uk-UA"/>
        </w:rPr>
        <w:t xml:space="preserve">звільнення, згадане у пункті 1 цієї статті, надається відповідним компетентним органом </w:t>
      </w:r>
      <w:r w:rsidR="008C275A">
        <w:rPr>
          <w:rFonts w:ascii="Times New Roman" w:eastAsia="Times New Roman" w:hAnsi="Times New Roman" w:cs="Times New Roman"/>
          <w:sz w:val="27"/>
          <w:szCs w:val="27"/>
          <w:lang w:val="uk-UA"/>
        </w:rPr>
        <w:t xml:space="preserve">по типах суб’єктів або по типах механізмів. Після отримання запиту компетентний орган повідомляє </w:t>
      </w:r>
      <w:r w:rsidRPr="006279CF">
        <w:rPr>
          <w:rFonts w:ascii="Times New Roman" w:eastAsia="Times New Roman" w:hAnsi="Times New Roman" w:cs="Times New Roman"/>
          <w:sz w:val="27"/>
          <w:szCs w:val="27"/>
        </w:rPr>
        <w:t>ESMA</w:t>
      </w:r>
      <w:r w:rsidRPr="00DC6693">
        <w:rPr>
          <w:rFonts w:ascii="Times New Roman" w:eastAsia="Times New Roman" w:hAnsi="Times New Roman" w:cs="Times New Roman"/>
          <w:sz w:val="27"/>
          <w:szCs w:val="27"/>
          <w:lang w:val="uk-UA"/>
        </w:rPr>
        <w:t xml:space="preserve"> </w:t>
      </w:r>
      <w:r w:rsidR="008C275A">
        <w:rPr>
          <w:rFonts w:ascii="Times New Roman" w:eastAsia="Times New Roman" w:hAnsi="Times New Roman" w:cs="Times New Roman"/>
          <w:sz w:val="27"/>
          <w:szCs w:val="27"/>
          <w:lang w:val="uk-UA"/>
        </w:rPr>
        <w:t>та</w:t>
      </w:r>
      <w:r w:rsidRPr="00DC6693">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EIOPA</w:t>
      </w:r>
      <w:r w:rsidRPr="00DC6693">
        <w:rPr>
          <w:rFonts w:ascii="Times New Roman" w:eastAsia="Times New Roman" w:hAnsi="Times New Roman" w:cs="Times New Roman"/>
          <w:sz w:val="27"/>
          <w:szCs w:val="27"/>
          <w:lang w:val="uk-UA"/>
        </w:rPr>
        <w:t xml:space="preserve">. </w:t>
      </w:r>
      <w:r w:rsidR="008C275A">
        <w:rPr>
          <w:rFonts w:ascii="Times New Roman" w:eastAsia="Times New Roman" w:hAnsi="Times New Roman" w:cs="Times New Roman"/>
          <w:sz w:val="27"/>
          <w:szCs w:val="27"/>
          <w:lang w:val="uk-UA"/>
        </w:rPr>
        <w:t xml:space="preserve">Упродовж 30 календарних днів з дня отримання повідомлення </w:t>
      </w:r>
      <w:r w:rsidR="008C275A">
        <w:rPr>
          <w:rFonts w:ascii="Times New Roman" w:eastAsia="Times New Roman" w:hAnsi="Times New Roman" w:cs="Times New Roman"/>
          <w:sz w:val="27"/>
          <w:szCs w:val="27"/>
        </w:rPr>
        <w:t>ESMA</w:t>
      </w:r>
      <w:r w:rsidR="008C275A">
        <w:rPr>
          <w:rFonts w:ascii="Times New Roman" w:eastAsia="Times New Roman" w:hAnsi="Times New Roman" w:cs="Times New Roman"/>
          <w:sz w:val="27"/>
          <w:szCs w:val="27"/>
          <w:lang w:val="uk-UA"/>
        </w:rPr>
        <w:t>, провівши консультації з ЕІОРА, видає висновок з оцінкою відповідності типу суб’єктів або типу механізмів статті</w:t>
      </w:r>
      <w:r w:rsidRPr="00DC6693">
        <w:rPr>
          <w:rFonts w:ascii="Times New Roman" w:eastAsia="Times New Roman" w:hAnsi="Times New Roman" w:cs="Times New Roman"/>
          <w:sz w:val="27"/>
          <w:szCs w:val="27"/>
          <w:lang w:val="uk-UA"/>
        </w:rPr>
        <w:t xml:space="preserve"> 2(10)(</w:t>
      </w:r>
      <w:r w:rsidRPr="006279CF">
        <w:rPr>
          <w:rFonts w:ascii="Times New Roman" w:eastAsia="Times New Roman" w:hAnsi="Times New Roman" w:cs="Times New Roman"/>
          <w:sz w:val="27"/>
          <w:szCs w:val="27"/>
        </w:rPr>
        <w:t>c</w:t>
      </w:r>
      <w:r w:rsidRPr="00DC6693">
        <w:rPr>
          <w:rFonts w:ascii="Times New Roman" w:eastAsia="Times New Roman" w:hAnsi="Times New Roman" w:cs="Times New Roman"/>
          <w:sz w:val="27"/>
          <w:szCs w:val="27"/>
          <w:lang w:val="uk-UA"/>
        </w:rPr>
        <w:t xml:space="preserve">) </w:t>
      </w:r>
      <w:r w:rsidR="008C275A">
        <w:rPr>
          <w:rFonts w:ascii="Times New Roman" w:eastAsia="Times New Roman" w:hAnsi="Times New Roman" w:cs="Times New Roman"/>
          <w:sz w:val="27"/>
          <w:szCs w:val="27"/>
          <w:lang w:val="uk-UA"/>
        </w:rPr>
        <w:t>або</w:t>
      </w:r>
      <w:r w:rsidRPr="00DC6693">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d</w:t>
      </w:r>
      <w:r w:rsidR="008C275A" w:rsidRPr="00DC6693">
        <w:rPr>
          <w:rFonts w:ascii="Times New Roman" w:eastAsia="Times New Roman" w:hAnsi="Times New Roman" w:cs="Times New Roman"/>
          <w:sz w:val="27"/>
          <w:szCs w:val="27"/>
          <w:lang w:val="uk-UA"/>
        </w:rPr>
        <w:t xml:space="preserve">), </w:t>
      </w:r>
      <w:r w:rsidR="008C275A">
        <w:rPr>
          <w:rFonts w:ascii="Times New Roman" w:eastAsia="Times New Roman" w:hAnsi="Times New Roman" w:cs="Times New Roman"/>
          <w:sz w:val="27"/>
          <w:szCs w:val="27"/>
          <w:lang w:val="uk-UA"/>
        </w:rPr>
        <w:t>а також із зазначенням причин того, чому звільнення є виправданим через складнощі з виконанням вимог до варіаційної маржі. Компетентний орган надає звільнення тільки у тому випадку, якщо він повністю переконаний у тому, що тип суб’єктів або тип механізмів відповідає статті</w:t>
      </w:r>
      <w:r w:rsidRPr="008C275A">
        <w:rPr>
          <w:rFonts w:ascii="Times New Roman" w:eastAsia="Times New Roman" w:hAnsi="Times New Roman" w:cs="Times New Roman"/>
          <w:sz w:val="27"/>
          <w:szCs w:val="27"/>
          <w:lang w:val="uk-UA"/>
        </w:rPr>
        <w:t xml:space="preserve"> 2(10)(</w:t>
      </w:r>
      <w:r w:rsidRPr="006279CF">
        <w:rPr>
          <w:rFonts w:ascii="Times New Roman" w:eastAsia="Times New Roman" w:hAnsi="Times New Roman" w:cs="Times New Roman"/>
          <w:sz w:val="27"/>
          <w:szCs w:val="27"/>
        </w:rPr>
        <w:t>c</w:t>
      </w:r>
      <w:r w:rsidRPr="008C275A">
        <w:rPr>
          <w:rFonts w:ascii="Times New Roman" w:eastAsia="Times New Roman" w:hAnsi="Times New Roman" w:cs="Times New Roman"/>
          <w:sz w:val="27"/>
          <w:szCs w:val="27"/>
          <w:lang w:val="uk-UA"/>
        </w:rPr>
        <w:t xml:space="preserve">) </w:t>
      </w:r>
      <w:r w:rsidR="008C275A">
        <w:rPr>
          <w:rFonts w:ascii="Times New Roman" w:eastAsia="Times New Roman" w:hAnsi="Times New Roman" w:cs="Times New Roman"/>
          <w:sz w:val="27"/>
          <w:szCs w:val="27"/>
          <w:lang w:val="uk-UA"/>
        </w:rPr>
        <w:t>або</w:t>
      </w:r>
      <w:r w:rsidRPr="008C275A">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d</w:t>
      </w:r>
      <w:r w:rsidRPr="008C275A">
        <w:rPr>
          <w:rFonts w:ascii="Times New Roman" w:eastAsia="Times New Roman" w:hAnsi="Times New Roman" w:cs="Times New Roman"/>
          <w:sz w:val="27"/>
          <w:szCs w:val="27"/>
          <w:lang w:val="uk-UA"/>
        </w:rPr>
        <w:t xml:space="preserve">) </w:t>
      </w:r>
      <w:r w:rsidR="008C275A">
        <w:rPr>
          <w:rFonts w:ascii="Times New Roman" w:eastAsia="Times New Roman" w:hAnsi="Times New Roman" w:cs="Times New Roman"/>
          <w:sz w:val="27"/>
          <w:szCs w:val="27"/>
          <w:lang w:val="uk-UA"/>
        </w:rPr>
        <w:t xml:space="preserve">і що вони стикаються з труднощами у виконанні вимог до варіаційної маржі. </w:t>
      </w:r>
      <w:proofErr w:type="spellStart"/>
      <w:r w:rsidR="00812EED" w:rsidRPr="008C275A">
        <w:rPr>
          <w:rFonts w:ascii="Times New Roman" w:eastAsia="Times New Roman" w:hAnsi="Times New Roman" w:cs="Times New Roman"/>
          <w:sz w:val="27"/>
          <w:szCs w:val="27"/>
          <w:lang w:val="ru-RU"/>
        </w:rPr>
        <w:t>Компетентний</w:t>
      </w:r>
      <w:proofErr w:type="spellEnd"/>
      <w:r w:rsidR="00812EED" w:rsidRPr="008C275A">
        <w:rPr>
          <w:rFonts w:ascii="Times New Roman" w:eastAsia="Times New Roman" w:hAnsi="Times New Roman" w:cs="Times New Roman"/>
          <w:sz w:val="27"/>
          <w:szCs w:val="27"/>
          <w:lang w:val="ru-RU"/>
        </w:rPr>
        <w:t xml:space="preserve"> орган</w:t>
      </w:r>
      <w:r w:rsidRPr="008C275A">
        <w:rPr>
          <w:rFonts w:ascii="Times New Roman" w:eastAsia="Times New Roman" w:hAnsi="Times New Roman" w:cs="Times New Roman"/>
          <w:sz w:val="27"/>
          <w:szCs w:val="27"/>
          <w:lang w:val="ru-RU"/>
        </w:rPr>
        <w:t xml:space="preserve"> </w:t>
      </w:r>
      <w:r w:rsidR="008C275A">
        <w:rPr>
          <w:rFonts w:ascii="Times New Roman" w:eastAsia="Times New Roman" w:hAnsi="Times New Roman" w:cs="Times New Roman"/>
          <w:sz w:val="27"/>
          <w:szCs w:val="27"/>
          <w:lang w:val="uk-UA"/>
        </w:rPr>
        <w:t xml:space="preserve">ухвалює рішення впродовж десяти робочих днів з дня отримання висновку </w:t>
      </w:r>
      <w:r w:rsidR="008C275A">
        <w:rPr>
          <w:rFonts w:ascii="Times New Roman" w:eastAsia="Times New Roman" w:hAnsi="Times New Roman" w:cs="Times New Roman"/>
          <w:sz w:val="27"/>
          <w:szCs w:val="27"/>
        </w:rPr>
        <w:t>ESMA</w:t>
      </w:r>
      <w:r w:rsidR="008C275A">
        <w:rPr>
          <w:rFonts w:ascii="Times New Roman" w:eastAsia="Times New Roman" w:hAnsi="Times New Roman" w:cs="Times New Roman"/>
          <w:sz w:val="27"/>
          <w:szCs w:val="27"/>
          <w:lang w:val="uk-UA"/>
        </w:rPr>
        <w:t>, враховуючи цей висновок.</w:t>
      </w:r>
      <w:r w:rsidR="008909EF">
        <w:rPr>
          <w:rFonts w:ascii="Times New Roman" w:eastAsia="Times New Roman" w:hAnsi="Times New Roman" w:cs="Times New Roman"/>
          <w:sz w:val="27"/>
          <w:szCs w:val="27"/>
          <w:lang w:val="uk-UA"/>
        </w:rPr>
        <w:t xml:space="preserve"> Якщо компетентний орган не погоджується з висновком </w:t>
      </w:r>
      <w:r w:rsidR="008909EF">
        <w:rPr>
          <w:rFonts w:ascii="Times New Roman" w:eastAsia="Times New Roman" w:hAnsi="Times New Roman" w:cs="Times New Roman"/>
          <w:sz w:val="27"/>
          <w:szCs w:val="27"/>
        </w:rPr>
        <w:t>ESMA</w:t>
      </w:r>
      <w:r w:rsidR="008909EF">
        <w:rPr>
          <w:rFonts w:ascii="Times New Roman" w:eastAsia="Times New Roman" w:hAnsi="Times New Roman" w:cs="Times New Roman"/>
          <w:sz w:val="27"/>
          <w:szCs w:val="27"/>
          <w:lang w:val="uk-UA"/>
        </w:rPr>
        <w:t>, він зазначає у своєму рішенні всі причини й пояснює всі значні розбіжності з цим висновком.</w:t>
      </w:r>
    </w:p>
    <w:p w:rsidR="00DE77B0" w:rsidRPr="00273752" w:rsidRDefault="00DE77B0" w:rsidP="008E1760">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t>ESMA</w:t>
      </w:r>
      <w:r w:rsidRPr="008E1760">
        <w:rPr>
          <w:rFonts w:ascii="Times New Roman" w:eastAsia="Times New Roman" w:hAnsi="Times New Roman" w:cs="Times New Roman"/>
          <w:sz w:val="27"/>
          <w:szCs w:val="27"/>
          <w:lang w:val="uk-UA"/>
        </w:rPr>
        <w:t xml:space="preserve"> </w:t>
      </w:r>
      <w:r w:rsidR="008E1760">
        <w:rPr>
          <w:rFonts w:ascii="Times New Roman" w:eastAsia="Times New Roman" w:hAnsi="Times New Roman" w:cs="Times New Roman"/>
          <w:sz w:val="27"/>
          <w:szCs w:val="27"/>
          <w:lang w:val="uk-UA"/>
        </w:rPr>
        <w:t xml:space="preserve">публікує на своєму веб-сайті перелік типів суб’єктів і типів механізмів, згаданих у </w:t>
      </w:r>
      <w:r w:rsidR="00812EED" w:rsidRPr="008E1760">
        <w:rPr>
          <w:rFonts w:ascii="Times New Roman" w:eastAsia="Times New Roman" w:hAnsi="Times New Roman" w:cs="Times New Roman"/>
          <w:sz w:val="27"/>
          <w:szCs w:val="27"/>
          <w:lang w:val="uk-UA"/>
        </w:rPr>
        <w:t>статті</w:t>
      </w:r>
      <w:r w:rsidRPr="008E1760">
        <w:rPr>
          <w:rFonts w:ascii="Times New Roman" w:eastAsia="Times New Roman" w:hAnsi="Times New Roman" w:cs="Times New Roman"/>
          <w:sz w:val="27"/>
          <w:szCs w:val="27"/>
          <w:lang w:val="uk-UA"/>
        </w:rPr>
        <w:t xml:space="preserve"> 2(10)(</w:t>
      </w:r>
      <w:r w:rsidRPr="006279CF">
        <w:rPr>
          <w:rFonts w:ascii="Times New Roman" w:eastAsia="Times New Roman" w:hAnsi="Times New Roman" w:cs="Times New Roman"/>
          <w:sz w:val="27"/>
          <w:szCs w:val="27"/>
        </w:rPr>
        <w:t>c</w:t>
      </w:r>
      <w:r w:rsidRPr="008E1760">
        <w:rPr>
          <w:rFonts w:ascii="Times New Roman" w:eastAsia="Times New Roman" w:hAnsi="Times New Roman" w:cs="Times New Roman"/>
          <w:sz w:val="27"/>
          <w:szCs w:val="27"/>
          <w:lang w:val="uk-UA"/>
        </w:rPr>
        <w:t xml:space="preserve">) </w:t>
      </w:r>
      <w:r w:rsidR="008E1760">
        <w:rPr>
          <w:rFonts w:ascii="Times New Roman" w:eastAsia="Times New Roman" w:hAnsi="Times New Roman" w:cs="Times New Roman"/>
          <w:sz w:val="27"/>
          <w:szCs w:val="27"/>
          <w:lang w:val="uk-UA"/>
        </w:rPr>
        <w:t>і</w:t>
      </w:r>
      <w:r w:rsidRPr="008E1760">
        <w:rPr>
          <w:rFonts w:ascii="Times New Roman" w:eastAsia="Times New Roman" w:hAnsi="Times New Roman" w:cs="Times New Roman"/>
          <w:sz w:val="27"/>
          <w:szCs w:val="27"/>
          <w:lang w:val="uk-UA"/>
        </w:rPr>
        <w:t xml:space="preserve"> (</w:t>
      </w:r>
      <w:r w:rsidRPr="006279CF">
        <w:rPr>
          <w:rFonts w:ascii="Times New Roman" w:eastAsia="Times New Roman" w:hAnsi="Times New Roman" w:cs="Times New Roman"/>
          <w:sz w:val="27"/>
          <w:szCs w:val="27"/>
        </w:rPr>
        <w:t>d</w:t>
      </w:r>
      <w:r w:rsidRPr="008E1760">
        <w:rPr>
          <w:rFonts w:ascii="Times New Roman" w:eastAsia="Times New Roman" w:hAnsi="Times New Roman" w:cs="Times New Roman"/>
          <w:sz w:val="27"/>
          <w:szCs w:val="27"/>
          <w:lang w:val="uk-UA"/>
        </w:rPr>
        <w:t>)</w:t>
      </w:r>
      <w:r w:rsidR="008E1760">
        <w:rPr>
          <w:rFonts w:ascii="Times New Roman" w:eastAsia="Times New Roman" w:hAnsi="Times New Roman" w:cs="Times New Roman"/>
          <w:sz w:val="27"/>
          <w:szCs w:val="27"/>
          <w:lang w:val="uk-UA"/>
        </w:rPr>
        <w:t xml:space="preserve">, яким надано звільнення відповідно до першого абзацу. </w:t>
      </w:r>
      <w:r w:rsidR="00273752">
        <w:rPr>
          <w:rFonts w:ascii="Times New Roman" w:eastAsia="Times New Roman" w:hAnsi="Times New Roman" w:cs="Times New Roman"/>
          <w:sz w:val="27"/>
          <w:szCs w:val="27"/>
          <w:lang w:val="uk-UA"/>
        </w:rPr>
        <w:t>З метою подальшого посилення узгодженості результатів нагляду</w:t>
      </w:r>
      <w:r w:rsidR="00273752" w:rsidRPr="00273752">
        <w:rPr>
          <w:rFonts w:ascii="Times New Roman" w:eastAsia="Times New Roman" w:hAnsi="Times New Roman" w:cs="Times New Roman"/>
          <w:sz w:val="27"/>
          <w:szCs w:val="27"/>
          <w:lang w:val="ru-RU"/>
        </w:rPr>
        <w:t xml:space="preserve"> </w:t>
      </w:r>
      <w:r w:rsidR="00273752">
        <w:rPr>
          <w:rFonts w:ascii="Times New Roman" w:eastAsia="Times New Roman" w:hAnsi="Times New Roman" w:cs="Times New Roman"/>
          <w:sz w:val="27"/>
          <w:szCs w:val="27"/>
        </w:rPr>
        <w:t>ESMA</w:t>
      </w:r>
      <w:r w:rsidR="00273752">
        <w:rPr>
          <w:rFonts w:ascii="Times New Roman" w:eastAsia="Times New Roman" w:hAnsi="Times New Roman" w:cs="Times New Roman"/>
          <w:sz w:val="27"/>
          <w:szCs w:val="27"/>
          <w:lang w:val="uk-UA"/>
        </w:rPr>
        <w:t xml:space="preserve"> щорічно проводить експертизу суб’єктів, включених до переліку, відповідно до</w:t>
      </w:r>
      <w:r w:rsidR="001842E4" w:rsidRPr="00273752">
        <w:rPr>
          <w:rFonts w:ascii="Times New Roman" w:eastAsia="Times New Roman" w:hAnsi="Times New Roman" w:cs="Times New Roman"/>
          <w:sz w:val="27"/>
          <w:szCs w:val="27"/>
          <w:lang w:val="ru-RU"/>
        </w:rPr>
        <w:t xml:space="preserve"> </w:t>
      </w:r>
      <w:proofErr w:type="spellStart"/>
      <w:r w:rsidR="001842E4" w:rsidRPr="00273752">
        <w:rPr>
          <w:rFonts w:ascii="Times New Roman" w:eastAsia="Times New Roman" w:hAnsi="Times New Roman" w:cs="Times New Roman"/>
          <w:sz w:val="27"/>
          <w:szCs w:val="27"/>
          <w:lang w:val="ru-RU"/>
        </w:rPr>
        <w:t>статті</w:t>
      </w:r>
      <w:proofErr w:type="spellEnd"/>
      <w:r w:rsidRPr="00273752">
        <w:rPr>
          <w:rFonts w:ascii="Times New Roman" w:eastAsia="Times New Roman" w:hAnsi="Times New Roman" w:cs="Times New Roman"/>
          <w:sz w:val="27"/>
          <w:szCs w:val="27"/>
          <w:lang w:val="ru-RU"/>
        </w:rPr>
        <w:t xml:space="preserve"> 30 </w:t>
      </w:r>
      <w:r w:rsidR="00AC2299" w:rsidRPr="00273752">
        <w:rPr>
          <w:rFonts w:ascii="Times New Roman" w:eastAsia="Times New Roman" w:hAnsi="Times New Roman" w:cs="Times New Roman"/>
          <w:sz w:val="27"/>
          <w:szCs w:val="27"/>
          <w:lang w:val="ru-RU"/>
        </w:rPr>
        <w:t>Регламенту (</w:t>
      </w:r>
      <w:r w:rsidR="00AC2299">
        <w:rPr>
          <w:rFonts w:ascii="Times New Roman" w:eastAsia="Times New Roman" w:hAnsi="Times New Roman" w:cs="Times New Roman"/>
          <w:sz w:val="27"/>
          <w:szCs w:val="27"/>
        </w:rPr>
        <w:t>EU</w:t>
      </w:r>
      <w:r w:rsidR="00AC2299" w:rsidRPr="00273752">
        <w:rPr>
          <w:rFonts w:ascii="Times New Roman" w:eastAsia="Times New Roman" w:hAnsi="Times New Roman" w:cs="Times New Roman"/>
          <w:sz w:val="27"/>
          <w:szCs w:val="27"/>
          <w:lang w:val="ru-RU"/>
        </w:rPr>
        <w:t>) №</w:t>
      </w:r>
      <w:r w:rsidRPr="006279CF">
        <w:rPr>
          <w:rFonts w:ascii="Times New Roman" w:eastAsia="Times New Roman" w:hAnsi="Times New Roman" w:cs="Times New Roman"/>
          <w:sz w:val="27"/>
          <w:szCs w:val="27"/>
        </w:rPr>
        <w:t> </w:t>
      </w:r>
      <w:r w:rsidRPr="00273752">
        <w:rPr>
          <w:rFonts w:ascii="Times New Roman" w:eastAsia="Times New Roman" w:hAnsi="Times New Roman" w:cs="Times New Roman"/>
          <w:sz w:val="27"/>
          <w:szCs w:val="27"/>
          <w:lang w:val="ru-RU"/>
        </w:rPr>
        <w:t>1095/2010.</w:t>
      </w:r>
    </w:p>
    <w:p w:rsidR="00DE77B0" w:rsidRPr="00526AC8" w:rsidRDefault="00DE77B0" w:rsidP="00526AC8">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DC6693">
        <w:rPr>
          <w:rFonts w:ascii="Times New Roman" w:eastAsia="Times New Roman" w:hAnsi="Times New Roman" w:cs="Times New Roman"/>
          <w:sz w:val="27"/>
          <w:szCs w:val="27"/>
          <w:lang w:val="ru-RU"/>
        </w:rPr>
        <w:t>3.</w:t>
      </w:r>
      <w:r w:rsidRPr="006279CF">
        <w:rPr>
          <w:rFonts w:ascii="Times New Roman" w:eastAsia="Times New Roman" w:hAnsi="Times New Roman" w:cs="Times New Roman"/>
          <w:sz w:val="27"/>
          <w:szCs w:val="27"/>
        </w:rPr>
        <w:t>   </w:t>
      </w:r>
      <w:r w:rsidR="00526AC8">
        <w:rPr>
          <w:rFonts w:ascii="Times New Roman" w:eastAsia="Times New Roman" w:hAnsi="Times New Roman" w:cs="Times New Roman"/>
          <w:sz w:val="27"/>
          <w:szCs w:val="27"/>
          <w:lang w:val="uk-UA"/>
        </w:rPr>
        <w:t>ЦКА, уповноважений у державі-члені Союзу, де він створений, надавати клірингові послуги відповідно до національного законодавства цієї держави-члена Союзу до того, як Комісією прийняті всі регуляторні технічні стандарти за статтями</w:t>
      </w:r>
      <w:r w:rsidR="00526AC8" w:rsidRPr="00526AC8">
        <w:rPr>
          <w:rFonts w:ascii="Times New Roman" w:eastAsia="Times New Roman" w:hAnsi="Times New Roman" w:cs="Times New Roman"/>
          <w:sz w:val="27"/>
          <w:szCs w:val="27"/>
          <w:lang w:val="ru-RU"/>
        </w:rPr>
        <w:t xml:space="preserve"> 4, 5, 8</w:t>
      </w:r>
      <w:r w:rsidR="00526AC8">
        <w:rPr>
          <w:rFonts w:ascii="Times New Roman" w:eastAsia="Times New Roman" w:hAnsi="Times New Roman" w:cs="Times New Roman"/>
          <w:sz w:val="27"/>
          <w:szCs w:val="27"/>
          <w:lang w:val="uk-UA"/>
        </w:rPr>
        <w:t>-</w:t>
      </w:r>
      <w:r w:rsidR="00526AC8" w:rsidRPr="00526AC8">
        <w:rPr>
          <w:rFonts w:ascii="Times New Roman" w:eastAsia="Times New Roman" w:hAnsi="Times New Roman" w:cs="Times New Roman"/>
          <w:sz w:val="27"/>
          <w:szCs w:val="27"/>
          <w:lang w:val="ru-RU"/>
        </w:rPr>
        <w:t xml:space="preserve">11, 16, 18, 25, 26, 29, 34, 41, 42, 44, 45, 46, 47, 49, 56 </w:t>
      </w:r>
      <w:r w:rsidR="00526AC8">
        <w:rPr>
          <w:rFonts w:ascii="Times New Roman" w:eastAsia="Times New Roman" w:hAnsi="Times New Roman" w:cs="Times New Roman"/>
          <w:sz w:val="27"/>
          <w:szCs w:val="27"/>
          <w:lang w:val="uk-UA"/>
        </w:rPr>
        <w:t>та</w:t>
      </w:r>
      <w:r w:rsidR="00526AC8" w:rsidRPr="00526AC8">
        <w:rPr>
          <w:rFonts w:ascii="Times New Roman" w:eastAsia="Times New Roman" w:hAnsi="Times New Roman" w:cs="Times New Roman"/>
          <w:sz w:val="27"/>
          <w:szCs w:val="27"/>
          <w:lang w:val="ru-RU"/>
        </w:rPr>
        <w:t xml:space="preserve"> 81</w:t>
      </w:r>
      <w:r w:rsidR="00526AC8">
        <w:rPr>
          <w:rFonts w:ascii="Times New Roman" w:eastAsia="Times New Roman" w:hAnsi="Times New Roman" w:cs="Times New Roman"/>
          <w:sz w:val="27"/>
          <w:szCs w:val="27"/>
          <w:lang w:val="ru-RU"/>
        </w:rPr>
        <w:t xml:space="preserve">, </w:t>
      </w:r>
      <w:r w:rsidR="00526AC8">
        <w:rPr>
          <w:rFonts w:ascii="Times New Roman" w:eastAsia="Times New Roman" w:hAnsi="Times New Roman" w:cs="Times New Roman"/>
          <w:sz w:val="27"/>
          <w:szCs w:val="27"/>
          <w:lang w:val="uk-UA"/>
        </w:rPr>
        <w:t xml:space="preserve">подає заяву </w:t>
      </w:r>
      <w:r w:rsidR="00917EC1">
        <w:rPr>
          <w:rFonts w:ascii="Times New Roman" w:eastAsia="Times New Roman" w:hAnsi="Times New Roman" w:cs="Times New Roman"/>
          <w:sz w:val="27"/>
          <w:szCs w:val="27"/>
          <w:lang w:val="uk-UA"/>
        </w:rPr>
        <w:t>про</w:t>
      </w:r>
      <w:r w:rsidR="00526AC8">
        <w:rPr>
          <w:rFonts w:ascii="Times New Roman" w:eastAsia="Times New Roman" w:hAnsi="Times New Roman" w:cs="Times New Roman"/>
          <w:sz w:val="27"/>
          <w:szCs w:val="27"/>
          <w:lang w:val="uk-UA"/>
        </w:rPr>
        <w:t xml:space="preserve"> надання повноважень за статтею 14 в цілях цього регламенту у шестимісячний строк з дати набрання чинності всіма регуляторними технічними стандартами за статтями</w:t>
      </w:r>
      <w:r w:rsidR="00526AC8" w:rsidRPr="00526AC8">
        <w:rPr>
          <w:rFonts w:ascii="Times New Roman" w:eastAsia="Times New Roman" w:hAnsi="Times New Roman" w:cs="Times New Roman"/>
          <w:sz w:val="27"/>
          <w:szCs w:val="27"/>
          <w:lang w:val="ru-RU"/>
        </w:rPr>
        <w:t xml:space="preserve"> 16, 25, 26, 29, 34, 41, 42, 44, 45, 47 </w:t>
      </w:r>
      <w:r w:rsidR="00526AC8">
        <w:rPr>
          <w:rFonts w:ascii="Times New Roman" w:eastAsia="Times New Roman" w:hAnsi="Times New Roman" w:cs="Times New Roman"/>
          <w:sz w:val="27"/>
          <w:szCs w:val="27"/>
          <w:lang w:val="uk-UA"/>
        </w:rPr>
        <w:t>і</w:t>
      </w:r>
      <w:r w:rsidR="00526AC8" w:rsidRPr="00526AC8">
        <w:rPr>
          <w:rFonts w:ascii="Times New Roman" w:eastAsia="Times New Roman" w:hAnsi="Times New Roman" w:cs="Times New Roman"/>
          <w:sz w:val="27"/>
          <w:szCs w:val="27"/>
          <w:lang w:val="ru-RU"/>
        </w:rPr>
        <w:t xml:space="preserve"> 49.</w:t>
      </w:r>
    </w:p>
    <w:p w:rsidR="00DE77B0" w:rsidRPr="00917EC1" w:rsidRDefault="00526AC8"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 xml:space="preserve">ЦКА, уповноважений у </w:t>
      </w:r>
      <w:r w:rsidR="007965C3">
        <w:rPr>
          <w:rFonts w:ascii="Times New Roman" w:eastAsia="Times New Roman" w:hAnsi="Times New Roman" w:cs="Times New Roman"/>
          <w:sz w:val="27"/>
          <w:szCs w:val="27"/>
          <w:lang w:val="uk-UA"/>
        </w:rPr>
        <w:t>третій країні,</w:t>
      </w:r>
      <w:r>
        <w:rPr>
          <w:rFonts w:ascii="Times New Roman" w:eastAsia="Times New Roman" w:hAnsi="Times New Roman" w:cs="Times New Roman"/>
          <w:sz w:val="27"/>
          <w:szCs w:val="27"/>
          <w:lang w:val="uk-UA"/>
        </w:rPr>
        <w:t xml:space="preserve"> де він </w:t>
      </w:r>
      <w:r w:rsidR="007965C3">
        <w:rPr>
          <w:rFonts w:ascii="Times New Roman" w:eastAsia="Times New Roman" w:hAnsi="Times New Roman" w:cs="Times New Roman"/>
          <w:sz w:val="27"/>
          <w:szCs w:val="27"/>
          <w:lang w:val="uk-UA"/>
        </w:rPr>
        <w:t xml:space="preserve">визнаний з метою надання клірингових послуг у державі-члені Союзу </w:t>
      </w:r>
      <w:r>
        <w:rPr>
          <w:rFonts w:ascii="Times New Roman" w:eastAsia="Times New Roman" w:hAnsi="Times New Roman" w:cs="Times New Roman"/>
          <w:sz w:val="27"/>
          <w:szCs w:val="27"/>
          <w:lang w:val="uk-UA"/>
        </w:rPr>
        <w:t xml:space="preserve">відповідно до національного </w:t>
      </w:r>
      <w:r>
        <w:rPr>
          <w:rFonts w:ascii="Times New Roman" w:eastAsia="Times New Roman" w:hAnsi="Times New Roman" w:cs="Times New Roman"/>
          <w:sz w:val="27"/>
          <w:szCs w:val="27"/>
          <w:lang w:val="uk-UA"/>
        </w:rPr>
        <w:lastRenderedPageBreak/>
        <w:t xml:space="preserve">законодавства цієї держави-члена Союзу </w:t>
      </w:r>
      <w:r w:rsidR="00996AA4">
        <w:rPr>
          <w:rFonts w:ascii="Times New Roman" w:eastAsia="Times New Roman" w:hAnsi="Times New Roman" w:cs="Times New Roman"/>
          <w:sz w:val="27"/>
          <w:szCs w:val="27"/>
          <w:lang w:val="uk-UA"/>
        </w:rPr>
        <w:t>до того, як Комісією прийняті всі регуляторні технічні стандарти за статтями</w:t>
      </w:r>
      <w:r w:rsidR="00996AA4" w:rsidRPr="00526AC8">
        <w:rPr>
          <w:rFonts w:ascii="Times New Roman" w:eastAsia="Times New Roman" w:hAnsi="Times New Roman" w:cs="Times New Roman"/>
          <w:sz w:val="27"/>
          <w:szCs w:val="27"/>
          <w:lang w:val="ru-RU"/>
        </w:rPr>
        <w:t xml:space="preserve"> </w:t>
      </w:r>
      <w:r w:rsidR="00996AA4" w:rsidRPr="000C2CDC">
        <w:rPr>
          <w:rFonts w:ascii="Times New Roman" w:eastAsia="Times New Roman" w:hAnsi="Times New Roman" w:cs="Times New Roman"/>
          <w:sz w:val="27"/>
          <w:szCs w:val="27"/>
          <w:lang w:val="ru-RU"/>
        </w:rPr>
        <w:t xml:space="preserve">16, 26, 29, 34, 41, 42, 44, 45, 47 </w:t>
      </w:r>
      <w:r w:rsidR="00996AA4">
        <w:rPr>
          <w:rFonts w:ascii="Times New Roman" w:eastAsia="Times New Roman" w:hAnsi="Times New Roman" w:cs="Times New Roman"/>
          <w:sz w:val="27"/>
          <w:szCs w:val="27"/>
          <w:lang w:val="uk-UA"/>
        </w:rPr>
        <w:t>та</w:t>
      </w:r>
      <w:r w:rsidR="00996AA4" w:rsidRPr="000C2CDC">
        <w:rPr>
          <w:rFonts w:ascii="Times New Roman" w:eastAsia="Times New Roman" w:hAnsi="Times New Roman" w:cs="Times New Roman"/>
          <w:sz w:val="27"/>
          <w:szCs w:val="27"/>
          <w:lang w:val="ru-RU"/>
        </w:rPr>
        <w:t xml:space="preserve"> 49</w:t>
      </w:r>
      <w:r w:rsidR="00996AA4">
        <w:rPr>
          <w:rFonts w:ascii="Times New Roman" w:eastAsia="Times New Roman" w:hAnsi="Times New Roman" w:cs="Times New Roman"/>
          <w:sz w:val="27"/>
          <w:szCs w:val="27"/>
          <w:lang w:val="ru-RU"/>
        </w:rPr>
        <w:t xml:space="preserve">, </w:t>
      </w:r>
      <w:r w:rsidR="00996AA4">
        <w:rPr>
          <w:rFonts w:ascii="Times New Roman" w:eastAsia="Times New Roman" w:hAnsi="Times New Roman" w:cs="Times New Roman"/>
          <w:sz w:val="27"/>
          <w:szCs w:val="27"/>
          <w:lang w:val="uk-UA"/>
        </w:rPr>
        <w:t>подає заяву про визнання за статтею 25 в цілях цього регламенту у шестимісячний строк з дати набрання чинності всіма регуляторними технічними стандартами за статтями</w:t>
      </w:r>
      <w:r w:rsidR="00996AA4" w:rsidRPr="007965C3">
        <w:rPr>
          <w:rFonts w:ascii="Times New Roman" w:eastAsia="Times New Roman" w:hAnsi="Times New Roman" w:cs="Times New Roman"/>
          <w:sz w:val="27"/>
          <w:szCs w:val="27"/>
          <w:lang w:val="ru-RU"/>
        </w:rPr>
        <w:t xml:space="preserve"> </w:t>
      </w:r>
      <w:r w:rsidR="00996AA4" w:rsidRPr="00917EC1">
        <w:rPr>
          <w:rFonts w:ascii="Times New Roman" w:eastAsia="Times New Roman" w:hAnsi="Times New Roman" w:cs="Times New Roman"/>
          <w:sz w:val="27"/>
          <w:szCs w:val="27"/>
          <w:lang w:val="ru-RU"/>
        </w:rPr>
        <w:t xml:space="preserve">16, 26, 29, 34, 41, 42, 44, 45, 47 </w:t>
      </w:r>
      <w:r w:rsidR="00996AA4">
        <w:rPr>
          <w:rFonts w:ascii="Times New Roman" w:eastAsia="Times New Roman" w:hAnsi="Times New Roman" w:cs="Times New Roman"/>
          <w:sz w:val="27"/>
          <w:szCs w:val="27"/>
          <w:lang w:val="uk-UA"/>
        </w:rPr>
        <w:t>та</w:t>
      </w:r>
      <w:r w:rsidR="00996AA4" w:rsidRPr="00917EC1">
        <w:rPr>
          <w:rFonts w:ascii="Times New Roman" w:eastAsia="Times New Roman" w:hAnsi="Times New Roman" w:cs="Times New Roman"/>
          <w:sz w:val="27"/>
          <w:szCs w:val="27"/>
          <w:lang w:val="ru-RU"/>
        </w:rPr>
        <w:t xml:space="preserve"> 49.</w:t>
      </w:r>
    </w:p>
    <w:p w:rsidR="00DE77B0" w:rsidRPr="00DC6693" w:rsidRDefault="00DE77B0" w:rsidP="00996AA4">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AF7FDC">
        <w:rPr>
          <w:rFonts w:ascii="Times New Roman" w:eastAsia="Times New Roman" w:hAnsi="Times New Roman" w:cs="Times New Roman"/>
          <w:sz w:val="27"/>
          <w:szCs w:val="27"/>
          <w:lang w:val="ru-RU"/>
        </w:rPr>
        <w:t>4.</w:t>
      </w:r>
      <w:r w:rsidRPr="006279CF">
        <w:rPr>
          <w:rFonts w:ascii="Times New Roman" w:eastAsia="Times New Roman" w:hAnsi="Times New Roman" w:cs="Times New Roman"/>
          <w:sz w:val="27"/>
          <w:szCs w:val="27"/>
        </w:rPr>
        <w:t>   </w:t>
      </w:r>
      <w:r w:rsidR="00996AA4">
        <w:rPr>
          <w:rFonts w:ascii="Times New Roman" w:eastAsia="Times New Roman" w:hAnsi="Times New Roman" w:cs="Times New Roman"/>
          <w:sz w:val="27"/>
          <w:szCs w:val="27"/>
          <w:lang w:val="uk-UA"/>
        </w:rPr>
        <w:t xml:space="preserve">Поки не буде прийнято рішення за цим регламентом щодо надання повноважень або визнання ЦКА, </w:t>
      </w:r>
      <w:r w:rsidR="00AF7FDC">
        <w:rPr>
          <w:rFonts w:ascii="Times New Roman" w:eastAsia="Times New Roman" w:hAnsi="Times New Roman" w:cs="Times New Roman"/>
          <w:sz w:val="27"/>
          <w:szCs w:val="27"/>
          <w:lang w:val="uk-UA"/>
        </w:rPr>
        <w:t>продовжують застосовуватися відповідні національні правила надання повноважень і визнання ЦКА, і даний ЦКА продовжує підпадати під нагляд із боку компетентного органу держави-члена Союзу, де він створений або визнаний.</w:t>
      </w:r>
    </w:p>
    <w:p w:rsidR="00DE77B0" w:rsidRPr="0082618E"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DC6693">
        <w:rPr>
          <w:rFonts w:ascii="Times New Roman" w:eastAsia="Times New Roman" w:hAnsi="Times New Roman" w:cs="Times New Roman"/>
          <w:sz w:val="27"/>
          <w:szCs w:val="27"/>
          <w:lang w:val="ru-RU"/>
        </w:rPr>
        <w:t>5.</w:t>
      </w:r>
      <w:r w:rsidRPr="006279CF">
        <w:rPr>
          <w:rFonts w:ascii="Times New Roman" w:eastAsia="Times New Roman" w:hAnsi="Times New Roman" w:cs="Times New Roman"/>
          <w:sz w:val="27"/>
          <w:szCs w:val="27"/>
        </w:rPr>
        <w:t>   </w:t>
      </w:r>
      <w:r w:rsidR="00F812AC">
        <w:rPr>
          <w:rFonts w:ascii="Times New Roman" w:eastAsia="Times New Roman" w:hAnsi="Times New Roman" w:cs="Times New Roman"/>
          <w:sz w:val="27"/>
          <w:szCs w:val="27"/>
          <w:lang w:val="uk-UA"/>
        </w:rPr>
        <w:t>Якщо компетентний орган уповноважив ЦКА здійснювати кліринг даного класу деривативів відповідно до національного законодавства його держави-члена Союзу</w:t>
      </w:r>
      <w:r w:rsidR="00F812AC" w:rsidRPr="00996AA4">
        <w:rPr>
          <w:rFonts w:ascii="Times New Roman" w:eastAsia="Times New Roman" w:hAnsi="Times New Roman" w:cs="Times New Roman"/>
          <w:sz w:val="27"/>
          <w:szCs w:val="27"/>
          <w:lang w:val="uk-UA"/>
        </w:rPr>
        <w:t xml:space="preserve"> </w:t>
      </w:r>
      <w:r w:rsidR="00F812AC">
        <w:rPr>
          <w:rFonts w:ascii="Times New Roman" w:eastAsia="Times New Roman" w:hAnsi="Times New Roman" w:cs="Times New Roman"/>
          <w:sz w:val="27"/>
          <w:szCs w:val="27"/>
          <w:lang w:val="uk-UA"/>
        </w:rPr>
        <w:t>до того, як Комісією прийняті всі регуляторні технічні стандарти за статтями</w:t>
      </w:r>
      <w:r w:rsidR="00F812AC" w:rsidRPr="00F812AC">
        <w:rPr>
          <w:rFonts w:ascii="Times New Roman" w:eastAsia="Times New Roman" w:hAnsi="Times New Roman" w:cs="Times New Roman"/>
          <w:sz w:val="27"/>
          <w:szCs w:val="27"/>
          <w:lang w:val="ru-RU"/>
        </w:rPr>
        <w:t xml:space="preserve"> 16, 26, 29, 34, 41, 42, 45, 47 </w:t>
      </w:r>
      <w:r w:rsidR="00F812AC">
        <w:rPr>
          <w:rFonts w:ascii="Times New Roman" w:eastAsia="Times New Roman" w:hAnsi="Times New Roman" w:cs="Times New Roman"/>
          <w:sz w:val="27"/>
          <w:szCs w:val="27"/>
          <w:lang w:val="ru-RU"/>
        </w:rPr>
        <w:t>та</w:t>
      </w:r>
      <w:r w:rsidR="00F812AC" w:rsidRPr="00F812AC">
        <w:rPr>
          <w:rFonts w:ascii="Times New Roman" w:eastAsia="Times New Roman" w:hAnsi="Times New Roman" w:cs="Times New Roman"/>
          <w:sz w:val="27"/>
          <w:szCs w:val="27"/>
          <w:lang w:val="ru-RU"/>
        </w:rPr>
        <w:t xml:space="preserve"> 49, </w:t>
      </w:r>
      <w:r w:rsidR="00F812AC">
        <w:rPr>
          <w:rFonts w:ascii="Times New Roman" w:eastAsia="Times New Roman" w:hAnsi="Times New Roman" w:cs="Times New Roman"/>
          <w:sz w:val="27"/>
          <w:szCs w:val="27"/>
          <w:lang w:val="uk-UA"/>
        </w:rPr>
        <w:t>то</w:t>
      </w:r>
      <w:r w:rsidR="00F812AC" w:rsidRPr="00F812AC">
        <w:rPr>
          <w:rFonts w:ascii="Times New Roman" w:eastAsia="Times New Roman" w:hAnsi="Times New Roman" w:cs="Times New Roman"/>
          <w:sz w:val="27"/>
          <w:szCs w:val="27"/>
          <w:lang w:val="ru-RU"/>
        </w:rPr>
        <w:t xml:space="preserve"> </w:t>
      </w:r>
      <w:proofErr w:type="spellStart"/>
      <w:r w:rsidR="00F812AC" w:rsidRPr="00F812AC">
        <w:rPr>
          <w:rFonts w:ascii="Times New Roman" w:eastAsia="Times New Roman" w:hAnsi="Times New Roman" w:cs="Times New Roman"/>
          <w:sz w:val="27"/>
          <w:szCs w:val="27"/>
          <w:lang w:val="ru-RU"/>
        </w:rPr>
        <w:t>компетентний</w:t>
      </w:r>
      <w:proofErr w:type="spellEnd"/>
      <w:r w:rsidR="00F812AC" w:rsidRPr="00F812AC">
        <w:rPr>
          <w:rFonts w:ascii="Times New Roman" w:eastAsia="Times New Roman" w:hAnsi="Times New Roman" w:cs="Times New Roman"/>
          <w:sz w:val="27"/>
          <w:szCs w:val="27"/>
          <w:lang w:val="ru-RU"/>
        </w:rPr>
        <w:t xml:space="preserve"> орган </w:t>
      </w:r>
      <w:r w:rsidR="00F812AC">
        <w:rPr>
          <w:rFonts w:ascii="Times New Roman" w:eastAsia="Times New Roman" w:hAnsi="Times New Roman" w:cs="Times New Roman"/>
          <w:sz w:val="27"/>
          <w:szCs w:val="27"/>
          <w:lang w:val="uk-UA"/>
        </w:rPr>
        <w:t xml:space="preserve">цієї держави-члена Союзу повідомляє </w:t>
      </w:r>
      <w:r w:rsidR="00F812AC">
        <w:rPr>
          <w:rFonts w:ascii="Times New Roman" w:eastAsia="Times New Roman" w:hAnsi="Times New Roman" w:cs="Times New Roman"/>
          <w:sz w:val="27"/>
          <w:szCs w:val="27"/>
        </w:rPr>
        <w:t>ESMA</w:t>
      </w:r>
      <w:r w:rsidR="00F812AC">
        <w:rPr>
          <w:rFonts w:ascii="Times New Roman" w:eastAsia="Times New Roman" w:hAnsi="Times New Roman" w:cs="Times New Roman"/>
          <w:sz w:val="27"/>
          <w:szCs w:val="27"/>
          <w:lang w:val="uk-UA"/>
        </w:rPr>
        <w:t xml:space="preserve"> про надання вищезгаданих повноважень у </w:t>
      </w:r>
      <w:r w:rsidR="0082618E">
        <w:rPr>
          <w:rFonts w:ascii="Times New Roman" w:eastAsia="Times New Roman" w:hAnsi="Times New Roman" w:cs="Times New Roman"/>
          <w:sz w:val="27"/>
          <w:szCs w:val="27"/>
          <w:lang w:val="uk-UA"/>
        </w:rPr>
        <w:t>місячний строк з дати набрання чинності регуляторними технічними стандартами за статтею 5(1).</w:t>
      </w:r>
    </w:p>
    <w:p w:rsidR="00F812AC" w:rsidRDefault="00F812AC" w:rsidP="00F812AC">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Якщо компетентний орган визнав ЦКА, створений у третій країні, надавати клірингові послуги відповідно </w:t>
      </w:r>
      <w:r w:rsidR="00541802">
        <w:rPr>
          <w:rFonts w:ascii="Times New Roman" w:eastAsia="Times New Roman" w:hAnsi="Times New Roman" w:cs="Times New Roman"/>
          <w:sz w:val="27"/>
          <w:szCs w:val="27"/>
          <w:lang w:val="uk-UA"/>
        </w:rPr>
        <w:t>до національного законодавства його держави-члена Союзу</w:t>
      </w:r>
      <w:r w:rsidR="00541802" w:rsidRPr="00996AA4">
        <w:rPr>
          <w:rFonts w:ascii="Times New Roman" w:eastAsia="Times New Roman" w:hAnsi="Times New Roman" w:cs="Times New Roman"/>
          <w:sz w:val="27"/>
          <w:szCs w:val="27"/>
          <w:lang w:val="uk-UA"/>
        </w:rPr>
        <w:t xml:space="preserve"> </w:t>
      </w:r>
      <w:r w:rsidR="00541802">
        <w:rPr>
          <w:rFonts w:ascii="Times New Roman" w:eastAsia="Times New Roman" w:hAnsi="Times New Roman" w:cs="Times New Roman"/>
          <w:sz w:val="27"/>
          <w:szCs w:val="27"/>
          <w:lang w:val="uk-UA"/>
        </w:rPr>
        <w:t>до того, як Комісією прийняті всі регуляторні технічні стандарти за статтями</w:t>
      </w:r>
      <w:r w:rsidR="00541802" w:rsidRPr="00F812AC">
        <w:rPr>
          <w:rFonts w:ascii="Times New Roman" w:eastAsia="Times New Roman" w:hAnsi="Times New Roman" w:cs="Times New Roman"/>
          <w:sz w:val="27"/>
          <w:szCs w:val="27"/>
          <w:lang w:val="ru-RU"/>
        </w:rPr>
        <w:t xml:space="preserve"> </w:t>
      </w:r>
      <w:r w:rsidR="00541802" w:rsidRPr="007B094D">
        <w:rPr>
          <w:rFonts w:ascii="Times New Roman" w:eastAsia="Times New Roman" w:hAnsi="Times New Roman" w:cs="Times New Roman"/>
          <w:sz w:val="27"/>
          <w:szCs w:val="27"/>
          <w:lang w:val="ru-RU"/>
        </w:rPr>
        <w:t xml:space="preserve">16, 26, 29, 34, 41, 42, 45, 47 </w:t>
      </w:r>
      <w:r w:rsidR="00541802">
        <w:rPr>
          <w:rFonts w:ascii="Times New Roman" w:eastAsia="Times New Roman" w:hAnsi="Times New Roman" w:cs="Times New Roman"/>
          <w:sz w:val="27"/>
          <w:szCs w:val="27"/>
          <w:lang w:val="uk-UA"/>
        </w:rPr>
        <w:t>та</w:t>
      </w:r>
      <w:r w:rsidR="00541802" w:rsidRPr="007B094D">
        <w:rPr>
          <w:rFonts w:ascii="Times New Roman" w:eastAsia="Times New Roman" w:hAnsi="Times New Roman" w:cs="Times New Roman"/>
          <w:sz w:val="27"/>
          <w:szCs w:val="27"/>
          <w:lang w:val="ru-RU"/>
        </w:rPr>
        <w:t xml:space="preserve"> 49</w:t>
      </w:r>
      <w:r w:rsidR="00541802" w:rsidRPr="00F812AC">
        <w:rPr>
          <w:rFonts w:ascii="Times New Roman" w:eastAsia="Times New Roman" w:hAnsi="Times New Roman" w:cs="Times New Roman"/>
          <w:sz w:val="27"/>
          <w:szCs w:val="27"/>
          <w:lang w:val="ru-RU"/>
        </w:rPr>
        <w:t xml:space="preserve">, </w:t>
      </w:r>
      <w:r w:rsidR="00541802">
        <w:rPr>
          <w:rFonts w:ascii="Times New Roman" w:eastAsia="Times New Roman" w:hAnsi="Times New Roman" w:cs="Times New Roman"/>
          <w:sz w:val="27"/>
          <w:szCs w:val="27"/>
          <w:lang w:val="uk-UA"/>
        </w:rPr>
        <w:t>то</w:t>
      </w:r>
      <w:r w:rsidR="00541802" w:rsidRPr="00F812AC">
        <w:rPr>
          <w:rFonts w:ascii="Times New Roman" w:eastAsia="Times New Roman" w:hAnsi="Times New Roman" w:cs="Times New Roman"/>
          <w:sz w:val="27"/>
          <w:szCs w:val="27"/>
          <w:lang w:val="ru-RU"/>
        </w:rPr>
        <w:t xml:space="preserve"> </w:t>
      </w:r>
      <w:proofErr w:type="spellStart"/>
      <w:r w:rsidR="00541802" w:rsidRPr="00F812AC">
        <w:rPr>
          <w:rFonts w:ascii="Times New Roman" w:eastAsia="Times New Roman" w:hAnsi="Times New Roman" w:cs="Times New Roman"/>
          <w:sz w:val="27"/>
          <w:szCs w:val="27"/>
          <w:lang w:val="ru-RU"/>
        </w:rPr>
        <w:t>компетентний</w:t>
      </w:r>
      <w:proofErr w:type="spellEnd"/>
      <w:r w:rsidR="00541802" w:rsidRPr="00F812AC">
        <w:rPr>
          <w:rFonts w:ascii="Times New Roman" w:eastAsia="Times New Roman" w:hAnsi="Times New Roman" w:cs="Times New Roman"/>
          <w:sz w:val="27"/>
          <w:szCs w:val="27"/>
          <w:lang w:val="ru-RU"/>
        </w:rPr>
        <w:t xml:space="preserve"> орган </w:t>
      </w:r>
      <w:r w:rsidR="00541802">
        <w:rPr>
          <w:rFonts w:ascii="Times New Roman" w:eastAsia="Times New Roman" w:hAnsi="Times New Roman" w:cs="Times New Roman"/>
          <w:sz w:val="27"/>
          <w:szCs w:val="27"/>
          <w:lang w:val="uk-UA"/>
        </w:rPr>
        <w:t xml:space="preserve">цієї держави-члена Союзу повідомляє </w:t>
      </w:r>
      <w:r w:rsidR="00541802">
        <w:rPr>
          <w:rFonts w:ascii="Times New Roman" w:eastAsia="Times New Roman" w:hAnsi="Times New Roman" w:cs="Times New Roman"/>
          <w:sz w:val="27"/>
          <w:szCs w:val="27"/>
        </w:rPr>
        <w:t>ESMA</w:t>
      </w:r>
      <w:r w:rsidR="00541802">
        <w:rPr>
          <w:rFonts w:ascii="Times New Roman" w:eastAsia="Times New Roman" w:hAnsi="Times New Roman" w:cs="Times New Roman"/>
          <w:sz w:val="27"/>
          <w:szCs w:val="27"/>
          <w:lang w:val="uk-UA"/>
        </w:rPr>
        <w:t xml:space="preserve"> про таке визнання у місячний строк з дати набрання чинності регуляторними технічними стандартами за статтею 5(1).</w:t>
      </w:r>
    </w:p>
    <w:p w:rsidR="00DE77B0" w:rsidRPr="00462063"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r w:rsidRPr="00541802">
        <w:rPr>
          <w:rFonts w:ascii="Times New Roman" w:eastAsia="Times New Roman" w:hAnsi="Times New Roman" w:cs="Times New Roman"/>
          <w:sz w:val="27"/>
          <w:szCs w:val="27"/>
          <w:lang w:val="ru-RU"/>
        </w:rPr>
        <w:t>6.</w:t>
      </w:r>
      <w:r w:rsidRPr="006279CF">
        <w:rPr>
          <w:rFonts w:ascii="Times New Roman" w:eastAsia="Times New Roman" w:hAnsi="Times New Roman" w:cs="Times New Roman"/>
          <w:sz w:val="27"/>
          <w:szCs w:val="27"/>
        </w:rPr>
        <w:t>   </w:t>
      </w:r>
      <w:proofErr w:type="spellStart"/>
      <w:r w:rsidR="000711F3" w:rsidRPr="00541802">
        <w:rPr>
          <w:rFonts w:ascii="Times New Roman" w:eastAsia="Times New Roman" w:hAnsi="Times New Roman" w:cs="Times New Roman"/>
          <w:sz w:val="27"/>
          <w:szCs w:val="27"/>
          <w:lang w:val="ru-RU"/>
        </w:rPr>
        <w:t>Торговий</w:t>
      </w:r>
      <w:proofErr w:type="spellEnd"/>
      <w:r w:rsidR="000711F3" w:rsidRPr="00541802">
        <w:rPr>
          <w:rFonts w:ascii="Times New Roman" w:eastAsia="Times New Roman" w:hAnsi="Times New Roman" w:cs="Times New Roman"/>
          <w:sz w:val="27"/>
          <w:szCs w:val="27"/>
          <w:lang w:val="ru-RU"/>
        </w:rPr>
        <w:t xml:space="preserve"> </w:t>
      </w:r>
      <w:proofErr w:type="spellStart"/>
      <w:r w:rsidR="000711F3" w:rsidRPr="00541802">
        <w:rPr>
          <w:rFonts w:ascii="Times New Roman" w:eastAsia="Times New Roman" w:hAnsi="Times New Roman" w:cs="Times New Roman"/>
          <w:sz w:val="27"/>
          <w:szCs w:val="27"/>
          <w:lang w:val="ru-RU"/>
        </w:rPr>
        <w:t>репозитарій</w:t>
      </w:r>
      <w:proofErr w:type="spellEnd"/>
      <w:r w:rsidR="000711F3">
        <w:rPr>
          <w:rFonts w:ascii="Times New Roman" w:eastAsia="Times New Roman" w:hAnsi="Times New Roman" w:cs="Times New Roman"/>
          <w:sz w:val="27"/>
          <w:szCs w:val="27"/>
          <w:lang w:val="uk-UA"/>
        </w:rPr>
        <w:t>, що уповноважений або зареєстрований у державі-члені Союзу, де він створений, на збирання і ведення обліку деривативів відповідно до національного законодавства цієї держави-члена Союзу</w:t>
      </w:r>
      <w:r w:rsidR="000711F3" w:rsidRPr="00996AA4">
        <w:rPr>
          <w:rFonts w:ascii="Times New Roman" w:eastAsia="Times New Roman" w:hAnsi="Times New Roman" w:cs="Times New Roman"/>
          <w:sz w:val="27"/>
          <w:szCs w:val="27"/>
          <w:lang w:val="uk-UA"/>
        </w:rPr>
        <w:t xml:space="preserve"> </w:t>
      </w:r>
      <w:r w:rsidR="000711F3">
        <w:rPr>
          <w:rFonts w:ascii="Times New Roman" w:eastAsia="Times New Roman" w:hAnsi="Times New Roman" w:cs="Times New Roman"/>
          <w:sz w:val="27"/>
          <w:szCs w:val="27"/>
          <w:lang w:val="uk-UA"/>
        </w:rPr>
        <w:t>до того, як Комісією прийняті всі регуляторні та виконавчі технічні стандарти за статтями</w:t>
      </w:r>
      <w:r w:rsidR="000711F3" w:rsidRPr="00F812AC">
        <w:rPr>
          <w:rFonts w:ascii="Times New Roman" w:eastAsia="Times New Roman" w:hAnsi="Times New Roman" w:cs="Times New Roman"/>
          <w:sz w:val="27"/>
          <w:szCs w:val="27"/>
          <w:lang w:val="ru-RU"/>
        </w:rPr>
        <w:t xml:space="preserve"> </w:t>
      </w:r>
      <w:r w:rsidR="000711F3">
        <w:rPr>
          <w:rFonts w:ascii="Times New Roman" w:eastAsia="Times New Roman" w:hAnsi="Times New Roman" w:cs="Times New Roman"/>
          <w:sz w:val="27"/>
          <w:szCs w:val="27"/>
          <w:lang w:val="ru-RU"/>
        </w:rPr>
        <w:t xml:space="preserve">9, 56 і 81, </w:t>
      </w:r>
      <w:r w:rsidR="000711F3">
        <w:rPr>
          <w:rFonts w:ascii="Times New Roman" w:eastAsia="Times New Roman" w:hAnsi="Times New Roman" w:cs="Times New Roman"/>
          <w:sz w:val="27"/>
          <w:szCs w:val="27"/>
          <w:lang w:val="uk-UA"/>
        </w:rPr>
        <w:t>подає заяву про реєстрацію за статтею 44 у шестимісячний строк з дати набрання чинності цими регуляторними та виконавчими технічними стандартами</w:t>
      </w:r>
      <w:r w:rsidR="000711F3" w:rsidRPr="00462063">
        <w:rPr>
          <w:rFonts w:ascii="Times New Roman" w:eastAsia="Times New Roman" w:hAnsi="Times New Roman" w:cs="Times New Roman"/>
          <w:sz w:val="27"/>
          <w:szCs w:val="27"/>
          <w:lang w:val="ru-RU"/>
        </w:rPr>
        <w:t>.</w:t>
      </w:r>
    </w:p>
    <w:p w:rsidR="00DE77B0" w:rsidRPr="000711F3" w:rsidRDefault="003E28B8" w:rsidP="00244D43">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proofErr w:type="spellStart"/>
      <w:r w:rsidRPr="00541802">
        <w:rPr>
          <w:rFonts w:ascii="Times New Roman" w:eastAsia="Times New Roman" w:hAnsi="Times New Roman" w:cs="Times New Roman"/>
          <w:sz w:val="27"/>
          <w:szCs w:val="27"/>
          <w:lang w:val="ru-RU"/>
        </w:rPr>
        <w:t>Торговий</w:t>
      </w:r>
      <w:proofErr w:type="spellEnd"/>
      <w:r w:rsidRPr="00541802">
        <w:rPr>
          <w:rFonts w:ascii="Times New Roman" w:eastAsia="Times New Roman" w:hAnsi="Times New Roman" w:cs="Times New Roman"/>
          <w:sz w:val="27"/>
          <w:szCs w:val="27"/>
          <w:lang w:val="ru-RU"/>
        </w:rPr>
        <w:t xml:space="preserve"> </w:t>
      </w:r>
      <w:proofErr w:type="spellStart"/>
      <w:r w:rsidRPr="00541802">
        <w:rPr>
          <w:rFonts w:ascii="Times New Roman" w:eastAsia="Times New Roman" w:hAnsi="Times New Roman" w:cs="Times New Roman"/>
          <w:sz w:val="27"/>
          <w:szCs w:val="27"/>
          <w:lang w:val="ru-RU"/>
        </w:rPr>
        <w:t>репозитарій</w:t>
      </w:r>
      <w:proofErr w:type="spellEnd"/>
      <w:r>
        <w:rPr>
          <w:rFonts w:ascii="Times New Roman" w:eastAsia="Times New Roman" w:hAnsi="Times New Roman" w:cs="Times New Roman"/>
          <w:sz w:val="27"/>
          <w:szCs w:val="27"/>
          <w:lang w:val="uk-UA"/>
        </w:rPr>
        <w:t>, створений у третій країні, якому дозволено збирати та вести облік деривативів у державі-члені Союзу відповідно до національного законодавства цієї держави-члена Союзу</w:t>
      </w:r>
      <w:r w:rsidRPr="00996AA4">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до того, як Комісією прийняті всі регуляторні та виконавчі технічні стандарти за статтями</w:t>
      </w:r>
      <w:r w:rsidRPr="00F812AC">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 xml:space="preserve">9, 56 і 81, </w:t>
      </w:r>
      <w:r>
        <w:rPr>
          <w:rFonts w:ascii="Times New Roman" w:eastAsia="Times New Roman" w:hAnsi="Times New Roman" w:cs="Times New Roman"/>
          <w:sz w:val="27"/>
          <w:szCs w:val="27"/>
          <w:lang w:val="uk-UA"/>
        </w:rPr>
        <w:t>подає заяву про реєстрацію за статтею 77 у шестимісячний строк з дати набрання чинності цими регуляторними та виконавчими технічними стандартами</w:t>
      </w:r>
      <w:r w:rsidRPr="00462063">
        <w:rPr>
          <w:rFonts w:ascii="Times New Roman" w:eastAsia="Times New Roman" w:hAnsi="Times New Roman" w:cs="Times New Roman"/>
          <w:sz w:val="27"/>
          <w:szCs w:val="27"/>
          <w:lang w:val="ru-RU"/>
        </w:rPr>
        <w:t>.</w:t>
      </w:r>
    </w:p>
    <w:p w:rsidR="00244D43" w:rsidRPr="00244D43" w:rsidRDefault="00DE77B0" w:rsidP="00AF7FDC">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244D43">
        <w:rPr>
          <w:rFonts w:ascii="Times New Roman" w:eastAsia="Times New Roman" w:hAnsi="Times New Roman" w:cs="Times New Roman"/>
          <w:sz w:val="27"/>
          <w:szCs w:val="27"/>
          <w:lang w:val="ru-RU"/>
        </w:rPr>
        <w:t>7.</w:t>
      </w:r>
      <w:r w:rsidRPr="006279CF">
        <w:rPr>
          <w:rFonts w:ascii="Times New Roman" w:eastAsia="Times New Roman" w:hAnsi="Times New Roman" w:cs="Times New Roman"/>
          <w:sz w:val="27"/>
          <w:szCs w:val="27"/>
        </w:rPr>
        <w:t>   </w:t>
      </w:r>
      <w:r w:rsidR="00244D43">
        <w:rPr>
          <w:rFonts w:ascii="Times New Roman" w:eastAsia="Times New Roman" w:hAnsi="Times New Roman" w:cs="Times New Roman"/>
          <w:sz w:val="27"/>
          <w:szCs w:val="27"/>
          <w:lang w:val="uk-UA"/>
        </w:rPr>
        <w:t xml:space="preserve">До прийняття рішення за цим регламентом про реєстрацію або визнання торгового </w:t>
      </w:r>
      <w:proofErr w:type="spellStart"/>
      <w:r w:rsidR="00244D43">
        <w:rPr>
          <w:rFonts w:ascii="Times New Roman" w:eastAsia="Times New Roman" w:hAnsi="Times New Roman" w:cs="Times New Roman"/>
          <w:sz w:val="27"/>
          <w:szCs w:val="27"/>
          <w:lang w:val="uk-UA"/>
        </w:rPr>
        <w:t>репозитарія</w:t>
      </w:r>
      <w:proofErr w:type="spellEnd"/>
      <w:r w:rsidR="00244D43">
        <w:rPr>
          <w:rFonts w:ascii="Times New Roman" w:eastAsia="Times New Roman" w:hAnsi="Times New Roman" w:cs="Times New Roman"/>
          <w:sz w:val="27"/>
          <w:szCs w:val="27"/>
          <w:lang w:val="uk-UA"/>
        </w:rPr>
        <w:t xml:space="preserve"> </w:t>
      </w:r>
      <w:r w:rsidR="00AF7FDC">
        <w:rPr>
          <w:rFonts w:ascii="Times New Roman" w:eastAsia="Times New Roman" w:hAnsi="Times New Roman" w:cs="Times New Roman"/>
          <w:sz w:val="27"/>
          <w:szCs w:val="27"/>
          <w:lang w:val="uk-UA"/>
        </w:rPr>
        <w:t xml:space="preserve">продовжують застосовуватися відповідні національні правила надання повноважень, реєстрації та визнання торгових репозитаріїв, і </w:t>
      </w:r>
      <w:r w:rsidR="00AF7FDC">
        <w:rPr>
          <w:rFonts w:ascii="Times New Roman" w:eastAsia="Times New Roman" w:hAnsi="Times New Roman" w:cs="Times New Roman"/>
          <w:sz w:val="27"/>
          <w:szCs w:val="27"/>
          <w:lang w:val="uk-UA"/>
        </w:rPr>
        <w:lastRenderedPageBreak/>
        <w:t xml:space="preserve">даний торговий </w:t>
      </w:r>
      <w:proofErr w:type="spellStart"/>
      <w:r w:rsidR="00AF7FDC">
        <w:rPr>
          <w:rFonts w:ascii="Times New Roman" w:eastAsia="Times New Roman" w:hAnsi="Times New Roman" w:cs="Times New Roman"/>
          <w:sz w:val="27"/>
          <w:szCs w:val="27"/>
          <w:lang w:val="uk-UA"/>
        </w:rPr>
        <w:t>репозитарій</w:t>
      </w:r>
      <w:proofErr w:type="spellEnd"/>
      <w:r w:rsidR="00AF7FDC">
        <w:rPr>
          <w:rFonts w:ascii="Times New Roman" w:eastAsia="Times New Roman" w:hAnsi="Times New Roman" w:cs="Times New Roman"/>
          <w:sz w:val="27"/>
          <w:szCs w:val="27"/>
          <w:lang w:val="uk-UA"/>
        </w:rPr>
        <w:t xml:space="preserve"> продовжує підпадати під нагляд </w:t>
      </w:r>
      <w:r w:rsidR="000711F3">
        <w:rPr>
          <w:rFonts w:ascii="Times New Roman" w:eastAsia="Times New Roman" w:hAnsi="Times New Roman" w:cs="Times New Roman"/>
          <w:sz w:val="27"/>
          <w:szCs w:val="27"/>
          <w:lang w:val="uk-UA"/>
        </w:rPr>
        <w:t xml:space="preserve">із боку </w:t>
      </w:r>
      <w:r w:rsidR="00AF7FDC">
        <w:rPr>
          <w:rFonts w:ascii="Times New Roman" w:eastAsia="Times New Roman" w:hAnsi="Times New Roman" w:cs="Times New Roman"/>
          <w:sz w:val="27"/>
          <w:szCs w:val="27"/>
          <w:lang w:val="uk-UA"/>
        </w:rPr>
        <w:t>компетентн</w:t>
      </w:r>
      <w:r w:rsidR="000711F3">
        <w:rPr>
          <w:rFonts w:ascii="Times New Roman" w:eastAsia="Times New Roman" w:hAnsi="Times New Roman" w:cs="Times New Roman"/>
          <w:sz w:val="27"/>
          <w:szCs w:val="27"/>
          <w:lang w:val="uk-UA"/>
        </w:rPr>
        <w:t>ого</w:t>
      </w:r>
      <w:r w:rsidR="00AF7FDC">
        <w:rPr>
          <w:rFonts w:ascii="Times New Roman" w:eastAsia="Times New Roman" w:hAnsi="Times New Roman" w:cs="Times New Roman"/>
          <w:sz w:val="27"/>
          <w:szCs w:val="27"/>
          <w:lang w:val="uk-UA"/>
        </w:rPr>
        <w:t xml:space="preserve"> орган</w:t>
      </w:r>
      <w:r w:rsidR="000711F3">
        <w:rPr>
          <w:rFonts w:ascii="Times New Roman" w:eastAsia="Times New Roman" w:hAnsi="Times New Roman" w:cs="Times New Roman"/>
          <w:sz w:val="27"/>
          <w:szCs w:val="27"/>
          <w:lang w:val="uk-UA"/>
        </w:rPr>
        <w:t>у</w:t>
      </w:r>
      <w:r w:rsidR="00AF7FDC">
        <w:rPr>
          <w:rFonts w:ascii="Times New Roman" w:eastAsia="Times New Roman" w:hAnsi="Times New Roman" w:cs="Times New Roman"/>
          <w:sz w:val="27"/>
          <w:szCs w:val="27"/>
          <w:lang w:val="uk-UA"/>
        </w:rPr>
        <w:t xml:space="preserve"> держави-члена Союзу, де він створений або визнаний.</w:t>
      </w:r>
    </w:p>
    <w:p w:rsidR="00396F58" w:rsidRPr="00396F58" w:rsidRDefault="00DE77B0"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0711F3">
        <w:rPr>
          <w:rFonts w:ascii="Times New Roman" w:eastAsia="Times New Roman" w:hAnsi="Times New Roman" w:cs="Times New Roman"/>
          <w:sz w:val="27"/>
          <w:szCs w:val="27"/>
          <w:lang w:val="ru-RU"/>
        </w:rPr>
        <w:t>8.</w:t>
      </w:r>
      <w:r w:rsidRPr="006279CF">
        <w:rPr>
          <w:rFonts w:ascii="Times New Roman" w:eastAsia="Times New Roman" w:hAnsi="Times New Roman" w:cs="Times New Roman"/>
          <w:sz w:val="27"/>
          <w:szCs w:val="27"/>
        </w:rPr>
        <w:t>   </w:t>
      </w:r>
      <w:proofErr w:type="spellStart"/>
      <w:r w:rsidR="000711F3" w:rsidRPr="00541802">
        <w:rPr>
          <w:rFonts w:ascii="Times New Roman" w:eastAsia="Times New Roman" w:hAnsi="Times New Roman" w:cs="Times New Roman"/>
          <w:sz w:val="27"/>
          <w:szCs w:val="27"/>
          <w:lang w:val="ru-RU"/>
        </w:rPr>
        <w:t>Торговий</w:t>
      </w:r>
      <w:proofErr w:type="spellEnd"/>
      <w:r w:rsidR="000711F3" w:rsidRPr="00541802">
        <w:rPr>
          <w:rFonts w:ascii="Times New Roman" w:eastAsia="Times New Roman" w:hAnsi="Times New Roman" w:cs="Times New Roman"/>
          <w:sz w:val="27"/>
          <w:szCs w:val="27"/>
          <w:lang w:val="ru-RU"/>
        </w:rPr>
        <w:t xml:space="preserve"> </w:t>
      </w:r>
      <w:proofErr w:type="spellStart"/>
      <w:r w:rsidR="000711F3" w:rsidRPr="00541802">
        <w:rPr>
          <w:rFonts w:ascii="Times New Roman" w:eastAsia="Times New Roman" w:hAnsi="Times New Roman" w:cs="Times New Roman"/>
          <w:sz w:val="27"/>
          <w:szCs w:val="27"/>
          <w:lang w:val="ru-RU"/>
        </w:rPr>
        <w:t>репозитарій</w:t>
      </w:r>
      <w:proofErr w:type="spellEnd"/>
      <w:r w:rsidR="000711F3">
        <w:rPr>
          <w:rFonts w:ascii="Times New Roman" w:eastAsia="Times New Roman" w:hAnsi="Times New Roman" w:cs="Times New Roman"/>
          <w:sz w:val="27"/>
          <w:szCs w:val="27"/>
          <w:lang w:val="uk-UA"/>
        </w:rPr>
        <w:t>, що уповноважений або зареєстрований у державі-члені Союзу, де він створений, на збирання і ведення обліку деривативів відповідно до національного законодавства цієї держави-члена Союзу</w:t>
      </w:r>
      <w:r w:rsidR="000711F3" w:rsidRPr="00996AA4">
        <w:rPr>
          <w:rFonts w:ascii="Times New Roman" w:eastAsia="Times New Roman" w:hAnsi="Times New Roman" w:cs="Times New Roman"/>
          <w:sz w:val="27"/>
          <w:szCs w:val="27"/>
          <w:lang w:val="uk-UA"/>
        </w:rPr>
        <w:t xml:space="preserve"> </w:t>
      </w:r>
      <w:r w:rsidR="000711F3">
        <w:rPr>
          <w:rFonts w:ascii="Times New Roman" w:eastAsia="Times New Roman" w:hAnsi="Times New Roman" w:cs="Times New Roman"/>
          <w:sz w:val="27"/>
          <w:szCs w:val="27"/>
          <w:lang w:val="uk-UA"/>
        </w:rPr>
        <w:t>до того, як Комісією прийняті всі регуляторні та виконавчі технічні стандарти за статтями</w:t>
      </w:r>
      <w:r w:rsidR="000711F3" w:rsidRPr="00F812AC">
        <w:rPr>
          <w:rFonts w:ascii="Times New Roman" w:eastAsia="Times New Roman" w:hAnsi="Times New Roman" w:cs="Times New Roman"/>
          <w:sz w:val="27"/>
          <w:szCs w:val="27"/>
          <w:lang w:val="ru-RU"/>
        </w:rPr>
        <w:t xml:space="preserve"> </w:t>
      </w:r>
      <w:r w:rsidR="000711F3">
        <w:rPr>
          <w:rFonts w:ascii="Times New Roman" w:eastAsia="Times New Roman" w:hAnsi="Times New Roman" w:cs="Times New Roman"/>
          <w:sz w:val="27"/>
          <w:szCs w:val="27"/>
          <w:lang w:val="ru-RU"/>
        </w:rPr>
        <w:t xml:space="preserve">56 і 81, </w:t>
      </w:r>
      <w:r w:rsidR="003E28B8">
        <w:rPr>
          <w:rFonts w:ascii="Times New Roman" w:eastAsia="Times New Roman" w:hAnsi="Times New Roman" w:cs="Times New Roman"/>
          <w:sz w:val="27"/>
          <w:szCs w:val="27"/>
          <w:lang w:val="uk-UA"/>
        </w:rPr>
        <w:t xml:space="preserve">може використовуватися для виконання вимоги щодо звітування за статтею 9 доти, доки не буде прийнято рішення про реєстрацію цього торгового </w:t>
      </w:r>
      <w:proofErr w:type="spellStart"/>
      <w:r w:rsidR="003E28B8">
        <w:rPr>
          <w:rFonts w:ascii="Times New Roman" w:eastAsia="Times New Roman" w:hAnsi="Times New Roman" w:cs="Times New Roman"/>
          <w:sz w:val="27"/>
          <w:szCs w:val="27"/>
          <w:lang w:val="uk-UA"/>
        </w:rPr>
        <w:t>репозитарія</w:t>
      </w:r>
      <w:proofErr w:type="spellEnd"/>
      <w:r w:rsidR="003E28B8">
        <w:rPr>
          <w:rFonts w:ascii="Times New Roman" w:eastAsia="Times New Roman" w:hAnsi="Times New Roman" w:cs="Times New Roman"/>
          <w:sz w:val="27"/>
          <w:szCs w:val="27"/>
          <w:lang w:val="uk-UA"/>
        </w:rPr>
        <w:t xml:space="preserve"> за цим регламентом.</w:t>
      </w:r>
    </w:p>
    <w:p w:rsidR="003E28B8" w:rsidRDefault="003E28B8"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proofErr w:type="spellStart"/>
      <w:r w:rsidRPr="00541802">
        <w:rPr>
          <w:rFonts w:ascii="Times New Roman" w:eastAsia="Times New Roman" w:hAnsi="Times New Roman" w:cs="Times New Roman"/>
          <w:sz w:val="27"/>
          <w:szCs w:val="27"/>
          <w:lang w:val="ru-RU"/>
        </w:rPr>
        <w:t>Торговий</w:t>
      </w:r>
      <w:proofErr w:type="spellEnd"/>
      <w:r w:rsidRPr="00541802">
        <w:rPr>
          <w:rFonts w:ascii="Times New Roman" w:eastAsia="Times New Roman" w:hAnsi="Times New Roman" w:cs="Times New Roman"/>
          <w:sz w:val="27"/>
          <w:szCs w:val="27"/>
          <w:lang w:val="ru-RU"/>
        </w:rPr>
        <w:t xml:space="preserve"> </w:t>
      </w:r>
      <w:proofErr w:type="spellStart"/>
      <w:r w:rsidRPr="00541802">
        <w:rPr>
          <w:rFonts w:ascii="Times New Roman" w:eastAsia="Times New Roman" w:hAnsi="Times New Roman" w:cs="Times New Roman"/>
          <w:sz w:val="27"/>
          <w:szCs w:val="27"/>
          <w:lang w:val="ru-RU"/>
        </w:rPr>
        <w:t>репозитарій</w:t>
      </w:r>
      <w:proofErr w:type="spellEnd"/>
      <w:r>
        <w:rPr>
          <w:rFonts w:ascii="Times New Roman" w:eastAsia="Times New Roman" w:hAnsi="Times New Roman" w:cs="Times New Roman"/>
          <w:sz w:val="27"/>
          <w:szCs w:val="27"/>
          <w:lang w:val="uk-UA"/>
        </w:rPr>
        <w:t>, створений у третій країні, якому дозволено збирати та вести облік деривативів у державі-члені Союзу відповідно до національного законодавства цієї держави-члена Союзу</w:t>
      </w:r>
      <w:r w:rsidRPr="00996AA4">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до того, як Комісією прийняті всі регуляторні та виконавчі технічні стандарти за статтями</w:t>
      </w:r>
      <w:r w:rsidRPr="00F812AC">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 xml:space="preserve">56 і 81, </w:t>
      </w:r>
      <w:r>
        <w:rPr>
          <w:rFonts w:ascii="Times New Roman" w:eastAsia="Times New Roman" w:hAnsi="Times New Roman" w:cs="Times New Roman"/>
          <w:sz w:val="27"/>
          <w:szCs w:val="27"/>
          <w:lang w:val="uk-UA"/>
        </w:rPr>
        <w:t xml:space="preserve">може використовуватися для виконання вимоги щодо звітування за статтею 9 доти, доки не буде прийнято рішення про визнання цього торгового </w:t>
      </w:r>
      <w:proofErr w:type="spellStart"/>
      <w:r>
        <w:rPr>
          <w:rFonts w:ascii="Times New Roman" w:eastAsia="Times New Roman" w:hAnsi="Times New Roman" w:cs="Times New Roman"/>
          <w:sz w:val="27"/>
          <w:szCs w:val="27"/>
          <w:lang w:val="uk-UA"/>
        </w:rPr>
        <w:t>репозитарія</w:t>
      </w:r>
      <w:proofErr w:type="spellEnd"/>
      <w:r>
        <w:rPr>
          <w:rFonts w:ascii="Times New Roman" w:eastAsia="Times New Roman" w:hAnsi="Times New Roman" w:cs="Times New Roman"/>
          <w:sz w:val="27"/>
          <w:szCs w:val="27"/>
          <w:lang w:val="uk-UA"/>
        </w:rPr>
        <w:t xml:space="preserve"> за цим регламентом.</w:t>
      </w:r>
    </w:p>
    <w:p w:rsidR="00DE77B0" w:rsidRPr="003E28B8" w:rsidRDefault="00DE77B0" w:rsidP="003E28B8">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DC6693">
        <w:rPr>
          <w:rFonts w:ascii="Times New Roman" w:eastAsia="Times New Roman" w:hAnsi="Times New Roman" w:cs="Times New Roman"/>
          <w:sz w:val="27"/>
          <w:szCs w:val="27"/>
          <w:lang w:val="uk-UA"/>
        </w:rPr>
        <w:t>9.</w:t>
      </w:r>
      <w:r w:rsidRPr="006279CF">
        <w:rPr>
          <w:rFonts w:ascii="Times New Roman" w:eastAsia="Times New Roman" w:hAnsi="Times New Roman" w:cs="Times New Roman"/>
          <w:sz w:val="27"/>
          <w:szCs w:val="27"/>
        </w:rPr>
        <w:t>  </w:t>
      </w:r>
      <w:r w:rsidR="003E28B8">
        <w:rPr>
          <w:rFonts w:ascii="Times New Roman" w:eastAsia="Times New Roman" w:hAnsi="Times New Roman" w:cs="Times New Roman"/>
          <w:sz w:val="27"/>
          <w:szCs w:val="27"/>
          <w:lang w:val="uk-UA"/>
        </w:rPr>
        <w:t xml:space="preserve"> Без обмеження дії статті</w:t>
      </w:r>
      <w:r w:rsidRPr="003E28B8">
        <w:rPr>
          <w:rFonts w:ascii="Times New Roman" w:eastAsia="Times New Roman" w:hAnsi="Times New Roman" w:cs="Times New Roman"/>
          <w:sz w:val="27"/>
          <w:szCs w:val="27"/>
          <w:lang w:val="uk-UA"/>
        </w:rPr>
        <w:t xml:space="preserve"> 81(3)(</w:t>
      </w:r>
      <w:r w:rsidRPr="006279CF">
        <w:rPr>
          <w:rFonts w:ascii="Times New Roman" w:eastAsia="Times New Roman" w:hAnsi="Times New Roman" w:cs="Times New Roman"/>
          <w:sz w:val="27"/>
          <w:szCs w:val="27"/>
        </w:rPr>
        <w:t>f</w:t>
      </w:r>
      <w:r w:rsidRPr="003E28B8">
        <w:rPr>
          <w:rFonts w:ascii="Times New Roman" w:eastAsia="Times New Roman" w:hAnsi="Times New Roman" w:cs="Times New Roman"/>
          <w:sz w:val="27"/>
          <w:szCs w:val="27"/>
          <w:lang w:val="uk-UA"/>
        </w:rPr>
        <w:t xml:space="preserve">), </w:t>
      </w:r>
      <w:r w:rsidR="003E28B8">
        <w:rPr>
          <w:rFonts w:ascii="Times New Roman" w:eastAsia="Times New Roman" w:hAnsi="Times New Roman" w:cs="Times New Roman"/>
          <w:sz w:val="27"/>
          <w:szCs w:val="27"/>
          <w:lang w:val="uk-UA"/>
        </w:rPr>
        <w:t>якщо між третьою країною та Союзом не укладено міжнародної угоди, згаданої у статті 75, то т</w:t>
      </w:r>
      <w:r w:rsidR="00341784" w:rsidRPr="003E28B8">
        <w:rPr>
          <w:rFonts w:ascii="Times New Roman" w:eastAsia="Times New Roman" w:hAnsi="Times New Roman" w:cs="Times New Roman"/>
          <w:sz w:val="27"/>
          <w:szCs w:val="27"/>
          <w:lang w:val="uk-UA"/>
        </w:rPr>
        <w:t xml:space="preserve">орговий </w:t>
      </w:r>
      <w:proofErr w:type="spellStart"/>
      <w:r w:rsidR="00341784" w:rsidRPr="003E28B8">
        <w:rPr>
          <w:rFonts w:ascii="Times New Roman" w:eastAsia="Times New Roman" w:hAnsi="Times New Roman" w:cs="Times New Roman"/>
          <w:sz w:val="27"/>
          <w:szCs w:val="27"/>
          <w:lang w:val="uk-UA"/>
        </w:rPr>
        <w:t>репозитарій</w:t>
      </w:r>
      <w:proofErr w:type="spellEnd"/>
      <w:r w:rsidRPr="003E28B8">
        <w:rPr>
          <w:rFonts w:ascii="Times New Roman" w:eastAsia="Times New Roman" w:hAnsi="Times New Roman" w:cs="Times New Roman"/>
          <w:sz w:val="27"/>
          <w:szCs w:val="27"/>
          <w:lang w:val="uk-UA"/>
        </w:rPr>
        <w:t xml:space="preserve"> </w:t>
      </w:r>
      <w:r w:rsidR="003E28B8">
        <w:rPr>
          <w:rFonts w:ascii="Times New Roman" w:eastAsia="Times New Roman" w:hAnsi="Times New Roman" w:cs="Times New Roman"/>
          <w:sz w:val="27"/>
          <w:szCs w:val="27"/>
          <w:lang w:val="uk-UA"/>
        </w:rPr>
        <w:t xml:space="preserve">може надавати необхідну інформацію відповідним органам цієї третьої країни до 17 серпня 2013 р. за умови, що він повідомив про це </w:t>
      </w:r>
      <w:r w:rsidRPr="006279CF">
        <w:rPr>
          <w:rFonts w:ascii="Times New Roman" w:eastAsia="Times New Roman" w:hAnsi="Times New Roman" w:cs="Times New Roman"/>
          <w:sz w:val="27"/>
          <w:szCs w:val="27"/>
        </w:rPr>
        <w:t>ESMA</w:t>
      </w:r>
      <w:r w:rsidRPr="003E28B8">
        <w:rPr>
          <w:rFonts w:ascii="Times New Roman" w:eastAsia="Times New Roman" w:hAnsi="Times New Roman" w:cs="Times New Roman"/>
          <w:sz w:val="27"/>
          <w:szCs w:val="27"/>
          <w:lang w:val="uk-UA"/>
        </w:rPr>
        <w:t>.</w:t>
      </w:r>
    </w:p>
    <w:p w:rsidR="00DE77B0" w:rsidRPr="00DC669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uk-UA"/>
        </w:rPr>
      </w:pPr>
      <w:r w:rsidRPr="00DC6693">
        <w:rPr>
          <w:rFonts w:ascii="Times New Roman" w:eastAsia="Times New Roman" w:hAnsi="Times New Roman" w:cs="Times New Roman"/>
          <w:i/>
          <w:iCs/>
          <w:sz w:val="27"/>
          <w:szCs w:val="27"/>
          <w:lang w:val="uk-UA"/>
        </w:rPr>
        <w:t>Стаття</w:t>
      </w:r>
      <w:r w:rsidR="00DE77B0" w:rsidRPr="00DC6693">
        <w:rPr>
          <w:rFonts w:ascii="Times New Roman" w:eastAsia="Times New Roman" w:hAnsi="Times New Roman" w:cs="Times New Roman"/>
          <w:i/>
          <w:iCs/>
          <w:sz w:val="27"/>
          <w:szCs w:val="27"/>
          <w:lang w:val="uk-UA"/>
        </w:rPr>
        <w:t xml:space="preserve"> 90</w:t>
      </w:r>
    </w:p>
    <w:p w:rsidR="00DE77B0" w:rsidRPr="00DC6693" w:rsidRDefault="00E210BB"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Персонал і ресурси</w:t>
      </w:r>
      <w:r w:rsidR="00DE77B0" w:rsidRPr="00DC6693">
        <w:rPr>
          <w:rFonts w:ascii="Times New Roman" w:eastAsia="Times New Roman" w:hAnsi="Times New Roman" w:cs="Times New Roman"/>
          <w:b/>
          <w:bCs/>
          <w:sz w:val="27"/>
          <w:szCs w:val="27"/>
          <w:lang w:val="uk-UA"/>
        </w:rPr>
        <w:t xml:space="preserve"> </w:t>
      </w:r>
      <w:r w:rsidR="00DE77B0" w:rsidRPr="006279CF">
        <w:rPr>
          <w:rFonts w:ascii="Times New Roman" w:eastAsia="Times New Roman" w:hAnsi="Times New Roman" w:cs="Times New Roman"/>
          <w:b/>
          <w:bCs/>
          <w:sz w:val="27"/>
          <w:szCs w:val="27"/>
        </w:rPr>
        <w:t>ESMA</w:t>
      </w:r>
    </w:p>
    <w:p w:rsidR="00DE77B0" w:rsidRPr="00DC6693" w:rsidRDefault="009B48D0" w:rsidP="00A774E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sidRPr="00DC6693">
        <w:rPr>
          <w:rFonts w:ascii="Times New Roman" w:eastAsia="Times New Roman" w:hAnsi="Times New Roman" w:cs="Times New Roman"/>
          <w:sz w:val="27"/>
          <w:szCs w:val="27"/>
          <w:lang w:val="uk-UA"/>
        </w:rPr>
        <w:t xml:space="preserve">До 31 </w:t>
      </w:r>
      <w:r>
        <w:rPr>
          <w:rFonts w:ascii="Times New Roman" w:eastAsia="Times New Roman" w:hAnsi="Times New Roman" w:cs="Times New Roman"/>
          <w:sz w:val="27"/>
          <w:szCs w:val="27"/>
          <w:lang w:val="uk-UA"/>
        </w:rPr>
        <w:t xml:space="preserve">грудня 2012 р. </w:t>
      </w:r>
      <w:r w:rsidR="00DE77B0" w:rsidRPr="006279CF">
        <w:rPr>
          <w:rFonts w:ascii="Times New Roman" w:eastAsia="Times New Roman" w:hAnsi="Times New Roman" w:cs="Times New Roman"/>
          <w:sz w:val="27"/>
          <w:szCs w:val="27"/>
        </w:rPr>
        <w:t>ESMA</w:t>
      </w:r>
      <w:r w:rsidR="00DE77B0" w:rsidRPr="00DC6693">
        <w:rPr>
          <w:rFonts w:ascii="Times New Roman" w:eastAsia="Times New Roman" w:hAnsi="Times New Roman" w:cs="Times New Roman"/>
          <w:sz w:val="27"/>
          <w:szCs w:val="27"/>
          <w:lang w:val="uk-UA"/>
        </w:rPr>
        <w:t xml:space="preserve"> </w:t>
      </w:r>
      <w:r>
        <w:rPr>
          <w:rFonts w:ascii="Times New Roman" w:eastAsia="Times New Roman" w:hAnsi="Times New Roman" w:cs="Times New Roman"/>
          <w:sz w:val="27"/>
          <w:szCs w:val="27"/>
          <w:lang w:val="uk-UA"/>
        </w:rPr>
        <w:t xml:space="preserve">проводить оцінку потреб </w:t>
      </w:r>
      <w:r w:rsidR="00A774E9" w:rsidRPr="00DC6693">
        <w:rPr>
          <w:rFonts w:ascii="Times New Roman" w:eastAsia="Times New Roman" w:hAnsi="Times New Roman" w:cs="Times New Roman"/>
          <w:sz w:val="27"/>
          <w:szCs w:val="27"/>
          <w:lang w:val="uk-UA"/>
        </w:rPr>
        <w:t xml:space="preserve">у кадрах і ресурсах, </w:t>
      </w:r>
      <w:r w:rsidR="00A774E9">
        <w:rPr>
          <w:rFonts w:ascii="Times New Roman" w:eastAsia="Times New Roman" w:hAnsi="Times New Roman" w:cs="Times New Roman"/>
          <w:sz w:val="27"/>
          <w:szCs w:val="27"/>
          <w:lang w:val="uk-UA"/>
        </w:rPr>
        <w:t xml:space="preserve">що виникають із прийняття нею своїх повноважень і обов’язків </w:t>
      </w:r>
      <w:r w:rsidR="00A774E9" w:rsidRPr="00DC6693">
        <w:rPr>
          <w:rFonts w:ascii="Times New Roman" w:eastAsia="Times New Roman" w:hAnsi="Times New Roman" w:cs="Times New Roman"/>
          <w:sz w:val="27"/>
          <w:szCs w:val="27"/>
          <w:lang w:val="uk-UA"/>
        </w:rPr>
        <w:t>відповідно до цього регламенту</w:t>
      </w:r>
      <w:r w:rsidR="00A774E9">
        <w:rPr>
          <w:rFonts w:ascii="Times New Roman" w:eastAsia="Times New Roman" w:hAnsi="Times New Roman" w:cs="Times New Roman"/>
          <w:sz w:val="27"/>
          <w:szCs w:val="27"/>
          <w:lang w:val="uk-UA"/>
        </w:rPr>
        <w:t>, і подає звіт Європейському Парламенту, Раді та Комісії.</w:t>
      </w:r>
    </w:p>
    <w:p w:rsidR="00DE77B0" w:rsidRPr="00DC6693" w:rsidRDefault="00155A2A" w:rsidP="00187079">
      <w:pPr>
        <w:shd w:val="clear" w:color="auto" w:fill="FFFFFF"/>
        <w:spacing w:before="360" w:after="120" w:line="240" w:lineRule="auto"/>
        <w:jc w:val="center"/>
        <w:textAlignment w:val="baseline"/>
        <w:rPr>
          <w:rFonts w:ascii="Times New Roman" w:eastAsia="Times New Roman" w:hAnsi="Times New Roman" w:cs="Times New Roman"/>
          <w:i/>
          <w:iCs/>
          <w:sz w:val="27"/>
          <w:szCs w:val="27"/>
          <w:lang w:val="ru-RU"/>
        </w:rPr>
      </w:pPr>
      <w:proofErr w:type="spellStart"/>
      <w:r w:rsidRPr="00DC6693">
        <w:rPr>
          <w:rFonts w:ascii="Times New Roman" w:eastAsia="Times New Roman" w:hAnsi="Times New Roman" w:cs="Times New Roman"/>
          <w:i/>
          <w:iCs/>
          <w:sz w:val="27"/>
          <w:szCs w:val="27"/>
          <w:lang w:val="ru-RU"/>
        </w:rPr>
        <w:t>Стаття</w:t>
      </w:r>
      <w:proofErr w:type="spellEnd"/>
      <w:r w:rsidR="00DE77B0" w:rsidRPr="00DC6693">
        <w:rPr>
          <w:rFonts w:ascii="Times New Roman" w:eastAsia="Times New Roman" w:hAnsi="Times New Roman" w:cs="Times New Roman"/>
          <w:i/>
          <w:iCs/>
          <w:sz w:val="27"/>
          <w:szCs w:val="27"/>
          <w:lang w:val="ru-RU"/>
        </w:rPr>
        <w:t xml:space="preserve"> 91</w:t>
      </w:r>
    </w:p>
    <w:p w:rsidR="00DE77B0" w:rsidRPr="00E210BB" w:rsidRDefault="00E210BB" w:rsidP="00187079">
      <w:pPr>
        <w:shd w:val="clear" w:color="auto" w:fill="FFFFFF"/>
        <w:spacing w:before="60" w:after="120" w:line="240" w:lineRule="auto"/>
        <w:jc w:val="center"/>
        <w:textAlignment w:val="baseline"/>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Набрання чинності</w:t>
      </w:r>
    </w:p>
    <w:p w:rsidR="00DE77B0" w:rsidRPr="00DC6693" w:rsidRDefault="00A774E9" w:rsidP="00A774E9">
      <w:pPr>
        <w:shd w:val="clear" w:color="auto" w:fill="FFFFFF"/>
        <w:spacing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Цей регламент набирає чинності на двадцятий день після його публікації в «Офіційному віснику Європейського Союзу».</w:t>
      </w:r>
    </w:p>
    <w:p w:rsidR="00DE77B0" w:rsidRPr="00DC6693" w:rsidRDefault="00A774E9" w:rsidP="00A774E9">
      <w:pPr>
        <w:shd w:val="clear" w:color="auto" w:fill="FFFFFF"/>
        <w:spacing w:after="0" w:line="240" w:lineRule="auto"/>
        <w:jc w:val="both"/>
        <w:textAlignment w:val="baseline"/>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Цей регламент є обов’язковим для виконання в повному обсязі та безпосередньо застосовним у всіх державах-членах Союзу.</w:t>
      </w:r>
    </w:p>
    <w:p w:rsidR="00DE77B0" w:rsidRDefault="00A774E9"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Укладено у Страсбурзі 4 липня 2012 р.</w:t>
      </w:r>
    </w:p>
    <w:p w:rsidR="00A774E9" w:rsidRPr="00DC6693" w:rsidRDefault="00A774E9" w:rsidP="00187079">
      <w:pPr>
        <w:shd w:val="clear" w:color="auto" w:fill="FFFFFF"/>
        <w:spacing w:before="120" w:after="0" w:line="240" w:lineRule="auto"/>
        <w:jc w:val="both"/>
        <w:textAlignment w:val="baseline"/>
        <w:rPr>
          <w:rFonts w:ascii="Times New Roman" w:eastAsia="Times New Roman" w:hAnsi="Times New Roman" w:cs="Times New Roman"/>
          <w:sz w:val="27"/>
          <w:szCs w:val="27"/>
          <w:lang w:val="ru-RU"/>
        </w:rPr>
      </w:pPr>
    </w:p>
    <w:p w:rsidR="00DE77B0" w:rsidRPr="00A774E9" w:rsidRDefault="00A774E9" w:rsidP="00187079">
      <w:pPr>
        <w:shd w:val="clear" w:color="auto" w:fill="FFFFFF"/>
        <w:spacing w:after="0" w:line="240" w:lineRule="auto"/>
        <w:jc w:val="center"/>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i/>
          <w:iCs/>
          <w:sz w:val="27"/>
          <w:szCs w:val="27"/>
          <w:bdr w:val="none" w:sz="0" w:space="0" w:color="auto" w:frame="1"/>
          <w:lang w:val="uk-UA"/>
        </w:rPr>
        <w:t>За Європейський Парламент</w:t>
      </w:r>
    </w:p>
    <w:p w:rsidR="00DE77B0" w:rsidRPr="00A774E9" w:rsidRDefault="00A774E9" w:rsidP="00187079">
      <w:pPr>
        <w:shd w:val="clear" w:color="auto" w:fill="FFFFFF"/>
        <w:spacing w:after="0" w:line="240" w:lineRule="auto"/>
        <w:jc w:val="center"/>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i/>
          <w:iCs/>
          <w:sz w:val="27"/>
          <w:szCs w:val="27"/>
          <w:bdr w:val="none" w:sz="0" w:space="0" w:color="auto" w:frame="1"/>
          <w:lang w:val="uk-UA"/>
        </w:rPr>
        <w:t>Голова</w:t>
      </w:r>
    </w:p>
    <w:p w:rsidR="00DE77B0" w:rsidRPr="00A774E9" w:rsidRDefault="00DE77B0" w:rsidP="00187079">
      <w:pPr>
        <w:shd w:val="clear" w:color="auto" w:fill="FFFFFF"/>
        <w:spacing w:before="60" w:after="60" w:line="240" w:lineRule="auto"/>
        <w:jc w:val="center"/>
        <w:textAlignment w:val="baseline"/>
        <w:rPr>
          <w:rFonts w:ascii="Times New Roman" w:eastAsia="Times New Roman" w:hAnsi="Times New Roman" w:cs="Times New Roman"/>
          <w:sz w:val="27"/>
          <w:szCs w:val="27"/>
          <w:lang w:val="uk-UA"/>
        </w:rPr>
      </w:pPr>
      <w:r w:rsidRPr="006279CF">
        <w:rPr>
          <w:rFonts w:ascii="Times New Roman" w:eastAsia="Times New Roman" w:hAnsi="Times New Roman" w:cs="Times New Roman"/>
          <w:sz w:val="27"/>
          <w:szCs w:val="27"/>
        </w:rPr>
        <w:lastRenderedPageBreak/>
        <w:t>M</w:t>
      </w:r>
      <w:r w:rsidRPr="00A774E9">
        <w:rPr>
          <w:rFonts w:ascii="Times New Roman" w:eastAsia="Times New Roman" w:hAnsi="Times New Roman" w:cs="Times New Roman"/>
          <w:sz w:val="27"/>
          <w:szCs w:val="27"/>
          <w:lang w:val="ru-RU"/>
        </w:rPr>
        <w:t xml:space="preserve">. </w:t>
      </w:r>
      <w:r w:rsidR="00A774E9">
        <w:rPr>
          <w:rFonts w:ascii="Times New Roman" w:eastAsia="Times New Roman" w:hAnsi="Times New Roman" w:cs="Times New Roman"/>
          <w:sz w:val="27"/>
          <w:szCs w:val="27"/>
          <w:lang w:val="uk-UA"/>
        </w:rPr>
        <w:t>ШУЛЬЦ</w:t>
      </w:r>
    </w:p>
    <w:p w:rsidR="00DE77B0" w:rsidRPr="00A774E9" w:rsidRDefault="00A774E9" w:rsidP="00187079">
      <w:pPr>
        <w:shd w:val="clear" w:color="auto" w:fill="FFFFFF"/>
        <w:spacing w:after="0" w:line="240" w:lineRule="auto"/>
        <w:jc w:val="center"/>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i/>
          <w:iCs/>
          <w:sz w:val="27"/>
          <w:szCs w:val="27"/>
          <w:bdr w:val="none" w:sz="0" w:space="0" w:color="auto" w:frame="1"/>
          <w:lang w:val="uk-UA"/>
        </w:rPr>
        <w:t>За Раду</w:t>
      </w:r>
    </w:p>
    <w:p w:rsidR="00DE77B0" w:rsidRPr="00A774E9" w:rsidRDefault="00A774E9" w:rsidP="00187079">
      <w:pPr>
        <w:shd w:val="clear" w:color="auto" w:fill="FFFFFF"/>
        <w:spacing w:after="0" w:line="240" w:lineRule="auto"/>
        <w:jc w:val="center"/>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i/>
          <w:iCs/>
          <w:sz w:val="27"/>
          <w:szCs w:val="27"/>
          <w:bdr w:val="none" w:sz="0" w:space="0" w:color="auto" w:frame="1"/>
          <w:lang w:val="uk-UA"/>
        </w:rPr>
        <w:t>Голова</w:t>
      </w:r>
    </w:p>
    <w:p w:rsidR="00DE77B0" w:rsidRPr="00DC6693" w:rsidRDefault="00DE77B0" w:rsidP="00187079">
      <w:pPr>
        <w:shd w:val="clear" w:color="auto" w:fill="FFFFFF"/>
        <w:spacing w:before="60" w:after="60" w:line="240" w:lineRule="auto"/>
        <w:jc w:val="center"/>
        <w:textAlignment w:val="baseline"/>
        <w:rPr>
          <w:rFonts w:ascii="Times New Roman" w:eastAsia="Times New Roman" w:hAnsi="Times New Roman" w:cs="Times New Roman"/>
          <w:sz w:val="27"/>
          <w:szCs w:val="27"/>
          <w:lang w:val="ru-RU"/>
        </w:rPr>
      </w:pPr>
      <w:r w:rsidRPr="006279CF">
        <w:rPr>
          <w:rFonts w:ascii="Times New Roman" w:eastAsia="Times New Roman" w:hAnsi="Times New Roman" w:cs="Times New Roman"/>
          <w:sz w:val="27"/>
          <w:szCs w:val="27"/>
        </w:rPr>
        <w:t>A</w:t>
      </w:r>
      <w:r w:rsidRPr="00DC6693">
        <w:rPr>
          <w:rFonts w:ascii="Times New Roman" w:eastAsia="Times New Roman" w:hAnsi="Times New Roman" w:cs="Times New Roman"/>
          <w:sz w:val="27"/>
          <w:szCs w:val="27"/>
          <w:lang w:val="ru-RU"/>
        </w:rPr>
        <w:t xml:space="preserve">. </w:t>
      </w:r>
      <w:r w:rsidR="00A774E9">
        <w:rPr>
          <w:rFonts w:ascii="Times New Roman" w:eastAsia="Times New Roman" w:hAnsi="Times New Roman" w:cs="Times New Roman"/>
          <w:sz w:val="27"/>
          <w:szCs w:val="27"/>
          <w:lang w:val="uk-UA"/>
        </w:rPr>
        <w:t>Д.</w:t>
      </w:r>
      <w:r w:rsidRPr="00DC6693">
        <w:rPr>
          <w:rFonts w:ascii="Times New Roman" w:eastAsia="Times New Roman" w:hAnsi="Times New Roman" w:cs="Times New Roman"/>
          <w:sz w:val="27"/>
          <w:szCs w:val="27"/>
          <w:lang w:val="ru-RU"/>
        </w:rPr>
        <w:t xml:space="preserve"> </w:t>
      </w:r>
      <w:r w:rsidR="00A774E9">
        <w:rPr>
          <w:rFonts w:ascii="Times New Roman" w:eastAsia="Times New Roman" w:hAnsi="Times New Roman" w:cs="Times New Roman"/>
          <w:sz w:val="27"/>
          <w:szCs w:val="27"/>
          <w:lang w:val="ru-RU"/>
        </w:rPr>
        <w:t>МАВРОЯННІС</w:t>
      </w:r>
    </w:p>
    <w:p w:rsidR="00DE77B0" w:rsidRPr="006279CF" w:rsidRDefault="00113714" w:rsidP="00187079">
      <w:pPr>
        <w:spacing w:before="24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44.65pt;height:.75pt" o:hrpct="0" o:hrstd="t" o:hrnoshade="t" o:hr="t" fillcolor="black" stroked="f"/>
        </w:pict>
      </w:r>
    </w:p>
    <w:p w:rsidR="00DE77B0" w:rsidRPr="00DC6693"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lang w:val="ru-RU"/>
        </w:rPr>
      </w:pPr>
      <w:hyperlink r:id="rId38" w:anchor="ntc1-L_2012201EN.01000101-E0001" w:history="1">
        <w:r w:rsidR="00DE77B0" w:rsidRPr="00DC6693">
          <w:rPr>
            <w:rFonts w:ascii="Times New Roman" w:eastAsia="Times New Roman" w:hAnsi="Times New Roman" w:cs="Times New Roman"/>
            <w:sz w:val="19"/>
            <w:szCs w:val="19"/>
            <w:bdr w:val="none" w:sz="0" w:space="0" w:color="auto" w:frame="1"/>
            <w:lang w:val="ru-RU"/>
          </w:rPr>
          <w:t>(</w:t>
        </w:r>
        <w:r w:rsidR="00DE77B0" w:rsidRPr="00DC6693">
          <w:rPr>
            <w:rFonts w:ascii="Times New Roman" w:eastAsia="Times New Roman" w:hAnsi="Times New Roman" w:cs="Times New Roman"/>
            <w:sz w:val="13"/>
            <w:szCs w:val="13"/>
            <w:bdr w:val="none" w:sz="0" w:space="0" w:color="auto" w:frame="1"/>
            <w:vertAlign w:val="superscript"/>
            <w:lang w:val="ru-RU"/>
          </w:rPr>
          <w:t>1</w:t>
        </w:r>
        <w:r w:rsidR="00DE77B0" w:rsidRPr="00DC6693">
          <w:rPr>
            <w:rFonts w:ascii="Times New Roman" w:eastAsia="Times New Roman" w:hAnsi="Times New Roman" w:cs="Times New Roman"/>
            <w:sz w:val="19"/>
            <w:szCs w:val="19"/>
            <w:bdr w:val="none" w:sz="0" w:space="0" w:color="auto" w:frame="1"/>
            <w:lang w:val="ru-RU"/>
          </w:rPr>
          <w:t>)</w:t>
        </w:r>
      </w:hyperlink>
      <w:r w:rsidR="00DE77B0" w:rsidRPr="006279CF">
        <w:rPr>
          <w:rFonts w:ascii="Times New Roman" w:eastAsia="Times New Roman" w:hAnsi="Times New Roman" w:cs="Times New Roman"/>
          <w:sz w:val="19"/>
          <w:szCs w:val="19"/>
        </w:rPr>
        <w:t>  </w:t>
      </w:r>
      <w:hyperlink r:id="rId39" w:history="1">
        <w:r w:rsidR="00DE77B0" w:rsidRPr="006279CF">
          <w:rPr>
            <w:rFonts w:ascii="Times New Roman" w:eastAsia="Times New Roman" w:hAnsi="Times New Roman" w:cs="Times New Roman"/>
            <w:sz w:val="19"/>
            <w:szCs w:val="19"/>
            <w:bdr w:val="none" w:sz="0" w:space="0" w:color="auto" w:frame="1"/>
          </w:rPr>
          <w:t>OJ</w:t>
        </w:r>
        <w:r w:rsidR="00DE77B0" w:rsidRPr="00DC6693">
          <w:rPr>
            <w:rFonts w:ascii="Times New Roman" w:eastAsia="Times New Roman" w:hAnsi="Times New Roman" w:cs="Times New Roman"/>
            <w:sz w:val="19"/>
            <w:szCs w:val="19"/>
            <w:bdr w:val="none" w:sz="0" w:space="0" w:color="auto" w:frame="1"/>
            <w:lang w:val="ru-RU"/>
          </w:rPr>
          <w:t xml:space="preserve"> </w:t>
        </w:r>
        <w:r w:rsidR="00DE77B0" w:rsidRPr="006279CF">
          <w:rPr>
            <w:rFonts w:ascii="Times New Roman" w:eastAsia="Times New Roman" w:hAnsi="Times New Roman" w:cs="Times New Roman"/>
            <w:sz w:val="19"/>
            <w:szCs w:val="19"/>
            <w:bdr w:val="none" w:sz="0" w:space="0" w:color="auto" w:frame="1"/>
          </w:rPr>
          <w:t>C</w:t>
        </w:r>
        <w:r w:rsidR="00DE77B0" w:rsidRPr="00DC6693">
          <w:rPr>
            <w:rFonts w:ascii="Times New Roman" w:eastAsia="Times New Roman" w:hAnsi="Times New Roman" w:cs="Times New Roman"/>
            <w:sz w:val="19"/>
            <w:szCs w:val="19"/>
            <w:bdr w:val="none" w:sz="0" w:space="0" w:color="auto" w:frame="1"/>
            <w:lang w:val="ru-RU"/>
          </w:rPr>
          <w:t xml:space="preserve"> 57, 23.2.2011, </w:t>
        </w:r>
        <w:r w:rsidR="00DE77B0" w:rsidRPr="006279CF">
          <w:rPr>
            <w:rFonts w:ascii="Times New Roman" w:eastAsia="Times New Roman" w:hAnsi="Times New Roman" w:cs="Times New Roman"/>
            <w:sz w:val="19"/>
            <w:szCs w:val="19"/>
            <w:bdr w:val="none" w:sz="0" w:space="0" w:color="auto" w:frame="1"/>
          </w:rPr>
          <w:t>p</w:t>
        </w:r>
        <w:r w:rsidR="00DE77B0" w:rsidRPr="00DC6693">
          <w:rPr>
            <w:rFonts w:ascii="Times New Roman" w:eastAsia="Times New Roman" w:hAnsi="Times New Roman" w:cs="Times New Roman"/>
            <w:sz w:val="19"/>
            <w:szCs w:val="19"/>
            <w:bdr w:val="none" w:sz="0" w:space="0" w:color="auto" w:frame="1"/>
            <w:lang w:val="ru-RU"/>
          </w:rPr>
          <w:t>. 1</w:t>
        </w:r>
      </w:hyperlink>
      <w:r w:rsidR="00DE77B0" w:rsidRPr="00DC6693">
        <w:rPr>
          <w:rFonts w:ascii="Times New Roman" w:eastAsia="Times New Roman" w:hAnsi="Times New Roman" w:cs="Times New Roman"/>
          <w:sz w:val="19"/>
          <w:szCs w:val="19"/>
          <w:lang w:val="ru-RU"/>
        </w:rPr>
        <w:t>.</w:t>
      </w:r>
    </w:p>
    <w:p w:rsidR="00DE77B0" w:rsidRPr="00DC6693"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lang w:val="ru-RU"/>
        </w:rPr>
      </w:pPr>
      <w:hyperlink r:id="rId40" w:anchor="ntc2-L_2012201EN.01000101-E0002" w:history="1">
        <w:r w:rsidR="00DE77B0" w:rsidRPr="00DC6693">
          <w:rPr>
            <w:rFonts w:ascii="Times New Roman" w:eastAsia="Times New Roman" w:hAnsi="Times New Roman" w:cs="Times New Roman"/>
            <w:sz w:val="19"/>
            <w:szCs w:val="19"/>
            <w:bdr w:val="none" w:sz="0" w:space="0" w:color="auto" w:frame="1"/>
            <w:lang w:val="ru-RU"/>
          </w:rPr>
          <w:t>(</w:t>
        </w:r>
        <w:r w:rsidR="00DE77B0" w:rsidRPr="00DC6693">
          <w:rPr>
            <w:rFonts w:ascii="Times New Roman" w:eastAsia="Times New Roman" w:hAnsi="Times New Roman" w:cs="Times New Roman"/>
            <w:sz w:val="13"/>
            <w:szCs w:val="13"/>
            <w:bdr w:val="none" w:sz="0" w:space="0" w:color="auto" w:frame="1"/>
            <w:vertAlign w:val="superscript"/>
            <w:lang w:val="ru-RU"/>
          </w:rPr>
          <w:t>2</w:t>
        </w:r>
        <w:r w:rsidR="00DE77B0" w:rsidRPr="00DC6693">
          <w:rPr>
            <w:rFonts w:ascii="Times New Roman" w:eastAsia="Times New Roman" w:hAnsi="Times New Roman" w:cs="Times New Roman"/>
            <w:sz w:val="19"/>
            <w:szCs w:val="19"/>
            <w:bdr w:val="none" w:sz="0" w:space="0" w:color="auto" w:frame="1"/>
            <w:lang w:val="ru-RU"/>
          </w:rPr>
          <w:t>)</w:t>
        </w:r>
      </w:hyperlink>
      <w:r w:rsidR="00DE77B0" w:rsidRPr="006279CF">
        <w:rPr>
          <w:rFonts w:ascii="Times New Roman" w:eastAsia="Times New Roman" w:hAnsi="Times New Roman" w:cs="Times New Roman"/>
          <w:sz w:val="19"/>
          <w:szCs w:val="19"/>
        </w:rPr>
        <w:t>  </w:t>
      </w:r>
      <w:hyperlink r:id="rId41" w:history="1">
        <w:r w:rsidR="00DE77B0" w:rsidRPr="006279CF">
          <w:rPr>
            <w:rFonts w:ascii="Times New Roman" w:eastAsia="Times New Roman" w:hAnsi="Times New Roman" w:cs="Times New Roman"/>
            <w:sz w:val="19"/>
            <w:szCs w:val="19"/>
            <w:bdr w:val="none" w:sz="0" w:space="0" w:color="auto" w:frame="1"/>
          </w:rPr>
          <w:t>OJ</w:t>
        </w:r>
        <w:r w:rsidR="00DE77B0" w:rsidRPr="00DC6693">
          <w:rPr>
            <w:rFonts w:ascii="Times New Roman" w:eastAsia="Times New Roman" w:hAnsi="Times New Roman" w:cs="Times New Roman"/>
            <w:sz w:val="19"/>
            <w:szCs w:val="19"/>
            <w:bdr w:val="none" w:sz="0" w:space="0" w:color="auto" w:frame="1"/>
            <w:lang w:val="ru-RU"/>
          </w:rPr>
          <w:t xml:space="preserve"> </w:t>
        </w:r>
        <w:r w:rsidR="00DE77B0" w:rsidRPr="006279CF">
          <w:rPr>
            <w:rFonts w:ascii="Times New Roman" w:eastAsia="Times New Roman" w:hAnsi="Times New Roman" w:cs="Times New Roman"/>
            <w:sz w:val="19"/>
            <w:szCs w:val="19"/>
            <w:bdr w:val="none" w:sz="0" w:space="0" w:color="auto" w:frame="1"/>
          </w:rPr>
          <w:t>C</w:t>
        </w:r>
        <w:r w:rsidR="00DE77B0" w:rsidRPr="00DC6693">
          <w:rPr>
            <w:rFonts w:ascii="Times New Roman" w:eastAsia="Times New Roman" w:hAnsi="Times New Roman" w:cs="Times New Roman"/>
            <w:sz w:val="19"/>
            <w:szCs w:val="19"/>
            <w:bdr w:val="none" w:sz="0" w:space="0" w:color="auto" w:frame="1"/>
            <w:lang w:val="ru-RU"/>
          </w:rPr>
          <w:t xml:space="preserve"> 54, 19.2.2011, </w:t>
        </w:r>
        <w:r w:rsidR="00DE77B0" w:rsidRPr="006279CF">
          <w:rPr>
            <w:rFonts w:ascii="Times New Roman" w:eastAsia="Times New Roman" w:hAnsi="Times New Roman" w:cs="Times New Roman"/>
            <w:sz w:val="19"/>
            <w:szCs w:val="19"/>
            <w:bdr w:val="none" w:sz="0" w:space="0" w:color="auto" w:frame="1"/>
          </w:rPr>
          <w:t>p</w:t>
        </w:r>
        <w:r w:rsidR="00DE77B0" w:rsidRPr="00DC6693">
          <w:rPr>
            <w:rFonts w:ascii="Times New Roman" w:eastAsia="Times New Roman" w:hAnsi="Times New Roman" w:cs="Times New Roman"/>
            <w:sz w:val="19"/>
            <w:szCs w:val="19"/>
            <w:bdr w:val="none" w:sz="0" w:space="0" w:color="auto" w:frame="1"/>
            <w:lang w:val="ru-RU"/>
          </w:rPr>
          <w:t>. 44</w:t>
        </w:r>
      </w:hyperlink>
      <w:r w:rsidR="00DE77B0" w:rsidRPr="00DC6693">
        <w:rPr>
          <w:rFonts w:ascii="Times New Roman" w:eastAsia="Times New Roman" w:hAnsi="Times New Roman" w:cs="Times New Roman"/>
          <w:sz w:val="19"/>
          <w:szCs w:val="19"/>
          <w:lang w:val="ru-RU"/>
        </w:rPr>
        <w:t>.</w:t>
      </w:r>
    </w:p>
    <w:p w:rsidR="00880D8A" w:rsidRPr="00DC6693" w:rsidRDefault="00113714" w:rsidP="00C464EC">
      <w:pPr>
        <w:shd w:val="clear" w:color="auto" w:fill="FFFFFF"/>
        <w:spacing w:after="0" w:line="240" w:lineRule="auto"/>
        <w:jc w:val="both"/>
        <w:textAlignment w:val="baseline"/>
        <w:rPr>
          <w:rFonts w:ascii="Times New Roman" w:eastAsia="Times New Roman" w:hAnsi="Times New Roman" w:cs="Times New Roman"/>
          <w:sz w:val="19"/>
          <w:szCs w:val="19"/>
          <w:lang w:val="ru-RU"/>
        </w:rPr>
      </w:pPr>
      <w:hyperlink r:id="rId42" w:anchor="ntc3-L_2012201EN.01000101-E0003" w:history="1">
        <w:r w:rsidR="00880D8A" w:rsidRPr="00C464EC">
          <w:rPr>
            <w:rFonts w:ascii="Times New Roman" w:eastAsia="Times New Roman" w:hAnsi="Times New Roman" w:cs="Times New Roman"/>
            <w:sz w:val="19"/>
            <w:szCs w:val="19"/>
            <w:bdr w:val="none" w:sz="0" w:space="0" w:color="auto" w:frame="1"/>
            <w:lang w:val="ru-RU"/>
          </w:rPr>
          <w:t>(</w:t>
        </w:r>
        <w:r w:rsidR="00880D8A" w:rsidRPr="00C464EC">
          <w:rPr>
            <w:rFonts w:ascii="Times New Roman" w:eastAsia="Times New Roman" w:hAnsi="Times New Roman" w:cs="Times New Roman"/>
            <w:sz w:val="13"/>
            <w:szCs w:val="13"/>
            <w:bdr w:val="none" w:sz="0" w:space="0" w:color="auto" w:frame="1"/>
            <w:vertAlign w:val="superscript"/>
            <w:lang w:val="ru-RU"/>
          </w:rPr>
          <w:t>3</w:t>
        </w:r>
        <w:r w:rsidR="00880D8A" w:rsidRPr="00C464EC">
          <w:rPr>
            <w:rFonts w:ascii="Times New Roman" w:eastAsia="Times New Roman" w:hAnsi="Times New Roman" w:cs="Times New Roman"/>
            <w:sz w:val="19"/>
            <w:szCs w:val="19"/>
            <w:bdr w:val="none" w:sz="0" w:space="0" w:color="auto" w:frame="1"/>
            <w:lang w:val="ru-RU"/>
          </w:rPr>
          <w:t>)</w:t>
        </w:r>
      </w:hyperlink>
      <w:r w:rsidR="00880D8A" w:rsidRPr="006279CF">
        <w:rPr>
          <w:rFonts w:ascii="Times New Roman" w:eastAsia="Times New Roman" w:hAnsi="Times New Roman" w:cs="Times New Roman"/>
          <w:sz w:val="19"/>
          <w:szCs w:val="19"/>
        </w:rPr>
        <w:t>  </w:t>
      </w:r>
      <w:r w:rsidR="00C464EC">
        <w:rPr>
          <w:rFonts w:ascii="Times New Roman" w:eastAsia="Times New Roman" w:hAnsi="Times New Roman" w:cs="Times New Roman"/>
          <w:sz w:val="19"/>
          <w:szCs w:val="19"/>
          <w:lang w:val="uk-UA"/>
        </w:rPr>
        <w:t>Позиція Європейського Парламенту від 29 березня 2012 р. (ще не опублікована в «Офіційному віснику») та рішення Ради від 4 липня 2012 р.</w:t>
      </w:r>
    </w:p>
    <w:p w:rsidR="00880D8A" w:rsidRPr="006279CF" w:rsidRDefault="00113714" w:rsidP="00880D8A">
      <w:pPr>
        <w:shd w:val="clear" w:color="auto" w:fill="FFFFFF"/>
        <w:spacing w:after="0" w:line="240" w:lineRule="auto"/>
        <w:jc w:val="both"/>
        <w:textAlignment w:val="baseline"/>
        <w:rPr>
          <w:rFonts w:ascii="Times New Roman" w:eastAsia="Times New Roman" w:hAnsi="Times New Roman" w:cs="Times New Roman"/>
          <w:sz w:val="19"/>
          <w:szCs w:val="19"/>
        </w:rPr>
      </w:pPr>
      <w:hyperlink r:id="rId43" w:anchor="ntc4-L_2012201EN.01000101-E0004" w:history="1">
        <w:r w:rsidR="00880D8A" w:rsidRPr="006279CF">
          <w:rPr>
            <w:rFonts w:ascii="Times New Roman" w:eastAsia="Times New Roman" w:hAnsi="Times New Roman" w:cs="Times New Roman"/>
            <w:sz w:val="19"/>
            <w:szCs w:val="19"/>
            <w:bdr w:val="none" w:sz="0" w:space="0" w:color="auto" w:frame="1"/>
          </w:rPr>
          <w:t>(</w:t>
        </w:r>
        <w:r w:rsidR="00880D8A" w:rsidRPr="006279CF">
          <w:rPr>
            <w:rFonts w:ascii="Times New Roman" w:eastAsia="Times New Roman" w:hAnsi="Times New Roman" w:cs="Times New Roman"/>
            <w:sz w:val="13"/>
            <w:szCs w:val="13"/>
            <w:bdr w:val="none" w:sz="0" w:space="0" w:color="auto" w:frame="1"/>
            <w:vertAlign w:val="superscript"/>
          </w:rPr>
          <w:t>4</w:t>
        </w:r>
        <w:r w:rsidR="00880D8A" w:rsidRPr="006279CF">
          <w:rPr>
            <w:rFonts w:ascii="Times New Roman" w:eastAsia="Times New Roman" w:hAnsi="Times New Roman" w:cs="Times New Roman"/>
            <w:sz w:val="19"/>
            <w:szCs w:val="19"/>
            <w:bdr w:val="none" w:sz="0" w:space="0" w:color="auto" w:frame="1"/>
          </w:rPr>
          <w:t>)</w:t>
        </w:r>
      </w:hyperlink>
      <w:r w:rsidR="00880D8A" w:rsidRPr="006279CF">
        <w:rPr>
          <w:rFonts w:ascii="Times New Roman" w:eastAsia="Times New Roman" w:hAnsi="Times New Roman" w:cs="Times New Roman"/>
          <w:sz w:val="19"/>
          <w:szCs w:val="19"/>
        </w:rPr>
        <w:t>  </w:t>
      </w:r>
      <w:hyperlink r:id="rId44" w:history="1">
        <w:r w:rsidR="00880D8A" w:rsidRPr="006279CF">
          <w:rPr>
            <w:rFonts w:ascii="Times New Roman" w:eastAsia="Times New Roman" w:hAnsi="Times New Roman" w:cs="Times New Roman"/>
            <w:sz w:val="19"/>
            <w:szCs w:val="19"/>
            <w:bdr w:val="none" w:sz="0" w:space="0" w:color="auto" w:frame="1"/>
          </w:rPr>
          <w:t>OJ L 331, 15.12.2010, p. 12</w:t>
        </w:r>
      </w:hyperlink>
      <w:r w:rsidR="00880D8A" w:rsidRPr="006279CF">
        <w:rPr>
          <w:rFonts w:ascii="Times New Roman" w:eastAsia="Times New Roman" w:hAnsi="Times New Roman" w:cs="Times New Roman"/>
          <w:sz w:val="19"/>
          <w:szCs w:val="19"/>
        </w:rPr>
        <w:t>.</w:t>
      </w:r>
    </w:p>
    <w:p w:rsidR="00880D8A" w:rsidRPr="006279CF" w:rsidRDefault="00113714" w:rsidP="00880D8A">
      <w:pPr>
        <w:shd w:val="clear" w:color="auto" w:fill="FFFFFF"/>
        <w:spacing w:after="0" w:line="240" w:lineRule="auto"/>
        <w:jc w:val="both"/>
        <w:textAlignment w:val="baseline"/>
        <w:rPr>
          <w:rFonts w:ascii="Times New Roman" w:eastAsia="Times New Roman" w:hAnsi="Times New Roman" w:cs="Times New Roman"/>
          <w:sz w:val="19"/>
          <w:szCs w:val="19"/>
        </w:rPr>
      </w:pPr>
      <w:hyperlink r:id="rId45" w:anchor="ntc5-L_2012201EN.01000101-E0005" w:history="1">
        <w:r w:rsidR="00880D8A" w:rsidRPr="006279CF">
          <w:rPr>
            <w:rFonts w:ascii="Times New Roman" w:eastAsia="Times New Roman" w:hAnsi="Times New Roman" w:cs="Times New Roman"/>
            <w:sz w:val="19"/>
            <w:szCs w:val="19"/>
            <w:bdr w:val="none" w:sz="0" w:space="0" w:color="auto" w:frame="1"/>
          </w:rPr>
          <w:t>(</w:t>
        </w:r>
        <w:r w:rsidR="00880D8A" w:rsidRPr="006279CF">
          <w:rPr>
            <w:rFonts w:ascii="Times New Roman" w:eastAsia="Times New Roman" w:hAnsi="Times New Roman" w:cs="Times New Roman"/>
            <w:sz w:val="13"/>
            <w:szCs w:val="13"/>
            <w:bdr w:val="none" w:sz="0" w:space="0" w:color="auto" w:frame="1"/>
            <w:vertAlign w:val="superscript"/>
          </w:rPr>
          <w:t>5</w:t>
        </w:r>
        <w:r w:rsidR="00880D8A" w:rsidRPr="006279CF">
          <w:rPr>
            <w:rFonts w:ascii="Times New Roman" w:eastAsia="Times New Roman" w:hAnsi="Times New Roman" w:cs="Times New Roman"/>
            <w:sz w:val="19"/>
            <w:szCs w:val="19"/>
            <w:bdr w:val="none" w:sz="0" w:space="0" w:color="auto" w:frame="1"/>
          </w:rPr>
          <w:t>)</w:t>
        </w:r>
      </w:hyperlink>
      <w:r w:rsidR="00880D8A" w:rsidRPr="006279CF">
        <w:rPr>
          <w:rFonts w:ascii="Times New Roman" w:eastAsia="Times New Roman" w:hAnsi="Times New Roman" w:cs="Times New Roman"/>
          <w:sz w:val="19"/>
          <w:szCs w:val="19"/>
        </w:rPr>
        <w:t>  </w:t>
      </w:r>
      <w:hyperlink r:id="rId46" w:history="1">
        <w:r w:rsidR="00880D8A" w:rsidRPr="006279CF">
          <w:rPr>
            <w:rFonts w:ascii="Times New Roman" w:eastAsia="Times New Roman" w:hAnsi="Times New Roman" w:cs="Times New Roman"/>
            <w:sz w:val="19"/>
            <w:szCs w:val="19"/>
            <w:bdr w:val="none" w:sz="0" w:space="0" w:color="auto" w:frame="1"/>
          </w:rPr>
          <w:t>OJ L 331, 15.12.2010, p. 48</w:t>
        </w:r>
      </w:hyperlink>
      <w:r w:rsidR="00880D8A" w:rsidRPr="006279CF">
        <w:rPr>
          <w:rFonts w:ascii="Times New Roman" w:eastAsia="Times New Roman" w:hAnsi="Times New Roman" w:cs="Times New Roman"/>
          <w:sz w:val="19"/>
          <w:szCs w:val="19"/>
        </w:rPr>
        <w:t>.</w:t>
      </w:r>
    </w:p>
    <w:p w:rsidR="00880D8A" w:rsidRPr="006279CF" w:rsidRDefault="00113714" w:rsidP="00880D8A">
      <w:pPr>
        <w:shd w:val="clear" w:color="auto" w:fill="FFFFFF"/>
        <w:spacing w:after="0" w:line="240" w:lineRule="auto"/>
        <w:jc w:val="both"/>
        <w:textAlignment w:val="baseline"/>
        <w:rPr>
          <w:rFonts w:ascii="Times New Roman" w:eastAsia="Times New Roman" w:hAnsi="Times New Roman" w:cs="Times New Roman"/>
          <w:sz w:val="19"/>
          <w:szCs w:val="19"/>
        </w:rPr>
      </w:pPr>
      <w:hyperlink r:id="rId47" w:anchor="ntc6-L_2012201EN.01000101-E0006" w:history="1">
        <w:r w:rsidR="00880D8A" w:rsidRPr="006279CF">
          <w:rPr>
            <w:rFonts w:ascii="Times New Roman" w:eastAsia="Times New Roman" w:hAnsi="Times New Roman" w:cs="Times New Roman"/>
            <w:sz w:val="19"/>
            <w:szCs w:val="19"/>
            <w:bdr w:val="none" w:sz="0" w:space="0" w:color="auto" w:frame="1"/>
          </w:rPr>
          <w:t>(</w:t>
        </w:r>
        <w:r w:rsidR="00880D8A" w:rsidRPr="006279CF">
          <w:rPr>
            <w:rFonts w:ascii="Times New Roman" w:eastAsia="Times New Roman" w:hAnsi="Times New Roman" w:cs="Times New Roman"/>
            <w:sz w:val="13"/>
            <w:szCs w:val="13"/>
            <w:bdr w:val="none" w:sz="0" w:space="0" w:color="auto" w:frame="1"/>
            <w:vertAlign w:val="superscript"/>
          </w:rPr>
          <w:t>6</w:t>
        </w:r>
        <w:r w:rsidR="00880D8A" w:rsidRPr="006279CF">
          <w:rPr>
            <w:rFonts w:ascii="Times New Roman" w:eastAsia="Times New Roman" w:hAnsi="Times New Roman" w:cs="Times New Roman"/>
            <w:sz w:val="19"/>
            <w:szCs w:val="19"/>
            <w:bdr w:val="none" w:sz="0" w:space="0" w:color="auto" w:frame="1"/>
          </w:rPr>
          <w:t>)</w:t>
        </w:r>
      </w:hyperlink>
      <w:r w:rsidR="00880D8A" w:rsidRPr="006279CF">
        <w:rPr>
          <w:rFonts w:ascii="Times New Roman" w:eastAsia="Times New Roman" w:hAnsi="Times New Roman" w:cs="Times New Roman"/>
          <w:sz w:val="19"/>
          <w:szCs w:val="19"/>
        </w:rPr>
        <w:t>  </w:t>
      </w:r>
      <w:hyperlink r:id="rId48" w:history="1">
        <w:r w:rsidR="00880D8A" w:rsidRPr="006279CF">
          <w:rPr>
            <w:rFonts w:ascii="Times New Roman" w:eastAsia="Times New Roman" w:hAnsi="Times New Roman" w:cs="Times New Roman"/>
            <w:sz w:val="19"/>
            <w:szCs w:val="19"/>
            <w:bdr w:val="none" w:sz="0" w:space="0" w:color="auto" w:frame="1"/>
          </w:rPr>
          <w:t>OJ L 331, 15.12.2010, p. 84</w:t>
        </w:r>
      </w:hyperlink>
      <w:r w:rsidR="00880D8A" w:rsidRPr="006279CF">
        <w:rPr>
          <w:rFonts w:ascii="Times New Roman" w:eastAsia="Times New Roman" w:hAnsi="Times New Roman" w:cs="Times New Roman"/>
          <w:sz w:val="19"/>
          <w:szCs w:val="19"/>
        </w:rPr>
        <w:t>.</w:t>
      </w:r>
    </w:p>
    <w:p w:rsidR="00880D8A" w:rsidRPr="006279CF" w:rsidRDefault="00113714" w:rsidP="00880D8A">
      <w:pPr>
        <w:shd w:val="clear" w:color="auto" w:fill="FFFFFF"/>
        <w:spacing w:after="0" w:line="240" w:lineRule="auto"/>
        <w:jc w:val="both"/>
        <w:textAlignment w:val="baseline"/>
        <w:rPr>
          <w:rFonts w:ascii="Times New Roman" w:eastAsia="Times New Roman" w:hAnsi="Times New Roman" w:cs="Times New Roman"/>
          <w:sz w:val="19"/>
          <w:szCs w:val="19"/>
        </w:rPr>
      </w:pPr>
      <w:hyperlink r:id="rId49" w:anchor="ntc7-L_2012201EN.01000101-E0007" w:history="1">
        <w:r w:rsidR="00880D8A" w:rsidRPr="006279CF">
          <w:rPr>
            <w:rFonts w:ascii="Times New Roman" w:eastAsia="Times New Roman" w:hAnsi="Times New Roman" w:cs="Times New Roman"/>
            <w:sz w:val="19"/>
            <w:szCs w:val="19"/>
            <w:bdr w:val="none" w:sz="0" w:space="0" w:color="auto" w:frame="1"/>
          </w:rPr>
          <w:t>(</w:t>
        </w:r>
        <w:r w:rsidR="00880D8A" w:rsidRPr="006279CF">
          <w:rPr>
            <w:rFonts w:ascii="Times New Roman" w:eastAsia="Times New Roman" w:hAnsi="Times New Roman" w:cs="Times New Roman"/>
            <w:sz w:val="13"/>
            <w:szCs w:val="13"/>
            <w:bdr w:val="none" w:sz="0" w:space="0" w:color="auto" w:frame="1"/>
            <w:vertAlign w:val="superscript"/>
          </w:rPr>
          <w:t>7</w:t>
        </w:r>
        <w:r w:rsidR="00880D8A" w:rsidRPr="006279CF">
          <w:rPr>
            <w:rFonts w:ascii="Times New Roman" w:eastAsia="Times New Roman" w:hAnsi="Times New Roman" w:cs="Times New Roman"/>
            <w:sz w:val="19"/>
            <w:szCs w:val="19"/>
            <w:bdr w:val="none" w:sz="0" w:space="0" w:color="auto" w:frame="1"/>
          </w:rPr>
          <w:t>)</w:t>
        </w:r>
      </w:hyperlink>
      <w:r w:rsidR="00880D8A" w:rsidRPr="006279CF">
        <w:rPr>
          <w:rFonts w:ascii="Times New Roman" w:eastAsia="Times New Roman" w:hAnsi="Times New Roman" w:cs="Times New Roman"/>
          <w:sz w:val="19"/>
          <w:szCs w:val="19"/>
        </w:rPr>
        <w:t>  </w:t>
      </w:r>
      <w:hyperlink r:id="rId50" w:history="1">
        <w:r w:rsidR="00880D8A" w:rsidRPr="006279CF">
          <w:rPr>
            <w:rFonts w:ascii="Times New Roman" w:eastAsia="Times New Roman" w:hAnsi="Times New Roman" w:cs="Times New Roman"/>
            <w:sz w:val="19"/>
            <w:szCs w:val="19"/>
            <w:bdr w:val="none" w:sz="0" w:space="0" w:color="auto" w:frame="1"/>
          </w:rPr>
          <w:t>OJ L 145, 30.4.2004, p. 1</w:t>
        </w:r>
      </w:hyperlink>
      <w:r w:rsidR="00880D8A" w:rsidRPr="006279CF">
        <w:rPr>
          <w:rFonts w:ascii="Times New Roman" w:eastAsia="Times New Roman" w:hAnsi="Times New Roman" w:cs="Times New Roman"/>
          <w:sz w:val="19"/>
          <w:szCs w:val="19"/>
        </w:rPr>
        <w:t>.</w:t>
      </w:r>
    </w:p>
    <w:p w:rsidR="00880D8A" w:rsidRPr="006279CF" w:rsidRDefault="00113714" w:rsidP="00880D8A">
      <w:pPr>
        <w:shd w:val="clear" w:color="auto" w:fill="FFFFFF"/>
        <w:spacing w:after="0" w:line="240" w:lineRule="auto"/>
        <w:jc w:val="both"/>
        <w:textAlignment w:val="baseline"/>
        <w:rPr>
          <w:rFonts w:ascii="Times New Roman" w:eastAsia="Times New Roman" w:hAnsi="Times New Roman" w:cs="Times New Roman"/>
          <w:sz w:val="19"/>
          <w:szCs w:val="19"/>
        </w:rPr>
      </w:pPr>
      <w:hyperlink r:id="rId51" w:anchor="ntc8-L_2012201EN.01000101-E0008" w:history="1">
        <w:r w:rsidR="00880D8A" w:rsidRPr="006279CF">
          <w:rPr>
            <w:rFonts w:ascii="Times New Roman" w:eastAsia="Times New Roman" w:hAnsi="Times New Roman" w:cs="Times New Roman"/>
            <w:sz w:val="19"/>
            <w:szCs w:val="19"/>
            <w:bdr w:val="none" w:sz="0" w:space="0" w:color="auto" w:frame="1"/>
          </w:rPr>
          <w:t>(</w:t>
        </w:r>
        <w:r w:rsidR="00880D8A" w:rsidRPr="006279CF">
          <w:rPr>
            <w:rFonts w:ascii="Times New Roman" w:eastAsia="Times New Roman" w:hAnsi="Times New Roman" w:cs="Times New Roman"/>
            <w:sz w:val="13"/>
            <w:szCs w:val="13"/>
            <w:bdr w:val="none" w:sz="0" w:space="0" w:color="auto" w:frame="1"/>
            <w:vertAlign w:val="superscript"/>
          </w:rPr>
          <w:t>8</w:t>
        </w:r>
        <w:r w:rsidR="00880D8A" w:rsidRPr="006279CF">
          <w:rPr>
            <w:rFonts w:ascii="Times New Roman" w:eastAsia="Times New Roman" w:hAnsi="Times New Roman" w:cs="Times New Roman"/>
            <w:sz w:val="19"/>
            <w:szCs w:val="19"/>
            <w:bdr w:val="none" w:sz="0" w:space="0" w:color="auto" w:frame="1"/>
          </w:rPr>
          <w:t>)</w:t>
        </w:r>
      </w:hyperlink>
      <w:r w:rsidR="00880D8A" w:rsidRPr="006279CF">
        <w:rPr>
          <w:rFonts w:ascii="Times New Roman" w:eastAsia="Times New Roman" w:hAnsi="Times New Roman" w:cs="Times New Roman"/>
          <w:sz w:val="19"/>
          <w:szCs w:val="19"/>
        </w:rPr>
        <w:t>  </w:t>
      </w:r>
      <w:hyperlink r:id="rId52" w:history="1">
        <w:r w:rsidR="00880D8A" w:rsidRPr="006279CF">
          <w:rPr>
            <w:rFonts w:ascii="Times New Roman" w:eastAsia="Times New Roman" w:hAnsi="Times New Roman" w:cs="Times New Roman"/>
            <w:sz w:val="19"/>
            <w:szCs w:val="19"/>
            <w:bdr w:val="none" w:sz="0" w:space="0" w:color="auto" w:frame="1"/>
          </w:rPr>
          <w:t>OJ L 177, 30.6.2006, p. 1</w:t>
        </w:r>
      </w:hyperlink>
      <w:r w:rsidR="00880D8A" w:rsidRPr="006279CF">
        <w:rPr>
          <w:rFonts w:ascii="Times New Roman" w:eastAsia="Times New Roman" w:hAnsi="Times New Roman" w:cs="Times New Roman"/>
          <w:sz w:val="19"/>
          <w:szCs w:val="19"/>
        </w:rPr>
        <w:t>.</w:t>
      </w:r>
    </w:p>
    <w:p w:rsidR="00880D8A" w:rsidRPr="006279CF" w:rsidRDefault="00113714" w:rsidP="00880D8A">
      <w:pPr>
        <w:shd w:val="clear" w:color="auto" w:fill="FFFFFF"/>
        <w:spacing w:after="0" w:line="240" w:lineRule="auto"/>
        <w:jc w:val="both"/>
        <w:textAlignment w:val="baseline"/>
        <w:rPr>
          <w:rFonts w:ascii="Times New Roman" w:eastAsia="Times New Roman" w:hAnsi="Times New Roman" w:cs="Times New Roman"/>
          <w:sz w:val="19"/>
          <w:szCs w:val="19"/>
        </w:rPr>
      </w:pPr>
      <w:hyperlink r:id="rId53" w:anchor="ntc9-L_2012201EN.01000101-E0009" w:history="1">
        <w:r w:rsidR="00880D8A" w:rsidRPr="006279CF">
          <w:rPr>
            <w:rFonts w:ascii="Times New Roman" w:eastAsia="Times New Roman" w:hAnsi="Times New Roman" w:cs="Times New Roman"/>
            <w:sz w:val="19"/>
            <w:szCs w:val="19"/>
            <w:bdr w:val="none" w:sz="0" w:space="0" w:color="auto" w:frame="1"/>
          </w:rPr>
          <w:t>(</w:t>
        </w:r>
        <w:r w:rsidR="00880D8A" w:rsidRPr="006279CF">
          <w:rPr>
            <w:rFonts w:ascii="Times New Roman" w:eastAsia="Times New Roman" w:hAnsi="Times New Roman" w:cs="Times New Roman"/>
            <w:sz w:val="13"/>
            <w:szCs w:val="13"/>
            <w:bdr w:val="none" w:sz="0" w:space="0" w:color="auto" w:frame="1"/>
            <w:vertAlign w:val="superscript"/>
          </w:rPr>
          <w:t>9</w:t>
        </w:r>
        <w:r w:rsidR="00880D8A" w:rsidRPr="006279CF">
          <w:rPr>
            <w:rFonts w:ascii="Times New Roman" w:eastAsia="Times New Roman" w:hAnsi="Times New Roman" w:cs="Times New Roman"/>
            <w:sz w:val="19"/>
            <w:szCs w:val="19"/>
            <w:bdr w:val="none" w:sz="0" w:space="0" w:color="auto" w:frame="1"/>
          </w:rPr>
          <w:t>)</w:t>
        </w:r>
      </w:hyperlink>
      <w:r w:rsidR="00880D8A" w:rsidRPr="006279CF">
        <w:rPr>
          <w:rFonts w:ascii="Times New Roman" w:eastAsia="Times New Roman" w:hAnsi="Times New Roman" w:cs="Times New Roman"/>
          <w:sz w:val="19"/>
          <w:szCs w:val="19"/>
        </w:rPr>
        <w:t>  </w:t>
      </w:r>
      <w:hyperlink r:id="rId54" w:history="1">
        <w:r w:rsidR="00880D8A" w:rsidRPr="006279CF">
          <w:rPr>
            <w:rFonts w:ascii="Times New Roman" w:eastAsia="Times New Roman" w:hAnsi="Times New Roman" w:cs="Times New Roman"/>
            <w:sz w:val="19"/>
            <w:szCs w:val="19"/>
            <w:bdr w:val="none" w:sz="0" w:space="0" w:color="auto" w:frame="1"/>
          </w:rPr>
          <w:t>OJ L 228, 16.8.1973, p. 3</w:t>
        </w:r>
      </w:hyperlink>
      <w:r w:rsidR="00880D8A" w:rsidRPr="006279CF">
        <w:rPr>
          <w:rFonts w:ascii="Times New Roman" w:eastAsia="Times New Roman" w:hAnsi="Times New Roman" w:cs="Times New Roman"/>
          <w:sz w:val="19"/>
          <w:szCs w:val="19"/>
        </w:rPr>
        <w:t>.</w:t>
      </w:r>
    </w:p>
    <w:p w:rsidR="00880D8A" w:rsidRPr="006279CF" w:rsidRDefault="00113714" w:rsidP="00880D8A">
      <w:pPr>
        <w:shd w:val="clear" w:color="auto" w:fill="FFFFFF"/>
        <w:spacing w:after="0" w:line="240" w:lineRule="auto"/>
        <w:jc w:val="both"/>
        <w:textAlignment w:val="baseline"/>
        <w:rPr>
          <w:rFonts w:ascii="Times New Roman" w:eastAsia="Times New Roman" w:hAnsi="Times New Roman" w:cs="Times New Roman"/>
          <w:sz w:val="19"/>
          <w:szCs w:val="19"/>
        </w:rPr>
      </w:pPr>
      <w:hyperlink r:id="rId55" w:anchor="ntc10-L_2012201EN.01000101-E0010" w:history="1">
        <w:r w:rsidR="00880D8A" w:rsidRPr="006279CF">
          <w:rPr>
            <w:rFonts w:ascii="Times New Roman" w:eastAsia="Times New Roman" w:hAnsi="Times New Roman" w:cs="Times New Roman"/>
            <w:sz w:val="19"/>
            <w:szCs w:val="19"/>
            <w:bdr w:val="none" w:sz="0" w:space="0" w:color="auto" w:frame="1"/>
          </w:rPr>
          <w:t>(</w:t>
        </w:r>
        <w:r w:rsidR="00880D8A" w:rsidRPr="006279CF">
          <w:rPr>
            <w:rFonts w:ascii="Times New Roman" w:eastAsia="Times New Roman" w:hAnsi="Times New Roman" w:cs="Times New Roman"/>
            <w:sz w:val="13"/>
            <w:szCs w:val="13"/>
            <w:bdr w:val="none" w:sz="0" w:space="0" w:color="auto" w:frame="1"/>
            <w:vertAlign w:val="superscript"/>
          </w:rPr>
          <w:t>10</w:t>
        </w:r>
        <w:r w:rsidR="00880D8A" w:rsidRPr="006279CF">
          <w:rPr>
            <w:rFonts w:ascii="Times New Roman" w:eastAsia="Times New Roman" w:hAnsi="Times New Roman" w:cs="Times New Roman"/>
            <w:sz w:val="19"/>
            <w:szCs w:val="19"/>
            <w:bdr w:val="none" w:sz="0" w:space="0" w:color="auto" w:frame="1"/>
          </w:rPr>
          <w:t>)</w:t>
        </w:r>
      </w:hyperlink>
      <w:r w:rsidR="00880D8A" w:rsidRPr="006279CF">
        <w:rPr>
          <w:rFonts w:ascii="Times New Roman" w:eastAsia="Times New Roman" w:hAnsi="Times New Roman" w:cs="Times New Roman"/>
          <w:sz w:val="19"/>
          <w:szCs w:val="19"/>
        </w:rPr>
        <w:t>  </w:t>
      </w:r>
      <w:hyperlink r:id="rId56" w:history="1">
        <w:r w:rsidR="00880D8A" w:rsidRPr="006279CF">
          <w:rPr>
            <w:rFonts w:ascii="Times New Roman" w:eastAsia="Times New Roman" w:hAnsi="Times New Roman" w:cs="Times New Roman"/>
            <w:sz w:val="19"/>
            <w:szCs w:val="19"/>
            <w:bdr w:val="none" w:sz="0" w:space="0" w:color="auto" w:frame="1"/>
          </w:rPr>
          <w:t>OJ L 345, 19.12.2002, p. 1</w:t>
        </w:r>
      </w:hyperlink>
      <w:r w:rsidR="00880D8A" w:rsidRPr="006279CF">
        <w:rPr>
          <w:rFonts w:ascii="Times New Roman" w:eastAsia="Times New Roman" w:hAnsi="Times New Roman" w:cs="Times New Roman"/>
          <w:sz w:val="19"/>
          <w:szCs w:val="19"/>
        </w:rPr>
        <w:t>.</w:t>
      </w:r>
    </w:p>
    <w:p w:rsidR="00880D8A" w:rsidRPr="006279CF" w:rsidRDefault="00113714" w:rsidP="00880D8A">
      <w:pPr>
        <w:shd w:val="clear" w:color="auto" w:fill="FFFFFF"/>
        <w:spacing w:after="0" w:line="240" w:lineRule="auto"/>
        <w:jc w:val="both"/>
        <w:textAlignment w:val="baseline"/>
        <w:rPr>
          <w:rFonts w:ascii="Times New Roman" w:eastAsia="Times New Roman" w:hAnsi="Times New Roman" w:cs="Times New Roman"/>
          <w:sz w:val="19"/>
          <w:szCs w:val="19"/>
        </w:rPr>
      </w:pPr>
      <w:hyperlink r:id="rId57" w:anchor="ntc11-L_2012201EN.01000101-E0011" w:history="1">
        <w:r w:rsidR="00880D8A" w:rsidRPr="006279CF">
          <w:rPr>
            <w:rFonts w:ascii="Times New Roman" w:eastAsia="Times New Roman" w:hAnsi="Times New Roman" w:cs="Times New Roman"/>
            <w:sz w:val="19"/>
            <w:szCs w:val="19"/>
            <w:bdr w:val="none" w:sz="0" w:space="0" w:color="auto" w:frame="1"/>
          </w:rPr>
          <w:t>(</w:t>
        </w:r>
        <w:r w:rsidR="00880D8A" w:rsidRPr="006279CF">
          <w:rPr>
            <w:rFonts w:ascii="Times New Roman" w:eastAsia="Times New Roman" w:hAnsi="Times New Roman" w:cs="Times New Roman"/>
            <w:sz w:val="13"/>
            <w:szCs w:val="13"/>
            <w:bdr w:val="none" w:sz="0" w:space="0" w:color="auto" w:frame="1"/>
            <w:vertAlign w:val="superscript"/>
          </w:rPr>
          <w:t>11</w:t>
        </w:r>
        <w:r w:rsidR="00880D8A" w:rsidRPr="006279CF">
          <w:rPr>
            <w:rFonts w:ascii="Times New Roman" w:eastAsia="Times New Roman" w:hAnsi="Times New Roman" w:cs="Times New Roman"/>
            <w:sz w:val="19"/>
            <w:szCs w:val="19"/>
            <w:bdr w:val="none" w:sz="0" w:space="0" w:color="auto" w:frame="1"/>
          </w:rPr>
          <w:t>)</w:t>
        </w:r>
      </w:hyperlink>
      <w:r w:rsidR="00880D8A" w:rsidRPr="006279CF">
        <w:rPr>
          <w:rFonts w:ascii="Times New Roman" w:eastAsia="Times New Roman" w:hAnsi="Times New Roman" w:cs="Times New Roman"/>
          <w:sz w:val="19"/>
          <w:szCs w:val="19"/>
        </w:rPr>
        <w:t>  </w:t>
      </w:r>
      <w:hyperlink r:id="rId58" w:history="1">
        <w:r w:rsidR="00880D8A" w:rsidRPr="006279CF">
          <w:rPr>
            <w:rFonts w:ascii="Times New Roman" w:eastAsia="Times New Roman" w:hAnsi="Times New Roman" w:cs="Times New Roman"/>
            <w:sz w:val="19"/>
            <w:szCs w:val="19"/>
            <w:bdr w:val="none" w:sz="0" w:space="0" w:color="auto" w:frame="1"/>
          </w:rPr>
          <w:t>OJ L 323, 9.12.2005, p. 1</w:t>
        </w:r>
      </w:hyperlink>
      <w:r w:rsidR="00880D8A" w:rsidRPr="006279CF">
        <w:rPr>
          <w:rFonts w:ascii="Times New Roman" w:eastAsia="Times New Roman" w:hAnsi="Times New Roman" w:cs="Times New Roman"/>
          <w:sz w:val="19"/>
          <w:szCs w:val="19"/>
        </w:rPr>
        <w:t>.</w:t>
      </w:r>
    </w:p>
    <w:p w:rsidR="00880D8A" w:rsidRPr="006279CF" w:rsidRDefault="00113714" w:rsidP="00880D8A">
      <w:pPr>
        <w:shd w:val="clear" w:color="auto" w:fill="FFFFFF"/>
        <w:spacing w:after="0" w:line="240" w:lineRule="auto"/>
        <w:jc w:val="both"/>
        <w:textAlignment w:val="baseline"/>
        <w:rPr>
          <w:rFonts w:ascii="Times New Roman" w:eastAsia="Times New Roman" w:hAnsi="Times New Roman" w:cs="Times New Roman"/>
          <w:sz w:val="19"/>
          <w:szCs w:val="19"/>
        </w:rPr>
      </w:pPr>
      <w:hyperlink r:id="rId59" w:anchor="ntc12-L_2012201EN.01000101-E0012" w:history="1">
        <w:r w:rsidR="00880D8A" w:rsidRPr="006279CF">
          <w:rPr>
            <w:rFonts w:ascii="Times New Roman" w:eastAsia="Times New Roman" w:hAnsi="Times New Roman" w:cs="Times New Roman"/>
            <w:sz w:val="19"/>
            <w:szCs w:val="19"/>
            <w:bdr w:val="none" w:sz="0" w:space="0" w:color="auto" w:frame="1"/>
          </w:rPr>
          <w:t>(</w:t>
        </w:r>
        <w:r w:rsidR="00880D8A" w:rsidRPr="006279CF">
          <w:rPr>
            <w:rFonts w:ascii="Times New Roman" w:eastAsia="Times New Roman" w:hAnsi="Times New Roman" w:cs="Times New Roman"/>
            <w:sz w:val="13"/>
            <w:szCs w:val="13"/>
            <w:bdr w:val="none" w:sz="0" w:space="0" w:color="auto" w:frame="1"/>
            <w:vertAlign w:val="superscript"/>
          </w:rPr>
          <w:t>12</w:t>
        </w:r>
        <w:r w:rsidR="00880D8A" w:rsidRPr="006279CF">
          <w:rPr>
            <w:rFonts w:ascii="Times New Roman" w:eastAsia="Times New Roman" w:hAnsi="Times New Roman" w:cs="Times New Roman"/>
            <w:sz w:val="19"/>
            <w:szCs w:val="19"/>
            <w:bdr w:val="none" w:sz="0" w:space="0" w:color="auto" w:frame="1"/>
          </w:rPr>
          <w:t>)</w:t>
        </w:r>
      </w:hyperlink>
      <w:r w:rsidR="00880D8A" w:rsidRPr="006279CF">
        <w:rPr>
          <w:rFonts w:ascii="Times New Roman" w:eastAsia="Times New Roman" w:hAnsi="Times New Roman" w:cs="Times New Roman"/>
          <w:sz w:val="19"/>
          <w:szCs w:val="19"/>
        </w:rPr>
        <w:t>  </w:t>
      </w:r>
      <w:hyperlink r:id="rId60" w:history="1">
        <w:r w:rsidR="00880D8A" w:rsidRPr="006279CF">
          <w:rPr>
            <w:rFonts w:ascii="Times New Roman" w:eastAsia="Times New Roman" w:hAnsi="Times New Roman" w:cs="Times New Roman"/>
            <w:sz w:val="19"/>
            <w:szCs w:val="19"/>
            <w:bdr w:val="none" w:sz="0" w:space="0" w:color="auto" w:frame="1"/>
          </w:rPr>
          <w:t>OJ L 302, 17.11.2009, p. 32</w:t>
        </w:r>
      </w:hyperlink>
      <w:r w:rsidR="00880D8A" w:rsidRPr="006279CF">
        <w:rPr>
          <w:rFonts w:ascii="Times New Roman" w:eastAsia="Times New Roman" w:hAnsi="Times New Roman" w:cs="Times New Roman"/>
          <w:sz w:val="19"/>
          <w:szCs w:val="19"/>
        </w:rPr>
        <w:t>.</w:t>
      </w:r>
    </w:p>
    <w:p w:rsidR="00880D8A" w:rsidRPr="006279CF" w:rsidRDefault="00113714" w:rsidP="00880D8A">
      <w:pPr>
        <w:shd w:val="clear" w:color="auto" w:fill="FFFFFF"/>
        <w:spacing w:after="0" w:line="240" w:lineRule="auto"/>
        <w:jc w:val="both"/>
        <w:textAlignment w:val="baseline"/>
        <w:rPr>
          <w:rFonts w:ascii="Times New Roman" w:eastAsia="Times New Roman" w:hAnsi="Times New Roman" w:cs="Times New Roman"/>
          <w:sz w:val="19"/>
          <w:szCs w:val="19"/>
        </w:rPr>
      </w:pPr>
      <w:hyperlink r:id="rId61" w:anchor="ntc13-L_2012201EN.01000101-E0013" w:history="1">
        <w:r w:rsidR="00880D8A" w:rsidRPr="006279CF">
          <w:rPr>
            <w:rFonts w:ascii="Times New Roman" w:eastAsia="Times New Roman" w:hAnsi="Times New Roman" w:cs="Times New Roman"/>
            <w:sz w:val="19"/>
            <w:szCs w:val="19"/>
            <w:bdr w:val="none" w:sz="0" w:space="0" w:color="auto" w:frame="1"/>
          </w:rPr>
          <w:t>(</w:t>
        </w:r>
        <w:r w:rsidR="00880D8A" w:rsidRPr="006279CF">
          <w:rPr>
            <w:rFonts w:ascii="Times New Roman" w:eastAsia="Times New Roman" w:hAnsi="Times New Roman" w:cs="Times New Roman"/>
            <w:sz w:val="13"/>
            <w:szCs w:val="13"/>
            <w:bdr w:val="none" w:sz="0" w:space="0" w:color="auto" w:frame="1"/>
            <w:vertAlign w:val="superscript"/>
          </w:rPr>
          <w:t>13</w:t>
        </w:r>
        <w:r w:rsidR="00880D8A" w:rsidRPr="006279CF">
          <w:rPr>
            <w:rFonts w:ascii="Times New Roman" w:eastAsia="Times New Roman" w:hAnsi="Times New Roman" w:cs="Times New Roman"/>
            <w:sz w:val="19"/>
            <w:szCs w:val="19"/>
            <w:bdr w:val="none" w:sz="0" w:space="0" w:color="auto" w:frame="1"/>
          </w:rPr>
          <w:t>)</w:t>
        </w:r>
      </w:hyperlink>
      <w:r w:rsidR="00880D8A" w:rsidRPr="006279CF">
        <w:rPr>
          <w:rFonts w:ascii="Times New Roman" w:eastAsia="Times New Roman" w:hAnsi="Times New Roman" w:cs="Times New Roman"/>
          <w:sz w:val="19"/>
          <w:szCs w:val="19"/>
        </w:rPr>
        <w:t>  </w:t>
      </w:r>
      <w:hyperlink r:id="rId62" w:history="1">
        <w:r w:rsidR="00880D8A" w:rsidRPr="006279CF">
          <w:rPr>
            <w:rFonts w:ascii="Times New Roman" w:eastAsia="Times New Roman" w:hAnsi="Times New Roman" w:cs="Times New Roman"/>
            <w:sz w:val="19"/>
            <w:szCs w:val="19"/>
            <w:bdr w:val="none" w:sz="0" w:space="0" w:color="auto" w:frame="1"/>
          </w:rPr>
          <w:t>OJ L 235, 23.9.2003, p. 10</w:t>
        </w:r>
      </w:hyperlink>
      <w:r w:rsidR="00880D8A" w:rsidRPr="006279CF">
        <w:rPr>
          <w:rFonts w:ascii="Times New Roman" w:eastAsia="Times New Roman" w:hAnsi="Times New Roman" w:cs="Times New Roman"/>
          <w:sz w:val="19"/>
          <w:szCs w:val="19"/>
        </w:rPr>
        <w:t>.</w:t>
      </w:r>
    </w:p>
    <w:p w:rsidR="00880D8A" w:rsidRPr="006279CF" w:rsidRDefault="00113714" w:rsidP="00880D8A">
      <w:pPr>
        <w:shd w:val="clear" w:color="auto" w:fill="FFFFFF"/>
        <w:spacing w:after="0" w:line="240" w:lineRule="auto"/>
        <w:jc w:val="both"/>
        <w:textAlignment w:val="baseline"/>
        <w:rPr>
          <w:rFonts w:ascii="Times New Roman" w:eastAsia="Times New Roman" w:hAnsi="Times New Roman" w:cs="Times New Roman"/>
          <w:sz w:val="19"/>
          <w:szCs w:val="19"/>
        </w:rPr>
      </w:pPr>
      <w:hyperlink r:id="rId63" w:anchor="ntc14-L_2012201EN.01000101-E0014" w:history="1">
        <w:r w:rsidR="00880D8A" w:rsidRPr="006279CF">
          <w:rPr>
            <w:rFonts w:ascii="Times New Roman" w:eastAsia="Times New Roman" w:hAnsi="Times New Roman" w:cs="Times New Roman"/>
            <w:sz w:val="19"/>
            <w:szCs w:val="19"/>
            <w:bdr w:val="none" w:sz="0" w:space="0" w:color="auto" w:frame="1"/>
          </w:rPr>
          <w:t>(</w:t>
        </w:r>
        <w:r w:rsidR="00880D8A" w:rsidRPr="006279CF">
          <w:rPr>
            <w:rFonts w:ascii="Times New Roman" w:eastAsia="Times New Roman" w:hAnsi="Times New Roman" w:cs="Times New Roman"/>
            <w:sz w:val="13"/>
            <w:szCs w:val="13"/>
            <w:bdr w:val="none" w:sz="0" w:space="0" w:color="auto" w:frame="1"/>
            <w:vertAlign w:val="superscript"/>
          </w:rPr>
          <w:t>14</w:t>
        </w:r>
        <w:r w:rsidR="00880D8A" w:rsidRPr="006279CF">
          <w:rPr>
            <w:rFonts w:ascii="Times New Roman" w:eastAsia="Times New Roman" w:hAnsi="Times New Roman" w:cs="Times New Roman"/>
            <w:sz w:val="19"/>
            <w:szCs w:val="19"/>
            <w:bdr w:val="none" w:sz="0" w:space="0" w:color="auto" w:frame="1"/>
          </w:rPr>
          <w:t>)</w:t>
        </w:r>
      </w:hyperlink>
      <w:r w:rsidR="00880D8A" w:rsidRPr="006279CF">
        <w:rPr>
          <w:rFonts w:ascii="Times New Roman" w:eastAsia="Times New Roman" w:hAnsi="Times New Roman" w:cs="Times New Roman"/>
          <w:sz w:val="19"/>
          <w:szCs w:val="19"/>
        </w:rPr>
        <w:t>  </w:t>
      </w:r>
      <w:hyperlink r:id="rId64" w:history="1">
        <w:r w:rsidR="00880D8A" w:rsidRPr="006279CF">
          <w:rPr>
            <w:rFonts w:ascii="Times New Roman" w:eastAsia="Times New Roman" w:hAnsi="Times New Roman" w:cs="Times New Roman"/>
            <w:sz w:val="19"/>
            <w:szCs w:val="19"/>
            <w:bdr w:val="none" w:sz="0" w:space="0" w:color="auto" w:frame="1"/>
          </w:rPr>
          <w:t>OJ L 174, 1.7.2011, p. 1</w:t>
        </w:r>
      </w:hyperlink>
      <w:r w:rsidR="00880D8A" w:rsidRPr="006279CF">
        <w:rPr>
          <w:rFonts w:ascii="Times New Roman" w:eastAsia="Times New Roman" w:hAnsi="Times New Roman" w:cs="Times New Roman"/>
          <w:sz w:val="19"/>
          <w:szCs w:val="19"/>
        </w:rPr>
        <w:t>.</w:t>
      </w:r>
    </w:p>
    <w:p w:rsidR="00880D8A" w:rsidRPr="006279CF" w:rsidRDefault="00113714" w:rsidP="00880D8A">
      <w:pPr>
        <w:shd w:val="clear" w:color="auto" w:fill="FFFFFF"/>
        <w:spacing w:after="0" w:line="240" w:lineRule="auto"/>
        <w:jc w:val="both"/>
        <w:textAlignment w:val="baseline"/>
        <w:rPr>
          <w:rFonts w:ascii="Times New Roman" w:eastAsia="Times New Roman" w:hAnsi="Times New Roman" w:cs="Times New Roman"/>
          <w:sz w:val="19"/>
          <w:szCs w:val="19"/>
        </w:rPr>
      </w:pPr>
      <w:hyperlink r:id="rId65" w:anchor="ntc15-L_2012201EN.01000101-E0015" w:history="1">
        <w:r w:rsidR="00880D8A" w:rsidRPr="006279CF">
          <w:rPr>
            <w:rFonts w:ascii="Times New Roman" w:eastAsia="Times New Roman" w:hAnsi="Times New Roman" w:cs="Times New Roman"/>
            <w:sz w:val="19"/>
            <w:szCs w:val="19"/>
            <w:bdr w:val="none" w:sz="0" w:space="0" w:color="auto" w:frame="1"/>
          </w:rPr>
          <w:t>(</w:t>
        </w:r>
        <w:r w:rsidR="00880D8A" w:rsidRPr="006279CF">
          <w:rPr>
            <w:rFonts w:ascii="Times New Roman" w:eastAsia="Times New Roman" w:hAnsi="Times New Roman" w:cs="Times New Roman"/>
            <w:sz w:val="13"/>
            <w:szCs w:val="13"/>
            <w:bdr w:val="none" w:sz="0" w:space="0" w:color="auto" w:frame="1"/>
            <w:vertAlign w:val="superscript"/>
          </w:rPr>
          <w:t>15</w:t>
        </w:r>
        <w:r w:rsidR="00880D8A" w:rsidRPr="006279CF">
          <w:rPr>
            <w:rFonts w:ascii="Times New Roman" w:eastAsia="Times New Roman" w:hAnsi="Times New Roman" w:cs="Times New Roman"/>
            <w:sz w:val="19"/>
            <w:szCs w:val="19"/>
            <w:bdr w:val="none" w:sz="0" w:space="0" w:color="auto" w:frame="1"/>
          </w:rPr>
          <w:t>)</w:t>
        </w:r>
      </w:hyperlink>
      <w:r w:rsidR="00880D8A" w:rsidRPr="006279CF">
        <w:rPr>
          <w:rFonts w:ascii="Times New Roman" w:eastAsia="Times New Roman" w:hAnsi="Times New Roman" w:cs="Times New Roman"/>
          <w:sz w:val="19"/>
          <w:szCs w:val="19"/>
        </w:rPr>
        <w:t>  </w:t>
      </w:r>
      <w:hyperlink r:id="rId66" w:history="1">
        <w:r w:rsidR="00880D8A" w:rsidRPr="006279CF">
          <w:rPr>
            <w:rFonts w:ascii="Times New Roman" w:eastAsia="Times New Roman" w:hAnsi="Times New Roman" w:cs="Times New Roman"/>
            <w:sz w:val="19"/>
            <w:szCs w:val="19"/>
            <w:bdr w:val="none" w:sz="0" w:space="0" w:color="auto" w:frame="1"/>
          </w:rPr>
          <w:t>OJ L 110, 20.4.2001, p. 28</w:t>
        </w:r>
      </w:hyperlink>
      <w:r w:rsidR="00880D8A" w:rsidRPr="006279CF">
        <w:rPr>
          <w:rFonts w:ascii="Times New Roman" w:eastAsia="Times New Roman" w:hAnsi="Times New Roman" w:cs="Times New Roman"/>
          <w:sz w:val="19"/>
          <w:szCs w:val="19"/>
        </w:rPr>
        <w:t>.</w:t>
      </w:r>
    </w:p>
    <w:p w:rsidR="00880D8A" w:rsidRPr="007228FC" w:rsidRDefault="00113714" w:rsidP="007228FC">
      <w:pPr>
        <w:shd w:val="clear" w:color="auto" w:fill="FFFFFF"/>
        <w:spacing w:after="0" w:line="240" w:lineRule="auto"/>
        <w:jc w:val="both"/>
        <w:textAlignment w:val="baseline"/>
        <w:rPr>
          <w:rFonts w:ascii="Times New Roman" w:eastAsia="Times New Roman" w:hAnsi="Times New Roman" w:cs="Times New Roman"/>
          <w:sz w:val="19"/>
          <w:szCs w:val="19"/>
          <w:lang w:val="ru-RU"/>
        </w:rPr>
      </w:pPr>
      <w:hyperlink r:id="rId67" w:anchor="ntc16-L_2012201EN.01000101-E0016" w:history="1">
        <w:r w:rsidR="00880D8A" w:rsidRPr="007228FC">
          <w:rPr>
            <w:rFonts w:ascii="Times New Roman" w:eastAsia="Times New Roman" w:hAnsi="Times New Roman" w:cs="Times New Roman"/>
            <w:sz w:val="19"/>
            <w:szCs w:val="19"/>
            <w:bdr w:val="none" w:sz="0" w:space="0" w:color="auto" w:frame="1"/>
            <w:lang w:val="ru-RU"/>
          </w:rPr>
          <w:t>(</w:t>
        </w:r>
        <w:r w:rsidR="00880D8A" w:rsidRPr="007228FC">
          <w:rPr>
            <w:rFonts w:ascii="Times New Roman" w:eastAsia="Times New Roman" w:hAnsi="Times New Roman" w:cs="Times New Roman"/>
            <w:sz w:val="13"/>
            <w:szCs w:val="13"/>
            <w:bdr w:val="none" w:sz="0" w:space="0" w:color="auto" w:frame="1"/>
            <w:vertAlign w:val="superscript"/>
            <w:lang w:val="ru-RU"/>
          </w:rPr>
          <w:t>16</w:t>
        </w:r>
        <w:r w:rsidR="00880D8A" w:rsidRPr="007228FC">
          <w:rPr>
            <w:rFonts w:ascii="Times New Roman" w:eastAsia="Times New Roman" w:hAnsi="Times New Roman" w:cs="Times New Roman"/>
            <w:sz w:val="19"/>
            <w:szCs w:val="19"/>
            <w:bdr w:val="none" w:sz="0" w:space="0" w:color="auto" w:frame="1"/>
            <w:lang w:val="ru-RU"/>
          </w:rPr>
          <w:t>)</w:t>
        </w:r>
      </w:hyperlink>
      <w:r w:rsidR="00880D8A" w:rsidRPr="006279CF">
        <w:rPr>
          <w:rFonts w:ascii="Times New Roman" w:eastAsia="Times New Roman" w:hAnsi="Times New Roman" w:cs="Times New Roman"/>
          <w:sz w:val="19"/>
          <w:szCs w:val="19"/>
        </w:rPr>
        <w:t>  </w:t>
      </w:r>
      <w:r w:rsidR="00C464EC">
        <w:rPr>
          <w:rFonts w:ascii="Times New Roman" w:eastAsia="Times New Roman" w:hAnsi="Times New Roman" w:cs="Times New Roman"/>
          <w:sz w:val="19"/>
          <w:szCs w:val="19"/>
          <w:lang w:val="uk-UA"/>
        </w:rPr>
        <w:t>Сьома директива Ради</w:t>
      </w:r>
      <w:r w:rsidR="00880D8A" w:rsidRPr="007228FC">
        <w:rPr>
          <w:rFonts w:ascii="Times New Roman" w:eastAsia="Times New Roman" w:hAnsi="Times New Roman" w:cs="Times New Roman"/>
          <w:sz w:val="19"/>
          <w:szCs w:val="19"/>
          <w:lang w:val="ru-RU"/>
        </w:rPr>
        <w:t xml:space="preserve"> </w:t>
      </w:r>
      <w:r w:rsidR="00C464EC" w:rsidRPr="007228FC">
        <w:rPr>
          <w:rFonts w:ascii="Times New Roman" w:eastAsia="Times New Roman" w:hAnsi="Times New Roman" w:cs="Times New Roman"/>
          <w:sz w:val="19"/>
          <w:szCs w:val="19"/>
          <w:lang w:val="ru-RU"/>
        </w:rPr>
        <w:t>83/349/</w:t>
      </w:r>
      <w:r w:rsidR="00880D8A" w:rsidRPr="006279CF">
        <w:rPr>
          <w:rFonts w:ascii="Times New Roman" w:eastAsia="Times New Roman" w:hAnsi="Times New Roman" w:cs="Times New Roman"/>
          <w:sz w:val="19"/>
          <w:szCs w:val="19"/>
        </w:rPr>
        <w:t>EEC</w:t>
      </w:r>
      <w:r w:rsidR="00880D8A" w:rsidRPr="007228FC">
        <w:rPr>
          <w:rFonts w:ascii="Times New Roman" w:eastAsia="Times New Roman" w:hAnsi="Times New Roman" w:cs="Times New Roman"/>
          <w:sz w:val="19"/>
          <w:szCs w:val="19"/>
          <w:lang w:val="ru-RU"/>
        </w:rPr>
        <w:t xml:space="preserve"> </w:t>
      </w:r>
      <w:r w:rsidR="00C464EC">
        <w:rPr>
          <w:rFonts w:ascii="Times New Roman" w:eastAsia="Times New Roman" w:hAnsi="Times New Roman" w:cs="Times New Roman"/>
          <w:sz w:val="19"/>
          <w:szCs w:val="19"/>
          <w:lang w:val="uk-UA"/>
        </w:rPr>
        <w:t>від 13 червня 1983</w:t>
      </w:r>
      <w:r w:rsidR="007228FC">
        <w:rPr>
          <w:rFonts w:ascii="Times New Roman" w:eastAsia="Times New Roman" w:hAnsi="Times New Roman" w:cs="Times New Roman"/>
          <w:sz w:val="19"/>
          <w:szCs w:val="19"/>
          <w:lang w:val="uk-UA"/>
        </w:rPr>
        <w:t xml:space="preserve"> р. на основі статті</w:t>
      </w:r>
      <w:r w:rsidR="00880D8A" w:rsidRPr="007228FC">
        <w:rPr>
          <w:rFonts w:ascii="Times New Roman" w:eastAsia="Times New Roman" w:hAnsi="Times New Roman" w:cs="Times New Roman"/>
          <w:sz w:val="19"/>
          <w:szCs w:val="19"/>
          <w:lang w:val="ru-RU"/>
        </w:rPr>
        <w:t xml:space="preserve"> 54(3)(</w:t>
      </w:r>
      <w:r w:rsidR="00880D8A" w:rsidRPr="006279CF">
        <w:rPr>
          <w:rFonts w:ascii="Times New Roman" w:eastAsia="Times New Roman" w:hAnsi="Times New Roman" w:cs="Times New Roman"/>
          <w:sz w:val="19"/>
          <w:szCs w:val="19"/>
        </w:rPr>
        <w:t>g</w:t>
      </w:r>
      <w:r w:rsidR="00880D8A" w:rsidRPr="007228FC">
        <w:rPr>
          <w:rFonts w:ascii="Times New Roman" w:eastAsia="Times New Roman" w:hAnsi="Times New Roman" w:cs="Times New Roman"/>
          <w:sz w:val="19"/>
          <w:szCs w:val="19"/>
          <w:lang w:val="ru-RU"/>
        </w:rPr>
        <w:t xml:space="preserve">) </w:t>
      </w:r>
      <w:r w:rsidR="007228FC">
        <w:rPr>
          <w:rFonts w:ascii="Times New Roman" w:eastAsia="Times New Roman" w:hAnsi="Times New Roman" w:cs="Times New Roman"/>
          <w:sz w:val="19"/>
          <w:szCs w:val="19"/>
          <w:lang w:val="ru-RU"/>
        </w:rPr>
        <w:t xml:space="preserve">Договору </w:t>
      </w:r>
      <w:r w:rsidR="007228FC">
        <w:rPr>
          <w:rFonts w:ascii="Times New Roman" w:eastAsia="Times New Roman" w:hAnsi="Times New Roman" w:cs="Times New Roman"/>
          <w:sz w:val="19"/>
          <w:szCs w:val="19"/>
          <w:lang w:val="uk-UA"/>
        </w:rPr>
        <w:t>щодо консолідованих звітів</w:t>
      </w:r>
      <w:r w:rsidR="00880D8A" w:rsidRPr="007228FC">
        <w:rPr>
          <w:rFonts w:ascii="Times New Roman" w:eastAsia="Times New Roman" w:hAnsi="Times New Roman" w:cs="Times New Roman"/>
          <w:sz w:val="19"/>
          <w:szCs w:val="19"/>
          <w:lang w:val="ru-RU"/>
        </w:rPr>
        <w:t xml:space="preserve"> (</w:t>
      </w:r>
      <w:hyperlink r:id="rId68" w:history="1">
        <w:r w:rsidR="00880D8A" w:rsidRPr="006279CF">
          <w:rPr>
            <w:rFonts w:ascii="Times New Roman" w:eastAsia="Times New Roman" w:hAnsi="Times New Roman" w:cs="Times New Roman"/>
            <w:sz w:val="19"/>
            <w:szCs w:val="19"/>
            <w:bdr w:val="none" w:sz="0" w:space="0" w:color="auto" w:frame="1"/>
          </w:rPr>
          <w:t>OJ</w:t>
        </w:r>
        <w:r w:rsidR="00880D8A" w:rsidRPr="007228FC">
          <w:rPr>
            <w:rFonts w:ascii="Times New Roman" w:eastAsia="Times New Roman" w:hAnsi="Times New Roman" w:cs="Times New Roman"/>
            <w:sz w:val="19"/>
            <w:szCs w:val="19"/>
            <w:bdr w:val="none" w:sz="0" w:space="0" w:color="auto" w:frame="1"/>
            <w:lang w:val="ru-RU"/>
          </w:rPr>
          <w:t xml:space="preserve"> </w:t>
        </w:r>
        <w:r w:rsidR="00880D8A" w:rsidRPr="006279CF">
          <w:rPr>
            <w:rFonts w:ascii="Times New Roman" w:eastAsia="Times New Roman" w:hAnsi="Times New Roman" w:cs="Times New Roman"/>
            <w:sz w:val="19"/>
            <w:szCs w:val="19"/>
            <w:bdr w:val="none" w:sz="0" w:space="0" w:color="auto" w:frame="1"/>
          </w:rPr>
          <w:t>L</w:t>
        </w:r>
        <w:r w:rsidR="00880D8A" w:rsidRPr="007228FC">
          <w:rPr>
            <w:rFonts w:ascii="Times New Roman" w:eastAsia="Times New Roman" w:hAnsi="Times New Roman" w:cs="Times New Roman"/>
            <w:sz w:val="19"/>
            <w:szCs w:val="19"/>
            <w:bdr w:val="none" w:sz="0" w:space="0" w:color="auto" w:frame="1"/>
            <w:lang w:val="ru-RU"/>
          </w:rPr>
          <w:t xml:space="preserve"> 193, 18.7.1983, </w:t>
        </w:r>
        <w:r w:rsidR="00880D8A" w:rsidRPr="006279CF">
          <w:rPr>
            <w:rFonts w:ascii="Times New Roman" w:eastAsia="Times New Roman" w:hAnsi="Times New Roman" w:cs="Times New Roman"/>
            <w:sz w:val="19"/>
            <w:szCs w:val="19"/>
            <w:bdr w:val="none" w:sz="0" w:space="0" w:color="auto" w:frame="1"/>
          </w:rPr>
          <w:t>p</w:t>
        </w:r>
        <w:r w:rsidR="00880D8A" w:rsidRPr="007228FC">
          <w:rPr>
            <w:rFonts w:ascii="Times New Roman" w:eastAsia="Times New Roman" w:hAnsi="Times New Roman" w:cs="Times New Roman"/>
            <w:sz w:val="19"/>
            <w:szCs w:val="19"/>
            <w:bdr w:val="none" w:sz="0" w:space="0" w:color="auto" w:frame="1"/>
            <w:lang w:val="ru-RU"/>
          </w:rPr>
          <w:t>. 1</w:t>
        </w:r>
      </w:hyperlink>
      <w:r w:rsidR="00880D8A" w:rsidRPr="007228FC">
        <w:rPr>
          <w:rFonts w:ascii="Times New Roman" w:eastAsia="Times New Roman" w:hAnsi="Times New Roman" w:cs="Times New Roman"/>
          <w:sz w:val="19"/>
          <w:szCs w:val="19"/>
          <w:lang w:val="ru-RU"/>
        </w:rPr>
        <w:t>).</w:t>
      </w:r>
    </w:p>
    <w:p w:rsidR="00880D8A" w:rsidRPr="007228FC" w:rsidRDefault="00113714" w:rsidP="007228FC">
      <w:pPr>
        <w:shd w:val="clear" w:color="auto" w:fill="FFFFFF"/>
        <w:spacing w:after="0" w:line="240" w:lineRule="auto"/>
        <w:jc w:val="both"/>
        <w:textAlignment w:val="baseline"/>
        <w:rPr>
          <w:rFonts w:ascii="Times New Roman" w:eastAsia="Times New Roman" w:hAnsi="Times New Roman" w:cs="Times New Roman"/>
          <w:sz w:val="19"/>
          <w:szCs w:val="19"/>
          <w:lang w:val="ru-RU"/>
        </w:rPr>
      </w:pPr>
      <w:hyperlink r:id="rId69" w:anchor="ntc17-L_2012201EN.01000101-E0017" w:history="1">
        <w:r w:rsidR="00880D8A" w:rsidRPr="007228FC">
          <w:rPr>
            <w:rFonts w:ascii="Times New Roman" w:eastAsia="Times New Roman" w:hAnsi="Times New Roman" w:cs="Times New Roman"/>
            <w:sz w:val="19"/>
            <w:szCs w:val="19"/>
            <w:bdr w:val="none" w:sz="0" w:space="0" w:color="auto" w:frame="1"/>
            <w:lang w:val="ru-RU"/>
          </w:rPr>
          <w:t>(</w:t>
        </w:r>
        <w:r w:rsidR="00880D8A" w:rsidRPr="007228FC">
          <w:rPr>
            <w:rFonts w:ascii="Times New Roman" w:eastAsia="Times New Roman" w:hAnsi="Times New Roman" w:cs="Times New Roman"/>
            <w:sz w:val="13"/>
            <w:szCs w:val="13"/>
            <w:bdr w:val="none" w:sz="0" w:space="0" w:color="auto" w:frame="1"/>
            <w:vertAlign w:val="superscript"/>
            <w:lang w:val="ru-RU"/>
          </w:rPr>
          <w:t>17</w:t>
        </w:r>
        <w:r w:rsidR="00880D8A" w:rsidRPr="007228FC">
          <w:rPr>
            <w:rFonts w:ascii="Times New Roman" w:eastAsia="Times New Roman" w:hAnsi="Times New Roman" w:cs="Times New Roman"/>
            <w:sz w:val="19"/>
            <w:szCs w:val="19"/>
            <w:bdr w:val="none" w:sz="0" w:space="0" w:color="auto" w:frame="1"/>
            <w:lang w:val="ru-RU"/>
          </w:rPr>
          <w:t>)</w:t>
        </w:r>
      </w:hyperlink>
      <w:r w:rsidR="00880D8A" w:rsidRPr="006279CF">
        <w:rPr>
          <w:rFonts w:ascii="Times New Roman" w:eastAsia="Times New Roman" w:hAnsi="Times New Roman" w:cs="Times New Roman"/>
          <w:sz w:val="19"/>
          <w:szCs w:val="19"/>
        </w:rPr>
        <w:t>  </w:t>
      </w:r>
      <w:r w:rsidR="007228FC">
        <w:rPr>
          <w:rFonts w:ascii="Times New Roman" w:eastAsia="Times New Roman" w:hAnsi="Times New Roman" w:cs="Times New Roman"/>
          <w:sz w:val="19"/>
          <w:szCs w:val="19"/>
          <w:lang w:val="uk-UA"/>
        </w:rPr>
        <w:t>Регламент</w:t>
      </w:r>
      <w:r w:rsidR="00880D8A" w:rsidRPr="007228FC">
        <w:rPr>
          <w:rFonts w:ascii="Times New Roman" w:eastAsia="Times New Roman" w:hAnsi="Times New Roman" w:cs="Times New Roman"/>
          <w:sz w:val="19"/>
          <w:szCs w:val="19"/>
          <w:lang w:val="ru-RU"/>
        </w:rPr>
        <w:t xml:space="preserve"> (</w:t>
      </w:r>
      <w:r w:rsidR="00880D8A" w:rsidRPr="006279CF">
        <w:rPr>
          <w:rFonts w:ascii="Times New Roman" w:eastAsia="Times New Roman" w:hAnsi="Times New Roman" w:cs="Times New Roman"/>
          <w:sz w:val="19"/>
          <w:szCs w:val="19"/>
        </w:rPr>
        <w:t>EC</w:t>
      </w:r>
      <w:r w:rsidR="00880D8A" w:rsidRPr="007228FC">
        <w:rPr>
          <w:rFonts w:ascii="Times New Roman" w:eastAsia="Times New Roman" w:hAnsi="Times New Roman" w:cs="Times New Roman"/>
          <w:sz w:val="19"/>
          <w:szCs w:val="19"/>
          <w:lang w:val="ru-RU"/>
        </w:rPr>
        <w:t xml:space="preserve">) </w:t>
      </w:r>
      <w:r w:rsidR="007228FC">
        <w:rPr>
          <w:rFonts w:ascii="Times New Roman" w:eastAsia="Times New Roman" w:hAnsi="Times New Roman" w:cs="Times New Roman"/>
          <w:sz w:val="19"/>
          <w:szCs w:val="19"/>
          <w:lang w:val="uk-UA"/>
        </w:rPr>
        <w:t>№</w:t>
      </w:r>
      <w:r w:rsidR="00880D8A" w:rsidRPr="006279CF">
        <w:rPr>
          <w:rFonts w:ascii="Times New Roman" w:eastAsia="Times New Roman" w:hAnsi="Times New Roman" w:cs="Times New Roman"/>
          <w:sz w:val="19"/>
          <w:szCs w:val="19"/>
        </w:rPr>
        <w:t> </w:t>
      </w:r>
      <w:r w:rsidR="00880D8A" w:rsidRPr="007228FC">
        <w:rPr>
          <w:rFonts w:ascii="Times New Roman" w:eastAsia="Times New Roman" w:hAnsi="Times New Roman" w:cs="Times New Roman"/>
          <w:sz w:val="19"/>
          <w:szCs w:val="19"/>
          <w:lang w:val="ru-RU"/>
        </w:rPr>
        <w:t xml:space="preserve">1606/2002 </w:t>
      </w:r>
      <w:proofErr w:type="spellStart"/>
      <w:r w:rsidR="00880D8A" w:rsidRPr="007228FC">
        <w:rPr>
          <w:rFonts w:ascii="Times New Roman" w:eastAsia="Times New Roman" w:hAnsi="Times New Roman" w:cs="Times New Roman"/>
          <w:sz w:val="19"/>
          <w:szCs w:val="19"/>
          <w:lang w:val="ru-RU"/>
        </w:rPr>
        <w:t>Європейського</w:t>
      </w:r>
      <w:proofErr w:type="spellEnd"/>
      <w:r w:rsidR="00880D8A" w:rsidRPr="007228FC">
        <w:rPr>
          <w:rFonts w:ascii="Times New Roman" w:eastAsia="Times New Roman" w:hAnsi="Times New Roman" w:cs="Times New Roman"/>
          <w:sz w:val="19"/>
          <w:szCs w:val="19"/>
          <w:lang w:val="ru-RU"/>
        </w:rPr>
        <w:t xml:space="preserve"> Парламенту та Ради </w:t>
      </w:r>
      <w:r w:rsidR="007228FC">
        <w:rPr>
          <w:rFonts w:ascii="Times New Roman" w:eastAsia="Times New Roman" w:hAnsi="Times New Roman" w:cs="Times New Roman"/>
          <w:sz w:val="19"/>
          <w:szCs w:val="19"/>
          <w:lang w:val="uk-UA"/>
        </w:rPr>
        <w:t>від 19 липня 2002 р. про застосування міжнародних стандартів бухгалтерського обліку</w:t>
      </w:r>
      <w:r w:rsidR="00880D8A" w:rsidRPr="007228FC">
        <w:rPr>
          <w:rFonts w:ascii="Times New Roman" w:eastAsia="Times New Roman" w:hAnsi="Times New Roman" w:cs="Times New Roman"/>
          <w:sz w:val="19"/>
          <w:szCs w:val="19"/>
          <w:lang w:val="ru-RU"/>
        </w:rPr>
        <w:t xml:space="preserve"> (</w:t>
      </w:r>
      <w:hyperlink r:id="rId70" w:history="1">
        <w:r w:rsidR="00880D8A" w:rsidRPr="006279CF">
          <w:rPr>
            <w:rFonts w:ascii="Times New Roman" w:eastAsia="Times New Roman" w:hAnsi="Times New Roman" w:cs="Times New Roman"/>
            <w:sz w:val="19"/>
            <w:szCs w:val="19"/>
            <w:bdr w:val="none" w:sz="0" w:space="0" w:color="auto" w:frame="1"/>
          </w:rPr>
          <w:t>OJ</w:t>
        </w:r>
        <w:r w:rsidR="00880D8A" w:rsidRPr="007228FC">
          <w:rPr>
            <w:rFonts w:ascii="Times New Roman" w:eastAsia="Times New Roman" w:hAnsi="Times New Roman" w:cs="Times New Roman"/>
            <w:sz w:val="19"/>
            <w:szCs w:val="19"/>
            <w:bdr w:val="none" w:sz="0" w:space="0" w:color="auto" w:frame="1"/>
            <w:lang w:val="ru-RU"/>
          </w:rPr>
          <w:t xml:space="preserve"> </w:t>
        </w:r>
        <w:r w:rsidR="00880D8A" w:rsidRPr="006279CF">
          <w:rPr>
            <w:rFonts w:ascii="Times New Roman" w:eastAsia="Times New Roman" w:hAnsi="Times New Roman" w:cs="Times New Roman"/>
            <w:sz w:val="19"/>
            <w:szCs w:val="19"/>
            <w:bdr w:val="none" w:sz="0" w:space="0" w:color="auto" w:frame="1"/>
          </w:rPr>
          <w:t>L</w:t>
        </w:r>
        <w:r w:rsidR="00880D8A" w:rsidRPr="007228FC">
          <w:rPr>
            <w:rFonts w:ascii="Times New Roman" w:eastAsia="Times New Roman" w:hAnsi="Times New Roman" w:cs="Times New Roman"/>
            <w:sz w:val="19"/>
            <w:szCs w:val="19"/>
            <w:bdr w:val="none" w:sz="0" w:space="0" w:color="auto" w:frame="1"/>
            <w:lang w:val="ru-RU"/>
          </w:rPr>
          <w:t xml:space="preserve"> 243, 11.9.2002, </w:t>
        </w:r>
        <w:r w:rsidR="00880D8A" w:rsidRPr="006279CF">
          <w:rPr>
            <w:rFonts w:ascii="Times New Roman" w:eastAsia="Times New Roman" w:hAnsi="Times New Roman" w:cs="Times New Roman"/>
            <w:sz w:val="19"/>
            <w:szCs w:val="19"/>
            <w:bdr w:val="none" w:sz="0" w:space="0" w:color="auto" w:frame="1"/>
          </w:rPr>
          <w:t>p</w:t>
        </w:r>
        <w:r w:rsidR="00880D8A" w:rsidRPr="007228FC">
          <w:rPr>
            <w:rFonts w:ascii="Times New Roman" w:eastAsia="Times New Roman" w:hAnsi="Times New Roman" w:cs="Times New Roman"/>
            <w:sz w:val="19"/>
            <w:szCs w:val="19"/>
            <w:bdr w:val="none" w:sz="0" w:space="0" w:color="auto" w:frame="1"/>
            <w:lang w:val="ru-RU"/>
          </w:rPr>
          <w:t>. 1</w:t>
        </w:r>
      </w:hyperlink>
      <w:r w:rsidR="00880D8A" w:rsidRPr="007228FC">
        <w:rPr>
          <w:rFonts w:ascii="Times New Roman" w:eastAsia="Times New Roman" w:hAnsi="Times New Roman" w:cs="Times New Roman"/>
          <w:sz w:val="19"/>
          <w:szCs w:val="19"/>
          <w:lang w:val="ru-RU"/>
        </w:rPr>
        <w:t>).</w:t>
      </w:r>
    </w:p>
    <w:p w:rsidR="00880D8A" w:rsidRPr="00241957" w:rsidRDefault="00113714" w:rsidP="00880D8A">
      <w:pPr>
        <w:shd w:val="clear" w:color="auto" w:fill="FFFFFF"/>
        <w:spacing w:after="0" w:line="240" w:lineRule="auto"/>
        <w:jc w:val="both"/>
        <w:textAlignment w:val="baseline"/>
        <w:rPr>
          <w:rFonts w:ascii="Times New Roman" w:eastAsia="Times New Roman" w:hAnsi="Times New Roman" w:cs="Times New Roman"/>
          <w:sz w:val="19"/>
          <w:szCs w:val="19"/>
          <w:lang w:val="ru-RU"/>
        </w:rPr>
      </w:pPr>
      <w:hyperlink r:id="rId71" w:anchor="ntc18-L_2012201EN.01000101-E0018" w:history="1">
        <w:r w:rsidR="00880D8A" w:rsidRPr="007228FC">
          <w:rPr>
            <w:rFonts w:ascii="Times New Roman" w:eastAsia="Times New Roman" w:hAnsi="Times New Roman" w:cs="Times New Roman"/>
            <w:sz w:val="19"/>
            <w:szCs w:val="19"/>
            <w:bdr w:val="none" w:sz="0" w:space="0" w:color="auto" w:frame="1"/>
            <w:lang w:val="ru-RU"/>
          </w:rPr>
          <w:t>(</w:t>
        </w:r>
        <w:r w:rsidR="00880D8A" w:rsidRPr="007228FC">
          <w:rPr>
            <w:rFonts w:ascii="Times New Roman" w:eastAsia="Times New Roman" w:hAnsi="Times New Roman" w:cs="Times New Roman"/>
            <w:sz w:val="13"/>
            <w:szCs w:val="13"/>
            <w:bdr w:val="none" w:sz="0" w:space="0" w:color="auto" w:frame="1"/>
            <w:vertAlign w:val="superscript"/>
            <w:lang w:val="ru-RU"/>
          </w:rPr>
          <w:t>18</w:t>
        </w:r>
        <w:r w:rsidR="00880D8A" w:rsidRPr="007228FC">
          <w:rPr>
            <w:rFonts w:ascii="Times New Roman" w:eastAsia="Times New Roman" w:hAnsi="Times New Roman" w:cs="Times New Roman"/>
            <w:sz w:val="19"/>
            <w:szCs w:val="19"/>
            <w:bdr w:val="none" w:sz="0" w:space="0" w:color="auto" w:frame="1"/>
            <w:lang w:val="ru-RU"/>
          </w:rPr>
          <w:t>)</w:t>
        </w:r>
      </w:hyperlink>
      <w:r w:rsidR="00880D8A" w:rsidRPr="006279CF">
        <w:rPr>
          <w:rFonts w:ascii="Times New Roman" w:eastAsia="Times New Roman" w:hAnsi="Times New Roman" w:cs="Times New Roman"/>
          <w:sz w:val="19"/>
          <w:szCs w:val="19"/>
        </w:rPr>
        <w:t>  </w:t>
      </w:r>
      <w:r w:rsidR="007228FC">
        <w:rPr>
          <w:rFonts w:ascii="Times New Roman" w:eastAsia="Times New Roman" w:hAnsi="Times New Roman" w:cs="Times New Roman"/>
          <w:sz w:val="19"/>
          <w:szCs w:val="19"/>
          <w:lang w:val="uk-UA"/>
        </w:rPr>
        <w:t>Регламент Комісії</w:t>
      </w:r>
      <w:r w:rsidR="00880D8A" w:rsidRPr="007228FC">
        <w:rPr>
          <w:rFonts w:ascii="Times New Roman" w:eastAsia="Times New Roman" w:hAnsi="Times New Roman" w:cs="Times New Roman"/>
          <w:sz w:val="19"/>
          <w:szCs w:val="19"/>
          <w:lang w:val="ru-RU"/>
        </w:rPr>
        <w:t xml:space="preserve"> (</w:t>
      </w:r>
      <w:r w:rsidR="00880D8A" w:rsidRPr="006279CF">
        <w:rPr>
          <w:rFonts w:ascii="Times New Roman" w:eastAsia="Times New Roman" w:hAnsi="Times New Roman" w:cs="Times New Roman"/>
          <w:sz w:val="19"/>
          <w:szCs w:val="19"/>
        </w:rPr>
        <w:t>EC</w:t>
      </w:r>
      <w:r w:rsidR="00880D8A" w:rsidRPr="007228FC">
        <w:rPr>
          <w:rFonts w:ascii="Times New Roman" w:eastAsia="Times New Roman" w:hAnsi="Times New Roman" w:cs="Times New Roman"/>
          <w:sz w:val="19"/>
          <w:szCs w:val="19"/>
          <w:lang w:val="ru-RU"/>
        </w:rPr>
        <w:t xml:space="preserve">) </w:t>
      </w:r>
      <w:r w:rsidR="007228FC">
        <w:rPr>
          <w:rFonts w:ascii="Times New Roman" w:eastAsia="Times New Roman" w:hAnsi="Times New Roman" w:cs="Times New Roman"/>
          <w:sz w:val="19"/>
          <w:szCs w:val="19"/>
          <w:lang w:val="uk-UA"/>
        </w:rPr>
        <w:t>№</w:t>
      </w:r>
      <w:r w:rsidR="00880D8A" w:rsidRPr="006279CF">
        <w:rPr>
          <w:rFonts w:ascii="Times New Roman" w:eastAsia="Times New Roman" w:hAnsi="Times New Roman" w:cs="Times New Roman"/>
          <w:sz w:val="19"/>
          <w:szCs w:val="19"/>
        </w:rPr>
        <w:t> </w:t>
      </w:r>
      <w:r w:rsidR="00880D8A" w:rsidRPr="007228FC">
        <w:rPr>
          <w:rFonts w:ascii="Times New Roman" w:eastAsia="Times New Roman" w:hAnsi="Times New Roman" w:cs="Times New Roman"/>
          <w:sz w:val="19"/>
          <w:szCs w:val="19"/>
          <w:lang w:val="ru-RU"/>
        </w:rPr>
        <w:t xml:space="preserve">1569/2007 </w:t>
      </w:r>
      <w:r w:rsidR="007228FC">
        <w:rPr>
          <w:rFonts w:ascii="Times New Roman" w:eastAsia="Times New Roman" w:hAnsi="Times New Roman" w:cs="Times New Roman"/>
          <w:sz w:val="19"/>
          <w:szCs w:val="19"/>
          <w:lang w:val="uk-UA"/>
        </w:rPr>
        <w:t xml:space="preserve">від 21 грудня 2007 р., яким створено механізм визначення еквівалентності стандартів бухгалтерського обліку, застосовуваних </w:t>
      </w:r>
      <w:r w:rsidR="00241957">
        <w:rPr>
          <w:rFonts w:ascii="Times New Roman" w:eastAsia="Times New Roman" w:hAnsi="Times New Roman" w:cs="Times New Roman"/>
          <w:sz w:val="19"/>
          <w:szCs w:val="19"/>
          <w:lang w:val="uk-UA"/>
        </w:rPr>
        <w:t>третіми країнами-</w:t>
      </w:r>
      <w:r w:rsidR="007228FC">
        <w:rPr>
          <w:rFonts w:ascii="Times New Roman" w:eastAsia="Times New Roman" w:hAnsi="Times New Roman" w:cs="Times New Roman"/>
          <w:sz w:val="19"/>
          <w:szCs w:val="19"/>
          <w:lang w:val="uk-UA"/>
        </w:rPr>
        <w:t xml:space="preserve">емітентами цінних паперів </w:t>
      </w:r>
      <w:r w:rsidR="00241957">
        <w:rPr>
          <w:rFonts w:ascii="Times New Roman" w:eastAsia="Times New Roman" w:hAnsi="Times New Roman" w:cs="Times New Roman"/>
          <w:sz w:val="19"/>
          <w:szCs w:val="19"/>
          <w:lang w:val="uk-UA"/>
        </w:rPr>
        <w:t>на виконання Директив</w:t>
      </w:r>
      <w:r w:rsidR="00880D8A" w:rsidRPr="00241957">
        <w:rPr>
          <w:rFonts w:ascii="Times New Roman" w:eastAsia="Times New Roman" w:hAnsi="Times New Roman" w:cs="Times New Roman"/>
          <w:sz w:val="19"/>
          <w:szCs w:val="19"/>
          <w:lang w:val="ru-RU"/>
        </w:rPr>
        <w:t xml:space="preserve"> 2003/71/</w:t>
      </w:r>
      <w:r w:rsidR="00880D8A" w:rsidRPr="006279CF">
        <w:rPr>
          <w:rFonts w:ascii="Times New Roman" w:eastAsia="Times New Roman" w:hAnsi="Times New Roman" w:cs="Times New Roman"/>
          <w:sz w:val="19"/>
          <w:szCs w:val="19"/>
        </w:rPr>
        <w:t>EC</w:t>
      </w:r>
      <w:r w:rsidR="00880D8A" w:rsidRPr="00241957">
        <w:rPr>
          <w:rFonts w:ascii="Times New Roman" w:eastAsia="Times New Roman" w:hAnsi="Times New Roman" w:cs="Times New Roman"/>
          <w:sz w:val="19"/>
          <w:szCs w:val="19"/>
          <w:lang w:val="ru-RU"/>
        </w:rPr>
        <w:t xml:space="preserve"> </w:t>
      </w:r>
      <w:r w:rsidR="00241957">
        <w:rPr>
          <w:rFonts w:ascii="Times New Roman" w:eastAsia="Times New Roman" w:hAnsi="Times New Roman" w:cs="Times New Roman"/>
          <w:sz w:val="19"/>
          <w:szCs w:val="19"/>
          <w:lang w:val="ru-RU"/>
        </w:rPr>
        <w:t>і</w:t>
      </w:r>
      <w:r w:rsidR="00880D8A" w:rsidRPr="00241957">
        <w:rPr>
          <w:rFonts w:ascii="Times New Roman" w:eastAsia="Times New Roman" w:hAnsi="Times New Roman" w:cs="Times New Roman"/>
          <w:sz w:val="19"/>
          <w:szCs w:val="19"/>
          <w:lang w:val="ru-RU"/>
        </w:rPr>
        <w:t xml:space="preserve"> 2004/109/</w:t>
      </w:r>
      <w:r w:rsidR="00880D8A" w:rsidRPr="006279CF">
        <w:rPr>
          <w:rFonts w:ascii="Times New Roman" w:eastAsia="Times New Roman" w:hAnsi="Times New Roman" w:cs="Times New Roman"/>
          <w:sz w:val="19"/>
          <w:szCs w:val="19"/>
        </w:rPr>
        <w:t>EC</w:t>
      </w:r>
      <w:r w:rsidR="00880D8A" w:rsidRPr="00241957">
        <w:rPr>
          <w:rFonts w:ascii="Times New Roman" w:eastAsia="Times New Roman" w:hAnsi="Times New Roman" w:cs="Times New Roman"/>
          <w:sz w:val="19"/>
          <w:szCs w:val="19"/>
          <w:lang w:val="ru-RU"/>
        </w:rPr>
        <w:t xml:space="preserve"> </w:t>
      </w:r>
      <w:proofErr w:type="spellStart"/>
      <w:r w:rsidR="00880D8A" w:rsidRPr="00241957">
        <w:rPr>
          <w:rFonts w:ascii="Times New Roman" w:eastAsia="Times New Roman" w:hAnsi="Times New Roman" w:cs="Times New Roman"/>
          <w:sz w:val="19"/>
          <w:szCs w:val="19"/>
          <w:lang w:val="ru-RU"/>
        </w:rPr>
        <w:t>Європейського</w:t>
      </w:r>
      <w:proofErr w:type="spellEnd"/>
      <w:r w:rsidR="00880D8A" w:rsidRPr="00241957">
        <w:rPr>
          <w:rFonts w:ascii="Times New Roman" w:eastAsia="Times New Roman" w:hAnsi="Times New Roman" w:cs="Times New Roman"/>
          <w:sz w:val="19"/>
          <w:szCs w:val="19"/>
          <w:lang w:val="ru-RU"/>
        </w:rPr>
        <w:t xml:space="preserve"> Парламенту та Ради (</w:t>
      </w:r>
      <w:hyperlink r:id="rId72" w:history="1">
        <w:r w:rsidR="00880D8A" w:rsidRPr="006279CF">
          <w:rPr>
            <w:rFonts w:ascii="Times New Roman" w:eastAsia="Times New Roman" w:hAnsi="Times New Roman" w:cs="Times New Roman"/>
            <w:sz w:val="19"/>
            <w:szCs w:val="19"/>
            <w:bdr w:val="none" w:sz="0" w:space="0" w:color="auto" w:frame="1"/>
          </w:rPr>
          <w:t>OJ</w:t>
        </w:r>
        <w:r w:rsidR="00880D8A" w:rsidRPr="00241957">
          <w:rPr>
            <w:rFonts w:ascii="Times New Roman" w:eastAsia="Times New Roman" w:hAnsi="Times New Roman" w:cs="Times New Roman"/>
            <w:sz w:val="19"/>
            <w:szCs w:val="19"/>
            <w:bdr w:val="none" w:sz="0" w:space="0" w:color="auto" w:frame="1"/>
            <w:lang w:val="ru-RU"/>
          </w:rPr>
          <w:t xml:space="preserve"> </w:t>
        </w:r>
        <w:r w:rsidR="00880D8A" w:rsidRPr="006279CF">
          <w:rPr>
            <w:rFonts w:ascii="Times New Roman" w:eastAsia="Times New Roman" w:hAnsi="Times New Roman" w:cs="Times New Roman"/>
            <w:sz w:val="19"/>
            <w:szCs w:val="19"/>
            <w:bdr w:val="none" w:sz="0" w:space="0" w:color="auto" w:frame="1"/>
          </w:rPr>
          <w:t>L</w:t>
        </w:r>
        <w:r w:rsidR="00880D8A" w:rsidRPr="00241957">
          <w:rPr>
            <w:rFonts w:ascii="Times New Roman" w:eastAsia="Times New Roman" w:hAnsi="Times New Roman" w:cs="Times New Roman"/>
            <w:sz w:val="19"/>
            <w:szCs w:val="19"/>
            <w:bdr w:val="none" w:sz="0" w:space="0" w:color="auto" w:frame="1"/>
            <w:lang w:val="ru-RU"/>
          </w:rPr>
          <w:t xml:space="preserve"> 340, 22.12.2007, </w:t>
        </w:r>
        <w:r w:rsidR="00880D8A" w:rsidRPr="006279CF">
          <w:rPr>
            <w:rFonts w:ascii="Times New Roman" w:eastAsia="Times New Roman" w:hAnsi="Times New Roman" w:cs="Times New Roman"/>
            <w:sz w:val="19"/>
            <w:szCs w:val="19"/>
            <w:bdr w:val="none" w:sz="0" w:space="0" w:color="auto" w:frame="1"/>
          </w:rPr>
          <w:t>p</w:t>
        </w:r>
        <w:r w:rsidR="00880D8A" w:rsidRPr="00241957">
          <w:rPr>
            <w:rFonts w:ascii="Times New Roman" w:eastAsia="Times New Roman" w:hAnsi="Times New Roman" w:cs="Times New Roman"/>
            <w:sz w:val="19"/>
            <w:szCs w:val="19"/>
            <w:bdr w:val="none" w:sz="0" w:space="0" w:color="auto" w:frame="1"/>
            <w:lang w:val="ru-RU"/>
          </w:rPr>
          <w:t>. 66</w:t>
        </w:r>
      </w:hyperlink>
      <w:r w:rsidR="00880D8A" w:rsidRPr="00241957">
        <w:rPr>
          <w:rFonts w:ascii="Times New Roman" w:eastAsia="Times New Roman" w:hAnsi="Times New Roman" w:cs="Times New Roman"/>
          <w:sz w:val="19"/>
          <w:szCs w:val="19"/>
          <w:lang w:val="ru-RU"/>
        </w:rPr>
        <w:t>).</w:t>
      </w:r>
    </w:p>
    <w:p w:rsidR="00880D8A" w:rsidRPr="00241957" w:rsidRDefault="00113714" w:rsidP="00241957">
      <w:pPr>
        <w:shd w:val="clear" w:color="auto" w:fill="FFFFFF"/>
        <w:spacing w:after="0" w:line="240" w:lineRule="auto"/>
        <w:jc w:val="both"/>
        <w:textAlignment w:val="baseline"/>
        <w:rPr>
          <w:rFonts w:ascii="Times New Roman" w:eastAsia="Times New Roman" w:hAnsi="Times New Roman" w:cs="Times New Roman"/>
          <w:sz w:val="19"/>
          <w:szCs w:val="19"/>
          <w:lang w:val="ru-RU"/>
        </w:rPr>
      </w:pPr>
      <w:hyperlink r:id="rId73" w:anchor="ntc19-L_2012201EN.01000101-E0019" w:history="1">
        <w:r w:rsidR="00880D8A" w:rsidRPr="00241957">
          <w:rPr>
            <w:rFonts w:ascii="Times New Roman" w:eastAsia="Times New Roman" w:hAnsi="Times New Roman" w:cs="Times New Roman"/>
            <w:sz w:val="19"/>
            <w:szCs w:val="19"/>
            <w:bdr w:val="none" w:sz="0" w:space="0" w:color="auto" w:frame="1"/>
            <w:lang w:val="ru-RU"/>
          </w:rPr>
          <w:t>(</w:t>
        </w:r>
        <w:r w:rsidR="00880D8A" w:rsidRPr="00241957">
          <w:rPr>
            <w:rFonts w:ascii="Times New Roman" w:eastAsia="Times New Roman" w:hAnsi="Times New Roman" w:cs="Times New Roman"/>
            <w:sz w:val="13"/>
            <w:szCs w:val="13"/>
            <w:bdr w:val="none" w:sz="0" w:space="0" w:color="auto" w:frame="1"/>
            <w:vertAlign w:val="superscript"/>
            <w:lang w:val="ru-RU"/>
          </w:rPr>
          <w:t>19</w:t>
        </w:r>
        <w:r w:rsidR="00880D8A" w:rsidRPr="00241957">
          <w:rPr>
            <w:rFonts w:ascii="Times New Roman" w:eastAsia="Times New Roman" w:hAnsi="Times New Roman" w:cs="Times New Roman"/>
            <w:sz w:val="19"/>
            <w:szCs w:val="19"/>
            <w:bdr w:val="none" w:sz="0" w:space="0" w:color="auto" w:frame="1"/>
            <w:lang w:val="ru-RU"/>
          </w:rPr>
          <w:t>)</w:t>
        </w:r>
      </w:hyperlink>
      <w:r w:rsidR="00880D8A" w:rsidRPr="006279CF">
        <w:rPr>
          <w:rFonts w:ascii="Times New Roman" w:eastAsia="Times New Roman" w:hAnsi="Times New Roman" w:cs="Times New Roman"/>
          <w:sz w:val="19"/>
          <w:szCs w:val="19"/>
        </w:rPr>
        <w:t>  </w:t>
      </w:r>
      <w:r w:rsidR="00241957">
        <w:rPr>
          <w:rFonts w:ascii="Times New Roman" w:eastAsia="Times New Roman" w:hAnsi="Times New Roman" w:cs="Times New Roman"/>
          <w:sz w:val="19"/>
          <w:szCs w:val="19"/>
          <w:lang w:val="uk-UA"/>
        </w:rPr>
        <w:t>Директива</w:t>
      </w:r>
      <w:r w:rsidR="00880D8A" w:rsidRPr="00241957">
        <w:rPr>
          <w:rFonts w:ascii="Times New Roman" w:eastAsia="Times New Roman" w:hAnsi="Times New Roman" w:cs="Times New Roman"/>
          <w:sz w:val="19"/>
          <w:szCs w:val="19"/>
          <w:lang w:val="ru-RU"/>
        </w:rPr>
        <w:t xml:space="preserve"> 2006/49/</w:t>
      </w:r>
      <w:r w:rsidR="00880D8A" w:rsidRPr="006279CF">
        <w:rPr>
          <w:rFonts w:ascii="Times New Roman" w:eastAsia="Times New Roman" w:hAnsi="Times New Roman" w:cs="Times New Roman"/>
          <w:sz w:val="19"/>
          <w:szCs w:val="19"/>
        </w:rPr>
        <w:t>EC</w:t>
      </w:r>
      <w:r w:rsidR="00880D8A" w:rsidRPr="00241957">
        <w:rPr>
          <w:rFonts w:ascii="Times New Roman" w:eastAsia="Times New Roman" w:hAnsi="Times New Roman" w:cs="Times New Roman"/>
          <w:sz w:val="19"/>
          <w:szCs w:val="19"/>
          <w:lang w:val="ru-RU"/>
        </w:rPr>
        <w:t xml:space="preserve"> </w:t>
      </w:r>
      <w:proofErr w:type="spellStart"/>
      <w:r w:rsidR="00880D8A" w:rsidRPr="00241957">
        <w:rPr>
          <w:rFonts w:ascii="Times New Roman" w:eastAsia="Times New Roman" w:hAnsi="Times New Roman" w:cs="Times New Roman"/>
          <w:sz w:val="19"/>
          <w:szCs w:val="19"/>
          <w:lang w:val="ru-RU"/>
        </w:rPr>
        <w:t>Європейського</w:t>
      </w:r>
      <w:proofErr w:type="spellEnd"/>
      <w:r w:rsidR="00880D8A" w:rsidRPr="00241957">
        <w:rPr>
          <w:rFonts w:ascii="Times New Roman" w:eastAsia="Times New Roman" w:hAnsi="Times New Roman" w:cs="Times New Roman"/>
          <w:sz w:val="19"/>
          <w:szCs w:val="19"/>
          <w:lang w:val="ru-RU"/>
        </w:rPr>
        <w:t xml:space="preserve"> Парламенту та Ради </w:t>
      </w:r>
      <w:r w:rsidR="00241957">
        <w:rPr>
          <w:rFonts w:ascii="Times New Roman" w:eastAsia="Times New Roman" w:hAnsi="Times New Roman" w:cs="Times New Roman"/>
          <w:sz w:val="19"/>
          <w:szCs w:val="19"/>
          <w:lang w:val="uk-UA"/>
        </w:rPr>
        <w:t>від 14 червня 2006 р. про достатність капіталу інвестиційних фірм і кредитних установ</w:t>
      </w:r>
      <w:r w:rsidR="00880D8A" w:rsidRPr="00241957">
        <w:rPr>
          <w:rFonts w:ascii="Times New Roman" w:eastAsia="Times New Roman" w:hAnsi="Times New Roman" w:cs="Times New Roman"/>
          <w:sz w:val="19"/>
          <w:szCs w:val="19"/>
          <w:lang w:val="ru-RU"/>
        </w:rPr>
        <w:t xml:space="preserve"> (</w:t>
      </w:r>
      <w:hyperlink r:id="rId74" w:history="1">
        <w:r w:rsidR="00880D8A" w:rsidRPr="006279CF">
          <w:rPr>
            <w:rFonts w:ascii="Times New Roman" w:eastAsia="Times New Roman" w:hAnsi="Times New Roman" w:cs="Times New Roman"/>
            <w:sz w:val="19"/>
            <w:szCs w:val="19"/>
            <w:bdr w:val="none" w:sz="0" w:space="0" w:color="auto" w:frame="1"/>
          </w:rPr>
          <w:t>OJ</w:t>
        </w:r>
        <w:r w:rsidR="00880D8A" w:rsidRPr="00241957">
          <w:rPr>
            <w:rFonts w:ascii="Times New Roman" w:eastAsia="Times New Roman" w:hAnsi="Times New Roman" w:cs="Times New Roman"/>
            <w:sz w:val="19"/>
            <w:szCs w:val="19"/>
            <w:bdr w:val="none" w:sz="0" w:space="0" w:color="auto" w:frame="1"/>
            <w:lang w:val="ru-RU"/>
          </w:rPr>
          <w:t xml:space="preserve"> </w:t>
        </w:r>
        <w:r w:rsidR="00880D8A" w:rsidRPr="006279CF">
          <w:rPr>
            <w:rFonts w:ascii="Times New Roman" w:eastAsia="Times New Roman" w:hAnsi="Times New Roman" w:cs="Times New Roman"/>
            <w:sz w:val="19"/>
            <w:szCs w:val="19"/>
            <w:bdr w:val="none" w:sz="0" w:space="0" w:color="auto" w:frame="1"/>
          </w:rPr>
          <w:t>L</w:t>
        </w:r>
        <w:r w:rsidR="00880D8A" w:rsidRPr="00241957">
          <w:rPr>
            <w:rFonts w:ascii="Times New Roman" w:eastAsia="Times New Roman" w:hAnsi="Times New Roman" w:cs="Times New Roman"/>
            <w:sz w:val="19"/>
            <w:szCs w:val="19"/>
            <w:bdr w:val="none" w:sz="0" w:space="0" w:color="auto" w:frame="1"/>
            <w:lang w:val="ru-RU"/>
          </w:rPr>
          <w:t xml:space="preserve"> 177, 30.6.2006, </w:t>
        </w:r>
        <w:r w:rsidR="00880D8A" w:rsidRPr="006279CF">
          <w:rPr>
            <w:rFonts w:ascii="Times New Roman" w:eastAsia="Times New Roman" w:hAnsi="Times New Roman" w:cs="Times New Roman"/>
            <w:sz w:val="19"/>
            <w:szCs w:val="19"/>
            <w:bdr w:val="none" w:sz="0" w:space="0" w:color="auto" w:frame="1"/>
          </w:rPr>
          <w:t>p</w:t>
        </w:r>
        <w:r w:rsidR="00880D8A" w:rsidRPr="00241957">
          <w:rPr>
            <w:rFonts w:ascii="Times New Roman" w:eastAsia="Times New Roman" w:hAnsi="Times New Roman" w:cs="Times New Roman"/>
            <w:sz w:val="19"/>
            <w:szCs w:val="19"/>
            <w:bdr w:val="none" w:sz="0" w:space="0" w:color="auto" w:frame="1"/>
            <w:lang w:val="ru-RU"/>
          </w:rPr>
          <w:t>. 201</w:t>
        </w:r>
      </w:hyperlink>
      <w:r w:rsidR="00880D8A" w:rsidRPr="00241957">
        <w:rPr>
          <w:rFonts w:ascii="Times New Roman" w:eastAsia="Times New Roman" w:hAnsi="Times New Roman" w:cs="Times New Roman"/>
          <w:sz w:val="19"/>
          <w:szCs w:val="19"/>
          <w:lang w:val="ru-RU"/>
        </w:rPr>
        <w:t>).</w:t>
      </w:r>
    </w:p>
    <w:p w:rsidR="00DE77B0" w:rsidRPr="006279CF"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rPr>
      </w:pPr>
      <w:hyperlink r:id="rId75" w:anchor="ntc20-L_2012201EN.01000101-E0020" w:history="1">
        <w:r w:rsidR="00DE77B0" w:rsidRPr="006279CF">
          <w:rPr>
            <w:rFonts w:ascii="Times New Roman" w:eastAsia="Times New Roman" w:hAnsi="Times New Roman" w:cs="Times New Roman"/>
            <w:sz w:val="19"/>
            <w:szCs w:val="19"/>
            <w:bdr w:val="none" w:sz="0" w:space="0" w:color="auto" w:frame="1"/>
          </w:rPr>
          <w:t>(</w:t>
        </w:r>
        <w:r w:rsidR="00DE77B0" w:rsidRPr="006279CF">
          <w:rPr>
            <w:rFonts w:ascii="Times New Roman" w:eastAsia="Times New Roman" w:hAnsi="Times New Roman" w:cs="Times New Roman"/>
            <w:sz w:val="13"/>
            <w:szCs w:val="13"/>
            <w:bdr w:val="none" w:sz="0" w:space="0" w:color="auto" w:frame="1"/>
            <w:vertAlign w:val="superscript"/>
          </w:rPr>
          <w:t>20</w:t>
        </w:r>
        <w:r w:rsidR="00DE77B0" w:rsidRPr="006279CF">
          <w:rPr>
            <w:rFonts w:ascii="Times New Roman" w:eastAsia="Times New Roman" w:hAnsi="Times New Roman" w:cs="Times New Roman"/>
            <w:sz w:val="19"/>
            <w:szCs w:val="19"/>
            <w:bdr w:val="none" w:sz="0" w:space="0" w:color="auto" w:frame="1"/>
          </w:rPr>
          <w:t>)</w:t>
        </w:r>
      </w:hyperlink>
      <w:r w:rsidR="00DE77B0" w:rsidRPr="006279CF">
        <w:rPr>
          <w:rFonts w:ascii="Times New Roman" w:eastAsia="Times New Roman" w:hAnsi="Times New Roman" w:cs="Times New Roman"/>
          <w:sz w:val="19"/>
          <w:szCs w:val="19"/>
        </w:rPr>
        <w:t>  </w:t>
      </w:r>
      <w:hyperlink r:id="rId76" w:history="1">
        <w:r w:rsidR="00DE77B0" w:rsidRPr="006279CF">
          <w:rPr>
            <w:rFonts w:ascii="Times New Roman" w:eastAsia="Times New Roman" w:hAnsi="Times New Roman" w:cs="Times New Roman"/>
            <w:sz w:val="19"/>
            <w:szCs w:val="19"/>
            <w:bdr w:val="none" w:sz="0" w:space="0" w:color="auto" w:frame="1"/>
          </w:rPr>
          <w:t>OJ L 241, 2.9.2006, p. 1</w:t>
        </w:r>
      </w:hyperlink>
      <w:r w:rsidR="00DE77B0" w:rsidRPr="006279CF">
        <w:rPr>
          <w:rFonts w:ascii="Times New Roman" w:eastAsia="Times New Roman" w:hAnsi="Times New Roman" w:cs="Times New Roman"/>
          <w:sz w:val="19"/>
          <w:szCs w:val="19"/>
        </w:rPr>
        <w:t>.</w:t>
      </w:r>
    </w:p>
    <w:p w:rsidR="00DE77B0" w:rsidRPr="006279CF"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rPr>
      </w:pPr>
      <w:hyperlink r:id="rId77" w:anchor="ntc21-L_2012201EN.01000101-E0021" w:history="1">
        <w:r w:rsidR="00DE77B0" w:rsidRPr="006279CF">
          <w:rPr>
            <w:rFonts w:ascii="Times New Roman" w:eastAsia="Times New Roman" w:hAnsi="Times New Roman" w:cs="Times New Roman"/>
            <w:sz w:val="19"/>
            <w:szCs w:val="19"/>
            <w:bdr w:val="none" w:sz="0" w:space="0" w:color="auto" w:frame="1"/>
          </w:rPr>
          <w:t>(</w:t>
        </w:r>
        <w:r w:rsidR="00DE77B0" w:rsidRPr="006279CF">
          <w:rPr>
            <w:rFonts w:ascii="Times New Roman" w:eastAsia="Times New Roman" w:hAnsi="Times New Roman" w:cs="Times New Roman"/>
            <w:sz w:val="13"/>
            <w:szCs w:val="13"/>
            <w:bdr w:val="none" w:sz="0" w:space="0" w:color="auto" w:frame="1"/>
            <w:vertAlign w:val="superscript"/>
          </w:rPr>
          <w:t>21</w:t>
        </w:r>
        <w:r w:rsidR="00DE77B0" w:rsidRPr="006279CF">
          <w:rPr>
            <w:rFonts w:ascii="Times New Roman" w:eastAsia="Times New Roman" w:hAnsi="Times New Roman" w:cs="Times New Roman"/>
            <w:sz w:val="19"/>
            <w:szCs w:val="19"/>
            <w:bdr w:val="none" w:sz="0" w:space="0" w:color="auto" w:frame="1"/>
          </w:rPr>
          <w:t>)</w:t>
        </w:r>
      </w:hyperlink>
      <w:r w:rsidR="00DE77B0" w:rsidRPr="006279CF">
        <w:rPr>
          <w:rFonts w:ascii="Times New Roman" w:eastAsia="Times New Roman" w:hAnsi="Times New Roman" w:cs="Times New Roman"/>
          <w:sz w:val="19"/>
          <w:szCs w:val="19"/>
        </w:rPr>
        <w:t>  </w:t>
      </w:r>
      <w:hyperlink r:id="rId78" w:history="1">
        <w:r w:rsidR="00DE77B0" w:rsidRPr="006279CF">
          <w:rPr>
            <w:rFonts w:ascii="Times New Roman" w:eastAsia="Times New Roman" w:hAnsi="Times New Roman" w:cs="Times New Roman"/>
            <w:sz w:val="19"/>
            <w:szCs w:val="19"/>
            <w:bdr w:val="none" w:sz="0" w:space="0" w:color="auto" w:frame="1"/>
          </w:rPr>
          <w:t>OJ L 166, 11.6.1998, p. 45</w:t>
        </w:r>
      </w:hyperlink>
      <w:r w:rsidR="00DE77B0" w:rsidRPr="006279CF">
        <w:rPr>
          <w:rFonts w:ascii="Times New Roman" w:eastAsia="Times New Roman" w:hAnsi="Times New Roman" w:cs="Times New Roman"/>
          <w:sz w:val="19"/>
          <w:szCs w:val="19"/>
        </w:rPr>
        <w:t>.</w:t>
      </w:r>
    </w:p>
    <w:p w:rsidR="00DE77B0" w:rsidRPr="006279CF"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rPr>
      </w:pPr>
      <w:hyperlink r:id="rId79" w:anchor="ntc22-L_2012201EN.01000101-E0022" w:history="1">
        <w:r w:rsidR="00DE77B0" w:rsidRPr="006279CF">
          <w:rPr>
            <w:rFonts w:ascii="Times New Roman" w:eastAsia="Times New Roman" w:hAnsi="Times New Roman" w:cs="Times New Roman"/>
            <w:sz w:val="19"/>
            <w:szCs w:val="19"/>
            <w:bdr w:val="none" w:sz="0" w:space="0" w:color="auto" w:frame="1"/>
          </w:rPr>
          <w:t>(</w:t>
        </w:r>
        <w:r w:rsidR="00DE77B0" w:rsidRPr="006279CF">
          <w:rPr>
            <w:rFonts w:ascii="Times New Roman" w:eastAsia="Times New Roman" w:hAnsi="Times New Roman" w:cs="Times New Roman"/>
            <w:sz w:val="13"/>
            <w:szCs w:val="13"/>
            <w:bdr w:val="none" w:sz="0" w:space="0" w:color="auto" w:frame="1"/>
            <w:vertAlign w:val="superscript"/>
          </w:rPr>
          <w:t>22</w:t>
        </w:r>
        <w:r w:rsidR="00DE77B0" w:rsidRPr="006279CF">
          <w:rPr>
            <w:rFonts w:ascii="Times New Roman" w:eastAsia="Times New Roman" w:hAnsi="Times New Roman" w:cs="Times New Roman"/>
            <w:sz w:val="19"/>
            <w:szCs w:val="19"/>
            <w:bdr w:val="none" w:sz="0" w:space="0" w:color="auto" w:frame="1"/>
          </w:rPr>
          <w:t>)</w:t>
        </w:r>
      </w:hyperlink>
      <w:r w:rsidR="00DE77B0" w:rsidRPr="006279CF">
        <w:rPr>
          <w:rFonts w:ascii="Times New Roman" w:eastAsia="Times New Roman" w:hAnsi="Times New Roman" w:cs="Times New Roman"/>
          <w:sz w:val="19"/>
          <w:szCs w:val="19"/>
        </w:rPr>
        <w:t>  </w:t>
      </w:r>
      <w:hyperlink r:id="rId80" w:history="1">
        <w:r w:rsidR="00DE77B0" w:rsidRPr="006279CF">
          <w:rPr>
            <w:rFonts w:ascii="Times New Roman" w:eastAsia="Times New Roman" w:hAnsi="Times New Roman" w:cs="Times New Roman"/>
            <w:sz w:val="19"/>
            <w:szCs w:val="19"/>
            <w:bdr w:val="none" w:sz="0" w:space="0" w:color="auto" w:frame="1"/>
          </w:rPr>
          <w:t>OJ L 281, 23.11.1995, p. 31</w:t>
        </w:r>
      </w:hyperlink>
      <w:r w:rsidR="00DE77B0" w:rsidRPr="006279CF">
        <w:rPr>
          <w:rFonts w:ascii="Times New Roman" w:eastAsia="Times New Roman" w:hAnsi="Times New Roman" w:cs="Times New Roman"/>
          <w:sz w:val="19"/>
          <w:szCs w:val="19"/>
        </w:rPr>
        <w:t>.</w:t>
      </w:r>
    </w:p>
    <w:p w:rsidR="00DE77B0" w:rsidRPr="006279CF"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rPr>
      </w:pPr>
      <w:hyperlink r:id="rId81" w:anchor="ntc23-L_2012201EN.01000101-E0023" w:history="1">
        <w:r w:rsidR="00DE77B0" w:rsidRPr="006279CF">
          <w:rPr>
            <w:rFonts w:ascii="Times New Roman" w:eastAsia="Times New Roman" w:hAnsi="Times New Roman" w:cs="Times New Roman"/>
            <w:sz w:val="19"/>
            <w:szCs w:val="19"/>
            <w:bdr w:val="none" w:sz="0" w:space="0" w:color="auto" w:frame="1"/>
          </w:rPr>
          <w:t>(</w:t>
        </w:r>
        <w:r w:rsidR="00DE77B0" w:rsidRPr="006279CF">
          <w:rPr>
            <w:rFonts w:ascii="Times New Roman" w:eastAsia="Times New Roman" w:hAnsi="Times New Roman" w:cs="Times New Roman"/>
            <w:sz w:val="13"/>
            <w:szCs w:val="13"/>
            <w:bdr w:val="none" w:sz="0" w:space="0" w:color="auto" w:frame="1"/>
            <w:vertAlign w:val="superscript"/>
          </w:rPr>
          <w:t>23</w:t>
        </w:r>
        <w:r w:rsidR="00DE77B0" w:rsidRPr="006279CF">
          <w:rPr>
            <w:rFonts w:ascii="Times New Roman" w:eastAsia="Times New Roman" w:hAnsi="Times New Roman" w:cs="Times New Roman"/>
            <w:sz w:val="19"/>
            <w:szCs w:val="19"/>
            <w:bdr w:val="none" w:sz="0" w:space="0" w:color="auto" w:frame="1"/>
          </w:rPr>
          <w:t>)</w:t>
        </w:r>
      </w:hyperlink>
      <w:r w:rsidR="00DE77B0" w:rsidRPr="006279CF">
        <w:rPr>
          <w:rFonts w:ascii="Times New Roman" w:eastAsia="Times New Roman" w:hAnsi="Times New Roman" w:cs="Times New Roman"/>
          <w:sz w:val="19"/>
          <w:szCs w:val="19"/>
        </w:rPr>
        <w:t>  </w:t>
      </w:r>
      <w:hyperlink r:id="rId82" w:history="1">
        <w:r w:rsidR="00DE77B0" w:rsidRPr="006279CF">
          <w:rPr>
            <w:rFonts w:ascii="Times New Roman" w:eastAsia="Times New Roman" w:hAnsi="Times New Roman" w:cs="Times New Roman"/>
            <w:sz w:val="19"/>
            <w:szCs w:val="19"/>
            <w:bdr w:val="none" w:sz="0" w:space="0" w:color="auto" w:frame="1"/>
          </w:rPr>
          <w:t>OJ L 8, 12.1.2001, p. 1</w:t>
        </w:r>
      </w:hyperlink>
      <w:r w:rsidR="00DE77B0" w:rsidRPr="006279CF">
        <w:rPr>
          <w:rFonts w:ascii="Times New Roman" w:eastAsia="Times New Roman" w:hAnsi="Times New Roman" w:cs="Times New Roman"/>
          <w:sz w:val="19"/>
          <w:szCs w:val="19"/>
        </w:rPr>
        <w:t>.</w:t>
      </w:r>
    </w:p>
    <w:p w:rsidR="00DE77B0" w:rsidRPr="006279CF"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rPr>
      </w:pPr>
      <w:hyperlink r:id="rId83" w:anchor="ntc24-L_2012201EN.01000101-E0024" w:history="1">
        <w:r w:rsidR="00DE77B0" w:rsidRPr="006279CF">
          <w:rPr>
            <w:rFonts w:ascii="Times New Roman" w:eastAsia="Times New Roman" w:hAnsi="Times New Roman" w:cs="Times New Roman"/>
            <w:sz w:val="19"/>
            <w:szCs w:val="19"/>
            <w:bdr w:val="none" w:sz="0" w:space="0" w:color="auto" w:frame="1"/>
          </w:rPr>
          <w:t>(</w:t>
        </w:r>
        <w:r w:rsidR="00DE77B0" w:rsidRPr="006279CF">
          <w:rPr>
            <w:rFonts w:ascii="Times New Roman" w:eastAsia="Times New Roman" w:hAnsi="Times New Roman" w:cs="Times New Roman"/>
            <w:sz w:val="13"/>
            <w:szCs w:val="13"/>
            <w:bdr w:val="none" w:sz="0" w:space="0" w:color="auto" w:frame="1"/>
            <w:vertAlign w:val="superscript"/>
          </w:rPr>
          <w:t>24</w:t>
        </w:r>
        <w:r w:rsidR="00DE77B0" w:rsidRPr="006279CF">
          <w:rPr>
            <w:rFonts w:ascii="Times New Roman" w:eastAsia="Times New Roman" w:hAnsi="Times New Roman" w:cs="Times New Roman"/>
            <w:sz w:val="19"/>
            <w:szCs w:val="19"/>
            <w:bdr w:val="none" w:sz="0" w:space="0" w:color="auto" w:frame="1"/>
          </w:rPr>
          <w:t>)</w:t>
        </w:r>
      </w:hyperlink>
      <w:r w:rsidR="00DE77B0" w:rsidRPr="006279CF">
        <w:rPr>
          <w:rFonts w:ascii="Times New Roman" w:eastAsia="Times New Roman" w:hAnsi="Times New Roman" w:cs="Times New Roman"/>
          <w:sz w:val="19"/>
          <w:szCs w:val="19"/>
        </w:rPr>
        <w:t>  </w:t>
      </w:r>
      <w:hyperlink r:id="rId84" w:history="1">
        <w:r w:rsidR="00DE77B0" w:rsidRPr="006279CF">
          <w:rPr>
            <w:rFonts w:ascii="Times New Roman" w:eastAsia="Times New Roman" w:hAnsi="Times New Roman" w:cs="Times New Roman"/>
            <w:sz w:val="19"/>
            <w:szCs w:val="19"/>
            <w:bdr w:val="none" w:sz="0" w:space="0" w:color="auto" w:frame="1"/>
          </w:rPr>
          <w:t>OJ L 55, 28.2.2011, p. 13</w:t>
        </w:r>
      </w:hyperlink>
      <w:r w:rsidR="00DE77B0" w:rsidRPr="006279CF">
        <w:rPr>
          <w:rFonts w:ascii="Times New Roman" w:eastAsia="Times New Roman" w:hAnsi="Times New Roman" w:cs="Times New Roman"/>
          <w:sz w:val="19"/>
          <w:szCs w:val="19"/>
        </w:rPr>
        <w:t>.</w:t>
      </w:r>
    </w:p>
    <w:p w:rsidR="00DE77B0" w:rsidRPr="006279CF"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rPr>
      </w:pPr>
      <w:hyperlink r:id="rId85" w:anchor="ntc25-L_2012201EN.01000101-E0025" w:history="1">
        <w:r w:rsidR="00DE77B0" w:rsidRPr="006279CF">
          <w:rPr>
            <w:rFonts w:ascii="Times New Roman" w:eastAsia="Times New Roman" w:hAnsi="Times New Roman" w:cs="Times New Roman"/>
            <w:sz w:val="19"/>
            <w:szCs w:val="19"/>
            <w:bdr w:val="none" w:sz="0" w:space="0" w:color="auto" w:frame="1"/>
          </w:rPr>
          <w:t>(</w:t>
        </w:r>
        <w:r w:rsidR="00DE77B0" w:rsidRPr="006279CF">
          <w:rPr>
            <w:rFonts w:ascii="Times New Roman" w:eastAsia="Times New Roman" w:hAnsi="Times New Roman" w:cs="Times New Roman"/>
            <w:sz w:val="13"/>
            <w:szCs w:val="13"/>
            <w:bdr w:val="none" w:sz="0" w:space="0" w:color="auto" w:frame="1"/>
            <w:vertAlign w:val="superscript"/>
          </w:rPr>
          <w:t>25</w:t>
        </w:r>
        <w:r w:rsidR="00DE77B0" w:rsidRPr="006279CF">
          <w:rPr>
            <w:rFonts w:ascii="Times New Roman" w:eastAsia="Times New Roman" w:hAnsi="Times New Roman" w:cs="Times New Roman"/>
            <w:sz w:val="19"/>
            <w:szCs w:val="19"/>
            <w:bdr w:val="none" w:sz="0" w:space="0" w:color="auto" w:frame="1"/>
          </w:rPr>
          <w:t>)</w:t>
        </w:r>
      </w:hyperlink>
      <w:r w:rsidR="00DE77B0" w:rsidRPr="006279CF">
        <w:rPr>
          <w:rFonts w:ascii="Times New Roman" w:eastAsia="Times New Roman" w:hAnsi="Times New Roman" w:cs="Times New Roman"/>
          <w:sz w:val="19"/>
          <w:szCs w:val="19"/>
        </w:rPr>
        <w:t>  </w:t>
      </w:r>
      <w:hyperlink r:id="rId86" w:history="1">
        <w:r w:rsidR="00DE77B0" w:rsidRPr="006279CF">
          <w:rPr>
            <w:rFonts w:ascii="Times New Roman" w:eastAsia="Times New Roman" w:hAnsi="Times New Roman" w:cs="Times New Roman"/>
            <w:sz w:val="19"/>
            <w:szCs w:val="19"/>
            <w:bdr w:val="none" w:sz="0" w:space="0" w:color="auto" w:frame="1"/>
          </w:rPr>
          <w:t>OJ L 35, 11.2.2003, p. 1</w:t>
        </w:r>
      </w:hyperlink>
      <w:r w:rsidR="00DE77B0" w:rsidRPr="006279CF">
        <w:rPr>
          <w:rFonts w:ascii="Times New Roman" w:eastAsia="Times New Roman" w:hAnsi="Times New Roman" w:cs="Times New Roman"/>
          <w:sz w:val="19"/>
          <w:szCs w:val="19"/>
        </w:rPr>
        <w:t>.</w:t>
      </w:r>
    </w:p>
    <w:p w:rsidR="00DE77B0" w:rsidRPr="006279CF"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rPr>
      </w:pPr>
      <w:hyperlink r:id="rId87" w:anchor="ntc26-L_2012201EN.01000101-E0026" w:history="1">
        <w:r w:rsidR="00DE77B0" w:rsidRPr="006279CF">
          <w:rPr>
            <w:rFonts w:ascii="Times New Roman" w:eastAsia="Times New Roman" w:hAnsi="Times New Roman" w:cs="Times New Roman"/>
            <w:sz w:val="19"/>
            <w:szCs w:val="19"/>
            <w:bdr w:val="none" w:sz="0" w:space="0" w:color="auto" w:frame="1"/>
          </w:rPr>
          <w:t>(</w:t>
        </w:r>
        <w:r w:rsidR="00DE77B0" w:rsidRPr="006279CF">
          <w:rPr>
            <w:rFonts w:ascii="Times New Roman" w:eastAsia="Times New Roman" w:hAnsi="Times New Roman" w:cs="Times New Roman"/>
            <w:sz w:val="13"/>
            <w:szCs w:val="13"/>
            <w:bdr w:val="none" w:sz="0" w:space="0" w:color="auto" w:frame="1"/>
            <w:vertAlign w:val="superscript"/>
          </w:rPr>
          <w:t>26</w:t>
        </w:r>
        <w:r w:rsidR="00DE77B0" w:rsidRPr="006279CF">
          <w:rPr>
            <w:rFonts w:ascii="Times New Roman" w:eastAsia="Times New Roman" w:hAnsi="Times New Roman" w:cs="Times New Roman"/>
            <w:sz w:val="19"/>
            <w:szCs w:val="19"/>
            <w:bdr w:val="none" w:sz="0" w:space="0" w:color="auto" w:frame="1"/>
          </w:rPr>
          <w:t>)</w:t>
        </w:r>
      </w:hyperlink>
      <w:r w:rsidR="00DE77B0" w:rsidRPr="006279CF">
        <w:rPr>
          <w:rFonts w:ascii="Times New Roman" w:eastAsia="Times New Roman" w:hAnsi="Times New Roman" w:cs="Times New Roman"/>
          <w:sz w:val="19"/>
          <w:szCs w:val="19"/>
        </w:rPr>
        <w:t>  </w:t>
      </w:r>
      <w:hyperlink r:id="rId88" w:history="1">
        <w:r w:rsidR="00DE77B0" w:rsidRPr="006279CF">
          <w:rPr>
            <w:rFonts w:ascii="Times New Roman" w:eastAsia="Times New Roman" w:hAnsi="Times New Roman" w:cs="Times New Roman"/>
            <w:sz w:val="19"/>
            <w:szCs w:val="19"/>
            <w:bdr w:val="none" w:sz="0" w:space="0" w:color="auto" w:frame="1"/>
          </w:rPr>
          <w:t>OJ L 390, 31.12.2004, p. 38</w:t>
        </w:r>
      </w:hyperlink>
      <w:r w:rsidR="00DE77B0" w:rsidRPr="006279CF">
        <w:rPr>
          <w:rFonts w:ascii="Times New Roman" w:eastAsia="Times New Roman" w:hAnsi="Times New Roman" w:cs="Times New Roman"/>
          <w:sz w:val="19"/>
          <w:szCs w:val="19"/>
        </w:rPr>
        <w:t>.</w:t>
      </w:r>
    </w:p>
    <w:p w:rsidR="00DE77B0" w:rsidRPr="006279CF"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rPr>
      </w:pPr>
      <w:hyperlink r:id="rId89" w:anchor="ntc27-L_2012201EN.01000101-E0027" w:history="1">
        <w:r w:rsidR="00DE77B0" w:rsidRPr="006279CF">
          <w:rPr>
            <w:rFonts w:ascii="Times New Roman" w:eastAsia="Times New Roman" w:hAnsi="Times New Roman" w:cs="Times New Roman"/>
            <w:sz w:val="19"/>
            <w:szCs w:val="19"/>
            <w:bdr w:val="none" w:sz="0" w:space="0" w:color="auto" w:frame="1"/>
          </w:rPr>
          <w:t>(</w:t>
        </w:r>
        <w:r w:rsidR="00DE77B0" w:rsidRPr="006279CF">
          <w:rPr>
            <w:rFonts w:ascii="Times New Roman" w:eastAsia="Times New Roman" w:hAnsi="Times New Roman" w:cs="Times New Roman"/>
            <w:sz w:val="13"/>
            <w:szCs w:val="13"/>
            <w:bdr w:val="none" w:sz="0" w:space="0" w:color="auto" w:frame="1"/>
            <w:vertAlign w:val="superscript"/>
          </w:rPr>
          <w:t>27</w:t>
        </w:r>
        <w:r w:rsidR="00DE77B0" w:rsidRPr="006279CF">
          <w:rPr>
            <w:rFonts w:ascii="Times New Roman" w:eastAsia="Times New Roman" w:hAnsi="Times New Roman" w:cs="Times New Roman"/>
            <w:sz w:val="19"/>
            <w:szCs w:val="19"/>
            <w:bdr w:val="none" w:sz="0" w:space="0" w:color="auto" w:frame="1"/>
          </w:rPr>
          <w:t>)</w:t>
        </w:r>
      </w:hyperlink>
      <w:r w:rsidR="00DE77B0" w:rsidRPr="006279CF">
        <w:rPr>
          <w:rFonts w:ascii="Times New Roman" w:eastAsia="Times New Roman" w:hAnsi="Times New Roman" w:cs="Times New Roman"/>
          <w:sz w:val="19"/>
          <w:szCs w:val="19"/>
        </w:rPr>
        <w:t>  </w:t>
      </w:r>
      <w:hyperlink r:id="rId90" w:history="1">
        <w:r w:rsidR="00DE77B0" w:rsidRPr="006279CF">
          <w:rPr>
            <w:rFonts w:ascii="Times New Roman" w:eastAsia="Times New Roman" w:hAnsi="Times New Roman" w:cs="Times New Roman"/>
            <w:sz w:val="19"/>
            <w:szCs w:val="19"/>
            <w:bdr w:val="none" w:sz="0" w:space="0" w:color="auto" w:frame="1"/>
          </w:rPr>
          <w:t>OJ L 372, 31.12.1986, p. 1</w:t>
        </w:r>
      </w:hyperlink>
      <w:r w:rsidR="00DE77B0" w:rsidRPr="006279CF">
        <w:rPr>
          <w:rFonts w:ascii="Times New Roman" w:eastAsia="Times New Roman" w:hAnsi="Times New Roman" w:cs="Times New Roman"/>
          <w:sz w:val="19"/>
          <w:szCs w:val="19"/>
        </w:rPr>
        <w:t>.</w:t>
      </w:r>
    </w:p>
    <w:p w:rsidR="00DE77B0" w:rsidRPr="006279CF"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rPr>
      </w:pPr>
      <w:hyperlink r:id="rId91" w:anchor="ntc28-L_2012201EN.01000101-E0028" w:history="1">
        <w:r w:rsidR="00DE77B0" w:rsidRPr="006279CF">
          <w:rPr>
            <w:rFonts w:ascii="Times New Roman" w:eastAsia="Times New Roman" w:hAnsi="Times New Roman" w:cs="Times New Roman"/>
            <w:sz w:val="19"/>
            <w:szCs w:val="19"/>
            <w:bdr w:val="none" w:sz="0" w:space="0" w:color="auto" w:frame="1"/>
          </w:rPr>
          <w:t>(</w:t>
        </w:r>
        <w:r w:rsidR="00DE77B0" w:rsidRPr="006279CF">
          <w:rPr>
            <w:rFonts w:ascii="Times New Roman" w:eastAsia="Times New Roman" w:hAnsi="Times New Roman" w:cs="Times New Roman"/>
            <w:sz w:val="13"/>
            <w:szCs w:val="13"/>
            <w:bdr w:val="none" w:sz="0" w:space="0" w:color="auto" w:frame="1"/>
            <w:vertAlign w:val="superscript"/>
          </w:rPr>
          <w:t>28</w:t>
        </w:r>
        <w:r w:rsidR="00DE77B0" w:rsidRPr="006279CF">
          <w:rPr>
            <w:rFonts w:ascii="Times New Roman" w:eastAsia="Times New Roman" w:hAnsi="Times New Roman" w:cs="Times New Roman"/>
            <w:sz w:val="19"/>
            <w:szCs w:val="19"/>
            <w:bdr w:val="none" w:sz="0" w:space="0" w:color="auto" w:frame="1"/>
          </w:rPr>
          <w:t>)</w:t>
        </w:r>
      </w:hyperlink>
      <w:r w:rsidR="00DE77B0" w:rsidRPr="006279CF">
        <w:rPr>
          <w:rFonts w:ascii="Times New Roman" w:eastAsia="Times New Roman" w:hAnsi="Times New Roman" w:cs="Times New Roman"/>
          <w:sz w:val="19"/>
          <w:szCs w:val="19"/>
        </w:rPr>
        <w:t>  </w:t>
      </w:r>
      <w:hyperlink r:id="rId92" w:history="1">
        <w:r w:rsidR="00DE77B0" w:rsidRPr="006279CF">
          <w:rPr>
            <w:rFonts w:ascii="Times New Roman" w:eastAsia="Times New Roman" w:hAnsi="Times New Roman" w:cs="Times New Roman"/>
            <w:sz w:val="19"/>
            <w:szCs w:val="19"/>
            <w:bdr w:val="none" w:sz="0" w:space="0" w:color="auto" w:frame="1"/>
          </w:rPr>
          <w:t>OJ L 222, 14.8.1978, p. 11</w:t>
        </w:r>
      </w:hyperlink>
      <w:r w:rsidR="00DE77B0" w:rsidRPr="006279CF">
        <w:rPr>
          <w:rFonts w:ascii="Times New Roman" w:eastAsia="Times New Roman" w:hAnsi="Times New Roman" w:cs="Times New Roman"/>
          <w:sz w:val="19"/>
          <w:szCs w:val="19"/>
        </w:rPr>
        <w:t>.</w:t>
      </w:r>
    </w:p>
    <w:p w:rsidR="00DE77B0" w:rsidRPr="006279CF"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rPr>
      </w:pPr>
      <w:hyperlink r:id="rId93" w:anchor="ntc29-L_2012201EN.01000101-E0029" w:history="1">
        <w:r w:rsidR="00DE77B0" w:rsidRPr="006279CF">
          <w:rPr>
            <w:rFonts w:ascii="Times New Roman" w:eastAsia="Times New Roman" w:hAnsi="Times New Roman" w:cs="Times New Roman"/>
            <w:sz w:val="19"/>
            <w:szCs w:val="19"/>
            <w:bdr w:val="none" w:sz="0" w:space="0" w:color="auto" w:frame="1"/>
          </w:rPr>
          <w:t>(</w:t>
        </w:r>
        <w:r w:rsidR="00DE77B0" w:rsidRPr="006279CF">
          <w:rPr>
            <w:rFonts w:ascii="Times New Roman" w:eastAsia="Times New Roman" w:hAnsi="Times New Roman" w:cs="Times New Roman"/>
            <w:sz w:val="13"/>
            <w:szCs w:val="13"/>
            <w:bdr w:val="none" w:sz="0" w:space="0" w:color="auto" w:frame="1"/>
            <w:vertAlign w:val="superscript"/>
          </w:rPr>
          <w:t>29</w:t>
        </w:r>
        <w:r w:rsidR="00DE77B0" w:rsidRPr="006279CF">
          <w:rPr>
            <w:rFonts w:ascii="Times New Roman" w:eastAsia="Times New Roman" w:hAnsi="Times New Roman" w:cs="Times New Roman"/>
            <w:sz w:val="19"/>
            <w:szCs w:val="19"/>
            <w:bdr w:val="none" w:sz="0" w:space="0" w:color="auto" w:frame="1"/>
          </w:rPr>
          <w:t>)</w:t>
        </w:r>
      </w:hyperlink>
      <w:r w:rsidR="00DE77B0" w:rsidRPr="006279CF">
        <w:rPr>
          <w:rFonts w:ascii="Times New Roman" w:eastAsia="Times New Roman" w:hAnsi="Times New Roman" w:cs="Times New Roman"/>
          <w:sz w:val="19"/>
          <w:szCs w:val="19"/>
        </w:rPr>
        <w:t>  </w:t>
      </w:r>
      <w:hyperlink r:id="rId94" w:history="1">
        <w:r w:rsidR="00DE77B0" w:rsidRPr="006279CF">
          <w:rPr>
            <w:rFonts w:ascii="Times New Roman" w:eastAsia="Times New Roman" w:hAnsi="Times New Roman" w:cs="Times New Roman"/>
            <w:sz w:val="19"/>
            <w:szCs w:val="19"/>
            <w:bdr w:val="none" w:sz="0" w:space="0" w:color="auto" w:frame="1"/>
          </w:rPr>
          <w:t>OJ L 309, 25.11.2005, p. 15</w:t>
        </w:r>
      </w:hyperlink>
      <w:r w:rsidR="00DE77B0" w:rsidRPr="006279CF">
        <w:rPr>
          <w:rFonts w:ascii="Times New Roman" w:eastAsia="Times New Roman" w:hAnsi="Times New Roman" w:cs="Times New Roman"/>
          <w:sz w:val="19"/>
          <w:szCs w:val="19"/>
        </w:rPr>
        <w:t>.</w:t>
      </w:r>
    </w:p>
    <w:p w:rsidR="00DE77B0" w:rsidRPr="006279CF"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rPr>
      </w:pPr>
      <w:hyperlink r:id="rId95" w:anchor="ntc30-L_2012201EN.01000101-E0030" w:history="1">
        <w:r w:rsidR="00DE77B0" w:rsidRPr="006279CF">
          <w:rPr>
            <w:rFonts w:ascii="Times New Roman" w:eastAsia="Times New Roman" w:hAnsi="Times New Roman" w:cs="Times New Roman"/>
            <w:sz w:val="19"/>
            <w:szCs w:val="19"/>
            <w:bdr w:val="none" w:sz="0" w:space="0" w:color="auto" w:frame="1"/>
          </w:rPr>
          <w:t>(</w:t>
        </w:r>
        <w:r w:rsidR="00DE77B0" w:rsidRPr="006279CF">
          <w:rPr>
            <w:rFonts w:ascii="Times New Roman" w:eastAsia="Times New Roman" w:hAnsi="Times New Roman" w:cs="Times New Roman"/>
            <w:sz w:val="13"/>
            <w:szCs w:val="13"/>
            <w:bdr w:val="none" w:sz="0" w:space="0" w:color="auto" w:frame="1"/>
            <w:vertAlign w:val="superscript"/>
          </w:rPr>
          <w:t>30</w:t>
        </w:r>
        <w:r w:rsidR="00DE77B0" w:rsidRPr="006279CF">
          <w:rPr>
            <w:rFonts w:ascii="Times New Roman" w:eastAsia="Times New Roman" w:hAnsi="Times New Roman" w:cs="Times New Roman"/>
            <w:sz w:val="19"/>
            <w:szCs w:val="19"/>
            <w:bdr w:val="none" w:sz="0" w:space="0" w:color="auto" w:frame="1"/>
          </w:rPr>
          <w:t>)</w:t>
        </w:r>
      </w:hyperlink>
      <w:r w:rsidR="00DE77B0" w:rsidRPr="006279CF">
        <w:rPr>
          <w:rFonts w:ascii="Times New Roman" w:eastAsia="Times New Roman" w:hAnsi="Times New Roman" w:cs="Times New Roman"/>
          <w:sz w:val="19"/>
          <w:szCs w:val="19"/>
        </w:rPr>
        <w:t>  </w:t>
      </w:r>
      <w:hyperlink r:id="rId96" w:history="1">
        <w:r w:rsidR="00DE77B0" w:rsidRPr="006279CF">
          <w:rPr>
            <w:rFonts w:ascii="Times New Roman" w:eastAsia="Times New Roman" w:hAnsi="Times New Roman" w:cs="Times New Roman"/>
            <w:sz w:val="19"/>
            <w:szCs w:val="19"/>
            <w:bdr w:val="none" w:sz="0" w:space="0" w:color="auto" w:frame="1"/>
          </w:rPr>
          <w:t>OJ L 228, 11.8.1992, p. 1</w:t>
        </w:r>
      </w:hyperlink>
      <w:r w:rsidR="00DE77B0" w:rsidRPr="006279CF">
        <w:rPr>
          <w:rFonts w:ascii="Times New Roman" w:eastAsia="Times New Roman" w:hAnsi="Times New Roman" w:cs="Times New Roman"/>
          <w:sz w:val="19"/>
          <w:szCs w:val="19"/>
        </w:rPr>
        <w:t>.</w:t>
      </w:r>
    </w:p>
    <w:p w:rsidR="00DE77B0" w:rsidRPr="006279CF"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rPr>
      </w:pPr>
      <w:hyperlink r:id="rId97" w:anchor="ntc31-L_2012201EN.01000101-E0031" w:history="1">
        <w:r w:rsidR="00DE77B0" w:rsidRPr="006279CF">
          <w:rPr>
            <w:rFonts w:ascii="Times New Roman" w:eastAsia="Times New Roman" w:hAnsi="Times New Roman" w:cs="Times New Roman"/>
            <w:sz w:val="19"/>
            <w:szCs w:val="19"/>
            <w:bdr w:val="none" w:sz="0" w:space="0" w:color="auto" w:frame="1"/>
          </w:rPr>
          <w:t>(</w:t>
        </w:r>
        <w:r w:rsidR="00DE77B0" w:rsidRPr="006279CF">
          <w:rPr>
            <w:rFonts w:ascii="Times New Roman" w:eastAsia="Times New Roman" w:hAnsi="Times New Roman" w:cs="Times New Roman"/>
            <w:sz w:val="13"/>
            <w:szCs w:val="13"/>
            <w:bdr w:val="none" w:sz="0" w:space="0" w:color="auto" w:frame="1"/>
            <w:vertAlign w:val="superscript"/>
          </w:rPr>
          <w:t>31</w:t>
        </w:r>
        <w:r w:rsidR="00DE77B0" w:rsidRPr="006279CF">
          <w:rPr>
            <w:rFonts w:ascii="Times New Roman" w:eastAsia="Times New Roman" w:hAnsi="Times New Roman" w:cs="Times New Roman"/>
            <w:sz w:val="19"/>
            <w:szCs w:val="19"/>
            <w:bdr w:val="none" w:sz="0" w:space="0" w:color="auto" w:frame="1"/>
          </w:rPr>
          <w:t>)</w:t>
        </w:r>
      </w:hyperlink>
      <w:r w:rsidR="00DE77B0" w:rsidRPr="006279CF">
        <w:rPr>
          <w:rFonts w:ascii="Times New Roman" w:eastAsia="Times New Roman" w:hAnsi="Times New Roman" w:cs="Times New Roman"/>
          <w:sz w:val="19"/>
          <w:szCs w:val="19"/>
        </w:rPr>
        <w:t>  </w:t>
      </w:r>
      <w:hyperlink r:id="rId98" w:history="1">
        <w:r w:rsidR="00DE77B0" w:rsidRPr="006279CF">
          <w:rPr>
            <w:rFonts w:ascii="Times New Roman" w:eastAsia="Times New Roman" w:hAnsi="Times New Roman" w:cs="Times New Roman"/>
            <w:sz w:val="19"/>
            <w:szCs w:val="19"/>
            <w:bdr w:val="none" w:sz="0" w:space="0" w:color="auto" w:frame="1"/>
          </w:rPr>
          <w:t>OJ L 168, 27.6.2002, p. 43</w:t>
        </w:r>
      </w:hyperlink>
      <w:r w:rsidR="00DE77B0" w:rsidRPr="006279CF">
        <w:rPr>
          <w:rFonts w:ascii="Times New Roman" w:eastAsia="Times New Roman" w:hAnsi="Times New Roman" w:cs="Times New Roman"/>
          <w:sz w:val="19"/>
          <w:szCs w:val="19"/>
        </w:rPr>
        <w:t>.</w:t>
      </w:r>
    </w:p>
    <w:p w:rsidR="00DE77B0" w:rsidRPr="006279CF"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rPr>
      </w:pPr>
      <w:hyperlink r:id="rId99" w:anchor="ntc32-L_2012201EN.01000101-E0032" w:history="1">
        <w:r w:rsidR="00DE77B0" w:rsidRPr="006279CF">
          <w:rPr>
            <w:rFonts w:ascii="Times New Roman" w:eastAsia="Times New Roman" w:hAnsi="Times New Roman" w:cs="Times New Roman"/>
            <w:sz w:val="19"/>
            <w:szCs w:val="19"/>
            <w:bdr w:val="none" w:sz="0" w:space="0" w:color="auto" w:frame="1"/>
          </w:rPr>
          <w:t>(</w:t>
        </w:r>
        <w:r w:rsidR="00DE77B0" w:rsidRPr="006279CF">
          <w:rPr>
            <w:rFonts w:ascii="Times New Roman" w:eastAsia="Times New Roman" w:hAnsi="Times New Roman" w:cs="Times New Roman"/>
            <w:sz w:val="13"/>
            <w:szCs w:val="13"/>
            <w:bdr w:val="none" w:sz="0" w:space="0" w:color="auto" w:frame="1"/>
            <w:vertAlign w:val="superscript"/>
          </w:rPr>
          <w:t>32</w:t>
        </w:r>
        <w:r w:rsidR="00DE77B0" w:rsidRPr="006279CF">
          <w:rPr>
            <w:rFonts w:ascii="Times New Roman" w:eastAsia="Times New Roman" w:hAnsi="Times New Roman" w:cs="Times New Roman"/>
            <w:sz w:val="19"/>
            <w:szCs w:val="19"/>
            <w:bdr w:val="none" w:sz="0" w:space="0" w:color="auto" w:frame="1"/>
          </w:rPr>
          <w:t>)</w:t>
        </w:r>
      </w:hyperlink>
      <w:r w:rsidR="00DE77B0" w:rsidRPr="006279CF">
        <w:rPr>
          <w:rFonts w:ascii="Times New Roman" w:eastAsia="Times New Roman" w:hAnsi="Times New Roman" w:cs="Times New Roman"/>
          <w:sz w:val="19"/>
          <w:szCs w:val="19"/>
        </w:rPr>
        <w:t>  </w:t>
      </w:r>
      <w:hyperlink r:id="rId100" w:history="1">
        <w:r w:rsidR="00DE77B0" w:rsidRPr="006279CF">
          <w:rPr>
            <w:rFonts w:ascii="Times New Roman" w:eastAsia="Times New Roman" w:hAnsi="Times New Roman" w:cs="Times New Roman"/>
            <w:sz w:val="19"/>
            <w:szCs w:val="19"/>
            <w:bdr w:val="none" w:sz="0" w:space="0" w:color="auto" w:frame="1"/>
          </w:rPr>
          <w:t>OJ L 142, 30.4.2004, p. 12</w:t>
        </w:r>
      </w:hyperlink>
      <w:r w:rsidR="00DE77B0" w:rsidRPr="006279CF">
        <w:rPr>
          <w:rFonts w:ascii="Times New Roman" w:eastAsia="Times New Roman" w:hAnsi="Times New Roman" w:cs="Times New Roman"/>
          <w:sz w:val="19"/>
          <w:szCs w:val="19"/>
        </w:rPr>
        <w:t>.</w:t>
      </w:r>
    </w:p>
    <w:p w:rsidR="00DE77B0" w:rsidRDefault="00113714" w:rsidP="00187079">
      <w:pPr>
        <w:shd w:val="clear" w:color="auto" w:fill="FFFFFF"/>
        <w:spacing w:after="0" w:line="240" w:lineRule="auto"/>
        <w:jc w:val="both"/>
        <w:textAlignment w:val="baseline"/>
        <w:rPr>
          <w:rFonts w:ascii="Times New Roman" w:eastAsia="Times New Roman" w:hAnsi="Times New Roman" w:cs="Times New Roman"/>
          <w:sz w:val="19"/>
          <w:szCs w:val="19"/>
        </w:rPr>
      </w:pPr>
      <w:hyperlink r:id="rId101" w:anchor="ntc33-L_2012201EN.01000101-E0033" w:history="1">
        <w:r w:rsidR="00DE77B0" w:rsidRPr="006279CF">
          <w:rPr>
            <w:rFonts w:ascii="Times New Roman" w:eastAsia="Times New Roman" w:hAnsi="Times New Roman" w:cs="Times New Roman"/>
            <w:sz w:val="19"/>
            <w:szCs w:val="19"/>
            <w:bdr w:val="none" w:sz="0" w:space="0" w:color="auto" w:frame="1"/>
          </w:rPr>
          <w:t>(</w:t>
        </w:r>
        <w:r w:rsidR="00DE77B0" w:rsidRPr="006279CF">
          <w:rPr>
            <w:rFonts w:ascii="Times New Roman" w:eastAsia="Times New Roman" w:hAnsi="Times New Roman" w:cs="Times New Roman"/>
            <w:sz w:val="13"/>
            <w:szCs w:val="13"/>
            <w:bdr w:val="none" w:sz="0" w:space="0" w:color="auto" w:frame="1"/>
            <w:vertAlign w:val="superscript"/>
          </w:rPr>
          <w:t>33</w:t>
        </w:r>
        <w:r w:rsidR="00DE77B0" w:rsidRPr="006279CF">
          <w:rPr>
            <w:rFonts w:ascii="Times New Roman" w:eastAsia="Times New Roman" w:hAnsi="Times New Roman" w:cs="Times New Roman"/>
            <w:sz w:val="19"/>
            <w:szCs w:val="19"/>
            <w:bdr w:val="none" w:sz="0" w:space="0" w:color="auto" w:frame="1"/>
          </w:rPr>
          <w:t>)</w:t>
        </w:r>
      </w:hyperlink>
      <w:r w:rsidR="00DE77B0" w:rsidRPr="006279CF">
        <w:rPr>
          <w:rFonts w:ascii="Times New Roman" w:eastAsia="Times New Roman" w:hAnsi="Times New Roman" w:cs="Times New Roman"/>
          <w:sz w:val="19"/>
          <w:szCs w:val="19"/>
        </w:rPr>
        <w:t>  </w:t>
      </w:r>
      <w:hyperlink r:id="rId102" w:history="1">
        <w:r w:rsidR="00DE77B0" w:rsidRPr="006279CF">
          <w:rPr>
            <w:rFonts w:ascii="Times New Roman" w:eastAsia="Times New Roman" w:hAnsi="Times New Roman" w:cs="Times New Roman"/>
            <w:sz w:val="19"/>
            <w:szCs w:val="19"/>
            <w:bdr w:val="none" w:sz="0" w:space="0" w:color="auto" w:frame="1"/>
          </w:rPr>
          <w:t>OJ L 191, 13.7.2001, p. 45</w:t>
        </w:r>
      </w:hyperlink>
      <w:r w:rsidR="00DE77B0" w:rsidRPr="006279CF">
        <w:rPr>
          <w:rFonts w:ascii="Times New Roman" w:eastAsia="Times New Roman" w:hAnsi="Times New Roman" w:cs="Times New Roman"/>
          <w:sz w:val="19"/>
          <w:szCs w:val="19"/>
        </w:rPr>
        <w:t>.</w:t>
      </w:r>
    </w:p>
    <w:p w:rsidR="00CD62EE" w:rsidRDefault="00CD62EE" w:rsidP="00187079">
      <w:pPr>
        <w:shd w:val="clear" w:color="auto" w:fill="FFFFFF"/>
        <w:spacing w:after="0" w:line="240" w:lineRule="auto"/>
        <w:jc w:val="both"/>
        <w:textAlignment w:val="baseline"/>
        <w:rPr>
          <w:rFonts w:ascii="Times New Roman" w:eastAsia="Times New Roman" w:hAnsi="Times New Roman" w:cs="Times New Roman"/>
          <w:sz w:val="19"/>
          <w:szCs w:val="19"/>
        </w:rPr>
      </w:pPr>
    </w:p>
    <w:p w:rsidR="00CD62EE" w:rsidRPr="00113714" w:rsidRDefault="00CD62EE" w:rsidP="00CD62EE">
      <w:pPr>
        <w:shd w:val="clear" w:color="auto" w:fill="FFFFFF"/>
        <w:spacing w:before="240" w:after="120" w:line="312" w:lineRule="atLeast"/>
        <w:jc w:val="center"/>
        <w:textAlignment w:val="baseline"/>
        <w:rPr>
          <w:rFonts w:ascii="inherit" w:eastAsia="Times New Roman" w:hAnsi="inherit" w:cs="Times New Roman"/>
          <w:b/>
          <w:bCs/>
          <w:color w:val="444444"/>
          <w:sz w:val="27"/>
          <w:szCs w:val="27"/>
        </w:rPr>
      </w:pPr>
      <w:r>
        <w:rPr>
          <w:rFonts w:ascii="inherit" w:eastAsia="Times New Roman" w:hAnsi="inherit" w:cs="Times New Roman"/>
          <w:b/>
          <w:bCs/>
          <w:color w:val="444444"/>
          <w:sz w:val="27"/>
          <w:szCs w:val="27"/>
          <w:lang w:val="uk-UA"/>
        </w:rPr>
        <w:t>ДОДАТОК</w:t>
      </w:r>
      <w:r w:rsidRPr="00113714">
        <w:rPr>
          <w:rFonts w:ascii="inherit" w:eastAsia="Times New Roman" w:hAnsi="inherit" w:cs="Times New Roman"/>
          <w:b/>
          <w:bCs/>
          <w:color w:val="444444"/>
          <w:sz w:val="27"/>
          <w:szCs w:val="27"/>
        </w:rPr>
        <w:t xml:space="preserve"> </w:t>
      </w:r>
      <w:r w:rsidRPr="00DE77B0">
        <w:rPr>
          <w:rFonts w:ascii="inherit" w:eastAsia="Times New Roman" w:hAnsi="inherit" w:cs="Times New Roman"/>
          <w:b/>
          <w:bCs/>
          <w:color w:val="444444"/>
          <w:sz w:val="27"/>
          <w:szCs w:val="27"/>
        </w:rPr>
        <w:t>I</w:t>
      </w:r>
    </w:p>
    <w:p w:rsidR="00CD62EE" w:rsidRPr="006F1B72" w:rsidRDefault="00CD62EE" w:rsidP="00CD62EE">
      <w:pPr>
        <w:shd w:val="clear" w:color="auto" w:fill="FFFFFF"/>
        <w:spacing w:after="0" w:line="312" w:lineRule="atLeast"/>
        <w:jc w:val="both"/>
        <w:textAlignment w:val="baseline"/>
        <w:rPr>
          <w:rFonts w:ascii="inherit" w:eastAsia="Times New Roman" w:hAnsi="inherit" w:cs="Times New Roman"/>
          <w:b/>
          <w:bCs/>
          <w:color w:val="444444"/>
          <w:sz w:val="27"/>
          <w:szCs w:val="27"/>
          <w:lang w:val="ru-RU"/>
        </w:rPr>
      </w:pPr>
      <w:r>
        <w:rPr>
          <w:rFonts w:ascii="inherit" w:eastAsia="Times New Roman" w:hAnsi="inherit" w:cs="Times New Roman"/>
          <w:b/>
          <w:bCs/>
          <w:color w:val="444444"/>
          <w:sz w:val="27"/>
          <w:szCs w:val="27"/>
          <w:bdr w:val="none" w:sz="0" w:space="0" w:color="auto" w:frame="1"/>
          <w:lang w:val="uk-UA"/>
        </w:rPr>
        <w:t>Перелік порушень, згаданих у статті 65(1)</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5"/>
        <w:gridCol w:w="9220"/>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1945E9"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Порушення, що стосуються організаційних вимог або конфліктів інтересів: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7"/>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78(1), а саме не має стійких механізмів </w:t>
                  </w:r>
                  <w:r>
                    <w:rPr>
                      <w:rFonts w:ascii="inherit" w:eastAsia="Times New Roman" w:hAnsi="inherit" w:cs="Times New Roman"/>
                      <w:sz w:val="24"/>
                      <w:szCs w:val="24"/>
                      <w:lang w:val="uk-UA"/>
                    </w:rPr>
                    <w:lastRenderedPageBreak/>
                    <w:t>управління,</w:t>
                  </w:r>
                  <w:r>
                    <w:rPr>
                      <w:rFonts w:ascii="Times New Roman" w:eastAsia="Times New Roman" w:hAnsi="Times New Roman" w:cs="Times New Roman"/>
                      <w:sz w:val="27"/>
                      <w:szCs w:val="27"/>
                      <w:lang w:val="uk-UA"/>
                    </w:rPr>
                    <w:t xml:space="preserve"> </w:t>
                  </w:r>
                  <w:r w:rsidRPr="001E72DA">
                    <w:rPr>
                      <w:rFonts w:ascii="Times New Roman" w:eastAsia="Times New Roman" w:hAnsi="Times New Roman" w:cs="Times New Roman"/>
                      <w:sz w:val="25"/>
                      <w:szCs w:val="27"/>
                      <w:lang w:val="uk-UA"/>
                    </w:rPr>
                    <w:t>що включають чітку організаційну структуру з чітко визначеними, прозорими та узгодженими сферами відповідальності, а також належн</w:t>
                  </w:r>
                  <w:r>
                    <w:rPr>
                      <w:rFonts w:ascii="Times New Roman" w:eastAsia="Times New Roman" w:hAnsi="Times New Roman" w:cs="Times New Roman"/>
                      <w:sz w:val="25"/>
                      <w:szCs w:val="27"/>
                      <w:lang w:val="uk-UA"/>
                    </w:rPr>
                    <w:t>их</w:t>
                  </w:r>
                  <w:r w:rsidRPr="001E72DA">
                    <w:rPr>
                      <w:rFonts w:ascii="Times New Roman" w:eastAsia="Times New Roman" w:hAnsi="Times New Roman" w:cs="Times New Roman"/>
                      <w:sz w:val="25"/>
                      <w:szCs w:val="27"/>
                      <w:lang w:val="uk-UA"/>
                    </w:rPr>
                    <w:t xml:space="preserve"> механізм</w:t>
                  </w:r>
                  <w:r>
                    <w:rPr>
                      <w:rFonts w:ascii="Times New Roman" w:eastAsia="Times New Roman" w:hAnsi="Times New Roman" w:cs="Times New Roman"/>
                      <w:sz w:val="25"/>
                      <w:szCs w:val="27"/>
                      <w:lang w:val="uk-UA"/>
                    </w:rPr>
                    <w:t>ів</w:t>
                  </w:r>
                  <w:r w:rsidRPr="001E72DA">
                    <w:rPr>
                      <w:rFonts w:ascii="Times New Roman" w:eastAsia="Times New Roman" w:hAnsi="Times New Roman" w:cs="Times New Roman"/>
                      <w:sz w:val="25"/>
                      <w:szCs w:val="27"/>
                      <w:lang w:val="uk-UA"/>
                    </w:rPr>
                    <w:t xml:space="preserve"> внутрішнього контролю, включаючи оптимальні адміністративні та облікові процедури, що запобігають будь-якому розголо</w:t>
                  </w:r>
                  <w:r>
                    <w:rPr>
                      <w:rFonts w:ascii="Times New Roman" w:eastAsia="Times New Roman" w:hAnsi="Times New Roman" w:cs="Times New Roman"/>
                      <w:sz w:val="25"/>
                      <w:szCs w:val="27"/>
                      <w:lang w:val="uk-UA"/>
                    </w:rPr>
                    <w:t>шенню конфіденційної інформації;</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4"/>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78(2), а саме не</w:t>
                  </w:r>
                  <w:r w:rsidRPr="005E464E">
                    <w:rPr>
                      <w:rFonts w:ascii="Times New Roman" w:eastAsia="Times New Roman" w:hAnsi="Times New Roman" w:cs="Times New Roman"/>
                      <w:sz w:val="25"/>
                      <w:szCs w:val="27"/>
                      <w:lang w:val="uk-UA"/>
                    </w:rPr>
                    <w:t xml:space="preserve"> запроваджує </w:t>
                  </w:r>
                  <w:r>
                    <w:rPr>
                      <w:rFonts w:ascii="Times New Roman" w:eastAsia="Times New Roman" w:hAnsi="Times New Roman" w:cs="Times New Roman"/>
                      <w:sz w:val="25"/>
                      <w:szCs w:val="27"/>
                      <w:lang w:val="uk-UA"/>
                    </w:rPr>
                    <w:t>і не</w:t>
                  </w:r>
                  <w:r w:rsidRPr="005E464E">
                    <w:rPr>
                      <w:rFonts w:ascii="Times New Roman" w:eastAsia="Times New Roman" w:hAnsi="Times New Roman" w:cs="Times New Roman"/>
                      <w:sz w:val="25"/>
                      <w:szCs w:val="27"/>
                      <w:lang w:val="uk-UA"/>
                    </w:rPr>
                    <w:t xml:space="preserve"> виконує ефективні письмові організаційні та адміністративні правила щодо виявлення і усунення потенційних конфліктів інтересів стосовно його керівників, працівників або будь-якої особи, яка має прямі чи непрямі зв'язки з ними</w:t>
                  </w:r>
                  <w:r>
                    <w:rPr>
                      <w:rFonts w:ascii="Times New Roman" w:eastAsia="Times New Roman" w:hAnsi="Times New Roman" w:cs="Times New Roman"/>
                      <w:sz w:val="25"/>
                      <w:szCs w:val="27"/>
                      <w:lang w:val="uk-UA"/>
                    </w:rPr>
                    <w:t>;</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7"/>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4606F2"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78(3), а саме не</w:t>
                  </w:r>
                  <w:r w:rsidRPr="004606F2">
                    <w:rPr>
                      <w:rFonts w:ascii="inherit" w:eastAsia="Times New Roman" w:hAnsi="inherit" w:cs="Times New Roman"/>
                      <w:sz w:val="24"/>
                      <w:szCs w:val="24"/>
                      <w:lang w:val="ru-RU"/>
                    </w:rPr>
                    <w:t xml:space="preserve"> </w:t>
                  </w:r>
                  <w:r w:rsidRPr="005E464E">
                    <w:rPr>
                      <w:rFonts w:ascii="Times New Roman" w:eastAsia="Times New Roman" w:hAnsi="Times New Roman" w:cs="Times New Roman"/>
                      <w:sz w:val="25"/>
                      <w:szCs w:val="27"/>
                      <w:lang w:val="uk-UA"/>
                    </w:rPr>
                    <w:t>приймає політику та процедури, які є достатніми для того, щоб забезпечити виконанням ним, його керівниками та працівниками</w:t>
                  </w:r>
                  <w:r>
                    <w:rPr>
                      <w:rFonts w:ascii="Times New Roman" w:eastAsia="Times New Roman" w:hAnsi="Times New Roman" w:cs="Times New Roman"/>
                      <w:sz w:val="25"/>
                      <w:szCs w:val="27"/>
                      <w:lang w:val="uk-UA"/>
                    </w:rPr>
                    <w:t xml:space="preserve"> всіх положень цього регламенту;</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4"/>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78(4), а саме не</w:t>
                  </w:r>
                  <w:r w:rsidRPr="00DE77B0">
                    <w:rPr>
                      <w:rFonts w:ascii="inherit" w:eastAsia="Times New Roman" w:hAnsi="inherit" w:cs="Times New Roman"/>
                      <w:sz w:val="24"/>
                      <w:szCs w:val="24"/>
                    </w:rPr>
                    <w:t xml:space="preserve"> </w:t>
                  </w:r>
                  <w:r w:rsidRPr="005E464E">
                    <w:rPr>
                      <w:rFonts w:ascii="Times New Roman" w:eastAsia="Times New Roman" w:hAnsi="Times New Roman" w:cs="Times New Roman"/>
                      <w:sz w:val="25"/>
                      <w:szCs w:val="27"/>
                      <w:lang w:val="uk-UA"/>
                    </w:rPr>
                    <w:t>підтримує належну організаційну структуру, що забезпечує безперервність і впорядковане функціонування у наданні ним послуг і веденні ним діяльності</w:t>
                  </w:r>
                  <w:r>
                    <w:rPr>
                      <w:rFonts w:ascii="Times New Roman" w:eastAsia="Times New Roman" w:hAnsi="Times New Roman" w:cs="Times New Roman"/>
                      <w:sz w:val="25"/>
                      <w:szCs w:val="27"/>
                      <w:lang w:val="uk-UA"/>
                    </w:rPr>
                    <w:t>;</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7"/>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78(5), а саме не</w:t>
                  </w:r>
                  <w:r w:rsidRPr="00DE77B0">
                    <w:rPr>
                      <w:rFonts w:ascii="inherit" w:eastAsia="Times New Roman" w:hAnsi="inherit" w:cs="Times New Roman"/>
                      <w:sz w:val="24"/>
                      <w:szCs w:val="24"/>
                    </w:rPr>
                    <w:t xml:space="preserve"> </w:t>
                  </w:r>
                  <w:r w:rsidRPr="005E464E">
                    <w:rPr>
                      <w:rFonts w:ascii="Times New Roman" w:eastAsia="Times New Roman" w:hAnsi="Times New Roman" w:cs="Times New Roman"/>
                      <w:sz w:val="25"/>
                      <w:szCs w:val="27"/>
                      <w:lang w:val="uk-UA"/>
                    </w:rPr>
                    <w:t xml:space="preserve">забезпечує операційне відокремлення </w:t>
                  </w:r>
                  <w:r>
                    <w:rPr>
                      <w:rFonts w:ascii="Times New Roman" w:eastAsia="Times New Roman" w:hAnsi="Times New Roman" w:cs="Times New Roman"/>
                      <w:sz w:val="25"/>
                      <w:szCs w:val="27"/>
                      <w:lang w:val="uk-UA"/>
                    </w:rPr>
                    <w:t>своїх</w:t>
                  </w:r>
                  <w:r w:rsidRPr="005E464E">
                    <w:rPr>
                      <w:rFonts w:ascii="Times New Roman" w:eastAsia="Times New Roman" w:hAnsi="Times New Roman" w:cs="Times New Roman"/>
                      <w:sz w:val="25"/>
                      <w:szCs w:val="27"/>
                      <w:lang w:val="uk-UA"/>
                    </w:rPr>
                    <w:t xml:space="preserve"> допоміжних послуг від функції, пов'язаної з централізованим збиранням і веденням документації про деривативи</w:t>
                  </w:r>
                  <w:r>
                    <w:rPr>
                      <w:rFonts w:ascii="Times New Roman" w:eastAsia="Times New Roman" w:hAnsi="Times New Roman" w:cs="Times New Roman"/>
                      <w:sz w:val="25"/>
                      <w:szCs w:val="27"/>
                      <w:lang w:val="uk-UA"/>
                    </w:rPr>
                    <w:t>;</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754"/>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78(6), а саме не забезпечує, щоб його в</w:t>
                  </w:r>
                  <w:r w:rsidRPr="005E464E">
                    <w:rPr>
                      <w:rFonts w:ascii="Times New Roman" w:eastAsia="Times New Roman" w:hAnsi="Times New Roman" w:cs="Times New Roman"/>
                      <w:sz w:val="25"/>
                      <w:szCs w:val="27"/>
                      <w:lang w:val="uk-UA"/>
                    </w:rPr>
                    <w:t xml:space="preserve">ище керівництво і члени ради </w:t>
                  </w:r>
                  <w:r>
                    <w:rPr>
                      <w:rFonts w:ascii="Times New Roman" w:eastAsia="Times New Roman" w:hAnsi="Times New Roman" w:cs="Times New Roman"/>
                      <w:sz w:val="25"/>
                      <w:szCs w:val="27"/>
                      <w:lang w:val="uk-UA"/>
                    </w:rPr>
                    <w:t>мали</w:t>
                  </w:r>
                  <w:r w:rsidRPr="005E464E">
                    <w:rPr>
                      <w:rFonts w:ascii="Times New Roman" w:eastAsia="Times New Roman" w:hAnsi="Times New Roman" w:cs="Times New Roman"/>
                      <w:sz w:val="25"/>
                      <w:szCs w:val="27"/>
                      <w:lang w:val="uk-UA"/>
                    </w:rPr>
                    <w:t xml:space="preserve"> достатньо добру репутацію й належний досвід для того, щоб забезпечити раціональне і розумне управління д</w:t>
                  </w:r>
                  <w:r>
                    <w:rPr>
                      <w:rFonts w:ascii="Times New Roman" w:eastAsia="Times New Roman" w:hAnsi="Times New Roman" w:cs="Times New Roman"/>
                      <w:sz w:val="25"/>
                      <w:szCs w:val="27"/>
                      <w:lang w:val="uk-UA"/>
                    </w:rPr>
                    <w:t xml:space="preserve">іяльністю торгового </w:t>
                  </w:r>
                  <w:proofErr w:type="spellStart"/>
                  <w:r>
                    <w:rPr>
                      <w:rFonts w:ascii="Times New Roman" w:eastAsia="Times New Roman" w:hAnsi="Times New Roman" w:cs="Times New Roman"/>
                      <w:sz w:val="25"/>
                      <w:szCs w:val="27"/>
                      <w:lang w:val="uk-UA"/>
                    </w:rPr>
                    <w:t>репозитарія</w:t>
                  </w:r>
                  <w:proofErr w:type="spellEnd"/>
                  <w:r>
                    <w:rPr>
                      <w:rFonts w:ascii="Times New Roman" w:eastAsia="Times New Roman" w:hAnsi="Times New Roman" w:cs="Times New Roman"/>
                      <w:sz w:val="25"/>
                      <w:szCs w:val="27"/>
                      <w:lang w:val="uk-UA"/>
                    </w:rPr>
                    <w:t>;</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4"/>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78(7), а саме не</w:t>
                  </w:r>
                  <w:r w:rsidRPr="00DE77B0">
                    <w:rPr>
                      <w:rFonts w:ascii="inherit" w:eastAsia="Times New Roman" w:hAnsi="inherit" w:cs="Times New Roman"/>
                      <w:sz w:val="24"/>
                      <w:szCs w:val="24"/>
                    </w:rPr>
                    <w:t xml:space="preserve"> </w:t>
                  </w:r>
                  <w:r w:rsidRPr="005E464E">
                    <w:rPr>
                      <w:rFonts w:ascii="Times New Roman" w:eastAsia="Times New Roman" w:hAnsi="Times New Roman" w:cs="Times New Roman"/>
                      <w:sz w:val="25"/>
                      <w:szCs w:val="27"/>
                      <w:lang w:val="uk-UA"/>
                    </w:rPr>
                    <w:t xml:space="preserve">запроваджує об’єктивні, недискримінаційні та публічно оприлюднені вимоги до доступу </w:t>
                  </w:r>
                  <w:r>
                    <w:rPr>
                      <w:rFonts w:ascii="Times New Roman" w:eastAsia="Times New Roman" w:hAnsi="Times New Roman" w:cs="Times New Roman"/>
                      <w:sz w:val="25"/>
                      <w:szCs w:val="27"/>
                      <w:lang w:val="uk-UA"/>
                    </w:rPr>
                    <w:t xml:space="preserve">надавачів послуг та </w:t>
                  </w:r>
                  <w:r w:rsidRPr="005E464E">
                    <w:rPr>
                      <w:rFonts w:ascii="Times New Roman" w:eastAsia="Times New Roman" w:hAnsi="Times New Roman" w:cs="Times New Roman"/>
                      <w:sz w:val="25"/>
                      <w:szCs w:val="27"/>
                      <w:lang w:val="uk-UA"/>
                    </w:rPr>
                    <w:t>підприємств за умови дотримання зобов’язан</w:t>
                  </w:r>
                  <w:r>
                    <w:rPr>
                      <w:rFonts w:ascii="Times New Roman" w:eastAsia="Times New Roman" w:hAnsi="Times New Roman" w:cs="Times New Roman"/>
                      <w:sz w:val="25"/>
                      <w:szCs w:val="27"/>
                      <w:lang w:val="uk-UA"/>
                    </w:rPr>
                    <w:t>ня щодо звітування за статтею 9;</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4"/>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78(8), а саме не</w:t>
                  </w:r>
                  <w:r>
                    <w:rPr>
                      <w:rFonts w:ascii="Times New Roman" w:eastAsia="Times New Roman" w:hAnsi="Times New Roman" w:cs="Times New Roman"/>
                      <w:sz w:val="25"/>
                      <w:szCs w:val="27"/>
                      <w:lang w:val="uk-UA"/>
                    </w:rPr>
                    <w:t xml:space="preserve"> оприлюднює </w:t>
                  </w:r>
                  <w:r w:rsidRPr="005E464E">
                    <w:rPr>
                      <w:rFonts w:ascii="Times New Roman" w:eastAsia="Times New Roman" w:hAnsi="Times New Roman" w:cs="Times New Roman"/>
                      <w:sz w:val="25"/>
                      <w:szCs w:val="27"/>
                      <w:lang w:val="uk-UA"/>
                    </w:rPr>
                    <w:t>ціни та комісійні, пов'язані з послугами, наданими згідно з цим регламентом</w:t>
                  </w:r>
                  <w:r>
                    <w:rPr>
                      <w:rFonts w:ascii="Times New Roman" w:eastAsia="Times New Roman" w:hAnsi="Times New Roman" w:cs="Times New Roman"/>
                      <w:sz w:val="25"/>
                      <w:szCs w:val="27"/>
                      <w:lang w:val="uk-UA"/>
                    </w:rPr>
                    <w:t>, а також не дозволяє підзвітним суб’єктам отримувати конкретні послуги окремо і встановлює ціни та комісійні, які не залежать від витрат</w:t>
                  </w:r>
                  <w:r w:rsidRPr="00DE77B0">
                    <w:rPr>
                      <w:rFonts w:ascii="inherit" w:eastAsia="Times New Roman" w:hAnsi="inherit" w:cs="Times New Roman"/>
                      <w:sz w:val="24"/>
                      <w:szCs w:val="24"/>
                    </w:rPr>
                    <w:t>.</w:t>
                  </w:r>
                </w:p>
              </w:tc>
            </w:tr>
          </w:tbl>
          <w:p w:rsidR="00CD62EE" w:rsidRPr="00DE77B0" w:rsidRDefault="00CD62EE" w:rsidP="00113714">
            <w:pPr>
              <w:spacing w:after="0" w:line="240" w:lineRule="auto"/>
              <w:rPr>
                <w:rFonts w:ascii="inherit" w:eastAsia="Times New Roman" w:hAnsi="inherit" w:cs="Times New Roman"/>
                <w:sz w:val="24"/>
                <w:szCs w:val="24"/>
              </w:rPr>
            </w:pPr>
          </w:p>
        </w:tc>
      </w:tr>
    </w:tbl>
    <w:p w:rsidR="00CD62EE" w:rsidRPr="00DE77B0" w:rsidRDefault="00CD62EE" w:rsidP="00CD62EE">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5"/>
        <w:gridCol w:w="9140"/>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6F1B72"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Порушення, що стосуються операційних вимог:</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47"/>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7D6DEF"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79(1), а саме не</w:t>
                  </w:r>
                  <w:r w:rsidRPr="00D0055F">
                    <w:rPr>
                      <w:rFonts w:ascii="inherit" w:eastAsia="Times New Roman" w:hAnsi="inherit" w:cs="Times New Roman"/>
                      <w:sz w:val="24"/>
                      <w:szCs w:val="24"/>
                      <w:lang w:val="ru-RU"/>
                    </w:rPr>
                    <w:t xml:space="preserve"> </w:t>
                  </w:r>
                  <w:r w:rsidRPr="005E464E">
                    <w:rPr>
                      <w:rFonts w:ascii="Times New Roman" w:eastAsia="Times New Roman" w:hAnsi="Times New Roman" w:cs="Times New Roman"/>
                      <w:sz w:val="25"/>
                      <w:szCs w:val="27"/>
                      <w:lang w:val="uk-UA"/>
                    </w:rPr>
                    <w:t xml:space="preserve">визначає джерела операційного ризику </w:t>
                  </w:r>
                  <w:r>
                    <w:rPr>
                      <w:rFonts w:ascii="Times New Roman" w:eastAsia="Times New Roman" w:hAnsi="Times New Roman" w:cs="Times New Roman"/>
                      <w:sz w:val="25"/>
                      <w:szCs w:val="27"/>
                      <w:lang w:val="uk-UA"/>
                    </w:rPr>
                    <w:t>і не</w:t>
                  </w:r>
                  <w:r w:rsidRPr="005E464E">
                    <w:rPr>
                      <w:rFonts w:ascii="Times New Roman" w:eastAsia="Times New Roman" w:hAnsi="Times New Roman" w:cs="Times New Roman"/>
                      <w:sz w:val="25"/>
                      <w:szCs w:val="27"/>
                      <w:lang w:val="uk-UA"/>
                    </w:rPr>
                    <w:t xml:space="preserve"> зводить їх до мінімуму шляхом розроблення відповідних систем, засобів контролю та процедур</w:t>
                  </w:r>
                  <w:r w:rsidRPr="007D6DEF">
                    <w:rPr>
                      <w:rFonts w:ascii="inherit" w:eastAsia="Times New Roman" w:hAnsi="inherit" w:cs="Times New Roman"/>
                      <w:sz w:val="24"/>
                      <w:szCs w:val="24"/>
                      <w:lang w:val="ru-RU"/>
                    </w:rPr>
                    <w:t>;</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34"/>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79(2), а саме не</w:t>
                  </w:r>
                  <w:r w:rsidRPr="00DE77B0">
                    <w:rPr>
                      <w:rFonts w:ascii="inherit" w:eastAsia="Times New Roman" w:hAnsi="inherit" w:cs="Times New Roman"/>
                      <w:sz w:val="24"/>
                      <w:szCs w:val="24"/>
                    </w:rPr>
                    <w:t xml:space="preserve"> </w:t>
                  </w:r>
                  <w:r w:rsidRPr="005E464E">
                    <w:rPr>
                      <w:rFonts w:ascii="Times New Roman" w:eastAsia="Times New Roman" w:hAnsi="Times New Roman" w:cs="Times New Roman"/>
                      <w:sz w:val="25"/>
                      <w:szCs w:val="27"/>
                      <w:lang w:val="uk-UA"/>
                    </w:rPr>
                    <w:t xml:space="preserve">розробляє, </w:t>
                  </w:r>
                  <w:r>
                    <w:rPr>
                      <w:rFonts w:ascii="Times New Roman" w:eastAsia="Times New Roman" w:hAnsi="Times New Roman" w:cs="Times New Roman"/>
                      <w:sz w:val="25"/>
                      <w:szCs w:val="27"/>
                      <w:lang w:val="uk-UA"/>
                    </w:rPr>
                    <w:t xml:space="preserve">не запроваджує і не </w:t>
                  </w:r>
                  <w:r w:rsidRPr="005E464E">
                    <w:rPr>
                      <w:rFonts w:ascii="Times New Roman" w:eastAsia="Times New Roman" w:hAnsi="Times New Roman" w:cs="Times New Roman"/>
                      <w:sz w:val="25"/>
                      <w:szCs w:val="27"/>
                      <w:lang w:val="uk-UA"/>
                    </w:rPr>
                    <w:t xml:space="preserve">реалізує належну політику щодо безперервності ведення діяльності та план відновлення у надзвичайних ситуаціях, спрямовані на забезпечення збереження його функцій, своєчасне відновлення діяльності та виконання зобов’язань торгового </w:t>
                  </w:r>
                  <w:proofErr w:type="spellStart"/>
                  <w:r w:rsidRPr="005E464E">
                    <w:rPr>
                      <w:rFonts w:ascii="Times New Roman" w:eastAsia="Times New Roman" w:hAnsi="Times New Roman" w:cs="Times New Roman"/>
                      <w:sz w:val="25"/>
                      <w:szCs w:val="27"/>
                      <w:lang w:val="uk-UA"/>
                    </w:rPr>
                    <w:t>репозитарія</w:t>
                  </w:r>
                  <w:proofErr w:type="spellEnd"/>
                  <w:r w:rsidRPr="00DE77B0">
                    <w:rPr>
                      <w:rFonts w:ascii="inherit" w:eastAsia="Times New Roman" w:hAnsi="inherit" w:cs="Times New Roman"/>
                      <w:sz w:val="24"/>
                      <w:szCs w:val="24"/>
                    </w:rPr>
                    <w:t>;</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47"/>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80(1), а саме не</w:t>
                  </w:r>
                  <w:r w:rsidRPr="00DE77B0">
                    <w:rPr>
                      <w:rFonts w:ascii="inherit" w:eastAsia="Times New Roman" w:hAnsi="inherit" w:cs="Times New Roman"/>
                      <w:sz w:val="24"/>
                      <w:szCs w:val="24"/>
                    </w:rPr>
                    <w:t xml:space="preserve"> </w:t>
                  </w:r>
                  <w:r w:rsidRPr="005E464E">
                    <w:rPr>
                      <w:rFonts w:ascii="Times New Roman" w:eastAsia="Times New Roman" w:hAnsi="Times New Roman" w:cs="Times New Roman"/>
                      <w:sz w:val="25"/>
                      <w:szCs w:val="27"/>
                      <w:lang w:val="uk-UA"/>
                    </w:rPr>
                    <w:t>забезпечує конфіденційність, цілісність і захист інформації, отриманої згідно зі статтею 9</w:t>
                  </w:r>
                  <w:r>
                    <w:rPr>
                      <w:rFonts w:ascii="Times New Roman" w:eastAsia="Times New Roman" w:hAnsi="Times New Roman" w:cs="Times New Roman"/>
                      <w:sz w:val="25"/>
                      <w:szCs w:val="27"/>
                      <w:lang w:val="uk-UA"/>
                    </w:rPr>
                    <w:t>;</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34"/>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636FF2"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80(2), а саме </w:t>
                  </w:r>
                  <w:r w:rsidRPr="005E464E">
                    <w:rPr>
                      <w:rFonts w:ascii="Times New Roman" w:eastAsia="Times New Roman" w:hAnsi="Times New Roman" w:cs="Times New Roman"/>
                      <w:sz w:val="25"/>
                      <w:szCs w:val="27"/>
                      <w:lang w:val="uk-UA"/>
                    </w:rPr>
                    <w:t>використову</w:t>
                  </w:r>
                  <w:r>
                    <w:rPr>
                      <w:rFonts w:ascii="Times New Roman" w:eastAsia="Times New Roman" w:hAnsi="Times New Roman" w:cs="Times New Roman"/>
                      <w:sz w:val="25"/>
                      <w:szCs w:val="27"/>
                      <w:lang w:val="uk-UA"/>
                    </w:rPr>
                    <w:t>є</w:t>
                  </w:r>
                  <w:r w:rsidRPr="005E464E">
                    <w:rPr>
                      <w:rFonts w:ascii="Times New Roman" w:eastAsia="Times New Roman" w:hAnsi="Times New Roman" w:cs="Times New Roman"/>
                      <w:sz w:val="25"/>
                      <w:szCs w:val="27"/>
                      <w:lang w:val="uk-UA"/>
                    </w:rPr>
                    <w:t xml:space="preserve"> дані, отримані ним за цим регламентом, у комерційних цілях</w:t>
                  </w:r>
                  <w:r>
                    <w:rPr>
                      <w:rFonts w:ascii="Times New Roman" w:eastAsia="Times New Roman" w:hAnsi="Times New Roman" w:cs="Times New Roman"/>
                      <w:sz w:val="25"/>
                      <w:szCs w:val="27"/>
                      <w:lang w:val="uk-UA"/>
                    </w:rPr>
                    <w:t xml:space="preserve"> без згоди відповідних контрагентів на це</w:t>
                  </w:r>
                  <w:r w:rsidRPr="00636FF2">
                    <w:rPr>
                      <w:rFonts w:ascii="inherit" w:eastAsia="Times New Roman" w:hAnsi="inherit" w:cs="Times New Roman"/>
                      <w:sz w:val="24"/>
                      <w:szCs w:val="24"/>
                      <w:lang w:val="ru-RU"/>
                    </w:rPr>
                    <w:t>;</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47"/>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CD62EE" w:rsidRDefault="00CD62EE" w:rsidP="00113714">
                  <w:pPr>
                    <w:spacing w:before="120" w:after="0" w:line="312" w:lineRule="atLeast"/>
                    <w:jc w:val="both"/>
                    <w:textAlignment w:val="baseline"/>
                    <w:rPr>
                      <w:rFonts w:ascii="inherit" w:eastAsia="Times New Roman" w:hAnsi="inherit" w:cs="Times New Roman"/>
                      <w:sz w:val="24"/>
                      <w:szCs w:val="24"/>
                      <w:lang w:val="uk-UA"/>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80(3), а саме не</w:t>
                  </w:r>
                  <w:r w:rsidRPr="009F4BEE">
                    <w:rPr>
                      <w:rFonts w:ascii="inherit" w:eastAsia="Times New Roman" w:hAnsi="inherit" w:cs="Times New Roman"/>
                      <w:sz w:val="24"/>
                      <w:szCs w:val="24"/>
                      <w:lang w:val="ru-RU"/>
                    </w:rPr>
                    <w:t xml:space="preserve"> </w:t>
                  </w:r>
                  <w:r w:rsidRPr="005E464E">
                    <w:rPr>
                      <w:rFonts w:ascii="Times New Roman" w:eastAsia="Times New Roman" w:hAnsi="Times New Roman" w:cs="Times New Roman"/>
                      <w:sz w:val="25"/>
                      <w:szCs w:val="27"/>
                      <w:lang w:val="uk-UA"/>
                    </w:rPr>
                    <w:t xml:space="preserve">реєструє </w:t>
                  </w:r>
                  <w:r>
                    <w:rPr>
                      <w:rFonts w:ascii="Times New Roman" w:eastAsia="Times New Roman" w:hAnsi="Times New Roman" w:cs="Times New Roman"/>
                      <w:sz w:val="25"/>
                      <w:szCs w:val="27"/>
                      <w:lang w:val="uk-UA"/>
                    </w:rPr>
                    <w:t xml:space="preserve">негайно </w:t>
                  </w:r>
                  <w:r w:rsidRPr="005E464E">
                    <w:rPr>
                      <w:rFonts w:ascii="Times New Roman" w:eastAsia="Times New Roman" w:hAnsi="Times New Roman" w:cs="Times New Roman"/>
                      <w:sz w:val="25"/>
                      <w:szCs w:val="27"/>
                      <w:lang w:val="uk-UA"/>
                    </w:rPr>
                    <w:t xml:space="preserve">інформацію, отриману згідно зі статтею 9, </w:t>
                  </w:r>
                  <w:r>
                    <w:rPr>
                      <w:rFonts w:ascii="Times New Roman" w:eastAsia="Times New Roman" w:hAnsi="Times New Roman" w:cs="Times New Roman"/>
                      <w:sz w:val="25"/>
                      <w:szCs w:val="27"/>
                      <w:lang w:val="uk-UA"/>
                    </w:rPr>
                    <w:t>або</w:t>
                  </w:r>
                  <w:r w:rsidRPr="005E464E">
                    <w:rPr>
                      <w:rFonts w:ascii="Times New Roman" w:eastAsia="Times New Roman" w:hAnsi="Times New Roman" w:cs="Times New Roman"/>
                      <w:sz w:val="25"/>
                      <w:szCs w:val="27"/>
                      <w:lang w:val="uk-UA"/>
                    </w:rPr>
                    <w:t xml:space="preserve"> </w:t>
                  </w:r>
                  <w:r>
                    <w:rPr>
                      <w:rFonts w:ascii="Times New Roman" w:eastAsia="Times New Roman" w:hAnsi="Times New Roman" w:cs="Times New Roman"/>
                      <w:sz w:val="25"/>
                      <w:szCs w:val="27"/>
                      <w:lang w:val="uk-UA"/>
                    </w:rPr>
                    <w:t xml:space="preserve">не </w:t>
                  </w:r>
                  <w:r w:rsidRPr="005E464E">
                    <w:rPr>
                      <w:rFonts w:ascii="Times New Roman" w:eastAsia="Times New Roman" w:hAnsi="Times New Roman" w:cs="Times New Roman"/>
                      <w:sz w:val="25"/>
                      <w:szCs w:val="27"/>
                      <w:lang w:val="uk-UA"/>
                    </w:rPr>
                    <w:t>зберігає її протягом як мінімум 10 років після припинення дії відповідних контрактів</w:t>
                  </w:r>
                  <w:r>
                    <w:rPr>
                      <w:rFonts w:ascii="Times New Roman" w:eastAsia="Times New Roman" w:hAnsi="Times New Roman" w:cs="Times New Roman"/>
                      <w:sz w:val="25"/>
                      <w:szCs w:val="27"/>
                      <w:lang w:val="uk-UA"/>
                    </w:rPr>
                    <w:t>, або не</w:t>
                  </w:r>
                  <w:r w:rsidRPr="005E464E">
                    <w:rPr>
                      <w:rFonts w:ascii="Times New Roman" w:eastAsia="Times New Roman" w:hAnsi="Times New Roman" w:cs="Times New Roman"/>
                      <w:sz w:val="25"/>
                      <w:szCs w:val="27"/>
                      <w:lang w:val="uk-UA"/>
                    </w:rPr>
                    <w:t xml:space="preserve"> застосовує своєчасні та ефективні процедури обліку для документального відображення з</w:t>
                  </w:r>
                  <w:r>
                    <w:rPr>
                      <w:rFonts w:ascii="Times New Roman" w:eastAsia="Times New Roman" w:hAnsi="Times New Roman" w:cs="Times New Roman"/>
                      <w:sz w:val="25"/>
                      <w:szCs w:val="27"/>
                      <w:lang w:val="uk-UA"/>
                    </w:rPr>
                    <w:t>мін у зареєстрованій інформації;</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674"/>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CD62EE"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80(4), а саме не</w:t>
                  </w:r>
                  <w:r w:rsidRPr="006B121A">
                    <w:rPr>
                      <w:rFonts w:ascii="inherit" w:eastAsia="Times New Roman" w:hAnsi="inherit" w:cs="Times New Roman"/>
                      <w:sz w:val="24"/>
                      <w:szCs w:val="24"/>
                      <w:lang w:val="ru-RU"/>
                    </w:rPr>
                    <w:t xml:space="preserve"> </w:t>
                  </w:r>
                  <w:r w:rsidRPr="005E464E">
                    <w:rPr>
                      <w:rFonts w:ascii="Times New Roman" w:eastAsia="Times New Roman" w:hAnsi="Times New Roman" w:cs="Times New Roman"/>
                      <w:sz w:val="25"/>
                      <w:szCs w:val="27"/>
                      <w:lang w:val="uk-UA"/>
                    </w:rPr>
                    <w:t xml:space="preserve">розраховує позиції по класах деривативів і по підзвітних суб’єктах, основуючись на деталях контрактів на деривативи, повідомлених </w:t>
                  </w:r>
                  <w:proofErr w:type="spellStart"/>
                  <w:r w:rsidRPr="005E464E">
                    <w:rPr>
                      <w:rFonts w:ascii="Times New Roman" w:eastAsia="Times New Roman" w:hAnsi="Times New Roman" w:cs="Times New Roman"/>
                      <w:sz w:val="25"/>
                      <w:szCs w:val="27"/>
                      <w:lang w:val="ru-RU"/>
                    </w:rPr>
                    <w:t>відповідно</w:t>
                  </w:r>
                  <w:proofErr w:type="spellEnd"/>
                  <w:r w:rsidRPr="006B121A">
                    <w:rPr>
                      <w:rFonts w:ascii="Times New Roman" w:eastAsia="Times New Roman" w:hAnsi="Times New Roman" w:cs="Times New Roman"/>
                      <w:sz w:val="25"/>
                      <w:szCs w:val="27"/>
                      <w:lang w:val="ru-RU"/>
                    </w:rPr>
                    <w:t xml:space="preserve"> </w:t>
                  </w:r>
                  <w:r w:rsidRPr="005E464E">
                    <w:rPr>
                      <w:rFonts w:ascii="Times New Roman" w:eastAsia="Times New Roman" w:hAnsi="Times New Roman" w:cs="Times New Roman"/>
                      <w:sz w:val="25"/>
                      <w:szCs w:val="27"/>
                      <w:lang w:val="ru-RU"/>
                    </w:rPr>
                    <w:t>до</w:t>
                  </w:r>
                  <w:r w:rsidRPr="006B121A">
                    <w:rPr>
                      <w:rFonts w:ascii="Times New Roman" w:eastAsia="Times New Roman" w:hAnsi="Times New Roman" w:cs="Times New Roman"/>
                      <w:sz w:val="25"/>
                      <w:szCs w:val="27"/>
                      <w:lang w:val="ru-RU"/>
                    </w:rPr>
                    <w:t xml:space="preserve"> </w:t>
                  </w:r>
                  <w:proofErr w:type="spellStart"/>
                  <w:r w:rsidRPr="005E464E">
                    <w:rPr>
                      <w:rFonts w:ascii="Times New Roman" w:eastAsia="Times New Roman" w:hAnsi="Times New Roman" w:cs="Times New Roman"/>
                      <w:sz w:val="25"/>
                      <w:szCs w:val="27"/>
                      <w:lang w:val="ru-RU"/>
                    </w:rPr>
                    <w:t>статті</w:t>
                  </w:r>
                  <w:proofErr w:type="spellEnd"/>
                  <w:r w:rsidRPr="006B121A">
                    <w:rPr>
                      <w:rFonts w:ascii="Times New Roman" w:eastAsia="Times New Roman" w:hAnsi="Times New Roman" w:cs="Times New Roman"/>
                      <w:sz w:val="25"/>
                      <w:szCs w:val="27"/>
                      <w:lang w:val="ru-RU"/>
                    </w:rPr>
                    <w:t xml:space="preserve"> 9</w:t>
                  </w:r>
                  <w:r>
                    <w:rPr>
                      <w:rFonts w:ascii="Times New Roman" w:eastAsia="Times New Roman" w:hAnsi="Times New Roman" w:cs="Times New Roman"/>
                      <w:sz w:val="25"/>
                      <w:szCs w:val="27"/>
                      <w:lang w:val="uk-UA"/>
                    </w:rPr>
                    <w:t>;</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34"/>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CD62EE"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80(5), а саме не</w:t>
                  </w:r>
                  <w:r w:rsidRPr="00832924">
                    <w:rPr>
                      <w:rFonts w:ascii="inherit" w:eastAsia="Times New Roman" w:hAnsi="inherit" w:cs="Times New Roman"/>
                      <w:sz w:val="24"/>
                      <w:szCs w:val="24"/>
                      <w:lang w:val="ru-RU"/>
                    </w:rPr>
                    <w:t xml:space="preserve"> </w:t>
                  </w:r>
                  <w:r w:rsidRPr="005E464E">
                    <w:rPr>
                      <w:rFonts w:ascii="Times New Roman" w:eastAsia="Times New Roman" w:hAnsi="Times New Roman" w:cs="Times New Roman"/>
                      <w:sz w:val="25"/>
                      <w:szCs w:val="27"/>
                      <w:lang w:val="uk-UA"/>
                    </w:rPr>
                    <w:t>дозволяє сторонам контракту своєчасно отримувати доступ до інформації стосовно цього контракту і вносити до неї зміни</w:t>
                  </w:r>
                  <w:r>
                    <w:rPr>
                      <w:rFonts w:ascii="Times New Roman" w:eastAsia="Times New Roman" w:hAnsi="Times New Roman" w:cs="Times New Roman"/>
                      <w:sz w:val="25"/>
                      <w:szCs w:val="27"/>
                      <w:lang w:val="uk-UA"/>
                    </w:rPr>
                    <w:t>;</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34"/>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2B5D22"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80(6), а саме не</w:t>
                  </w:r>
                  <w:r w:rsidRPr="002B5D22">
                    <w:rPr>
                      <w:rFonts w:ascii="inherit" w:eastAsia="Times New Roman" w:hAnsi="inherit" w:cs="Times New Roman"/>
                      <w:sz w:val="24"/>
                      <w:szCs w:val="24"/>
                      <w:lang w:val="ru-RU"/>
                    </w:rPr>
                    <w:t xml:space="preserve"> </w:t>
                  </w:r>
                  <w:r>
                    <w:rPr>
                      <w:rFonts w:ascii="inherit" w:eastAsia="Times New Roman" w:hAnsi="inherit" w:cs="Times New Roman"/>
                      <w:sz w:val="24"/>
                      <w:szCs w:val="24"/>
                      <w:lang w:val="uk-UA"/>
                    </w:rPr>
                    <w:t>в</w:t>
                  </w:r>
                  <w:r w:rsidRPr="005E464E">
                    <w:rPr>
                      <w:rFonts w:ascii="Times New Roman" w:eastAsia="Times New Roman" w:hAnsi="Times New Roman" w:cs="Times New Roman"/>
                      <w:sz w:val="25"/>
                      <w:szCs w:val="27"/>
                      <w:lang w:val="uk-UA"/>
                    </w:rPr>
                    <w:t>живає всіх розумних кроків для запобігання будь-якого зловживання інформацією, що зберігається в його системах.</w:t>
                  </w:r>
                </w:p>
              </w:tc>
            </w:tr>
          </w:tbl>
          <w:p w:rsidR="00CD62EE" w:rsidRPr="002B5D22" w:rsidRDefault="00CD62EE" w:rsidP="00113714">
            <w:pPr>
              <w:spacing w:after="0" w:line="240" w:lineRule="auto"/>
              <w:rPr>
                <w:rFonts w:ascii="inherit" w:eastAsia="Times New Roman" w:hAnsi="inherit" w:cs="Times New Roman"/>
                <w:sz w:val="24"/>
                <w:szCs w:val="24"/>
                <w:lang w:val="ru-RU"/>
              </w:rPr>
            </w:pPr>
          </w:p>
        </w:tc>
      </w:tr>
    </w:tbl>
    <w:p w:rsidR="00CD62EE" w:rsidRPr="00DE77B0" w:rsidRDefault="00CD62EE" w:rsidP="00CD62EE">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060"/>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2B5D22"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Порушення, що стосуються прозорості та доступності інформації</w:t>
            </w:r>
            <w:r w:rsidRPr="002B5D22">
              <w:rPr>
                <w:rFonts w:ascii="inherit" w:eastAsia="Times New Roman" w:hAnsi="inherit" w:cs="Times New Roman"/>
                <w:sz w:val="24"/>
                <w:szCs w:val="24"/>
                <w:lang w:val="ru-RU"/>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67"/>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CD62EE"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81(1), а саме</w:t>
                  </w:r>
                  <w:r w:rsidRPr="006143D5">
                    <w:rPr>
                      <w:rFonts w:ascii="inherit" w:eastAsia="Times New Roman" w:hAnsi="inherit" w:cs="Times New Roman"/>
                      <w:sz w:val="24"/>
                      <w:szCs w:val="24"/>
                      <w:lang w:val="ru-RU"/>
                    </w:rPr>
                    <w:t xml:space="preserve"> </w:t>
                  </w:r>
                  <w:r>
                    <w:rPr>
                      <w:rFonts w:ascii="inherit" w:eastAsia="Times New Roman" w:hAnsi="inherit" w:cs="Times New Roman"/>
                      <w:sz w:val="24"/>
                      <w:szCs w:val="24"/>
                      <w:lang w:val="uk-UA"/>
                    </w:rPr>
                    <w:t xml:space="preserve">не публікує </w:t>
                  </w:r>
                  <w:r w:rsidRPr="005E464E">
                    <w:rPr>
                      <w:rFonts w:ascii="Times New Roman" w:eastAsia="Times New Roman" w:hAnsi="Times New Roman" w:cs="Times New Roman"/>
                      <w:sz w:val="25"/>
                      <w:szCs w:val="27"/>
                      <w:lang w:val="uk-UA"/>
                    </w:rPr>
                    <w:t>регулярно, у легкодоступний спосіб сукупні позиції по класах деривативів за контрактами, про які йому повідомлено</w:t>
                  </w:r>
                  <w:r>
                    <w:rPr>
                      <w:rFonts w:ascii="Times New Roman" w:eastAsia="Times New Roman" w:hAnsi="Times New Roman" w:cs="Times New Roman"/>
                      <w:sz w:val="25"/>
                      <w:szCs w:val="27"/>
                      <w:lang w:val="uk-UA"/>
                    </w:rPr>
                    <w:t>;</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54"/>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81(2), а саме не надає суб’єктам, згаданим у статті 81(3),</w:t>
                  </w:r>
                  <w:r w:rsidRPr="005E464E">
                    <w:rPr>
                      <w:rFonts w:ascii="Times New Roman" w:eastAsia="Times New Roman" w:hAnsi="Times New Roman" w:cs="Times New Roman"/>
                      <w:sz w:val="25"/>
                      <w:szCs w:val="27"/>
                      <w:lang w:val="uk-UA"/>
                    </w:rPr>
                    <w:t xml:space="preserve"> безпосередній та негайний доступ до деталей контрактів на деривативи, які їм потрібні для виконання їхніх відповідних обов’язків і повноважень.</w:t>
                  </w:r>
                </w:p>
              </w:tc>
            </w:tr>
          </w:tbl>
          <w:p w:rsidR="00CD62EE" w:rsidRPr="00DE77B0" w:rsidRDefault="00CD62EE" w:rsidP="00113714">
            <w:pPr>
              <w:spacing w:after="0" w:line="240" w:lineRule="auto"/>
              <w:rPr>
                <w:rFonts w:ascii="inherit" w:eastAsia="Times New Roman" w:hAnsi="inherit" w:cs="Times New Roman"/>
                <w:sz w:val="24"/>
                <w:szCs w:val="24"/>
              </w:rPr>
            </w:pPr>
          </w:p>
        </w:tc>
      </w:tr>
    </w:tbl>
    <w:p w:rsidR="00CD62EE" w:rsidRPr="00DE77B0" w:rsidRDefault="00CD62EE" w:rsidP="00CD62EE">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9"/>
        <w:gridCol w:w="9046"/>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6F1B72"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Порушення, що стосуються наглядової діяльності:</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53"/>
            </w:tblGrid>
            <w:tr w:rsidR="00CD62EE" w:rsidRPr="00092286"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092286" w:rsidRDefault="00CD62EE" w:rsidP="00113714">
                  <w:pPr>
                    <w:spacing w:before="120" w:after="0" w:line="312" w:lineRule="atLeast"/>
                    <w:jc w:val="both"/>
                    <w:textAlignment w:val="baseline"/>
                    <w:rPr>
                      <w:rFonts w:ascii="inherit" w:eastAsia="Times New Roman" w:hAnsi="inherit" w:cs="Times New Roman"/>
                      <w:sz w:val="24"/>
                      <w:szCs w:val="24"/>
                      <w:lang w:val="uk-UA"/>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порушує статтю 61(1), а саме</w:t>
                  </w:r>
                  <w:r w:rsidRPr="00092286">
                    <w:rPr>
                      <w:rFonts w:ascii="inherit" w:eastAsia="Times New Roman" w:hAnsi="inherit" w:cs="Times New Roman"/>
                      <w:sz w:val="24"/>
                      <w:szCs w:val="24"/>
                    </w:rPr>
                    <w:t xml:space="preserve"> </w:t>
                  </w:r>
                  <w:r>
                    <w:rPr>
                      <w:rFonts w:ascii="inherit" w:eastAsia="Times New Roman" w:hAnsi="inherit" w:cs="Times New Roman"/>
                      <w:sz w:val="24"/>
                      <w:szCs w:val="24"/>
                      <w:lang w:val="uk-UA"/>
                    </w:rPr>
                    <w:t xml:space="preserve">надає неправдиву інформацію або інформацію, що вводить в оману, у відповідь на простий запит інформації з боку </w:t>
                  </w:r>
                  <w:r>
                    <w:rPr>
                      <w:rFonts w:ascii="inherit" w:eastAsia="Times New Roman" w:hAnsi="inherit" w:cs="Times New Roman"/>
                      <w:sz w:val="24"/>
                      <w:szCs w:val="24"/>
                    </w:rPr>
                    <w:t>ESMA</w:t>
                  </w:r>
                  <w:r>
                    <w:rPr>
                      <w:rFonts w:ascii="inherit" w:eastAsia="Times New Roman" w:hAnsi="inherit" w:cs="Times New Roman"/>
                      <w:sz w:val="24"/>
                      <w:szCs w:val="24"/>
                      <w:lang w:val="uk-UA"/>
                    </w:rPr>
                    <w:t xml:space="preserve"> згідно зі статтею 61(2) або у відповідь на рішення </w:t>
                  </w:r>
                  <w:r>
                    <w:rPr>
                      <w:rFonts w:ascii="inherit" w:eastAsia="Times New Roman" w:hAnsi="inherit" w:cs="Times New Roman"/>
                      <w:sz w:val="24"/>
                      <w:szCs w:val="24"/>
                    </w:rPr>
                    <w:t>ESMA</w:t>
                  </w:r>
                  <w:r>
                    <w:rPr>
                      <w:rFonts w:ascii="inherit" w:eastAsia="Times New Roman" w:hAnsi="inherit" w:cs="Times New Roman"/>
                      <w:sz w:val="24"/>
                      <w:szCs w:val="24"/>
                      <w:lang w:val="uk-UA"/>
                    </w:rPr>
                    <w:t xml:space="preserve"> про вимогу інформації згідно зі статтею 61(3);</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40"/>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надає неправдиві відповіді або відповіді, що вводять в оману, на запитання, поставлені згідно зі статтею</w:t>
                  </w:r>
                  <w:r w:rsidRPr="00FB1409">
                    <w:rPr>
                      <w:rFonts w:ascii="inherit" w:eastAsia="Times New Roman" w:hAnsi="inherit" w:cs="Times New Roman"/>
                      <w:sz w:val="24"/>
                      <w:szCs w:val="24"/>
                      <w:lang w:val="ru-RU"/>
                    </w:rPr>
                    <w:t xml:space="preserve"> </w:t>
                  </w:r>
                  <w:r w:rsidRPr="00DE77B0">
                    <w:rPr>
                      <w:rFonts w:ascii="inherit" w:eastAsia="Times New Roman" w:hAnsi="inherit" w:cs="Times New Roman"/>
                      <w:sz w:val="24"/>
                      <w:szCs w:val="24"/>
                    </w:rPr>
                    <w:t>62(1)(c);</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53"/>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 xml:space="preserve">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не дотримується своєчасно наглядового заходу, вжитого </w:t>
                  </w:r>
                  <w:r>
                    <w:rPr>
                      <w:rFonts w:ascii="inherit" w:eastAsia="Times New Roman" w:hAnsi="inherit" w:cs="Times New Roman"/>
                      <w:sz w:val="24"/>
                      <w:szCs w:val="24"/>
                    </w:rPr>
                    <w:t>ESMA</w:t>
                  </w:r>
                  <w:r>
                    <w:rPr>
                      <w:rFonts w:ascii="inherit" w:eastAsia="Times New Roman" w:hAnsi="inherit" w:cs="Times New Roman"/>
                      <w:sz w:val="24"/>
                      <w:szCs w:val="24"/>
                      <w:lang w:val="uk-UA"/>
                    </w:rPr>
                    <w:t xml:space="preserve"> згідно зі статтею 73.</w:t>
                  </w:r>
                </w:p>
              </w:tc>
            </w:tr>
          </w:tbl>
          <w:p w:rsidR="00CD62EE" w:rsidRPr="00DE77B0" w:rsidRDefault="00CD62EE" w:rsidP="00113714">
            <w:pPr>
              <w:spacing w:after="0" w:line="240" w:lineRule="auto"/>
              <w:rPr>
                <w:rFonts w:ascii="inherit" w:eastAsia="Times New Roman" w:hAnsi="inherit" w:cs="Times New Roman"/>
                <w:sz w:val="24"/>
                <w:szCs w:val="24"/>
              </w:rPr>
            </w:pPr>
          </w:p>
        </w:tc>
      </w:tr>
    </w:tbl>
    <w:p w:rsidR="00CD62EE" w:rsidRPr="00DE77B0" w:rsidRDefault="00113714" w:rsidP="00CD62EE">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72.35pt;height:.75pt" o:hrpct="0" o:hralign="center" o:hrstd="t" o:hrnoshade="t" o:hr="t" fillcolor="black" stroked="f"/>
        </w:pict>
      </w:r>
    </w:p>
    <w:p w:rsidR="00CD62EE" w:rsidRPr="00B91669" w:rsidRDefault="00CD62EE" w:rsidP="00CD62EE">
      <w:pPr>
        <w:shd w:val="clear" w:color="auto" w:fill="FFFFFF"/>
        <w:spacing w:before="240" w:after="120" w:line="312" w:lineRule="atLeast"/>
        <w:jc w:val="center"/>
        <w:textAlignment w:val="baseline"/>
        <w:rPr>
          <w:rFonts w:ascii="inherit" w:eastAsia="Times New Roman" w:hAnsi="inherit" w:cs="Times New Roman"/>
          <w:b/>
          <w:bCs/>
          <w:color w:val="444444"/>
          <w:sz w:val="27"/>
          <w:szCs w:val="27"/>
          <w:lang w:val="ru-RU"/>
        </w:rPr>
      </w:pPr>
      <w:r>
        <w:rPr>
          <w:rFonts w:ascii="inherit" w:eastAsia="Times New Roman" w:hAnsi="inherit" w:cs="Times New Roman"/>
          <w:b/>
          <w:bCs/>
          <w:color w:val="444444"/>
          <w:sz w:val="27"/>
          <w:szCs w:val="27"/>
          <w:lang w:val="uk-UA"/>
        </w:rPr>
        <w:t>ДОДАТОК</w:t>
      </w:r>
      <w:r w:rsidRPr="00B91669">
        <w:rPr>
          <w:rFonts w:ascii="inherit" w:eastAsia="Times New Roman" w:hAnsi="inherit" w:cs="Times New Roman"/>
          <w:b/>
          <w:bCs/>
          <w:color w:val="444444"/>
          <w:sz w:val="27"/>
          <w:szCs w:val="27"/>
          <w:lang w:val="ru-RU"/>
        </w:rPr>
        <w:t xml:space="preserve"> </w:t>
      </w:r>
      <w:r w:rsidRPr="00DE77B0">
        <w:rPr>
          <w:rFonts w:ascii="inherit" w:eastAsia="Times New Roman" w:hAnsi="inherit" w:cs="Times New Roman"/>
          <w:b/>
          <w:bCs/>
          <w:color w:val="444444"/>
          <w:sz w:val="27"/>
          <w:szCs w:val="27"/>
        </w:rPr>
        <w:t>II</w:t>
      </w:r>
    </w:p>
    <w:p w:rsidR="00CD62EE" w:rsidRPr="006E215D" w:rsidRDefault="00CD62EE" w:rsidP="00CD62EE">
      <w:pPr>
        <w:shd w:val="clear" w:color="auto" w:fill="FFFFFF"/>
        <w:spacing w:after="0" w:line="312" w:lineRule="atLeast"/>
        <w:jc w:val="both"/>
        <w:textAlignment w:val="baseline"/>
        <w:rPr>
          <w:rFonts w:ascii="inherit" w:eastAsia="Times New Roman" w:hAnsi="inherit" w:cs="Times New Roman"/>
          <w:b/>
          <w:bCs/>
          <w:color w:val="444444"/>
          <w:sz w:val="27"/>
          <w:szCs w:val="27"/>
          <w:lang w:val="ru-RU"/>
        </w:rPr>
      </w:pPr>
      <w:r>
        <w:rPr>
          <w:rFonts w:ascii="inherit" w:eastAsia="Times New Roman" w:hAnsi="inherit" w:cs="Times New Roman"/>
          <w:b/>
          <w:bCs/>
          <w:color w:val="444444"/>
          <w:sz w:val="27"/>
          <w:szCs w:val="27"/>
          <w:bdr w:val="none" w:sz="0" w:space="0" w:color="auto" w:frame="1"/>
          <w:lang w:val="uk-UA"/>
        </w:rPr>
        <w:t xml:space="preserve">Перелік коефіцієнтів, зв'язаних з </w:t>
      </w:r>
      <w:proofErr w:type="spellStart"/>
      <w:r>
        <w:rPr>
          <w:rFonts w:ascii="inherit" w:eastAsia="Times New Roman" w:hAnsi="inherit" w:cs="Times New Roman"/>
          <w:b/>
          <w:bCs/>
          <w:color w:val="444444"/>
          <w:sz w:val="27"/>
          <w:szCs w:val="27"/>
          <w:bdr w:val="none" w:sz="0" w:space="0" w:color="auto" w:frame="1"/>
          <w:lang w:val="uk-UA"/>
        </w:rPr>
        <w:t>погіршуючими</w:t>
      </w:r>
      <w:proofErr w:type="spellEnd"/>
      <w:r>
        <w:rPr>
          <w:rFonts w:ascii="inherit" w:eastAsia="Times New Roman" w:hAnsi="inherit" w:cs="Times New Roman"/>
          <w:b/>
          <w:bCs/>
          <w:color w:val="444444"/>
          <w:sz w:val="27"/>
          <w:szCs w:val="27"/>
          <w:bdr w:val="none" w:sz="0" w:space="0" w:color="auto" w:frame="1"/>
          <w:lang w:val="uk-UA"/>
        </w:rPr>
        <w:t xml:space="preserve"> та пом’якшуючим</w:t>
      </w:r>
      <w:r>
        <w:rPr>
          <w:rFonts w:ascii="inherit" w:eastAsia="Times New Roman" w:hAnsi="inherit" w:cs="Times New Roman" w:hint="eastAsia"/>
          <w:b/>
          <w:bCs/>
          <w:color w:val="444444"/>
          <w:sz w:val="27"/>
          <w:szCs w:val="27"/>
          <w:bdr w:val="none" w:sz="0" w:space="0" w:color="auto" w:frame="1"/>
          <w:lang w:val="uk-UA"/>
        </w:rPr>
        <w:t>и</w:t>
      </w:r>
      <w:r>
        <w:rPr>
          <w:rFonts w:ascii="inherit" w:eastAsia="Times New Roman" w:hAnsi="inherit" w:cs="Times New Roman"/>
          <w:b/>
          <w:bCs/>
          <w:color w:val="444444"/>
          <w:sz w:val="27"/>
          <w:szCs w:val="27"/>
          <w:bdr w:val="none" w:sz="0" w:space="0" w:color="auto" w:frame="1"/>
          <w:lang w:val="uk-UA"/>
        </w:rPr>
        <w:t xml:space="preserve"> факторами, для застосування статті 65(3)</w:t>
      </w:r>
    </w:p>
    <w:p w:rsidR="00CD62EE" w:rsidRPr="006F1B72" w:rsidRDefault="00CD62EE" w:rsidP="00CD62EE">
      <w:pPr>
        <w:shd w:val="clear" w:color="auto" w:fill="FFFFFF"/>
        <w:spacing w:before="120" w:after="0" w:line="312" w:lineRule="atLeast"/>
        <w:jc w:val="both"/>
        <w:textAlignment w:val="baseline"/>
        <w:rPr>
          <w:rFonts w:ascii="inherit" w:eastAsia="Times New Roman" w:hAnsi="inherit" w:cs="Times New Roman"/>
          <w:color w:val="444444"/>
          <w:sz w:val="27"/>
          <w:szCs w:val="27"/>
          <w:lang w:val="ru-RU"/>
        </w:rPr>
      </w:pPr>
      <w:r>
        <w:rPr>
          <w:rFonts w:ascii="inherit" w:eastAsia="Times New Roman" w:hAnsi="inherit" w:cs="Times New Roman"/>
          <w:color w:val="444444"/>
          <w:sz w:val="27"/>
          <w:szCs w:val="27"/>
          <w:lang w:val="uk-UA"/>
        </w:rPr>
        <w:t>Нижченаведені коефіцієнти застосовуються сукупно до базових сум, згаданих у статті 65(2):</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5"/>
        <w:gridCol w:w="9220"/>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502674"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 xml:space="preserve">Коригувальні коефіцієнти, зв'язані з </w:t>
            </w:r>
            <w:proofErr w:type="spellStart"/>
            <w:r>
              <w:rPr>
                <w:rFonts w:ascii="inherit" w:eastAsia="Times New Roman" w:hAnsi="inherit" w:cs="Times New Roman"/>
                <w:sz w:val="24"/>
                <w:szCs w:val="24"/>
                <w:lang w:val="uk-UA"/>
              </w:rPr>
              <w:t>погіршуючими</w:t>
            </w:r>
            <w:proofErr w:type="spellEnd"/>
            <w:r>
              <w:rPr>
                <w:rFonts w:ascii="inherit" w:eastAsia="Times New Roman" w:hAnsi="inherit" w:cs="Times New Roman"/>
                <w:sz w:val="24"/>
                <w:szCs w:val="24"/>
                <w:lang w:val="uk-UA"/>
              </w:rPr>
              <w:t xml:space="preserve"> факторами: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7"/>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6F1B72"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якщо порушення вчиняється неодноразово, то за кожний раз, коли воно повторюється, застосовується додатковий коефіцієнт 1,1;</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2"/>
              <w:gridCol w:w="8697"/>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якщо порушення триває більш ніж шість місяців, застосовується коефіцієнт 1,5;</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7"/>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6F1B72"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 xml:space="preserve">якщо порушення виявило системні недоліки в організації торгового </w:t>
                  </w:r>
                  <w:proofErr w:type="spellStart"/>
                  <w:r>
                    <w:rPr>
                      <w:rFonts w:ascii="inherit" w:eastAsia="Times New Roman" w:hAnsi="inherit" w:cs="Times New Roman"/>
                      <w:sz w:val="24"/>
                      <w:szCs w:val="24"/>
                      <w:lang w:val="uk-UA"/>
                    </w:rPr>
                    <w:t>репозитарія</w:t>
                  </w:r>
                  <w:proofErr w:type="spellEnd"/>
                  <w:r>
                    <w:rPr>
                      <w:rFonts w:ascii="inherit" w:eastAsia="Times New Roman" w:hAnsi="inherit" w:cs="Times New Roman"/>
                      <w:sz w:val="24"/>
                      <w:szCs w:val="24"/>
                      <w:lang w:val="uk-UA"/>
                    </w:rPr>
                    <w:t>, зокрема у його процедурах, системах управління чи внутрішньому контролі, застосовується коефіцієнт 2,2;</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4"/>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6F1B72"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 xml:space="preserve">якщо порушення негативно впливає на якість даних, що зберігаються у торгового </w:t>
                  </w:r>
                  <w:proofErr w:type="spellStart"/>
                  <w:r>
                    <w:rPr>
                      <w:rFonts w:ascii="inherit" w:eastAsia="Times New Roman" w:hAnsi="inherit" w:cs="Times New Roman"/>
                      <w:sz w:val="24"/>
                      <w:szCs w:val="24"/>
                      <w:lang w:val="uk-UA"/>
                    </w:rPr>
                    <w:t>репозитарія</w:t>
                  </w:r>
                  <w:proofErr w:type="spellEnd"/>
                  <w:r>
                    <w:rPr>
                      <w:rFonts w:ascii="inherit" w:eastAsia="Times New Roman" w:hAnsi="inherit" w:cs="Times New Roman"/>
                      <w:sz w:val="24"/>
                      <w:szCs w:val="24"/>
                      <w:lang w:val="uk-UA"/>
                    </w:rPr>
                    <w:t>, застосовується коефіцієнт 1,5;</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9"/>
              <w:gridCol w:w="8630"/>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6F1B72"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якщо порушення вчинено навмисно, застосовується коефіцієнт 2;</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754"/>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6F1B72"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якщо після виявлення порушення не вжито заходів з його усунення, застосовується коефіцієнт 1,7;</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4"/>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6F1B72"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 xml:space="preserve">якщо вище керівництво торгового </w:t>
                  </w:r>
                  <w:proofErr w:type="spellStart"/>
                  <w:r>
                    <w:rPr>
                      <w:rFonts w:ascii="inherit" w:eastAsia="Times New Roman" w:hAnsi="inherit" w:cs="Times New Roman"/>
                      <w:sz w:val="24"/>
                      <w:szCs w:val="24"/>
                      <w:lang w:val="uk-UA"/>
                    </w:rPr>
                    <w:t>репозитарія</w:t>
                  </w:r>
                  <w:proofErr w:type="spellEnd"/>
                  <w:r>
                    <w:rPr>
                      <w:rFonts w:ascii="inherit" w:eastAsia="Times New Roman" w:hAnsi="inherit" w:cs="Times New Roman"/>
                      <w:sz w:val="24"/>
                      <w:szCs w:val="24"/>
                      <w:lang w:val="uk-UA"/>
                    </w:rPr>
                    <w:t xml:space="preserve"> не співпрацювало з </w:t>
                  </w:r>
                  <w:r>
                    <w:rPr>
                      <w:rFonts w:ascii="inherit" w:eastAsia="Times New Roman" w:hAnsi="inherit" w:cs="Times New Roman"/>
                      <w:sz w:val="24"/>
                      <w:szCs w:val="24"/>
                    </w:rPr>
                    <w:t>ESMA</w:t>
                  </w:r>
                  <w:r>
                    <w:rPr>
                      <w:rFonts w:ascii="inherit" w:eastAsia="Times New Roman" w:hAnsi="inherit" w:cs="Times New Roman"/>
                      <w:sz w:val="24"/>
                      <w:szCs w:val="24"/>
                      <w:lang w:val="uk-UA"/>
                    </w:rPr>
                    <w:t xml:space="preserve"> у проведенні розслідувань, застосовується коефіцієнт 1,5.</w:t>
                  </w:r>
                </w:p>
              </w:tc>
            </w:tr>
          </w:tbl>
          <w:p w:rsidR="00CD62EE" w:rsidRPr="006F1B72" w:rsidRDefault="00CD62EE" w:rsidP="00113714">
            <w:pPr>
              <w:spacing w:after="0" w:line="240" w:lineRule="auto"/>
              <w:rPr>
                <w:rFonts w:ascii="inherit" w:eastAsia="Times New Roman" w:hAnsi="inherit" w:cs="Times New Roman"/>
                <w:sz w:val="24"/>
                <w:szCs w:val="24"/>
                <w:lang w:val="ru-RU"/>
              </w:rPr>
            </w:pPr>
          </w:p>
        </w:tc>
      </w:tr>
    </w:tbl>
    <w:p w:rsidR="00CD62EE" w:rsidRPr="00DE77B0" w:rsidRDefault="00CD62EE" w:rsidP="00CD62EE">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5"/>
        <w:gridCol w:w="9140"/>
      </w:tblGrid>
      <w:tr w:rsidR="00CD62EE" w:rsidRPr="00DE77B0" w:rsidTr="00113714">
        <w:trPr>
          <w:trHeight w:val="1395"/>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lastRenderedPageBreak/>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502674"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Коригувальні коефіцієнти, зв'язані з пом’якшуючим</w:t>
            </w:r>
            <w:r>
              <w:rPr>
                <w:rFonts w:ascii="inherit" w:eastAsia="Times New Roman" w:hAnsi="inherit" w:cs="Times New Roman" w:hint="eastAsia"/>
                <w:sz w:val="24"/>
                <w:szCs w:val="24"/>
                <w:lang w:val="uk-UA"/>
              </w:rPr>
              <w:t>и</w:t>
            </w:r>
            <w:r>
              <w:rPr>
                <w:rFonts w:ascii="inherit" w:eastAsia="Times New Roman" w:hAnsi="inherit" w:cs="Times New Roman"/>
                <w:sz w:val="24"/>
                <w:szCs w:val="24"/>
                <w:lang w:val="uk-UA"/>
              </w:rPr>
              <w:t xml:space="preserve"> факторами: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9"/>
              <w:gridCol w:w="8630"/>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502674"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якщо порушення триває менше 10 робочих днів, застосовується коефіцієнт 0,9;</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34"/>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6F1B72"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 xml:space="preserve">якщо вище керівництво торгового </w:t>
                  </w:r>
                  <w:proofErr w:type="spellStart"/>
                  <w:r>
                    <w:rPr>
                      <w:rFonts w:ascii="inherit" w:eastAsia="Times New Roman" w:hAnsi="inherit" w:cs="Times New Roman"/>
                      <w:sz w:val="24"/>
                      <w:szCs w:val="24"/>
                      <w:lang w:val="uk-UA"/>
                    </w:rPr>
                    <w:t>репозитарія</w:t>
                  </w:r>
                  <w:proofErr w:type="spellEnd"/>
                  <w:r>
                    <w:rPr>
                      <w:rFonts w:ascii="inherit" w:eastAsia="Times New Roman" w:hAnsi="inherit" w:cs="Times New Roman"/>
                      <w:sz w:val="24"/>
                      <w:szCs w:val="24"/>
                      <w:lang w:val="uk-UA"/>
                    </w:rPr>
                    <w:t xml:space="preserve"> може довести, що воно вжило всіх необхідних заходів для запобігання порушення, застосовується коефіцієнт 0,7;</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47"/>
            </w:tblGrid>
            <w:tr w:rsidR="00CD62EE" w:rsidRPr="00113714"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6F1B72" w:rsidRDefault="00CD62EE" w:rsidP="00113714">
                  <w:pPr>
                    <w:spacing w:before="120" w:after="0" w:line="312" w:lineRule="atLeast"/>
                    <w:jc w:val="both"/>
                    <w:textAlignment w:val="baseline"/>
                    <w:rPr>
                      <w:rFonts w:ascii="inherit" w:eastAsia="Times New Roman" w:hAnsi="inherit" w:cs="Times New Roman"/>
                      <w:sz w:val="24"/>
                      <w:szCs w:val="24"/>
                      <w:lang w:val="ru-RU"/>
                    </w:rPr>
                  </w:pPr>
                  <w:r>
                    <w:rPr>
                      <w:rFonts w:ascii="inherit" w:eastAsia="Times New Roman" w:hAnsi="inherit" w:cs="Times New Roman"/>
                      <w:sz w:val="24"/>
                      <w:szCs w:val="24"/>
                      <w:lang w:val="uk-UA"/>
                    </w:rPr>
                    <w:t xml:space="preserve">якщо 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швидко, ефективно та повною мірою довів інформацію про порушення до відома</w:t>
                  </w:r>
                  <w:r w:rsidRPr="00502674">
                    <w:rPr>
                      <w:rFonts w:ascii="inherit" w:eastAsia="Times New Roman" w:hAnsi="inherit" w:cs="Times New Roman"/>
                      <w:sz w:val="24"/>
                      <w:szCs w:val="24"/>
                      <w:lang w:val="ru-RU"/>
                    </w:rPr>
                    <w:t xml:space="preserve"> </w:t>
                  </w:r>
                  <w:r>
                    <w:rPr>
                      <w:rFonts w:ascii="inherit" w:eastAsia="Times New Roman" w:hAnsi="inherit" w:cs="Times New Roman"/>
                      <w:sz w:val="24"/>
                      <w:szCs w:val="24"/>
                    </w:rPr>
                    <w:t>ESMA</w:t>
                  </w:r>
                  <w:r>
                    <w:rPr>
                      <w:rFonts w:ascii="inherit" w:eastAsia="Times New Roman" w:hAnsi="inherit" w:cs="Times New Roman"/>
                      <w:sz w:val="24"/>
                      <w:szCs w:val="24"/>
                      <w:lang w:val="uk-UA"/>
                    </w:rPr>
                    <w:t>, застосовується коефіцієнт 0,4;</w:t>
                  </w:r>
                </w:p>
              </w:tc>
            </w:tr>
          </w:tbl>
          <w:p w:rsidR="00CD62EE" w:rsidRPr="00DE77B0" w:rsidRDefault="00CD62EE" w:rsidP="0011371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34"/>
            </w:tblGrid>
            <w:tr w:rsidR="00CD62EE" w:rsidRPr="00DE77B0" w:rsidTr="0011371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sidRPr="00DE77B0">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62EE" w:rsidRPr="00DE77B0" w:rsidRDefault="00CD62EE" w:rsidP="00113714">
                  <w:pPr>
                    <w:spacing w:before="120" w:after="0" w:line="312"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uk-UA"/>
                    </w:rPr>
                    <w:t xml:space="preserve">якщо торговий </w:t>
                  </w:r>
                  <w:proofErr w:type="spellStart"/>
                  <w:r>
                    <w:rPr>
                      <w:rFonts w:ascii="inherit" w:eastAsia="Times New Roman" w:hAnsi="inherit" w:cs="Times New Roman"/>
                      <w:sz w:val="24"/>
                      <w:szCs w:val="24"/>
                      <w:lang w:val="uk-UA"/>
                    </w:rPr>
                    <w:t>репозитарій</w:t>
                  </w:r>
                  <w:proofErr w:type="spellEnd"/>
                  <w:r>
                    <w:rPr>
                      <w:rFonts w:ascii="inherit" w:eastAsia="Times New Roman" w:hAnsi="inherit" w:cs="Times New Roman"/>
                      <w:sz w:val="24"/>
                      <w:szCs w:val="24"/>
                      <w:lang w:val="uk-UA"/>
                    </w:rPr>
                    <w:t xml:space="preserve"> добровільно вжив заходів для забезпечення того, щоб аналогічне порушення неможливо було вчинити у майбутньому, застосовується коефіцієнт 0,6.</w:t>
                  </w:r>
                </w:p>
              </w:tc>
            </w:tr>
          </w:tbl>
          <w:p w:rsidR="00CD62EE" w:rsidRPr="00DE77B0" w:rsidRDefault="00CD62EE" w:rsidP="00113714">
            <w:pPr>
              <w:spacing w:after="0" w:line="240" w:lineRule="auto"/>
              <w:rPr>
                <w:rFonts w:ascii="inherit" w:eastAsia="Times New Roman" w:hAnsi="inherit" w:cs="Times New Roman"/>
                <w:sz w:val="24"/>
                <w:szCs w:val="24"/>
              </w:rPr>
            </w:pPr>
          </w:p>
        </w:tc>
      </w:tr>
    </w:tbl>
    <w:p w:rsidR="00CD62EE" w:rsidRDefault="00CD62EE" w:rsidP="00CD62EE"/>
    <w:p w:rsidR="00CD62EE" w:rsidRPr="006279CF" w:rsidRDefault="00CD62EE" w:rsidP="00187079">
      <w:pPr>
        <w:shd w:val="clear" w:color="auto" w:fill="FFFFFF"/>
        <w:spacing w:after="0" w:line="240" w:lineRule="auto"/>
        <w:jc w:val="both"/>
        <w:textAlignment w:val="baseline"/>
        <w:rPr>
          <w:rFonts w:ascii="Times New Roman" w:eastAsia="Times New Roman" w:hAnsi="Times New Roman" w:cs="Times New Roman"/>
          <w:sz w:val="19"/>
          <w:szCs w:val="19"/>
        </w:rPr>
      </w:pPr>
    </w:p>
    <w:sectPr w:rsidR="00CD62EE" w:rsidRPr="00627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B0"/>
    <w:rsid w:val="0000430A"/>
    <w:rsid w:val="00005473"/>
    <w:rsid w:val="000059BB"/>
    <w:rsid w:val="0000694A"/>
    <w:rsid w:val="00006D2A"/>
    <w:rsid w:val="0000783B"/>
    <w:rsid w:val="0001159C"/>
    <w:rsid w:val="00012EB3"/>
    <w:rsid w:val="00014302"/>
    <w:rsid w:val="0001546C"/>
    <w:rsid w:val="000154EA"/>
    <w:rsid w:val="00015F68"/>
    <w:rsid w:val="00023AB1"/>
    <w:rsid w:val="000253C2"/>
    <w:rsid w:val="00027833"/>
    <w:rsid w:val="00027A64"/>
    <w:rsid w:val="00027DBA"/>
    <w:rsid w:val="000312CC"/>
    <w:rsid w:val="0003133F"/>
    <w:rsid w:val="00031871"/>
    <w:rsid w:val="00032B7A"/>
    <w:rsid w:val="00033EE6"/>
    <w:rsid w:val="00034679"/>
    <w:rsid w:val="00035A00"/>
    <w:rsid w:val="00036789"/>
    <w:rsid w:val="00040CA8"/>
    <w:rsid w:val="000420BA"/>
    <w:rsid w:val="00043107"/>
    <w:rsid w:val="00043315"/>
    <w:rsid w:val="000434DF"/>
    <w:rsid w:val="00043F97"/>
    <w:rsid w:val="0004400F"/>
    <w:rsid w:val="00045439"/>
    <w:rsid w:val="00045DBE"/>
    <w:rsid w:val="00051804"/>
    <w:rsid w:val="00051C6D"/>
    <w:rsid w:val="00053BF1"/>
    <w:rsid w:val="00054A08"/>
    <w:rsid w:val="00056EC2"/>
    <w:rsid w:val="00060097"/>
    <w:rsid w:val="000600F8"/>
    <w:rsid w:val="000608AC"/>
    <w:rsid w:val="000631AD"/>
    <w:rsid w:val="000650AA"/>
    <w:rsid w:val="00065513"/>
    <w:rsid w:val="00066E60"/>
    <w:rsid w:val="000711F3"/>
    <w:rsid w:val="0007345F"/>
    <w:rsid w:val="000737B7"/>
    <w:rsid w:val="00073C72"/>
    <w:rsid w:val="000740D8"/>
    <w:rsid w:val="0007454F"/>
    <w:rsid w:val="00074AD4"/>
    <w:rsid w:val="000768DE"/>
    <w:rsid w:val="00076A0A"/>
    <w:rsid w:val="00077169"/>
    <w:rsid w:val="00081598"/>
    <w:rsid w:val="00082D77"/>
    <w:rsid w:val="0008329C"/>
    <w:rsid w:val="00083AA8"/>
    <w:rsid w:val="00085274"/>
    <w:rsid w:val="00097775"/>
    <w:rsid w:val="000A03D7"/>
    <w:rsid w:val="000A4259"/>
    <w:rsid w:val="000A55B9"/>
    <w:rsid w:val="000A5EF4"/>
    <w:rsid w:val="000A6028"/>
    <w:rsid w:val="000A6216"/>
    <w:rsid w:val="000A6E55"/>
    <w:rsid w:val="000A7761"/>
    <w:rsid w:val="000B028F"/>
    <w:rsid w:val="000B7766"/>
    <w:rsid w:val="000B7FD7"/>
    <w:rsid w:val="000C0EB9"/>
    <w:rsid w:val="000C1D38"/>
    <w:rsid w:val="000C2CDC"/>
    <w:rsid w:val="000C6DF3"/>
    <w:rsid w:val="000D0833"/>
    <w:rsid w:val="000D10AE"/>
    <w:rsid w:val="000D2799"/>
    <w:rsid w:val="000D2EFA"/>
    <w:rsid w:val="000D4568"/>
    <w:rsid w:val="000D4F08"/>
    <w:rsid w:val="000D676A"/>
    <w:rsid w:val="000E401B"/>
    <w:rsid w:val="000F1DE1"/>
    <w:rsid w:val="000F3B3D"/>
    <w:rsid w:val="000F3FE4"/>
    <w:rsid w:val="001011FB"/>
    <w:rsid w:val="00101320"/>
    <w:rsid w:val="0010286A"/>
    <w:rsid w:val="00102F2B"/>
    <w:rsid w:val="001063BE"/>
    <w:rsid w:val="0010675A"/>
    <w:rsid w:val="00106789"/>
    <w:rsid w:val="00107CC8"/>
    <w:rsid w:val="0011059E"/>
    <w:rsid w:val="001114D1"/>
    <w:rsid w:val="001125B4"/>
    <w:rsid w:val="00113714"/>
    <w:rsid w:val="00113864"/>
    <w:rsid w:val="001149C3"/>
    <w:rsid w:val="00120EF2"/>
    <w:rsid w:val="001234F1"/>
    <w:rsid w:val="00123DBF"/>
    <w:rsid w:val="001240FB"/>
    <w:rsid w:val="00125397"/>
    <w:rsid w:val="00130C34"/>
    <w:rsid w:val="0013101A"/>
    <w:rsid w:val="00131BB9"/>
    <w:rsid w:val="0013205D"/>
    <w:rsid w:val="0013398B"/>
    <w:rsid w:val="0013407D"/>
    <w:rsid w:val="00137079"/>
    <w:rsid w:val="001375D7"/>
    <w:rsid w:val="001416D3"/>
    <w:rsid w:val="00141F26"/>
    <w:rsid w:val="0014310F"/>
    <w:rsid w:val="00143FB9"/>
    <w:rsid w:val="00146DAE"/>
    <w:rsid w:val="001504B7"/>
    <w:rsid w:val="00151F59"/>
    <w:rsid w:val="001523B3"/>
    <w:rsid w:val="001524F3"/>
    <w:rsid w:val="001528F9"/>
    <w:rsid w:val="00155A2A"/>
    <w:rsid w:val="00156712"/>
    <w:rsid w:val="00156A8E"/>
    <w:rsid w:val="00165603"/>
    <w:rsid w:val="001678DA"/>
    <w:rsid w:val="00171B68"/>
    <w:rsid w:val="001722B1"/>
    <w:rsid w:val="001734BB"/>
    <w:rsid w:val="00173B6E"/>
    <w:rsid w:val="00175EA4"/>
    <w:rsid w:val="00180318"/>
    <w:rsid w:val="00183595"/>
    <w:rsid w:val="001842E4"/>
    <w:rsid w:val="001864BF"/>
    <w:rsid w:val="00187079"/>
    <w:rsid w:val="0019003F"/>
    <w:rsid w:val="00191828"/>
    <w:rsid w:val="0019610C"/>
    <w:rsid w:val="00196CC8"/>
    <w:rsid w:val="001A334E"/>
    <w:rsid w:val="001A3ED3"/>
    <w:rsid w:val="001A4C0D"/>
    <w:rsid w:val="001B144A"/>
    <w:rsid w:val="001B3D84"/>
    <w:rsid w:val="001B5419"/>
    <w:rsid w:val="001B7DC1"/>
    <w:rsid w:val="001C244D"/>
    <w:rsid w:val="001C25EE"/>
    <w:rsid w:val="001C29A3"/>
    <w:rsid w:val="001C493C"/>
    <w:rsid w:val="001C4F19"/>
    <w:rsid w:val="001C570A"/>
    <w:rsid w:val="001C5E3E"/>
    <w:rsid w:val="001D0A60"/>
    <w:rsid w:val="001D0F55"/>
    <w:rsid w:val="001D4044"/>
    <w:rsid w:val="001D52B8"/>
    <w:rsid w:val="001D795B"/>
    <w:rsid w:val="001E0835"/>
    <w:rsid w:val="001E088E"/>
    <w:rsid w:val="001E5B1F"/>
    <w:rsid w:val="001E6355"/>
    <w:rsid w:val="001F1019"/>
    <w:rsid w:val="001F18C6"/>
    <w:rsid w:val="001F2A12"/>
    <w:rsid w:val="001F3406"/>
    <w:rsid w:val="001F63CF"/>
    <w:rsid w:val="00200198"/>
    <w:rsid w:val="00200864"/>
    <w:rsid w:val="00202DBA"/>
    <w:rsid w:val="00205009"/>
    <w:rsid w:val="00206FFA"/>
    <w:rsid w:val="00213194"/>
    <w:rsid w:val="002133C0"/>
    <w:rsid w:val="00216F9D"/>
    <w:rsid w:val="00217ECD"/>
    <w:rsid w:val="00221ECD"/>
    <w:rsid w:val="0022310D"/>
    <w:rsid w:val="00225582"/>
    <w:rsid w:val="00231503"/>
    <w:rsid w:val="0023273A"/>
    <w:rsid w:val="00233856"/>
    <w:rsid w:val="00233918"/>
    <w:rsid w:val="0023511E"/>
    <w:rsid w:val="0023609B"/>
    <w:rsid w:val="0023699C"/>
    <w:rsid w:val="00237F63"/>
    <w:rsid w:val="00240679"/>
    <w:rsid w:val="00241957"/>
    <w:rsid w:val="0024262D"/>
    <w:rsid w:val="00244D43"/>
    <w:rsid w:val="00245B3D"/>
    <w:rsid w:val="00247383"/>
    <w:rsid w:val="00250AFC"/>
    <w:rsid w:val="00253B23"/>
    <w:rsid w:val="00256C2F"/>
    <w:rsid w:val="00261170"/>
    <w:rsid w:val="00262C97"/>
    <w:rsid w:val="0026351F"/>
    <w:rsid w:val="0026575F"/>
    <w:rsid w:val="00265E66"/>
    <w:rsid w:val="002665B5"/>
    <w:rsid w:val="00271C2E"/>
    <w:rsid w:val="0027246A"/>
    <w:rsid w:val="00272EFF"/>
    <w:rsid w:val="00273752"/>
    <w:rsid w:val="002743E3"/>
    <w:rsid w:val="002743E4"/>
    <w:rsid w:val="00277462"/>
    <w:rsid w:val="00277A7A"/>
    <w:rsid w:val="002818C1"/>
    <w:rsid w:val="00283719"/>
    <w:rsid w:val="002842EC"/>
    <w:rsid w:val="00287007"/>
    <w:rsid w:val="00291409"/>
    <w:rsid w:val="00291BB9"/>
    <w:rsid w:val="00294500"/>
    <w:rsid w:val="0029529E"/>
    <w:rsid w:val="00296BC7"/>
    <w:rsid w:val="00297FB0"/>
    <w:rsid w:val="002A0478"/>
    <w:rsid w:val="002A2BDF"/>
    <w:rsid w:val="002A3DAB"/>
    <w:rsid w:val="002A4125"/>
    <w:rsid w:val="002A46F3"/>
    <w:rsid w:val="002A5592"/>
    <w:rsid w:val="002A600F"/>
    <w:rsid w:val="002A710B"/>
    <w:rsid w:val="002A783B"/>
    <w:rsid w:val="002A799D"/>
    <w:rsid w:val="002A7A87"/>
    <w:rsid w:val="002A7DF6"/>
    <w:rsid w:val="002B003C"/>
    <w:rsid w:val="002B288C"/>
    <w:rsid w:val="002B3395"/>
    <w:rsid w:val="002B4F4A"/>
    <w:rsid w:val="002B58F9"/>
    <w:rsid w:val="002B5C68"/>
    <w:rsid w:val="002B5EF0"/>
    <w:rsid w:val="002B7DBC"/>
    <w:rsid w:val="002C13F4"/>
    <w:rsid w:val="002C29EF"/>
    <w:rsid w:val="002C3731"/>
    <w:rsid w:val="002C45F1"/>
    <w:rsid w:val="002C5A4D"/>
    <w:rsid w:val="002C622A"/>
    <w:rsid w:val="002C7D57"/>
    <w:rsid w:val="002D3773"/>
    <w:rsid w:val="002D43B6"/>
    <w:rsid w:val="002D4F95"/>
    <w:rsid w:val="002D5322"/>
    <w:rsid w:val="002E33D8"/>
    <w:rsid w:val="002E3456"/>
    <w:rsid w:val="002E36F2"/>
    <w:rsid w:val="002E3BDE"/>
    <w:rsid w:val="002E423A"/>
    <w:rsid w:val="002E54C8"/>
    <w:rsid w:val="002E5FBE"/>
    <w:rsid w:val="002E63BE"/>
    <w:rsid w:val="002F03F3"/>
    <w:rsid w:val="002F07DB"/>
    <w:rsid w:val="002F0E21"/>
    <w:rsid w:val="002F15C8"/>
    <w:rsid w:val="002F3C6B"/>
    <w:rsid w:val="002F4978"/>
    <w:rsid w:val="002F5EBA"/>
    <w:rsid w:val="002F671A"/>
    <w:rsid w:val="00303E16"/>
    <w:rsid w:val="003043D1"/>
    <w:rsid w:val="00305ABC"/>
    <w:rsid w:val="003064E9"/>
    <w:rsid w:val="00312229"/>
    <w:rsid w:val="00312322"/>
    <w:rsid w:val="0031270F"/>
    <w:rsid w:val="00312721"/>
    <w:rsid w:val="0031323A"/>
    <w:rsid w:val="0031480A"/>
    <w:rsid w:val="00322B3F"/>
    <w:rsid w:val="00325BCD"/>
    <w:rsid w:val="003267B0"/>
    <w:rsid w:val="00331561"/>
    <w:rsid w:val="00332278"/>
    <w:rsid w:val="00334A4D"/>
    <w:rsid w:val="0033514C"/>
    <w:rsid w:val="00335A78"/>
    <w:rsid w:val="0033636A"/>
    <w:rsid w:val="0034053F"/>
    <w:rsid w:val="0034166E"/>
    <w:rsid w:val="00341784"/>
    <w:rsid w:val="0034216D"/>
    <w:rsid w:val="00343424"/>
    <w:rsid w:val="00344B81"/>
    <w:rsid w:val="00344B95"/>
    <w:rsid w:val="00347542"/>
    <w:rsid w:val="00347D46"/>
    <w:rsid w:val="0035102D"/>
    <w:rsid w:val="00353101"/>
    <w:rsid w:val="0036119E"/>
    <w:rsid w:val="00362368"/>
    <w:rsid w:val="00364242"/>
    <w:rsid w:val="003644D4"/>
    <w:rsid w:val="00364801"/>
    <w:rsid w:val="00364D0E"/>
    <w:rsid w:val="0036510B"/>
    <w:rsid w:val="00370206"/>
    <w:rsid w:val="00370F65"/>
    <w:rsid w:val="003712C4"/>
    <w:rsid w:val="00372FEE"/>
    <w:rsid w:val="00381C1D"/>
    <w:rsid w:val="00381C87"/>
    <w:rsid w:val="00381D9C"/>
    <w:rsid w:val="00383087"/>
    <w:rsid w:val="0038689D"/>
    <w:rsid w:val="003876EE"/>
    <w:rsid w:val="00390D7A"/>
    <w:rsid w:val="00391620"/>
    <w:rsid w:val="003920EC"/>
    <w:rsid w:val="00393ED1"/>
    <w:rsid w:val="00393F95"/>
    <w:rsid w:val="0039551D"/>
    <w:rsid w:val="003968DF"/>
    <w:rsid w:val="00396F58"/>
    <w:rsid w:val="00397575"/>
    <w:rsid w:val="003A305B"/>
    <w:rsid w:val="003A4B6E"/>
    <w:rsid w:val="003A6EFC"/>
    <w:rsid w:val="003B064D"/>
    <w:rsid w:val="003B52B8"/>
    <w:rsid w:val="003B5D7C"/>
    <w:rsid w:val="003C153D"/>
    <w:rsid w:val="003C1A0D"/>
    <w:rsid w:val="003C26AA"/>
    <w:rsid w:val="003C7A83"/>
    <w:rsid w:val="003D4102"/>
    <w:rsid w:val="003D4BEF"/>
    <w:rsid w:val="003D6B58"/>
    <w:rsid w:val="003D6D07"/>
    <w:rsid w:val="003E0FAA"/>
    <w:rsid w:val="003E1F8C"/>
    <w:rsid w:val="003E28B8"/>
    <w:rsid w:val="003E4821"/>
    <w:rsid w:val="003E728C"/>
    <w:rsid w:val="003E72D0"/>
    <w:rsid w:val="003F06CA"/>
    <w:rsid w:val="003F0E9C"/>
    <w:rsid w:val="003F17E5"/>
    <w:rsid w:val="003F219A"/>
    <w:rsid w:val="003F26B1"/>
    <w:rsid w:val="003F2FCE"/>
    <w:rsid w:val="00400BCE"/>
    <w:rsid w:val="00412A5C"/>
    <w:rsid w:val="004157AE"/>
    <w:rsid w:val="00415C37"/>
    <w:rsid w:val="00416C50"/>
    <w:rsid w:val="004202DE"/>
    <w:rsid w:val="00420CFF"/>
    <w:rsid w:val="004217C2"/>
    <w:rsid w:val="0042270D"/>
    <w:rsid w:val="00422B19"/>
    <w:rsid w:val="004245B4"/>
    <w:rsid w:val="00426FC6"/>
    <w:rsid w:val="004274B7"/>
    <w:rsid w:val="004305F2"/>
    <w:rsid w:val="00430776"/>
    <w:rsid w:val="00432E56"/>
    <w:rsid w:val="0043365C"/>
    <w:rsid w:val="00434887"/>
    <w:rsid w:val="004353EB"/>
    <w:rsid w:val="00435D91"/>
    <w:rsid w:val="00435FF8"/>
    <w:rsid w:val="004405C4"/>
    <w:rsid w:val="00440A77"/>
    <w:rsid w:val="00441659"/>
    <w:rsid w:val="00443109"/>
    <w:rsid w:val="004443C4"/>
    <w:rsid w:val="004507E5"/>
    <w:rsid w:val="00452DDB"/>
    <w:rsid w:val="0045580E"/>
    <w:rsid w:val="004604FB"/>
    <w:rsid w:val="00462063"/>
    <w:rsid w:val="00465CE6"/>
    <w:rsid w:val="00471A83"/>
    <w:rsid w:val="00471D79"/>
    <w:rsid w:val="004732C5"/>
    <w:rsid w:val="00473936"/>
    <w:rsid w:val="00473D7D"/>
    <w:rsid w:val="00473F8E"/>
    <w:rsid w:val="004772E7"/>
    <w:rsid w:val="00482B12"/>
    <w:rsid w:val="004906A1"/>
    <w:rsid w:val="00493B7E"/>
    <w:rsid w:val="00495388"/>
    <w:rsid w:val="00496D68"/>
    <w:rsid w:val="0049741B"/>
    <w:rsid w:val="004A17AE"/>
    <w:rsid w:val="004A1AF6"/>
    <w:rsid w:val="004A4C2F"/>
    <w:rsid w:val="004B1158"/>
    <w:rsid w:val="004B28F4"/>
    <w:rsid w:val="004B47D8"/>
    <w:rsid w:val="004B6B3B"/>
    <w:rsid w:val="004C09D9"/>
    <w:rsid w:val="004C1630"/>
    <w:rsid w:val="004C1F9C"/>
    <w:rsid w:val="004C201A"/>
    <w:rsid w:val="004C47AC"/>
    <w:rsid w:val="004D103D"/>
    <w:rsid w:val="004D1F41"/>
    <w:rsid w:val="004D3927"/>
    <w:rsid w:val="004D4383"/>
    <w:rsid w:val="004D45BD"/>
    <w:rsid w:val="004D49FE"/>
    <w:rsid w:val="004D4EFE"/>
    <w:rsid w:val="004D4F6E"/>
    <w:rsid w:val="004D5188"/>
    <w:rsid w:val="004D5848"/>
    <w:rsid w:val="004D6A15"/>
    <w:rsid w:val="004D7064"/>
    <w:rsid w:val="004E1440"/>
    <w:rsid w:val="004E459F"/>
    <w:rsid w:val="004E7873"/>
    <w:rsid w:val="004F21E0"/>
    <w:rsid w:val="004F23EC"/>
    <w:rsid w:val="004F30B5"/>
    <w:rsid w:val="004F36B0"/>
    <w:rsid w:val="004F47DC"/>
    <w:rsid w:val="004F786D"/>
    <w:rsid w:val="005005E5"/>
    <w:rsid w:val="00501F87"/>
    <w:rsid w:val="00502B74"/>
    <w:rsid w:val="00503CDE"/>
    <w:rsid w:val="005041B3"/>
    <w:rsid w:val="00507534"/>
    <w:rsid w:val="005104F4"/>
    <w:rsid w:val="00511780"/>
    <w:rsid w:val="00513279"/>
    <w:rsid w:val="0051329E"/>
    <w:rsid w:val="00515657"/>
    <w:rsid w:val="00516FAA"/>
    <w:rsid w:val="00517367"/>
    <w:rsid w:val="0051788C"/>
    <w:rsid w:val="0052174C"/>
    <w:rsid w:val="00521B00"/>
    <w:rsid w:val="00524F69"/>
    <w:rsid w:val="00525418"/>
    <w:rsid w:val="00526AC8"/>
    <w:rsid w:val="00531CBC"/>
    <w:rsid w:val="00533095"/>
    <w:rsid w:val="00533F20"/>
    <w:rsid w:val="00535F1C"/>
    <w:rsid w:val="00536043"/>
    <w:rsid w:val="00540C93"/>
    <w:rsid w:val="00541802"/>
    <w:rsid w:val="005436ED"/>
    <w:rsid w:val="005452ED"/>
    <w:rsid w:val="005467AA"/>
    <w:rsid w:val="0054695B"/>
    <w:rsid w:val="00546B1C"/>
    <w:rsid w:val="00551546"/>
    <w:rsid w:val="00552FD1"/>
    <w:rsid w:val="0055330A"/>
    <w:rsid w:val="005546F9"/>
    <w:rsid w:val="0055613D"/>
    <w:rsid w:val="00561A64"/>
    <w:rsid w:val="005624A9"/>
    <w:rsid w:val="00562F90"/>
    <w:rsid w:val="00565EEA"/>
    <w:rsid w:val="005701E7"/>
    <w:rsid w:val="0057040E"/>
    <w:rsid w:val="00570CF5"/>
    <w:rsid w:val="0057267B"/>
    <w:rsid w:val="00580E55"/>
    <w:rsid w:val="005825C3"/>
    <w:rsid w:val="00585E48"/>
    <w:rsid w:val="00592A4D"/>
    <w:rsid w:val="0059545B"/>
    <w:rsid w:val="005963B8"/>
    <w:rsid w:val="005A1FFD"/>
    <w:rsid w:val="005A200D"/>
    <w:rsid w:val="005A3AAC"/>
    <w:rsid w:val="005A6284"/>
    <w:rsid w:val="005A6ED8"/>
    <w:rsid w:val="005A7857"/>
    <w:rsid w:val="005A794C"/>
    <w:rsid w:val="005B38CA"/>
    <w:rsid w:val="005B3AED"/>
    <w:rsid w:val="005B72D4"/>
    <w:rsid w:val="005C1106"/>
    <w:rsid w:val="005C1D8F"/>
    <w:rsid w:val="005C3435"/>
    <w:rsid w:val="005C4DAC"/>
    <w:rsid w:val="005C5B71"/>
    <w:rsid w:val="005C605A"/>
    <w:rsid w:val="005C6EEB"/>
    <w:rsid w:val="005D1511"/>
    <w:rsid w:val="005D607F"/>
    <w:rsid w:val="005D6FCE"/>
    <w:rsid w:val="005D7AC3"/>
    <w:rsid w:val="005E0A1E"/>
    <w:rsid w:val="005E2916"/>
    <w:rsid w:val="005E302A"/>
    <w:rsid w:val="005E4583"/>
    <w:rsid w:val="005F0B9D"/>
    <w:rsid w:val="005F2E02"/>
    <w:rsid w:val="005F47D9"/>
    <w:rsid w:val="005F4941"/>
    <w:rsid w:val="005F4D1E"/>
    <w:rsid w:val="005F63BC"/>
    <w:rsid w:val="005F7439"/>
    <w:rsid w:val="005F7EC6"/>
    <w:rsid w:val="006014FF"/>
    <w:rsid w:val="00601E12"/>
    <w:rsid w:val="00602CCE"/>
    <w:rsid w:val="00604E86"/>
    <w:rsid w:val="00605C59"/>
    <w:rsid w:val="006100CF"/>
    <w:rsid w:val="0061274B"/>
    <w:rsid w:val="006136D2"/>
    <w:rsid w:val="00615386"/>
    <w:rsid w:val="00615F77"/>
    <w:rsid w:val="00620DC3"/>
    <w:rsid w:val="00620F6D"/>
    <w:rsid w:val="00622B5E"/>
    <w:rsid w:val="006251F5"/>
    <w:rsid w:val="0062601A"/>
    <w:rsid w:val="006279CF"/>
    <w:rsid w:val="006303CE"/>
    <w:rsid w:val="00630503"/>
    <w:rsid w:val="006318DA"/>
    <w:rsid w:val="00633F9A"/>
    <w:rsid w:val="006348EC"/>
    <w:rsid w:val="00635AC9"/>
    <w:rsid w:val="006377E6"/>
    <w:rsid w:val="0064260F"/>
    <w:rsid w:val="00642CC1"/>
    <w:rsid w:val="00645402"/>
    <w:rsid w:val="00646E1A"/>
    <w:rsid w:val="00646ED8"/>
    <w:rsid w:val="0066302A"/>
    <w:rsid w:val="00664F64"/>
    <w:rsid w:val="00672D35"/>
    <w:rsid w:val="00676E5B"/>
    <w:rsid w:val="00683CDA"/>
    <w:rsid w:val="0068478E"/>
    <w:rsid w:val="00685F5D"/>
    <w:rsid w:val="006860A4"/>
    <w:rsid w:val="00692221"/>
    <w:rsid w:val="006A685B"/>
    <w:rsid w:val="006A7775"/>
    <w:rsid w:val="006A7A37"/>
    <w:rsid w:val="006B310F"/>
    <w:rsid w:val="006B3986"/>
    <w:rsid w:val="006B42E5"/>
    <w:rsid w:val="006B7B80"/>
    <w:rsid w:val="006C0B86"/>
    <w:rsid w:val="006C144D"/>
    <w:rsid w:val="006C20E4"/>
    <w:rsid w:val="006C5350"/>
    <w:rsid w:val="006C6397"/>
    <w:rsid w:val="006C7563"/>
    <w:rsid w:val="006D08AA"/>
    <w:rsid w:val="006D1914"/>
    <w:rsid w:val="006D1E94"/>
    <w:rsid w:val="006D27F8"/>
    <w:rsid w:val="006D2FFA"/>
    <w:rsid w:val="006D3CF8"/>
    <w:rsid w:val="006D5E24"/>
    <w:rsid w:val="006E3642"/>
    <w:rsid w:val="006E4FB6"/>
    <w:rsid w:val="006E53F3"/>
    <w:rsid w:val="006F0677"/>
    <w:rsid w:val="006F3715"/>
    <w:rsid w:val="006F3775"/>
    <w:rsid w:val="006F6D80"/>
    <w:rsid w:val="006F7046"/>
    <w:rsid w:val="00704B7D"/>
    <w:rsid w:val="00706EBD"/>
    <w:rsid w:val="00716244"/>
    <w:rsid w:val="00716920"/>
    <w:rsid w:val="00716D2E"/>
    <w:rsid w:val="007174EC"/>
    <w:rsid w:val="00720FC2"/>
    <w:rsid w:val="00721DFF"/>
    <w:rsid w:val="007228FC"/>
    <w:rsid w:val="00725FCC"/>
    <w:rsid w:val="007273E6"/>
    <w:rsid w:val="00727600"/>
    <w:rsid w:val="00730061"/>
    <w:rsid w:val="0073227E"/>
    <w:rsid w:val="00740B5A"/>
    <w:rsid w:val="0074236B"/>
    <w:rsid w:val="00745738"/>
    <w:rsid w:val="007513EB"/>
    <w:rsid w:val="00751C1A"/>
    <w:rsid w:val="00756F2A"/>
    <w:rsid w:val="00757C8E"/>
    <w:rsid w:val="00760EAB"/>
    <w:rsid w:val="0076122C"/>
    <w:rsid w:val="0076146C"/>
    <w:rsid w:val="00761897"/>
    <w:rsid w:val="00763E3E"/>
    <w:rsid w:val="00764C09"/>
    <w:rsid w:val="0076644A"/>
    <w:rsid w:val="00767DF7"/>
    <w:rsid w:val="00770967"/>
    <w:rsid w:val="00775732"/>
    <w:rsid w:val="0077592E"/>
    <w:rsid w:val="00775C7B"/>
    <w:rsid w:val="00775E24"/>
    <w:rsid w:val="00776E66"/>
    <w:rsid w:val="00777911"/>
    <w:rsid w:val="00777DCF"/>
    <w:rsid w:val="007802EE"/>
    <w:rsid w:val="00780800"/>
    <w:rsid w:val="00780FC5"/>
    <w:rsid w:val="0078318B"/>
    <w:rsid w:val="00784AA3"/>
    <w:rsid w:val="00784F22"/>
    <w:rsid w:val="00784F60"/>
    <w:rsid w:val="00785D2F"/>
    <w:rsid w:val="00786E09"/>
    <w:rsid w:val="0078758C"/>
    <w:rsid w:val="00787B78"/>
    <w:rsid w:val="00790534"/>
    <w:rsid w:val="007926F7"/>
    <w:rsid w:val="00792B2E"/>
    <w:rsid w:val="00794080"/>
    <w:rsid w:val="007951F3"/>
    <w:rsid w:val="0079604D"/>
    <w:rsid w:val="007965C3"/>
    <w:rsid w:val="00796B03"/>
    <w:rsid w:val="00797854"/>
    <w:rsid w:val="007A240C"/>
    <w:rsid w:val="007A3FDD"/>
    <w:rsid w:val="007A446E"/>
    <w:rsid w:val="007A4692"/>
    <w:rsid w:val="007A520D"/>
    <w:rsid w:val="007A5F24"/>
    <w:rsid w:val="007B014C"/>
    <w:rsid w:val="007B0300"/>
    <w:rsid w:val="007B094D"/>
    <w:rsid w:val="007B2884"/>
    <w:rsid w:val="007B5A44"/>
    <w:rsid w:val="007B5D65"/>
    <w:rsid w:val="007C2907"/>
    <w:rsid w:val="007C4681"/>
    <w:rsid w:val="007C46E5"/>
    <w:rsid w:val="007C60AA"/>
    <w:rsid w:val="007D1C07"/>
    <w:rsid w:val="007D32A2"/>
    <w:rsid w:val="007D4FFD"/>
    <w:rsid w:val="007E1B40"/>
    <w:rsid w:val="007E2069"/>
    <w:rsid w:val="007E4051"/>
    <w:rsid w:val="007E4A5A"/>
    <w:rsid w:val="007E705A"/>
    <w:rsid w:val="007E7A92"/>
    <w:rsid w:val="007F1572"/>
    <w:rsid w:val="007F473E"/>
    <w:rsid w:val="007F4ED3"/>
    <w:rsid w:val="007F52C5"/>
    <w:rsid w:val="007F5B2E"/>
    <w:rsid w:val="008008E2"/>
    <w:rsid w:val="00800C77"/>
    <w:rsid w:val="00804CD3"/>
    <w:rsid w:val="0080622D"/>
    <w:rsid w:val="008067EC"/>
    <w:rsid w:val="00806D8F"/>
    <w:rsid w:val="00811618"/>
    <w:rsid w:val="00811B40"/>
    <w:rsid w:val="00812EED"/>
    <w:rsid w:val="008138EA"/>
    <w:rsid w:val="008146A3"/>
    <w:rsid w:val="00814A29"/>
    <w:rsid w:val="008161BD"/>
    <w:rsid w:val="00816870"/>
    <w:rsid w:val="008171D5"/>
    <w:rsid w:val="00820A54"/>
    <w:rsid w:val="00821ABC"/>
    <w:rsid w:val="008235D7"/>
    <w:rsid w:val="008254C0"/>
    <w:rsid w:val="0082618E"/>
    <w:rsid w:val="00826305"/>
    <w:rsid w:val="00832264"/>
    <w:rsid w:val="00834095"/>
    <w:rsid w:val="00835571"/>
    <w:rsid w:val="00836CC5"/>
    <w:rsid w:val="008372FC"/>
    <w:rsid w:val="00837BD7"/>
    <w:rsid w:val="00842606"/>
    <w:rsid w:val="00843C91"/>
    <w:rsid w:val="00853673"/>
    <w:rsid w:val="0085667E"/>
    <w:rsid w:val="008619FF"/>
    <w:rsid w:val="00862475"/>
    <w:rsid w:val="00863D4B"/>
    <w:rsid w:val="0086618C"/>
    <w:rsid w:val="00876AA5"/>
    <w:rsid w:val="008809E9"/>
    <w:rsid w:val="00880D8A"/>
    <w:rsid w:val="008813A9"/>
    <w:rsid w:val="0088292B"/>
    <w:rsid w:val="00883944"/>
    <w:rsid w:val="00886C8F"/>
    <w:rsid w:val="008909EF"/>
    <w:rsid w:val="008916EB"/>
    <w:rsid w:val="008919B9"/>
    <w:rsid w:val="00894CB1"/>
    <w:rsid w:val="0089790E"/>
    <w:rsid w:val="008A0D20"/>
    <w:rsid w:val="008A3CE8"/>
    <w:rsid w:val="008A67D8"/>
    <w:rsid w:val="008B17FD"/>
    <w:rsid w:val="008B2CE1"/>
    <w:rsid w:val="008B3DA0"/>
    <w:rsid w:val="008B3F47"/>
    <w:rsid w:val="008B7563"/>
    <w:rsid w:val="008C13D7"/>
    <w:rsid w:val="008C275A"/>
    <w:rsid w:val="008C3151"/>
    <w:rsid w:val="008C545E"/>
    <w:rsid w:val="008C59C1"/>
    <w:rsid w:val="008C5F1B"/>
    <w:rsid w:val="008C71C8"/>
    <w:rsid w:val="008C74A4"/>
    <w:rsid w:val="008D03D7"/>
    <w:rsid w:val="008D1717"/>
    <w:rsid w:val="008D1C61"/>
    <w:rsid w:val="008D22E1"/>
    <w:rsid w:val="008E1760"/>
    <w:rsid w:val="008E198E"/>
    <w:rsid w:val="008E6C16"/>
    <w:rsid w:val="008E7B4E"/>
    <w:rsid w:val="008F22E0"/>
    <w:rsid w:val="008F4113"/>
    <w:rsid w:val="008F7B65"/>
    <w:rsid w:val="00902F9F"/>
    <w:rsid w:val="00902FEA"/>
    <w:rsid w:val="00903F5F"/>
    <w:rsid w:val="00904A17"/>
    <w:rsid w:val="00906248"/>
    <w:rsid w:val="00911084"/>
    <w:rsid w:val="00911F3F"/>
    <w:rsid w:val="00912D4C"/>
    <w:rsid w:val="00913B72"/>
    <w:rsid w:val="009176B8"/>
    <w:rsid w:val="00917EC1"/>
    <w:rsid w:val="00923029"/>
    <w:rsid w:val="00924ADC"/>
    <w:rsid w:val="0092514D"/>
    <w:rsid w:val="009302D2"/>
    <w:rsid w:val="009303C7"/>
    <w:rsid w:val="009303F7"/>
    <w:rsid w:val="00930F83"/>
    <w:rsid w:val="00931CAC"/>
    <w:rsid w:val="00932262"/>
    <w:rsid w:val="009353AE"/>
    <w:rsid w:val="009357AE"/>
    <w:rsid w:val="0094235B"/>
    <w:rsid w:val="00944878"/>
    <w:rsid w:val="009448A2"/>
    <w:rsid w:val="00944DAD"/>
    <w:rsid w:val="00946275"/>
    <w:rsid w:val="0095494F"/>
    <w:rsid w:val="00955995"/>
    <w:rsid w:val="00962895"/>
    <w:rsid w:val="00964FA2"/>
    <w:rsid w:val="009659D4"/>
    <w:rsid w:val="00965B3E"/>
    <w:rsid w:val="009707EB"/>
    <w:rsid w:val="00970E50"/>
    <w:rsid w:val="00971CEC"/>
    <w:rsid w:val="0097635A"/>
    <w:rsid w:val="00976A96"/>
    <w:rsid w:val="009773B3"/>
    <w:rsid w:val="00980B53"/>
    <w:rsid w:val="00981508"/>
    <w:rsid w:val="00982E45"/>
    <w:rsid w:val="00984172"/>
    <w:rsid w:val="0099065E"/>
    <w:rsid w:val="009932BD"/>
    <w:rsid w:val="00993C70"/>
    <w:rsid w:val="009945C4"/>
    <w:rsid w:val="00996AA4"/>
    <w:rsid w:val="0099784A"/>
    <w:rsid w:val="009A1246"/>
    <w:rsid w:val="009A1441"/>
    <w:rsid w:val="009A1CA9"/>
    <w:rsid w:val="009A7C50"/>
    <w:rsid w:val="009B18E8"/>
    <w:rsid w:val="009B2441"/>
    <w:rsid w:val="009B2F14"/>
    <w:rsid w:val="009B309C"/>
    <w:rsid w:val="009B48D0"/>
    <w:rsid w:val="009B5291"/>
    <w:rsid w:val="009B68F9"/>
    <w:rsid w:val="009C2B79"/>
    <w:rsid w:val="009C4031"/>
    <w:rsid w:val="009C419B"/>
    <w:rsid w:val="009C7472"/>
    <w:rsid w:val="009C75A4"/>
    <w:rsid w:val="009C7FAA"/>
    <w:rsid w:val="009D0491"/>
    <w:rsid w:val="009D09FA"/>
    <w:rsid w:val="009D22C0"/>
    <w:rsid w:val="009D2530"/>
    <w:rsid w:val="009D361E"/>
    <w:rsid w:val="009D4402"/>
    <w:rsid w:val="009D536C"/>
    <w:rsid w:val="009E010C"/>
    <w:rsid w:val="009E16C4"/>
    <w:rsid w:val="009E1D07"/>
    <w:rsid w:val="009E2C53"/>
    <w:rsid w:val="009E4B28"/>
    <w:rsid w:val="009E4F89"/>
    <w:rsid w:val="009E6422"/>
    <w:rsid w:val="009F0714"/>
    <w:rsid w:val="009F1CEC"/>
    <w:rsid w:val="009F7847"/>
    <w:rsid w:val="00A01784"/>
    <w:rsid w:val="00A01818"/>
    <w:rsid w:val="00A035FF"/>
    <w:rsid w:val="00A0791B"/>
    <w:rsid w:val="00A07E99"/>
    <w:rsid w:val="00A117CB"/>
    <w:rsid w:val="00A1421B"/>
    <w:rsid w:val="00A14D36"/>
    <w:rsid w:val="00A15E85"/>
    <w:rsid w:val="00A16E16"/>
    <w:rsid w:val="00A16FC9"/>
    <w:rsid w:val="00A201EF"/>
    <w:rsid w:val="00A23C88"/>
    <w:rsid w:val="00A24011"/>
    <w:rsid w:val="00A24C08"/>
    <w:rsid w:val="00A258A7"/>
    <w:rsid w:val="00A263CE"/>
    <w:rsid w:val="00A26B5C"/>
    <w:rsid w:val="00A27A62"/>
    <w:rsid w:val="00A3166A"/>
    <w:rsid w:val="00A31C37"/>
    <w:rsid w:val="00A33588"/>
    <w:rsid w:val="00A359F8"/>
    <w:rsid w:val="00A37ABA"/>
    <w:rsid w:val="00A4019C"/>
    <w:rsid w:val="00A40209"/>
    <w:rsid w:val="00A417E4"/>
    <w:rsid w:val="00A44BA1"/>
    <w:rsid w:val="00A50840"/>
    <w:rsid w:val="00A50FD2"/>
    <w:rsid w:val="00A5577D"/>
    <w:rsid w:val="00A55A39"/>
    <w:rsid w:val="00A56878"/>
    <w:rsid w:val="00A5692D"/>
    <w:rsid w:val="00A56A9C"/>
    <w:rsid w:val="00A5724A"/>
    <w:rsid w:val="00A57F5B"/>
    <w:rsid w:val="00A605CF"/>
    <w:rsid w:val="00A62700"/>
    <w:rsid w:val="00A62853"/>
    <w:rsid w:val="00A64037"/>
    <w:rsid w:val="00A6618E"/>
    <w:rsid w:val="00A67D0A"/>
    <w:rsid w:val="00A73D2A"/>
    <w:rsid w:val="00A74563"/>
    <w:rsid w:val="00A7507A"/>
    <w:rsid w:val="00A75B2A"/>
    <w:rsid w:val="00A762A1"/>
    <w:rsid w:val="00A774E9"/>
    <w:rsid w:val="00A819DD"/>
    <w:rsid w:val="00A81DE6"/>
    <w:rsid w:val="00A81F29"/>
    <w:rsid w:val="00A830CC"/>
    <w:rsid w:val="00A8430B"/>
    <w:rsid w:val="00A854F3"/>
    <w:rsid w:val="00A86373"/>
    <w:rsid w:val="00A945E4"/>
    <w:rsid w:val="00A95977"/>
    <w:rsid w:val="00A97151"/>
    <w:rsid w:val="00AA04B4"/>
    <w:rsid w:val="00AA5149"/>
    <w:rsid w:val="00AA589F"/>
    <w:rsid w:val="00AA77F6"/>
    <w:rsid w:val="00AB026A"/>
    <w:rsid w:val="00AB118C"/>
    <w:rsid w:val="00AB17E1"/>
    <w:rsid w:val="00AB4AB8"/>
    <w:rsid w:val="00AB7506"/>
    <w:rsid w:val="00AB7BC2"/>
    <w:rsid w:val="00AB7DC6"/>
    <w:rsid w:val="00AC2299"/>
    <w:rsid w:val="00AC3837"/>
    <w:rsid w:val="00AC6077"/>
    <w:rsid w:val="00AC6990"/>
    <w:rsid w:val="00AC6E34"/>
    <w:rsid w:val="00AC71D3"/>
    <w:rsid w:val="00AC78DB"/>
    <w:rsid w:val="00AD3430"/>
    <w:rsid w:val="00AD71C5"/>
    <w:rsid w:val="00AE0E30"/>
    <w:rsid w:val="00AE241B"/>
    <w:rsid w:val="00AE3C0F"/>
    <w:rsid w:val="00AE7422"/>
    <w:rsid w:val="00AE7DE5"/>
    <w:rsid w:val="00AF4372"/>
    <w:rsid w:val="00AF5D76"/>
    <w:rsid w:val="00AF7FDC"/>
    <w:rsid w:val="00B019AF"/>
    <w:rsid w:val="00B04212"/>
    <w:rsid w:val="00B12D55"/>
    <w:rsid w:val="00B1326D"/>
    <w:rsid w:val="00B152F6"/>
    <w:rsid w:val="00B15ABE"/>
    <w:rsid w:val="00B165D5"/>
    <w:rsid w:val="00B16617"/>
    <w:rsid w:val="00B2021F"/>
    <w:rsid w:val="00B20A94"/>
    <w:rsid w:val="00B221A8"/>
    <w:rsid w:val="00B2236D"/>
    <w:rsid w:val="00B23640"/>
    <w:rsid w:val="00B242E6"/>
    <w:rsid w:val="00B24DE4"/>
    <w:rsid w:val="00B266E3"/>
    <w:rsid w:val="00B275D0"/>
    <w:rsid w:val="00B301BE"/>
    <w:rsid w:val="00B32B68"/>
    <w:rsid w:val="00B3422E"/>
    <w:rsid w:val="00B3492C"/>
    <w:rsid w:val="00B35B99"/>
    <w:rsid w:val="00B36824"/>
    <w:rsid w:val="00B3757A"/>
    <w:rsid w:val="00B44A09"/>
    <w:rsid w:val="00B44FC2"/>
    <w:rsid w:val="00B46108"/>
    <w:rsid w:val="00B521A4"/>
    <w:rsid w:val="00B53514"/>
    <w:rsid w:val="00B53F1A"/>
    <w:rsid w:val="00B54B41"/>
    <w:rsid w:val="00B62BF6"/>
    <w:rsid w:val="00B64775"/>
    <w:rsid w:val="00B65D5A"/>
    <w:rsid w:val="00B675D9"/>
    <w:rsid w:val="00B70A21"/>
    <w:rsid w:val="00B70A6E"/>
    <w:rsid w:val="00B74C4E"/>
    <w:rsid w:val="00B74CA9"/>
    <w:rsid w:val="00B757FA"/>
    <w:rsid w:val="00B75AD6"/>
    <w:rsid w:val="00B763F4"/>
    <w:rsid w:val="00B7679B"/>
    <w:rsid w:val="00B77B64"/>
    <w:rsid w:val="00B80646"/>
    <w:rsid w:val="00B82BB7"/>
    <w:rsid w:val="00B830AD"/>
    <w:rsid w:val="00B8348F"/>
    <w:rsid w:val="00B83669"/>
    <w:rsid w:val="00B854E6"/>
    <w:rsid w:val="00B854FE"/>
    <w:rsid w:val="00B85D2B"/>
    <w:rsid w:val="00B86301"/>
    <w:rsid w:val="00B86AF7"/>
    <w:rsid w:val="00B90879"/>
    <w:rsid w:val="00B93495"/>
    <w:rsid w:val="00B97342"/>
    <w:rsid w:val="00B97484"/>
    <w:rsid w:val="00BA03BD"/>
    <w:rsid w:val="00BA0CE4"/>
    <w:rsid w:val="00BA43B0"/>
    <w:rsid w:val="00BA4B4B"/>
    <w:rsid w:val="00BA5B2D"/>
    <w:rsid w:val="00BB2D8B"/>
    <w:rsid w:val="00BB3A7D"/>
    <w:rsid w:val="00BC4D69"/>
    <w:rsid w:val="00BC5337"/>
    <w:rsid w:val="00BC659E"/>
    <w:rsid w:val="00BC6EE3"/>
    <w:rsid w:val="00BC743D"/>
    <w:rsid w:val="00BD0C39"/>
    <w:rsid w:val="00BD1690"/>
    <w:rsid w:val="00BD5941"/>
    <w:rsid w:val="00BD5C15"/>
    <w:rsid w:val="00BE082C"/>
    <w:rsid w:val="00BE6034"/>
    <w:rsid w:val="00BE7432"/>
    <w:rsid w:val="00BF3720"/>
    <w:rsid w:val="00BF52E6"/>
    <w:rsid w:val="00BF59AF"/>
    <w:rsid w:val="00BF6A39"/>
    <w:rsid w:val="00C00B86"/>
    <w:rsid w:val="00C02C54"/>
    <w:rsid w:val="00C077D7"/>
    <w:rsid w:val="00C1306A"/>
    <w:rsid w:val="00C13423"/>
    <w:rsid w:val="00C1474D"/>
    <w:rsid w:val="00C17235"/>
    <w:rsid w:val="00C17947"/>
    <w:rsid w:val="00C20CAC"/>
    <w:rsid w:val="00C20E9E"/>
    <w:rsid w:val="00C22A3A"/>
    <w:rsid w:val="00C23409"/>
    <w:rsid w:val="00C24061"/>
    <w:rsid w:val="00C27EF6"/>
    <w:rsid w:val="00C32B97"/>
    <w:rsid w:val="00C32DD2"/>
    <w:rsid w:val="00C345FB"/>
    <w:rsid w:val="00C34FD1"/>
    <w:rsid w:val="00C3766D"/>
    <w:rsid w:val="00C4178E"/>
    <w:rsid w:val="00C426F3"/>
    <w:rsid w:val="00C43AAE"/>
    <w:rsid w:val="00C43FE0"/>
    <w:rsid w:val="00C446DC"/>
    <w:rsid w:val="00C45E87"/>
    <w:rsid w:val="00C464EC"/>
    <w:rsid w:val="00C47819"/>
    <w:rsid w:val="00C518A5"/>
    <w:rsid w:val="00C52A17"/>
    <w:rsid w:val="00C54D13"/>
    <w:rsid w:val="00C5632E"/>
    <w:rsid w:val="00C5650E"/>
    <w:rsid w:val="00C606AB"/>
    <w:rsid w:val="00C607FC"/>
    <w:rsid w:val="00C62D98"/>
    <w:rsid w:val="00C66280"/>
    <w:rsid w:val="00C66B86"/>
    <w:rsid w:val="00C678A3"/>
    <w:rsid w:val="00C72B6C"/>
    <w:rsid w:val="00C74B07"/>
    <w:rsid w:val="00C74DFF"/>
    <w:rsid w:val="00C77CB3"/>
    <w:rsid w:val="00C840AA"/>
    <w:rsid w:val="00C85ACE"/>
    <w:rsid w:val="00C86B22"/>
    <w:rsid w:val="00C87621"/>
    <w:rsid w:val="00C90C82"/>
    <w:rsid w:val="00C95587"/>
    <w:rsid w:val="00C962CC"/>
    <w:rsid w:val="00C977EB"/>
    <w:rsid w:val="00CA1473"/>
    <w:rsid w:val="00CA3507"/>
    <w:rsid w:val="00CB16A4"/>
    <w:rsid w:val="00CB2253"/>
    <w:rsid w:val="00CB276F"/>
    <w:rsid w:val="00CC1593"/>
    <w:rsid w:val="00CC2F40"/>
    <w:rsid w:val="00CC2F5C"/>
    <w:rsid w:val="00CC4311"/>
    <w:rsid w:val="00CC52F5"/>
    <w:rsid w:val="00CC66B8"/>
    <w:rsid w:val="00CD0438"/>
    <w:rsid w:val="00CD1FA8"/>
    <w:rsid w:val="00CD23A2"/>
    <w:rsid w:val="00CD293F"/>
    <w:rsid w:val="00CD4C0B"/>
    <w:rsid w:val="00CD5BCF"/>
    <w:rsid w:val="00CD5D63"/>
    <w:rsid w:val="00CD62EE"/>
    <w:rsid w:val="00CD6608"/>
    <w:rsid w:val="00CD6710"/>
    <w:rsid w:val="00CE118E"/>
    <w:rsid w:val="00CE17A5"/>
    <w:rsid w:val="00CE67A9"/>
    <w:rsid w:val="00CF4D58"/>
    <w:rsid w:val="00CF5D6B"/>
    <w:rsid w:val="00CF6DE0"/>
    <w:rsid w:val="00D0482C"/>
    <w:rsid w:val="00D04F75"/>
    <w:rsid w:val="00D05058"/>
    <w:rsid w:val="00D07437"/>
    <w:rsid w:val="00D108B2"/>
    <w:rsid w:val="00D126C4"/>
    <w:rsid w:val="00D126CC"/>
    <w:rsid w:val="00D1526C"/>
    <w:rsid w:val="00D2044B"/>
    <w:rsid w:val="00D21F87"/>
    <w:rsid w:val="00D23036"/>
    <w:rsid w:val="00D2311F"/>
    <w:rsid w:val="00D23E2C"/>
    <w:rsid w:val="00D25309"/>
    <w:rsid w:val="00D33A96"/>
    <w:rsid w:val="00D342CD"/>
    <w:rsid w:val="00D3784A"/>
    <w:rsid w:val="00D37C41"/>
    <w:rsid w:val="00D408F8"/>
    <w:rsid w:val="00D43999"/>
    <w:rsid w:val="00D467DF"/>
    <w:rsid w:val="00D473AD"/>
    <w:rsid w:val="00D47891"/>
    <w:rsid w:val="00D51BEE"/>
    <w:rsid w:val="00D5296B"/>
    <w:rsid w:val="00D52D77"/>
    <w:rsid w:val="00D53B69"/>
    <w:rsid w:val="00D638A3"/>
    <w:rsid w:val="00D63977"/>
    <w:rsid w:val="00D652A6"/>
    <w:rsid w:val="00D66D73"/>
    <w:rsid w:val="00D70424"/>
    <w:rsid w:val="00D725BA"/>
    <w:rsid w:val="00D740BC"/>
    <w:rsid w:val="00D74288"/>
    <w:rsid w:val="00D75A49"/>
    <w:rsid w:val="00D75BFA"/>
    <w:rsid w:val="00D75D2D"/>
    <w:rsid w:val="00D76AEE"/>
    <w:rsid w:val="00D77469"/>
    <w:rsid w:val="00D77E51"/>
    <w:rsid w:val="00D811C1"/>
    <w:rsid w:val="00D81613"/>
    <w:rsid w:val="00D817EC"/>
    <w:rsid w:val="00D819CA"/>
    <w:rsid w:val="00D82DB3"/>
    <w:rsid w:val="00D86AB8"/>
    <w:rsid w:val="00D918D3"/>
    <w:rsid w:val="00D92D8F"/>
    <w:rsid w:val="00D941C0"/>
    <w:rsid w:val="00D954A9"/>
    <w:rsid w:val="00D95AFF"/>
    <w:rsid w:val="00D979C9"/>
    <w:rsid w:val="00D97B4A"/>
    <w:rsid w:val="00DA0BC4"/>
    <w:rsid w:val="00DA12DC"/>
    <w:rsid w:val="00DA256E"/>
    <w:rsid w:val="00DA397F"/>
    <w:rsid w:val="00DA41A1"/>
    <w:rsid w:val="00DA5301"/>
    <w:rsid w:val="00DA7F21"/>
    <w:rsid w:val="00DA7F31"/>
    <w:rsid w:val="00DB15A5"/>
    <w:rsid w:val="00DB25CE"/>
    <w:rsid w:val="00DB3224"/>
    <w:rsid w:val="00DB406A"/>
    <w:rsid w:val="00DC3A26"/>
    <w:rsid w:val="00DC54F5"/>
    <w:rsid w:val="00DC6693"/>
    <w:rsid w:val="00DC6C76"/>
    <w:rsid w:val="00DC6F21"/>
    <w:rsid w:val="00DD0F41"/>
    <w:rsid w:val="00DD234C"/>
    <w:rsid w:val="00DD3E1F"/>
    <w:rsid w:val="00DE1BA3"/>
    <w:rsid w:val="00DE3896"/>
    <w:rsid w:val="00DE5D9B"/>
    <w:rsid w:val="00DE6A4C"/>
    <w:rsid w:val="00DE77B0"/>
    <w:rsid w:val="00DE7DCC"/>
    <w:rsid w:val="00DF20EF"/>
    <w:rsid w:val="00DF213C"/>
    <w:rsid w:val="00DF37AF"/>
    <w:rsid w:val="00DF5DBD"/>
    <w:rsid w:val="00DF707C"/>
    <w:rsid w:val="00DF7935"/>
    <w:rsid w:val="00DF7C7D"/>
    <w:rsid w:val="00E10D05"/>
    <w:rsid w:val="00E145ED"/>
    <w:rsid w:val="00E14984"/>
    <w:rsid w:val="00E169D2"/>
    <w:rsid w:val="00E17681"/>
    <w:rsid w:val="00E210BB"/>
    <w:rsid w:val="00E2145F"/>
    <w:rsid w:val="00E249D0"/>
    <w:rsid w:val="00E32A1A"/>
    <w:rsid w:val="00E35759"/>
    <w:rsid w:val="00E371A1"/>
    <w:rsid w:val="00E37D09"/>
    <w:rsid w:val="00E40538"/>
    <w:rsid w:val="00E418FF"/>
    <w:rsid w:val="00E429D9"/>
    <w:rsid w:val="00E4338E"/>
    <w:rsid w:val="00E43D3F"/>
    <w:rsid w:val="00E44930"/>
    <w:rsid w:val="00E44C74"/>
    <w:rsid w:val="00E460AA"/>
    <w:rsid w:val="00E50723"/>
    <w:rsid w:val="00E50FA6"/>
    <w:rsid w:val="00E51911"/>
    <w:rsid w:val="00E52389"/>
    <w:rsid w:val="00E530E1"/>
    <w:rsid w:val="00E553C1"/>
    <w:rsid w:val="00E573E0"/>
    <w:rsid w:val="00E621A1"/>
    <w:rsid w:val="00E655D8"/>
    <w:rsid w:val="00E66D9C"/>
    <w:rsid w:val="00E711AC"/>
    <w:rsid w:val="00E717A3"/>
    <w:rsid w:val="00E76FA5"/>
    <w:rsid w:val="00E7795A"/>
    <w:rsid w:val="00E77B31"/>
    <w:rsid w:val="00E77EE5"/>
    <w:rsid w:val="00E9064A"/>
    <w:rsid w:val="00E90CE8"/>
    <w:rsid w:val="00E92675"/>
    <w:rsid w:val="00E92BB2"/>
    <w:rsid w:val="00EA0818"/>
    <w:rsid w:val="00EA12DD"/>
    <w:rsid w:val="00EA2240"/>
    <w:rsid w:val="00EA27E4"/>
    <w:rsid w:val="00EA29EE"/>
    <w:rsid w:val="00EA536B"/>
    <w:rsid w:val="00EA7259"/>
    <w:rsid w:val="00EB0844"/>
    <w:rsid w:val="00EB12DC"/>
    <w:rsid w:val="00EB148B"/>
    <w:rsid w:val="00EB170D"/>
    <w:rsid w:val="00EB2D4E"/>
    <w:rsid w:val="00EB58F4"/>
    <w:rsid w:val="00EC4B0E"/>
    <w:rsid w:val="00EC52F1"/>
    <w:rsid w:val="00EC6F50"/>
    <w:rsid w:val="00EC7526"/>
    <w:rsid w:val="00ED1CA2"/>
    <w:rsid w:val="00ED3592"/>
    <w:rsid w:val="00ED3602"/>
    <w:rsid w:val="00ED5C37"/>
    <w:rsid w:val="00ED714C"/>
    <w:rsid w:val="00EE17BA"/>
    <w:rsid w:val="00EE2440"/>
    <w:rsid w:val="00EE26EC"/>
    <w:rsid w:val="00EE2CAD"/>
    <w:rsid w:val="00EE39C4"/>
    <w:rsid w:val="00EE3FBA"/>
    <w:rsid w:val="00EE643C"/>
    <w:rsid w:val="00EE6D94"/>
    <w:rsid w:val="00EE710B"/>
    <w:rsid w:val="00EF108C"/>
    <w:rsid w:val="00EF4480"/>
    <w:rsid w:val="00EF610C"/>
    <w:rsid w:val="00EF6AD2"/>
    <w:rsid w:val="00F037E9"/>
    <w:rsid w:val="00F067E6"/>
    <w:rsid w:val="00F07805"/>
    <w:rsid w:val="00F07D14"/>
    <w:rsid w:val="00F1097D"/>
    <w:rsid w:val="00F10BC2"/>
    <w:rsid w:val="00F126AC"/>
    <w:rsid w:val="00F134AA"/>
    <w:rsid w:val="00F171B6"/>
    <w:rsid w:val="00F21B90"/>
    <w:rsid w:val="00F23226"/>
    <w:rsid w:val="00F24656"/>
    <w:rsid w:val="00F24CA5"/>
    <w:rsid w:val="00F255B3"/>
    <w:rsid w:val="00F2782C"/>
    <w:rsid w:val="00F323DF"/>
    <w:rsid w:val="00F352A9"/>
    <w:rsid w:val="00F3622E"/>
    <w:rsid w:val="00F37906"/>
    <w:rsid w:val="00F37E63"/>
    <w:rsid w:val="00F40035"/>
    <w:rsid w:val="00F41ED5"/>
    <w:rsid w:val="00F432B6"/>
    <w:rsid w:val="00F4393C"/>
    <w:rsid w:val="00F44E98"/>
    <w:rsid w:val="00F4522D"/>
    <w:rsid w:val="00F471BF"/>
    <w:rsid w:val="00F47773"/>
    <w:rsid w:val="00F53495"/>
    <w:rsid w:val="00F54C6B"/>
    <w:rsid w:val="00F54CBA"/>
    <w:rsid w:val="00F63FB1"/>
    <w:rsid w:val="00F64067"/>
    <w:rsid w:val="00F67759"/>
    <w:rsid w:val="00F74E27"/>
    <w:rsid w:val="00F750E6"/>
    <w:rsid w:val="00F757B5"/>
    <w:rsid w:val="00F777D0"/>
    <w:rsid w:val="00F80307"/>
    <w:rsid w:val="00F812AC"/>
    <w:rsid w:val="00F81E23"/>
    <w:rsid w:val="00F83543"/>
    <w:rsid w:val="00F853B2"/>
    <w:rsid w:val="00F85B0D"/>
    <w:rsid w:val="00F879CC"/>
    <w:rsid w:val="00F95D64"/>
    <w:rsid w:val="00F9712D"/>
    <w:rsid w:val="00F97578"/>
    <w:rsid w:val="00FA1489"/>
    <w:rsid w:val="00FA1848"/>
    <w:rsid w:val="00FA22D2"/>
    <w:rsid w:val="00FA28FA"/>
    <w:rsid w:val="00FA2D27"/>
    <w:rsid w:val="00FA43B1"/>
    <w:rsid w:val="00FA6DEE"/>
    <w:rsid w:val="00FA71DC"/>
    <w:rsid w:val="00FA74BF"/>
    <w:rsid w:val="00FB02FD"/>
    <w:rsid w:val="00FB7AE1"/>
    <w:rsid w:val="00FB7B0A"/>
    <w:rsid w:val="00FC2057"/>
    <w:rsid w:val="00FC2BE6"/>
    <w:rsid w:val="00FC428D"/>
    <w:rsid w:val="00FC604C"/>
    <w:rsid w:val="00FD4ED8"/>
    <w:rsid w:val="00FD61ED"/>
    <w:rsid w:val="00FD6B84"/>
    <w:rsid w:val="00FD7FFB"/>
    <w:rsid w:val="00FE0599"/>
    <w:rsid w:val="00FE3169"/>
    <w:rsid w:val="00FE5A6F"/>
    <w:rsid w:val="00FE6C68"/>
    <w:rsid w:val="00FE7072"/>
    <w:rsid w:val="00FE70F9"/>
    <w:rsid w:val="00FE79B4"/>
    <w:rsid w:val="00FF0354"/>
    <w:rsid w:val="00FF15A0"/>
    <w:rsid w:val="00FF1CCF"/>
    <w:rsid w:val="00FF610E"/>
    <w:rsid w:val="00FF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7B0"/>
    <w:rPr>
      <w:color w:val="0000FF"/>
      <w:u w:val="single"/>
    </w:rPr>
  </w:style>
  <w:style w:type="character" w:styleId="FollowedHyperlink">
    <w:name w:val="FollowedHyperlink"/>
    <w:basedOn w:val="DefaultParagraphFont"/>
    <w:uiPriority w:val="99"/>
    <w:semiHidden/>
    <w:unhideWhenUsed/>
    <w:rsid w:val="00DE77B0"/>
    <w:rPr>
      <w:color w:val="800080"/>
      <w:u w:val="single"/>
    </w:rPr>
  </w:style>
  <w:style w:type="character" w:customStyle="1" w:styleId="super">
    <w:name w:val="super"/>
    <w:basedOn w:val="DefaultParagraphFont"/>
    <w:rsid w:val="00DE77B0"/>
  </w:style>
  <w:style w:type="character" w:customStyle="1" w:styleId="apple-converted-space">
    <w:name w:val="apple-converted-space"/>
    <w:basedOn w:val="DefaultParagraphFont"/>
    <w:rsid w:val="00DE77B0"/>
  </w:style>
  <w:style w:type="paragraph" w:customStyle="1" w:styleId="ti-section-1">
    <w:name w:val="ti-section-1"/>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E77B0"/>
  </w:style>
  <w:style w:type="paragraph" w:customStyle="1" w:styleId="ti-art">
    <w:name w:val="ti-art"/>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DE77B0"/>
  </w:style>
  <w:style w:type="paragraph" w:customStyle="1" w:styleId="signatory">
    <w:name w:val="signatory"/>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7B0"/>
    <w:rPr>
      <w:color w:val="0000FF"/>
      <w:u w:val="single"/>
    </w:rPr>
  </w:style>
  <w:style w:type="character" w:styleId="FollowedHyperlink">
    <w:name w:val="FollowedHyperlink"/>
    <w:basedOn w:val="DefaultParagraphFont"/>
    <w:uiPriority w:val="99"/>
    <w:semiHidden/>
    <w:unhideWhenUsed/>
    <w:rsid w:val="00DE77B0"/>
    <w:rPr>
      <w:color w:val="800080"/>
      <w:u w:val="single"/>
    </w:rPr>
  </w:style>
  <w:style w:type="character" w:customStyle="1" w:styleId="super">
    <w:name w:val="super"/>
    <w:basedOn w:val="DefaultParagraphFont"/>
    <w:rsid w:val="00DE77B0"/>
  </w:style>
  <w:style w:type="character" w:customStyle="1" w:styleId="apple-converted-space">
    <w:name w:val="apple-converted-space"/>
    <w:basedOn w:val="DefaultParagraphFont"/>
    <w:rsid w:val="00DE77B0"/>
  </w:style>
  <w:style w:type="paragraph" w:customStyle="1" w:styleId="ti-section-1">
    <w:name w:val="ti-section-1"/>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E77B0"/>
  </w:style>
  <w:style w:type="paragraph" w:customStyle="1" w:styleId="ti-art">
    <w:name w:val="ti-art"/>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DE77B0"/>
  </w:style>
  <w:style w:type="paragraph" w:customStyle="1" w:styleId="signatory">
    <w:name w:val="signatory"/>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DE77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4755">
      <w:bodyDiv w:val="1"/>
      <w:marLeft w:val="0"/>
      <w:marRight w:val="0"/>
      <w:marTop w:val="0"/>
      <w:marBottom w:val="0"/>
      <w:divBdr>
        <w:top w:val="none" w:sz="0" w:space="0" w:color="auto"/>
        <w:left w:val="none" w:sz="0" w:space="0" w:color="auto"/>
        <w:bottom w:val="none" w:sz="0" w:space="0" w:color="auto"/>
        <w:right w:val="none" w:sz="0" w:space="0" w:color="auto"/>
      </w:divBdr>
      <w:divsChild>
        <w:div w:id="1583103236">
          <w:marLeft w:val="0"/>
          <w:marRight w:val="0"/>
          <w:marTop w:val="0"/>
          <w:marBottom w:val="0"/>
          <w:divBdr>
            <w:top w:val="none" w:sz="0" w:space="0" w:color="auto"/>
            <w:left w:val="none" w:sz="0" w:space="0" w:color="auto"/>
            <w:bottom w:val="none" w:sz="0" w:space="0" w:color="auto"/>
            <w:right w:val="none" w:sz="0" w:space="0" w:color="auto"/>
          </w:divBdr>
        </w:div>
        <w:div w:id="1296957897">
          <w:marLeft w:val="810"/>
          <w:marRight w:val="810"/>
          <w:marTop w:val="360"/>
          <w:marBottom w:val="0"/>
          <w:divBdr>
            <w:top w:val="none" w:sz="0" w:space="0" w:color="auto"/>
            <w:left w:val="none" w:sz="0" w:space="0" w:color="auto"/>
            <w:bottom w:val="none" w:sz="0" w:space="0" w:color="auto"/>
            <w:right w:val="none" w:sz="0" w:space="0" w:color="auto"/>
          </w:divBdr>
          <w:divsChild>
            <w:div w:id="1009211503">
              <w:marLeft w:val="4005"/>
              <w:marRight w:val="810"/>
              <w:marTop w:val="0"/>
              <w:marBottom w:val="0"/>
              <w:divBdr>
                <w:top w:val="none" w:sz="0" w:space="0" w:color="auto"/>
                <w:left w:val="none" w:sz="0" w:space="0" w:color="auto"/>
                <w:bottom w:val="none" w:sz="0" w:space="0" w:color="auto"/>
                <w:right w:val="none" w:sz="0" w:space="0" w:color="auto"/>
              </w:divBdr>
            </w:div>
            <w:div w:id="1010254337">
              <w:marLeft w:val="4005"/>
              <w:marRight w:val="810"/>
              <w:marTop w:val="0"/>
              <w:marBottom w:val="0"/>
              <w:divBdr>
                <w:top w:val="none" w:sz="0" w:space="0" w:color="auto"/>
                <w:left w:val="none" w:sz="0" w:space="0" w:color="auto"/>
                <w:bottom w:val="none" w:sz="0" w:space="0" w:color="auto"/>
                <w:right w:val="none" w:sz="0" w:space="0" w:color="auto"/>
              </w:divBdr>
            </w:div>
          </w:divsChild>
        </w:div>
        <w:div w:id="1524981153">
          <w:marLeft w:val="0"/>
          <w:marRight w:val="0"/>
          <w:marTop w:val="0"/>
          <w:marBottom w:val="0"/>
          <w:divBdr>
            <w:top w:val="none" w:sz="0" w:space="0" w:color="auto"/>
            <w:left w:val="none" w:sz="0" w:space="0" w:color="auto"/>
            <w:bottom w:val="none" w:sz="0" w:space="0" w:color="auto"/>
            <w:right w:val="none" w:sz="0" w:space="0" w:color="auto"/>
          </w:divBdr>
        </w:div>
        <w:div w:id="83546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TXT/?qid=1438810887672&amp;uri=CELEX:32012R0648" TargetMode="External"/><Relationship Id="rId21" Type="http://schemas.openxmlformats.org/officeDocument/2006/relationships/hyperlink" Target="http://eur-lex.europa.eu/legal-content/EN/TXT/?qid=1438810887672&amp;uri=CELEX:32012R0648" TargetMode="External"/><Relationship Id="rId42" Type="http://schemas.openxmlformats.org/officeDocument/2006/relationships/hyperlink" Target="http://eur-lex.europa.eu/legal-content/EN/TXT/?qid=1438810887672&amp;uri=CELEX:32012R0648" TargetMode="External"/><Relationship Id="rId47" Type="http://schemas.openxmlformats.org/officeDocument/2006/relationships/hyperlink" Target="http://eur-lex.europa.eu/legal-content/EN/TXT/?qid=1438810887672&amp;uri=CELEX:32012R0648" TargetMode="External"/><Relationship Id="rId63" Type="http://schemas.openxmlformats.org/officeDocument/2006/relationships/hyperlink" Target="http://eur-lex.europa.eu/legal-content/EN/TXT/?qid=1438810887672&amp;uri=CELEX:32012R0648" TargetMode="External"/><Relationship Id="rId68" Type="http://schemas.openxmlformats.org/officeDocument/2006/relationships/hyperlink" Target="http://eur-lex.europa.eu/legal-content/EN/AUTO/?uri=OJ:L:1983:193:TOC" TargetMode="External"/><Relationship Id="rId84" Type="http://schemas.openxmlformats.org/officeDocument/2006/relationships/hyperlink" Target="http://eur-lex.europa.eu/legal-content/EN/AUTO/?uri=OJ:L:2011:055:TOC" TargetMode="External"/><Relationship Id="rId89" Type="http://schemas.openxmlformats.org/officeDocument/2006/relationships/hyperlink" Target="http://eur-lex.europa.eu/legal-content/EN/TXT/?qid=1438810887672&amp;uri=CELEX:32012R0648" TargetMode="External"/><Relationship Id="rId16" Type="http://schemas.openxmlformats.org/officeDocument/2006/relationships/hyperlink" Target="http://eur-lex.europa.eu/legal-content/EN/TXT/?qid=1438810887672&amp;uri=CELEX:32012R0648" TargetMode="External"/><Relationship Id="rId11" Type="http://schemas.openxmlformats.org/officeDocument/2006/relationships/hyperlink" Target="http://eur-lex.europa.eu/legal-content/EN/TXT/?qid=1438810887672&amp;uri=CELEX:32012R0648" TargetMode="External"/><Relationship Id="rId32" Type="http://schemas.openxmlformats.org/officeDocument/2006/relationships/hyperlink" Target="http://eur-lex.europa.eu/legal-content/EN/TXT/?qid=1438810887672&amp;uri=CELEX:32012R0648" TargetMode="External"/><Relationship Id="rId37" Type="http://schemas.openxmlformats.org/officeDocument/2006/relationships/hyperlink" Target="http://eur-lex.europa.eu/legal-content/EN/TXT/?qid=1438810887672&amp;uri=CELEX:32012R0648" TargetMode="External"/><Relationship Id="rId53" Type="http://schemas.openxmlformats.org/officeDocument/2006/relationships/hyperlink" Target="http://eur-lex.europa.eu/legal-content/EN/TXT/?qid=1438810887672&amp;uri=CELEX:32012R0648" TargetMode="External"/><Relationship Id="rId58" Type="http://schemas.openxmlformats.org/officeDocument/2006/relationships/hyperlink" Target="http://eur-lex.europa.eu/legal-content/EN/AUTO/?uri=OJ:L:2005:323:TOC" TargetMode="External"/><Relationship Id="rId74" Type="http://schemas.openxmlformats.org/officeDocument/2006/relationships/hyperlink" Target="http://eur-lex.europa.eu/legal-content/EN/AUTO/?uri=OJ:L:2006:177:TOC" TargetMode="External"/><Relationship Id="rId79" Type="http://schemas.openxmlformats.org/officeDocument/2006/relationships/hyperlink" Target="http://eur-lex.europa.eu/legal-content/EN/TXT/?qid=1438810887672&amp;uri=CELEX:32012R0648" TargetMode="External"/><Relationship Id="rId102" Type="http://schemas.openxmlformats.org/officeDocument/2006/relationships/hyperlink" Target="http://eur-lex.europa.eu/legal-content/EN/AUTO/?uri=OJ:L:2001:191:TOC" TargetMode="External"/><Relationship Id="rId5" Type="http://schemas.openxmlformats.org/officeDocument/2006/relationships/hyperlink" Target="http://eur-lex.europa.eu/legal-content/EN/TXT/?qid=1438810887672&amp;uri=CELEX:32012R0648" TargetMode="External"/><Relationship Id="rId90" Type="http://schemas.openxmlformats.org/officeDocument/2006/relationships/hyperlink" Target="http://eur-lex.europa.eu/legal-content/EN/AUTO/?uri=OJ:L:1986:372:TOC" TargetMode="External"/><Relationship Id="rId95" Type="http://schemas.openxmlformats.org/officeDocument/2006/relationships/hyperlink" Target="http://eur-lex.europa.eu/legal-content/EN/TXT/?qid=1438810887672&amp;uri=CELEX:32012R0648" TargetMode="External"/><Relationship Id="rId22" Type="http://schemas.openxmlformats.org/officeDocument/2006/relationships/hyperlink" Target="http://eur-lex.europa.eu/legal-content/EN/TXT/?qid=1438810887672&amp;uri=CELEX:32012R0648" TargetMode="External"/><Relationship Id="rId27" Type="http://schemas.openxmlformats.org/officeDocument/2006/relationships/hyperlink" Target="http://eur-lex.europa.eu/legal-content/EN/TXT/?qid=1438810887672&amp;uri=CELEX:32012R0648" TargetMode="External"/><Relationship Id="rId43" Type="http://schemas.openxmlformats.org/officeDocument/2006/relationships/hyperlink" Target="http://eur-lex.europa.eu/legal-content/EN/TXT/?qid=1438810887672&amp;uri=CELEX:32012R0648" TargetMode="External"/><Relationship Id="rId48" Type="http://schemas.openxmlformats.org/officeDocument/2006/relationships/hyperlink" Target="http://eur-lex.europa.eu/legal-content/EN/AUTO/?uri=OJ:L:2010:331:TOC" TargetMode="External"/><Relationship Id="rId64" Type="http://schemas.openxmlformats.org/officeDocument/2006/relationships/hyperlink" Target="http://eur-lex.europa.eu/legal-content/EN/AUTO/?uri=OJ:L:2011:174:TOC" TargetMode="External"/><Relationship Id="rId69" Type="http://schemas.openxmlformats.org/officeDocument/2006/relationships/hyperlink" Target="http://eur-lex.europa.eu/legal-content/EN/TXT/?qid=1438810887672&amp;uri=CELEX:32012R0648" TargetMode="External"/><Relationship Id="rId80" Type="http://schemas.openxmlformats.org/officeDocument/2006/relationships/hyperlink" Target="http://eur-lex.europa.eu/legal-content/EN/AUTO/?uri=OJ:L:1995:281:TOC" TargetMode="External"/><Relationship Id="rId85" Type="http://schemas.openxmlformats.org/officeDocument/2006/relationships/hyperlink" Target="http://eur-lex.europa.eu/legal-content/EN/TXT/?qid=1438810887672&amp;uri=CELEX:32012R0648" TargetMode="External"/><Relationship Id="rId12" Type="http://schemas.openxmlformats.org/officeDocument/2006/relationships/hyperlink" Target="http://eur-lex.europa.eu/legal-content/EN/TXT/?qid=1438810887672&amp;uri=CELEX:32012R0648" TargetMode="External"/><Relationship Id="rId17" Type="http://schemas.openxmlformats.org/officeDocument/2006/relationships/hyperlink" Target="http://eur-lex.europa.eu/legal-content/EN/TXT/?qid=1438810887672&amp;uri=CELEX:32012R0648" TargetMode="External"/><Relationship Id="rId25" Type="http://schemas.openxmlformats.org/officeDocument/2006/relationships/hyperlink" Target="http://eur-lex.europa.eu/legal-content/EN/TXT/?qid=1438810887672&amp;uri=CELEX:32012R0648" TargetMode="External"/><Relationship Id="rId33" Type="http://schemas.openxmlformats.org/officeDocument/2006/relationships/hyperlink" Target="http://eur-lex.europa.eu/legal-content/EN/TXT/?qid=1438810887672&amp;uri=CELEX:32012R0648" TargetMode="External"/><Relationship Id="rId38" Type="http://schemas.openxmlformats.org/officeDocument/2006/relationships/hyperlink" Target="http://eur-lex.europa.eu/legal-content/EN/TXT/?qid=1438810887672&amp;uri=CELEX:32012R0648" TargetMode="External"/><Relationship Id="rId46" Type="http://schemas.openxmlformats.org/officeDocument/2006/relationships/hyperlink" Target="http://eur-lex.europa.eu/legal-content/EN/AUTO/?uri=OJ:L:2010:331:TOC" TargetMode="External"/><Relationship Id="rId59" Type="http://schemas.openxmlformats.org/officeDocument/2006/relationships/hyperlink" Target="http://eur-lex.europa.eu/legal-content/EN/TXT/?qid=1438810887672&amp;uri=CELEX:32012R0648" TargetMode="External"/><Relationship Id="rId67" Type="http://schemas.openxmlformats.org/officeDocument/2006/relationships/hyperlink" Target="http://eur-lex.europa.eu/legal-content/EN/TXT/?qid=1438810887672&amp;uri=CELEX:32012R0648" TargetMode="External"/><Relationship Id="rId103" Type="http://schemas.openxmlformats.org/officeDocument/2006/relationships/fontTable" Target="fontTable.xml"/><Relationship Id="rId20" Type="http://schemas.openxmlformats.org/officeDocument/2006/relationships/hyperlink" Target="http://eur-lex.europa.eu/legal-content/EN/TXT/?qid=1438810887672&amp;uri=CELEX:32012R0648" TargetMode="External"/><Relationship Id="rId41" Type="http://schemas.openxmlformats.org/officeDocument/2006/relationships/hyperlink" Target="http://eur-lex.europa.eu/legal-content/EN/AUTO/?uri=OJ:C:2011:054:TOC" TargetMode="External"/><Relationship Id="rId54" Type="http://schemas.openxmlformats.org/officeDocument/2006/relationships/hyperlink" Target="http://eur-lex.europa.eu/legal-content/EN/AUTO/?uri=OJ:L:1973:228:TOC" TargetMode="External"/><Relationship Id="rId62" Type="http://schemas.openxmlformats.org/officeDocument/2006/relationships/hyperlink" Target="http://eur-lex.europa.eu/legal-content/EN/AUTO/?uri=OJ:L:2003:235:TOC" TargetMode="External"/><Relationship Id="rId70" Type="http://schemas.openxmlformats.org/officeDocument/2006/relationships/hyperlink" Target="http://eur-lex.europa.eu/legal-content/EN/AUTO/?uri=OJ:L:2002:243:TOC" TargetMode="External"/><Relationship Id="rId75" Type="http://schemas.openxmlformats.org/officeDocument/2006/relationships/hyperlink" Target="http://eur-lex.europa.eu/legal-content/EN/TXT/?qid=1438810887672&amp;uri=CELEX:32012R0648" TargetMode="External"/><Relationship Id="rId83" Type="http://schemas.openxmlformats.org/officeDocument/2006/relationships/hyperlink" Target="http://eur-lex.europa.eu/legal-content/EN/TXT/?qid=1438810887672&amp;uri=CELEX:32012R0648" TargetMode="External"/><Relationship Id="rId88" Type="http://schemas.openxmlformats.org/officeDocument/2006/relationships/hyperlink" Target="http://eur-lex.europa.eu/legal-content/EN/AUTO/?uri=OJ:L:2004:390:TOC" TargetMode="External"/><Relationship Id="rId91" Type="http://schemas.openxmlformats.org/officeDocument/2006/relationships/hyperlink" Target="http://eur-lex.europa.eu/legal-content/EN/TXT/?qid=1438810887672&amp;uri=CELEX:32012R0648" TargetMode="External"/><Relationship Id="rId96" Type="http://schemas.openxmlformats.org/officeDocument/2006/relationships/hyperlink" Target="http://eur-lex.europa.eu/legal-content/EN/AUTO/?uri=OJ:L:1992:228:TOC" TargetMode="External"/><Relationship Id="rId1" Type="http://schemas.openxmlformats.org/officeDocument/2006/relationships/styles" Target="styles.xml"/><Relationship Id="rId6" Type="http://schemas.openxmlformats.org/officeDocument/2006/relationships/hyperlink" Target="http://eur-lex.europa.eu/legal-content/EN/TXT/?qid=1438810887672&amp;uri=CELEX:32012R0648" TargetMode="External"/><Relationship Id="rId15" Type="http://schemas.openxmlformats.org/officeDocument/2006/relationships/hyperlink" Target="http://eur-lex.europa.eu/legal-content/EN/TXT/?qid=1438810887672&amp;uri=CELEX:32012R0648" TargetMode="External"/><Relationship Id="rId23" Type="http://schemas.openxmlformats.org/officeDocument/2006/relationships/hyperlink" Target="http://eur-lex.europa.eu/legal-content/EN/TXT/?qid=1438810887672&amp;uri=CELEX:32012R0648" TargetMode="External"/><Relationship Id="rId28" Type="http://schemas.openxmlformats.org/officeDocument/2006/relationships/hyperlink" Target="http://eur-lex.europa.eu/legal-content/EN/TXT/?qid=1438810887672&amp;uri=CELEX:32012R0648" TargetMode="External"/><Relationship Id="rId36" Type="http://schemas.openxmlformats.org/officeDocument/2006/relationships/hyperlink" Target="http://eur-lex.europa.eu/legal-content/EN/TXT/?qid=1438810887672&amp;uri=CELEX:32012R0648" TargetMode="External"/><Relationship Id="rId49" Type="http://schemas.openxmlformats.org/officeDocument/2006/relationships/hyperlink" Target="http://eur-lex.europa.eu/legal-content/EN/TXT/?qid=1438810887672&amp;uri=CELEX:32012R0648" TargetMode="External"/><Relationship Id="rId57" Type="http://schemas.openxmlformats.org/officeDocument/2006/relationships/hyperlink" Target="http://eur-lex.europa.eu/legal-content/EN/TXT/?qid=1438810887672&amp;uri=CELEX:32012R0648" TargetMode="External"/><Relationship Id="rId10" Type="http://schemas.openxmlformats.org/officeDocument/2006/relationships/hyperlink" Target="http://eur-lex.europa.eu/legal-content/EN/TXT/?qid=1438810887672&amp;uri=CELEX:32012R0648" TargetMode="External"/><Relationship Id="rId31" Type="http://schemas.openxmlformats.org/officeDocument/2006/relationships/hyperlink" Target="http://eur-lex.europa.eu/legal-content/EN/TXT/?qid=1438810887672&amp;uri=CELEX:32012R0648" TargetMode="External"/><Relationship Id="rId44" Type="http://schemas.openxmlformats.org/officeDocument/2006/relationships/hyperlink" Target="http://eur-lex.europa.eu/legal-content/EN/AUTO/?uri=OJ:L:2010:331:TOC" TargetMode="External"/><Relationship Id="rId52" Type="http://schemas.openxmlformats.org/officeDocument/2006/relationships/hyperlink" Target="http://eur-lex.europa.eu/legal-content/EN/AUTO/?uri=OJ:L:2006:177:TOC" TargetMode="External"/><Relationship Id="rId60" Type="http://schemas.openxmlformats.org/officeDocument/2006/relationships/hyperlink" Target="http://eur-lex.europa.eu/legal-content/EN/AUTO/?uri=OJ:L:2009:302:TOC" TargetMode="External"/><Relationship Id="rId65" Type="http://schemas.openxmlformats.org/officeDocument/2006/relationships/hyperlink" Target="http://eur-lex.europa.eu/legal-content/EN/TXT/?qid=1438810887672&amp;uri=CELEX:32012R0648" TargetMode="External"/><Relationship Id="rId73" Type="http://schemas.openxmlformats.org/officeDocument/2006/relationships/hyperlink" Target="http://eur-lex.europa.eu/legal-content/EN/TXT/?qid=1438810887672&amp;uri=CELEX:32012R0648" TargetMode="External"/><Relationship Id="rId78" Type="http://schemas.openxmlformats.org/officeDocument/2006/relationships/hyperlink" Target="http://eur-lex.europa.eu/legal-content/EN/AUTO/?uri=OJ:L:1998:166:TOC" TargetMode="External"/><Relationship Id="rId81" Type="http://schemas.openxmlformats.org/officeDocument/2006/relationships/hyperlink" Target="http://eur-lex.europa.eu/legal-content/EN/TXT/?qid=1438810887672&amp;uri=CELEX:32012R0648" TargetMode="External"/><Relationship Id="rId86" Type="http://schemas.openxmlformats.org/officeDocument/2006/relationships/hyperlink" Target="http://eur-lex.europa.eu/legal-content/EN/AUTO/?uri=OJ:L:2003:035:TOC" TargetMode="External"/><Relationship Id="rId94" Type="http://schemas.openxmlformats.org/officeDocument/2006/relationships/hyperlink" Target="http://eur-lex.europa.eu/legal-content/EN/AUTO/?uri=OJ:L:2005:309:TOC" TargetMode="External"/><Relationship Id="rId99" Type="http://schemas.openxmlformats.org/officeDocument/2006/relationships/hyperlink" Target="http://eur-lex.europa.eu/legal-content/EN/TXT/?qid=1438810887672&amp;uri=CELEX:32012R0648" TargetMode="External"/><Relationship Id="rId101" Type="http://schemas.openxmlformats.org/officeDocument/2006/relationships/hyperlink" Target="http://eur-lex.europa.eu/legal-content/EN/TXT/?qid=1438810887672&amp;uri=CELEX:32012R0648" TargetMode="External"/><Relationship Id="rId4" Type="http://schemas.openxmlformats.org/officeDocument/2006/relationships/webSettings" Target="webSettings.xml"/><Relationship Id="rId9" Type="http://schemas.openxmlformats.org/officeDocument/2006/relationships/hyperlink" Target="http://eur-lex.europa.eu/legal-content/EN/TXT/?qid=1438810887672&amp;uri=CELEX:32012R0648" TargetMode="External"/><Relationship Id="rId13" Type="http://schemas.openxmlformats.org/officeDocument/2006/relationships/hyperlink" Target="http://eur-lex.europa.eu/legal-content/EN/TXT/?qid=1438810887672&amp;uri=CELEX:32012R0648" TargetMode="External"/><Relationship Id="rId18" Type="http://schemas.openxmlformats.org/officeDocument/2006/relationships/hyperlink" Target="http://eur-lex.europa.eu/legal-content/EN/TXT/?qid=1438810887672&amp;uri=CELEX:32012R0648" TargetMode="External"/><Relationship Id="rId39" Type="http://schemas.openxmlformats.org/officeDocument/2006/relationships/hyperlink" Target="http://eur-lex.europa.eu/legal-content/EN/AUTO/?uri=OJ:C:2011:057:TOC" TargetMode="External"/><Relationship Id="rId34" Type="http://schemas.openxmlformats.org/officeDocument/2006/relationships/hyperlink" Target="http://eur-lex.europa.eu/legal-content/EN/TXT/?qid=1438810887672&amp;uri=CELEX:32012R0648" TargetMode="External"/><Relationship Id="rId50" Type="http://schemas.openxmlformats.org/officeDocument/2006/relationships/hyperlink" Target="http://eur-lex.europa.eu/legal-content/EN/AUTO/?uri=OJ:L:2004:145:TOC" TargetMode="External"/><Relationship Id="rId55" Type="http://schemas.openxmlformats.org/officeDocument/2006/relationships/hyperlink" Target="http://eur-lex.europa.eu/legal-content/EN/TXT/?qid=1438810887672&amp;uri=CELEX:32012R0648" TargetMode="External"/><Relationship Id="rId76" Type="http://schemas.openxmlformats.org/officeDocument/2006/relationships/hyperlink" Target="http://eur-lex.europa.eu/legal-content/EN/AUTO/?uri=OJ:L:2006:241:TOC" TargetMode="External"/><Relationship Id="rId97" Type="http://schemas.openxmlformats.org/officeDocument/2006/relationships/hyperlink" Target="http://eur-lex.europa.eu/legal-content/EN/TXT/?qid=1438810887672&amp;uri=CELEX:32012R0648" TargetMode="External"/><Relationship Id="rId104" Type="http://schemas.openxmlformats.org/officeDocument/2006/relationships/theme" Target="theme/theme1.xml"/><Relationship Id="rId7" Type="http://schemas.openxmlformats.org/officeDocument/2006/relationships/hyperlink" Target="http://eur-lex.europa.eu/legal-content/EN/TXT/?qid=1438810887672&amp;uri=CELEX:32012R0648" TargetMode="External"/><Relationship Id="rId71" Type="http://schemas.openxmlformats.org/officeDocument/2006/relationships/hyperlink" Target="http://eur-lex.europa.eu/legal-content/EN/TXT/?qid=1438810887672&amp;uri=CELEX:32012R0648" TargetMode="External"/><Relationship Id="rId92" Type="http://schemas.openxmlformats.org/officeDocument/2006/relationships/hyperlink" Target="http://eur-lex.europa.eu/legal-content/EN/AUTO/?uri=OJ:L:1978:222:TOC" TargetMode="External"/><Relationship Id="rId2" Type="http://schemas.microsoft.com/office/2007/relationships/stylesWithEffects" Target="stylesWithEffects.xml"/><Relationship Id="rId29" Type="http://schemas.openxmlformats.org/officeDocument/2006/relationships/hyperlink" Target="http://eur-lex.europa.eu/legal-content/EN/TXT/?qid=1438810887672&amp;uri=CELEX:32012R0648" TargetMode="External"/><Relationship Id="rId24" Type="http://schemas.openxmlformats.org/officeDocument/2006/relationships/hyperlink" Target="http://eur-lex.europa.eu/legal-content/EN/TXT/?qid=1438810887672&amp;uri=CELEX:32012R0648" TargetMode="External"/><Relationship Id="rId40" Type="http://schemas.openxmlformats.org/officeDocument/2006/relationships/hyperlink" Target="http://eur-lex.europa.eu/legal-content/EN/TXT/?qid=1438810887672&amp;uri=CELEX:32012R0648" TargetMode="External"/><Relationship Id="rId45" Type="http://schemas.openxmlformats.org/officeDocument/2006/relationships/hyperlink" Target="http://eur-lex.europa.eu/legal-content/EN/TXT/?qid=1438810887672&amp;uri=CELEX:32012R0648" TargetMode="External"/><Relationship Id="rId66" Type="http://schemas.openxmlformats.org/officeDocument/2006/relationships/hyperlink" Target="http://eur-lex.europa.eu/legal-content/EN/AUTO/?uri=OJ:L:2001:110:TOC" TargetMode="External"/><Relationship Id="rId87" Type="http://schemas.openxmlformats.org/officeDocument/2006/relationships/hyperlink" Target="http://eur-lex.europa.eu/legal-content/EN/TXT/?qid=1438810887672&amp;uri=CELEX:32012R0648" TargetMode="External"/><Relationship Id="rId61" Type="http://schemas.openxmlformats.org/officeDocument/2006/relationships/hyperlink" Target="http://eur-lex.europa.eu/legal-content/EN/TXT/?qid=1438810887672&amp;uri=CELEX:32012R0648" TargetMode="External"/><Relationship Id="rId82" Type="http://schemas.openxmlformats.org/officeDocument/2006/relationships/hyperlink" Target="http://eur-lex.europa.eu/legal-content/EN/AUTO/?uri=OJ:L:2001:008:TOC" TargetMode="External"/><Relationship Id="rId19" Type="http://schemas.openxmlformats.org/officeDocument/2006/relationships/hyperlink" Target="http://eur-lex.europa.eu/legal-content/EN/TXT/?qid=1438810887672&amp;uri=CELEX:32012R0648" TargetMode="External"/><Relationship Id="rId14" Type="http://schemas.openxmlformats.org/officeDocument/2006/relationships/hyperlink" Target="http://eur-lex.europa.eu/legal-content/EN/TXT/?qid=1438810887672&amp;uri=CELEX:32012R0648" TargetMode="External"/><Relationship Id="rId30" Type="http://schemas.openxmlformats.org/officeDocument/2006/relationships/hyperlink" Target="http://eur-lex.europa.eu/legal-content/EN/TXT/?qid=1438810887672&amp;uri=CELEX:32012R0648" TargetMode="External"/><Relationship Id="rId35" Type="http://schemas.openxmlformats.org/officeDocument/2006/relationships/hyperlink" Target="http://eur-lex.europa.eu/legal-content/EN/TXT/?qid=1438810887672&amp;uri=CELEX:32012R0648" TargetMode="External"/><Relationship Id="rId56" Type="http://schemas.openxmlformats.org/officeDocument/2006/relationships/hyperlink" Target="http://eur-lex.europa.eu/legal-content/EN/AUTO/?uri=OJ:L:2002:345:TOC" TargetMode="External"/><Relationship Id="rId77" Type="http://schemas.openxmlformats.org/officeDocument/2006/relationships/hyperlink" Target="http://eur-lex.europa.eu/legal-content/EN/TXT/?qid=1438810887672&amp;uri=CELEX:32012R0648" TargetMode="External"/><Relationship Id="rId100" Type="http://schemas.openxmlformats.org/officeDocument/2006/relationships/hyperlink" Target="http://eur-lex.europa.eu/legal-content/EN/AUTO/?uri=OJ:L:2004:142:TOC" TargetMode="External"/><Relationship Id="rId8" Type="http://schemas.openxmlformats.org/officeDocument/2006/relationships/hyperlink" Target="http://eur-lex.europa.eu/legal-content/EN/TXT/?qid=1438810887672&amp;uri=CELEX:32012R0648" TargetMode="External"/><Relationship Id="rId51" Type="http://schemas.openxmlformats.org/officeDocument/2006/relationships/hyperlink" Target="http://eur-lex.europa.eu/legal-content/EN/TXT/?qid=1438810887672&amp;uri=CELEX:32012R0648" TargetMode="External"/><Relationship Id="rId72" Type="http://schemas.openxmlformats.org/officeDocument/2006/relationships/hyperlink" Target="http://eur-lex.europa.eu/legal-content/EN/AUTO/?uri=OJ:L:2007:340:TOC" TargetMode="External"/><Relationship Id="rId93" Type="http://schemas.openxmlformats.org/officeDocument/2006/relationships/hyperlink" Target="http://eur-lex.europa.eu/legal-content/EN/TXT/?qid=1438810887672&amp;uri=CELEX:32012R0648" TargetMode="External"/><Relationship Id="rId98" Type="http://schemas.openxmlformats.org/officeDocument/2006/relationships/hyperlink" Target="http://eur-lex.europa.eu/legal-content/EN/AUTO/?uri=OJ:L:2002:168:T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123</Pages>
  <Words>43606</Words>
  <Characters>235911</Characters>
  <Application>Microsoft Office Word</Application>
  <DocSecurity>0</DocSecurity>
  <Lines>2743</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dc:creator>
  <cp:lastModifiedBy>london</cp:lastModifiedBy>
  <cp:revision>5</cp:revision>
  <dcterms:created xsi:type="dcterms:W3CDTF">2015-10-02T06:47:00Z</dcterms:created>
  <dcterms:modified xsi:type="dcterms:W3CDTF">2015-11-26T14:36:00Z</dcterms:modified>
</cp:coreProperties>
</file>