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1D" w:rsidRPr="00C03848" w:rsidRDefault="000842B1" w:rsidP="008B76F2">
      <w:pPr>
        <w:spacing w:after="0" w:line="240" w:lineRule="auto"/>
        <w:jc w:val="center"/>
        <w:rPr>
          <w:rFonts w:ascii="Times New Roman" w:hAnsi="Times New Roman" w:cs="Times New Roman"/>
          <w:sz w:val="24"/>
          <w:szCs w:val="24"/>
          <w:lang w:val="uk-UA"/>
        </w:rPr>
      </w:pPr>
      <w:r w:rsidRPr="00C03848">
        <w:rPr>
          <w:rFonts w:ascii="Times New Roman" w:hAnsi="Times New Roman" w:cs="Times New Roman"/>
          <w:sz w:val="24"/>
          <w:szCs w:val="24"/>
          <w:lang w:val="uk-UA"/>
        </w:rPr>
        <w:t xml:space="preserve">Директива </w:t>
      </w:r>
      <w:r w:rsidR="002864BE" w:rsidRPr="00C03848">
        <w:rPr>
          <w:rFonts w:ascii="Times New Roman" w:hAnsi="Times New Roman" w:cs="Times New Roman"/>
          <w:bCs/>
          <w:sz w:val="24"/>
          <w:szCs w:val="24"/>
          <w:shd w:val="clear" w:color="auto" w:fill="FFFFFF"/>
          <w:lang w:val="uk-UA"/>
        </w:rPr>
        <w:t>(EU)</w:t>
      </w:r>
      <w:r w:rsidR="002C54D7" w:rsidRPr="00C03848">
        <w:rPr>
          <w:rFonts w:ascii="Times New Roman" w:hAnsi="Times New Roman" w:cs="Times New Roman"/>
          <w:bCs/>
          <w:sz w:val="24"/>
          <w:szCs w:val="24"/>
          <w:shd w:val="clear" w:color="auto" w:fill="FFFFFF"/>
          <w:lang w:val="uk-UA"/>
        </w:rPr>
        <w:t xml:space="preserve"> </w:t>
      </w:r>
      <w:r w:rsidRPr="00C03848">
        <w:rPr>
          <w:rFonts w:ascii="Times New Roman" w:hAnsi="Times New Roman" w:cs="Times New Roman"/>
          <w:sz w:val="24"/>
          <w:szCs w:val="24"/>
          <w:lang w:val="uk-UA"/>
        </w:rPr>
        <w:t xml:space="preserve">2015/849 Європейського Парламенту та Ради від 20 травня 2015 року про запобігання використанню фінансової системи для цілей відмивання грошей або фінансування тероризму, що вносить зміни до Регламенту </w:t>
      </w:r>
      <w:r w:rsidR="002864BE" w:rsidRPr="00C03848">
        <w:rPr>
          <w:rFonts w:ascii="Times New Roman" w:hAnsi="Times New Roman" w:cs="Times New Roman"/>
          <w:bCs/>
          <w:sz w:val="24"/>
          <w:szCs w:val="24"/>
          <w:shd w:val="clear" w:color="auto" w:fill="FFFFFF"/>
          <w:lang w:val="uk-UA"/>
        </w:rPr>
        <w:t>(EU)</w:t>
      </w:r>
      <w:r w:rsidR="002864BE" w:rsidRPr="00C03848">
        <w:rPr>
          <w:rStyle w:val="apple-converted-space"/>
          <w:rFonts w:ascii="Times New Roman" w:hAnsi="Times New Roman" w:cs="Times New Roman"/>
          <w:bCs/>
          <w:sz w:val="24"/>
          <w:szCs w:val="24"/>
          <w:shd w:val="clear" w:color="auto" w:fill="FFFFFF"/>
          <w:lang w:val="uk-UA"/>
        </w:rPr>
        <w:t> </w:t>
      </w:r>
      <w:r w:rsidRPr="00C03848">
        <w:rPr>
          <w:rFonts w:ascii="Times New Roman" w:hAnsi="Times New Roman" w:cs="Times New Roman"/>
          <w:sz w:val="24"/>
          <w:szCs w:val="24"/>
          <w:lang w:val="uk-UA"/>
        </w:rPr>
        <w:t>№ 648/2012 Європейського Парламенту і Ради, а та</w:t>
      </w:r>
      <w:r w:rsidR="002864BE" w:rsidRPr="00C03848">
        <w:rPr>
          <w:rFonts w:ascii="Times New Roman" w:hAnsi="Times New Roman" w:cs="Times New Roman"/>
          <w:sz w:val="24"/>
          <w:szCs w:val="24"/>
          <w:lang w:val="uk-UA"/>
        </w:rPr>
        <w:t>кож скасовує Директиву 2005/60/Е</w:t>
      </w:r>
      <w:r w:rsidRPr="00C03848">
        <w:rPr>
          <w:rFonts w:ascii="Times New Roman" w:hAnsi="Times New Roman" w:cs="Times New Roman"/>
          <w:sz w:val="24"/>
          <w:szCs w:val="24"/>
          <w:lang w:val="uk-UA"/>
        </w:rPr>
        <w:t>С Європейського Парламенту і Ради та Директиву Комісії 2006/70/</w:t>
      </w:r>
      <w:r w:rsidR="002864BE" w:rsidRPr="00C03848">
        <w:rPr>
          <w:rFonts w:ascii="Times New Roman" w:hAnsi="Times New Roman" w:cs="Times New Roman"/>
          <w:sz w:val="24"/>
          <w:szCs w:val="24"/>
          <w:lang w:val="uk-UA"/>
        </w:rPr>
        <w:t>ЕС</w:t>
      </w:r>
    </w:p>
    <w:p w:rsidR="00C07AC9" w:rsidRPr="00C03848" w:rsidRDefault="00C07AC9" w:rsidP="008B76F2">
      <w:pPr>
        <w:spacing w:after="0" w:line="240" w:lineRule="auto"/>
        <w:jc w:val="center"/>
        <w:textAlignment w:val="baseline"/>
        <w:rPr>
          <w:rFonts w:ascii="Times New Roman" w:hAnsi="Times New Roman" w:cs="Times New Roman"/>
          <w:iCs/>
          <w:sz w:val="24"/>
          <w:szCs w:val="24"/>
          <w:bdr w:val="none" w:sz="0" w:space="0" w:color="auto" w:frame="1"/>
          <w:lang w:val="uk-UA"/>
        </w:rPr>
      </w:pPr>
      <w:r w:rsidRPr="00C03848">
        <w:rPr>
          <w:rFonts w:ascii="Times New Roman" w:eastAsia="Times New Roman" w:hAnsi="Times New Roman" w:cs="Times New Roman"/>
          <w:bCs/>
          <w:sz w:val="24"/>
          <w:szCs w:val="24"/>
          <w:lang w:val="uk-UA"/>
        </w:rPr>
        <w:t xml:space="preserve">(Текст доречний для </w:t>
      </w:r>
      <w:r w:rsidR="002C54D7" w:rsidRPr="00C03848">
        <w:rPr>
          <w:rFonts w:ascii="Times New Roman" w:hAnsi="Times New Roman" w:cs="Times New Roman"/>
          <w:iCs/>
          <w:sz w:val="24"/>
          <w:szCs w:val="24"/>
          <w:bdr w:val="none" w:sz="0" w:space="0" w:color="auto" w:frame="1"/>
          <w:lang w:val="uk-UA"/>
        </w:rPr>
        <w:t>Європейського Економічного Простору (ЄЕП))</w:t>
      </w:r>
    </w:p>
    <w:p w:rsidR="00971249" w:rsidRPr="00C03848" w:rsidRDefault="00971249" w:rsidP="008B76F2">
      <w:pPr>
        <w:spacing w:after="0" w:line="240" w:lineRule="auto"/>
        <w:jc w:val="center"/>
        <w:textAlignment w:val="baseline"/>
        <w:rPr>
          <w:rFonts w:ascii="Times New Roman" w:eastAsia="Times New Roman" w:hAnsi="Times New Roman" w:cs="Times New Roman"/>
          <w:bCs/>
          <w:sz w:val="24"/>
          <w:szCs w:val="24"/>
          <w:lang w:val="uk-UA"/>
        </w:rPr>
      </w:pPr>
    </w:p>
    <w:p w:rsidR="00C07AC9" w:rsidRPr="00C03848" w:rsidRDefault="00C07AC9" w:rsidP="008B76F2">
      <w:pPr>
        <w:pStyle w:val="HTMLPreformatted"/>
        <w:shd w:val="clear" w:color="auto" w:fill="FFFFFF"/>
        <w:textAlignment w:val="baseline"/>
        <w:rPr>
          <w:rFonts w:ascii="Times New Roman" w:hAnsi="Times New Roman" w:cs="Times New Roman"/>
          <w:sz w:val="24"/>
          <w:szCs w:val="24"/>
        </w:rPr>
      </w:pPr>
      <w:r w:rsidRPr="00C03848">
        <w:rPr>
          <w:rFonts w:ascii="Times New Roman" w:hAnsi="Times New Roman" w:cs="Times New Roman"/>
          <w:sz w:val="24"/>
          <w:szCs w:val="24"/>
        </w:rPr>
        <w:t xml:space="preserve">ЄВРОПЕЙСЬКИЙ ПАРЛАМЕНТ ТА РАДА ЄВРОПЕЙСЬКОГО СПІВТОВАРИСТВА, </w:t>
      </w:r>
    </w:p>
    <w:p w:rsidR="00C07AC9" w:rsidRPr="00C03848" w:rsidRDefault="00C07AC9" w:rsidP="008B76F2">
      <w:pPr>
        <w:pStyle w:val="HTMLPreformatted"/>
        <w:shd w:val="clear" w:color="auto" w:fill="FFFFFF"/>
        <w:textAlignment w:val="baseline"/>
        <w:rPr>
          <w:rFonts w:ascii="Times New Roman" w:hAnsi="Times New Roman" w:cs="Times New Roman"/>
          <w:sz w:val="24"/>
          <w:szCs w:val="24"/>
        </w:rPr>
      </w:pPr>
    </w:p>
    <w:p w:rsidR="00C07AC9" w:rsidRPr="00C03848" w:rsidRDefault="00C07AC9" w:rsidP="008B76F2">
      <w:pPr>
        <w:pStyle w:val="HTMLPreformatted"/>
        <w:shd w:val="clear" w:color="auto" w:fill="FFFFFF"/>
        <w:textAlignment w:val="baseline"/>
        <w:rPr>
          <w:rFonts w:ascii="Times New Roman" w:hAnsi="Times New Roman" w:cs="Times New Roman"/>
          <w:sz w:val="24"/>
          <w:szCs w:val="24"/>
        </w:rPr>
      </w:pPr>
      <w:r w:rsidRPr="00C03848">
        <w:rPr>
          <w:rFonts w:ascii="Times New Roman" w:hAnsi="Times New Roman" w:cs="Times New Roman"/>
          <w:sz w:val="24"/>
          <w:szCs w:val="24"/>
        </w:rPr>
        <w:t xml:space="preserve">Приймаючи до уваги </w:t>
      </w:r>
      <w:r w:rsidRPr="00C03848">
        <w:rPr>
          <w:rStyle w:val="mw-headline"/>
          <w:rFonts w:ascii="Times New Roman" w:hAnsi="Times New Roman" w:cs="Times New Roman"/>
          <w:sz w:val="24"/>
          <w:szCs w:val="24"/>
        </w:rPr>
        <w:t>Договір про функціонування Європейського Союзу</w:t>
      </w:r>
      <w:r w:rsidRPr="00C03848">
        <w:rPr>
          <w:rFonts w:ascii="Times New Roman" w:hAnsi="Times New Roman" w:cs="Times New Roman"/>
          <w:sz w:val="24"/>
          <w:szCs w:val="24"/>
        </w:rPr>
        <w:t xml:space="preserve"> та, зокрема, його Статтю 114, </w:t>
      </w:r>
      <w:r w:rsidRPr="00C03848">
        <w:rPr>
          <w:rFonts w:ascii="Times New Roman" w:hAnsi="Times New Roman" w:cs="Times New Roman"/>
          <w:sz w:val="24"/>
          <w:szCs w:val="24"/>
        </w:rPr>
        <w:br/>
        <w:t xml:space="preserve">Приймаючи до уваги пропозицію Європейської Комісії, </w:t>
      </w:r>
      <w:r w:rsidRPr="00C03848">
        <w:rPr>
          <w:rFonts w:ascii="Times New Roman" w:hAnsi="Times New Roman" w:cs="Times New Roman"/>
          <w:sz w:val="24"/>
          <w:szCs w:val="24"/>
        </w:rPr>
        <w:br/>
      </w:r>
      <w:bookmarkStart w:id="0" w:name="o6"/>
      <w:bookmarkEnd w:id="0"/>
      <w:r w:rsidRPr="00C03848">
        <w:rPr>
          <w:rFonts w:ascii="Times New Roman" w:hAnsi="Times New Roman" w:cs="Times New Roman"/>
          <w:sz w:val="24"/>
          <w:szCs w:val="24"/>
        </w:rPr>
        <w:t xml:space="preserve">Після передачі проекту законодавчого акту до національних парламентів, </w:t>
      </w:r>
    </w:p>
    <w:p w:rsidR="00C07AC9" w:rsidRPr="00C03848" w:rsidRDefault="00C07AC9" w:rsidP="008B76F2">
      <w:pPr>
        <w:pStyle w:val="HTMLPreformatted"/>
        <w:shd w:val="clear" w:color="auto" w:fill="FFFFFF"/>
        <w:textAlignment w:val="baseline"/>
        <w:rPr>
          <w:rFonts w:ascii="Times New Roman" w:hAnsi="Times New Roman" w:cs="Times New Roman"/>
          <w:sz w:val="24"/>
          <w:szCs w:val="24"/>
        </w:rPr>
      </w:pPr>
      <w:r w:rsidRPr="00C03848">
        <w:rPr>
          <w:rFonts w:ascii="Times New Roman" w:hAnsi="Times New Roman" w:cs="Times New Roman"/>
          <w:sz w:val="24"/>
          <w:szCs w:val="24"/>
        </w:rPr>
        <w:t>Приймаючи до уваги висновок Європейського Центрального Банку</w:t>
      </w:r>
      <w:hyperlink r:id="rId8" w:anchor="ntr1-L_2015141EN.01007301-E0001" w:history="1">
        <w:r w:rsidRPr="00C03848">
          <w:rPr>
            <w:rStyle w:val="Hyperlink"/>
            <w:rFonts w:ascii="Times New Roman" w:hAnsi="Times New Roman" w:cs="Times New Roman"/>
            <w:color w:val="auto"/>
            <w:sz w:val="24"/>
            <w:szCs w:val="24"/>
            <w:u w:val="none"/>
            <w:bdr w:val="none" w:sz="0" w:space="0" w:color="auto" w:frame="1"/>
          </w:rPr>
          <w:t> (</w:t>
        </w:r>
        <w:r w:rsidRPr="00C03848">
          <w:rPr>
            <w:rStyle w:val="super"/>
            <w:rFonts w:ascii="Times New Roman" w:hAnsi="Times New Roman" w:cs="Times New Roman"/>
            <w:sz w:val="24"/>
            <w:szCs w:val="24"/>
            <w:bdr w:val="none" w:sz="0" w:space="0" w:color="auto" w:frame="1"/>
          </w:rPr>
          <w:t>1</w:t>
        </w:r>
        <w:r w:rsidRPr="00C03848">
          <w:rPr>
            <w:rStyle w:val="Hyperlink"/>
            <w:rFonts w:ascii="Times New Roman" w:hAnsi="Times New Roman" w:cs="Times New Roman"/>
            <w:color w:val="auto"/>
            <w:sz w:val="24"/>
            <w:szCs w:val="24"/>
            <w:u w:val="none"/>
            <w:bdr w:val="none" w:sz="0" w:space="0" w:color="auto" w:frame="1"/>
          </w:rPr>
          <w:t>)</w:t>
        </w:r>
      </w:hyperlink>
      <w:r w:rsidRPr="00C03848">
        <w:rPr>
          <w:rFonts w:ascii="Times New Roman" w:hAnsi="Times New Roman" w:cs="Times New Roman"/>
          <w:sz w:val="24"/>
          <w:szCs w:val="24"/>
        </w:rPr>
        <w:t>,</w:t>
      </w:r>
      <w:r w:rsidRPr="00C03848">
        <w:rPr>
          <w:rFonts w:ascii="Times New Roman" w:hAnsi="Times New Roman" w:cs="Times New Roman"/>
          <w:sz w:val="24"/>
          <w:szCs w:val="24"/>
        </w:rPr>
        <w:br/>
        <w:t xml:space="preserve">Приймаючи до уваги висновок </w:t>
      </w:r>
      <w:r w:rsidRPr="00C03848">
        <w:rPr>
          <w:rFonts w:ascii="Times New Roman" w:hAnsi="Times New Roman" w:cs="Times New Roman"/>
          <w:sz w:val="24"/>
          <w:szCs w:val="24"/>
          <w:shd w:val="clear" w:color="auto" w:fill="FFFFFF"/>
        </w:rPr>
        <w:t>Європейського економічного та соціального</w:t>
      </w:r>
      <w:hyperlink r:id="rId9" w:anchor="ntr2-L_2015141EN.01007301-E0002" w:history="1">
        <w:r w:rsidRPr="00C03848">
          <w:rPr>
            <w:rStyle w:val="Hyperlink"/>
            <w:rFonts w:ascii="Times New Roman" w:hAnsi="Times New Roman" w:cs="Times New Roman"/>
            <w:color w:val="auto"/>
            <w:sz w:val="24"/>
            <w:szCs w:val="24"/>
            <w:u w:val="none"/>
            <w:bdr w:val="none" w:sz="0" w:space="0" w:color="auto" w:frame="1"/>
          </w:rPr>
          <w:t> (</w:t>
        </w:r>
        <w:r w:rsidRPr="00C03848">
          <w:rPr>
            <w:rStyle w:val="super"/>
            <w:rFonts w:ascii="Times New Roman" w:hAnsi="Times New Roman" w:cs="Times New Roman"/>
            <w:sz w:val="24"/>
            <w:szCs w:val="24"/>
            <w:bdr w:val="none" w:sz="0" w:space="0" w:color="auto" w:frame="1"/>
          </w:rPr>
          <w:t>2</w:t>
        </w:r>
        <w:r w:rsidRPr="00C03848">
          <w:rPr>
            <w:rStyle w:val="Hyperlink"/>
            <w:rFonts w:ascii="Times New Roman" w:hAnsi="Times New Roman" w:cs="Times New Roman"/>
            <w:color w:val="auto"/>
            <w:sz w:val="24"/>
            <w:szCs w:val="24"/>
            <w:u w:val="none"/>
            <w:bdr w:val="none" w:sz="0" w:space="0" w:color="auto" w:frame="1"/>
          </w:rPr>
          <w:t>)</w:t>
        </w:r>
      </w:hyperlink>
      <w:r w:rsidRPr="00C03848">
        <w:rPr>
          <w:rFonts w:ascii="Times New Roman" w:hAnsi="Times New Roman" w:cs="Times New Roman"/>
          <w:sz w:val="24"/>
          <w:szCs w:val="24"/>
        </w:rPr>
        <w:t>,</w:t>
      </w:r>
    </w:p>
    <w:p w:rsidR="00C07AC9" w:rsidRPr="00C03848" w:rsidRDefault="00C07AC9" w:rsidP="008B76F2">
      <w:pPr>
        <w:pStyle w:val="HTMLPreformatted"/>
        <w:shd w:val="clear" w:color="auto" w:fill="FFFFFF"/>
        <w:textAlignment w:val="baseline"/>
        <w:rPr>
          <w:rFonts w:ascii="Times New Roman" w:hAnsi="Times New Roman" w:cs="Times New Roman"/>
          <w:sz w:val="24"/>
          <w:szCs w:val="24"/>
        </w:rPr>
      </w:pPr>
      <w:bookmarkStart w:id="1" w:name="o7"/>
      <w:bookmarkStart w:id="2" w:name="o9"/>
      <w:bookmarkEnd w:id="1"/>
      <w:bookmarkEnd w:id="2"/>
      <w:r w:rsidRPr="00C03848">
        <w:rPr>
          <w:rFonts w:ascii="Times New Roman" w:hAnsi="Times New Roman" w:cs="Times New Roman"/>
          <w:sz w:val="24"/>
          <w:szCs w:val="24"/>
        </w:rPr>
        <w:t>Діючи у відповідності зі звичайною законодавчою процедурою</w:t>
      </w:r>
      <w:hyperlink r:id="rId10" w:anchor="ntr3-L_2015141EN.01007301-E0003" w:history="1">
        <w:r w:rsidRPr="00C03848">
          <w:rPr>
            <w:rStyle w:val="Hyperlink"/>
            <w:rFonts w:ascii="Times New Roman" w:hAnsi="Times New Roman" w:cs="Times New Roman"/>
            <w:color w:val="auto"/>
            <w:sz w:val="24"/>
            <w:szCs w:val="24"/>
            <w:u w:val="none"/>
            <w:bdr w:val="none" w:sz="0" w:space="0" w:color="auto" w:frame="1"/>
          </w:rPr>
          <w:t> (</w:t>
        </w:r>
        <w:r w:rsidRPr="00C03848">
          <w:rPr>
            <w:rStyle w:val="super"/>
            <w:rFonts w:ascii="Times New Roman" w:hAnsi="Times New Roman" w:cs="Times New Roman"/>
            <w:sz w:val="24"/>
            <w:szCs w:val="24"/>
            <w:bdr w:val="none" w:sz="0" w:space="0" w:color="auto" w:frame="1"/>
          </w:rPr>
          <w:t>3</w:t>
        </w:r>
        <w:r w:rsidRPr="00C03848">
          <w:rPr>
            <w:rStyle w:val="Hyperlink"/>
            <w:rFonts w:ascii="Times New Roman" w:hAnsi="Times New Roman" w:cs="Times New Roman"/>
            <w:color w:val="auto"/>
            <w:sz w:val="24"/>
            <w:szCs w:val="24"/>
            <w:u w:val="none"/>
            <w:bdr w:val="none" w:sz="0" w:space="0" w:color="auto" w:frame="1"/>
          </w:rPr>
          <w:t>)</w:t>
        </w:r>
      </w:hyperlink>
      <w:r w:rsidRPr="00C03848">
        <w:rPr>
          <w:rFonts w:ascii="Times New Roman" w:hAnsi="Times New Roman" w:cs="Times New Roman"/>
          <w:sz w:val="24"/>
          <w:szCs w:val="24"/>
        </w:rPr>
        <w:t>,</w:t>
      </w:r>
      <w:r w:rsidRPr="00C03848">
        <w:rPr>
          <w:rFonts w:ascii="Times New Roman" w:hAnsi="Times New Roman" w:cs="Times New Roman"/>
          <w:sz w:val="24"/>
          <w:szCs w:val="24"/>
        </w:rPr>
        <w:br/>
      </w:r>
    </w:p>
    <w:p w:rsidR="00C07AC9" w:rsidRPr="00C03848" w:rsidRDefault="00C07AC9" w:rsidP="008B76F2">
      <w:pPr>
        <w:spacing w:after="0" w:line="240" w:lineRule="auto"/>
        <w:jc w:val="both"/>
        <w:textAlignment w:val="baseline"/>
        <w:rPr>
          <w:rFonts w:ascii="Times New Roman" w:hAnsi="Times New Roman" w:cs="Times New Roman"/>
          <w:sz w:val="24"/>
          <w:szCs w:val="24"/>
          <w:lang w:val="uk-UA"/>
        </w:rPr>
      </w:pPr>
      <w:bookmarkStart w:id="3" w:name="o12"/>
      <w:bookmarkEnd w:id="3"/>
      <w:r w:rsidRPr="00C03848">
        <w:rPr>
          <w:rFonts w:ascii="Times New Roman" w:hAnsi="Times New Roman" w:cs="Times New Roman"/>
          <w:sz w:val="24"/>
          <w:szCs w:val="24"/>
          <w:lang w:val="uk-UA"/>
        </w:rPr>
        <w:t>Ураховуючи, що:</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2C54D7" w:rsidP="008B76F2">
            <w:pPr>
              <w:pStyle w:val="1"/>
              <w:spacing w:before="0" w:beforeAutospacing="0" w:after="0" w:afterAutospacing="0"/>
              <w:jc w:val="both"/>
              <w:textAlignment w:val="baseline"/>
              <w:rPr>
                <w:lang w:val="uk-UA"/>
              </w:rPr>
            </w:pPr>
            <w:r w:rsidRPr="00C03848">
              <w:rPr>
                <w:lang w:val="uk-UA"/>
              </w:rPr>
              <w:t>Потоки незаконних грошей можуть призвести до пошкодження цілісності, стабільності та репутації фінансового сектору та поставити під загрозу функціонування внутрішнього ринку Союзу, а також міжнародного розвитку.</w:t>
            </w:r>
            <w:r w:rsidR="00132904" w:rsidRPr="00C03848">
              <w:rPr>
                <w:lang w:val="uk-UA"/>
              </w:rPr>
              <w:t xml:space="preserve"> Відмивання грошей, фінансування</w:t>
            </w:r>
            <w:r w:rsidRPr="00C03848">
              <w:rPr>
                <w:lang w:val="uk-UA"/>
              </w:rPr>
              <w:t xml:space="preserve"> тероризму та організован</w:t>
            </w:r>
            <w:r w:rsidR="00132904" w:rsidRPr="00C03848">
              <w:rPr>
                <w:lang w:val="uk-UA"/>
              </w:rPr>
              <w:t>а</w:t>
            </w:r>
            <w:r w:rsidRPr="00C03848">
              <w:rPr>
                <w:lang w:val="uk-UA"/>
              </w:rPr>
              <w:t xml:space="preserve"> злоч</w:t>
            </w:r>
            <w:r w:rsidR="00132904" w:rsidRPr="00C03848">
              <w:rPr>
                <w:lang w:val="uk-UA"/>
              </w:rPr>
              <w:t>инні</w:t>
            </w:r>
            <w:r w:rsidRPr="00C03848">
              <w:rPr>
                <w:lang w:val="uk-UA"/>
              </w:rPr>
              <w:t>ст</w:t>
            </w:r>
            <w:r w:rsidR="00132904" w:rsidRPr="00C03848">
              <w:rPr>
                <w:lang w:val="uk-UA"/>
              </w:rPr>
              <w:t>ь</w:t>
            </w:r>
            <w:r w:rsidRPr="00C03848">
              <w:rPr>
                <w:lang w:val="uk-UA"/>
              </w:rPr>
              <w:t xml:space="preserve"> залишаються </w:t>
            </w:r>
            <w:r w:rsidR="00132904" w:rsidRPr="00C03848">
              <w:rPr>
                <w:lang w:val="uk-UA"/>
              </w:rPr>
              <w:t>істотними</w:t>
            </w:r>
            <w:r w:rsidRPr="00C03848">
              <w:rPr>
                <w:lang w:val="uk-UA"/>
              </w:rPr>
              <w:t xml:space="preserve"> проблем</w:t>
            </w:r>
            <w:r w:rsidR="00132904" w:rsidRPr="00C03848">
              <w:rPr>
                <w:lang w:val="uk-UA"/>
              </w:rPr>
              <w:t>ам</w:t>
            </w:r>
            <w:r w:rsidRPr="00C03848">
              <w:rPr>
                <w:lang w:val="uk-UA"/>
              </w:rPr>
              <w:t xml:space="preserve">и, які необхідно вирішувати на рівні Союзу. </w:t>
            </w:r>
            <w:r w:rsidR="00132904" w:rsidRPr="00C03848">
              <w:rPr>
                <w:lang w:val="uk-UA"/>
              </w:rPr>
              <w:t>Крім</w:t>
            </w:r>
            <w:r w:rsidRPr="00C03848">
              <w:rPr>
                <w:lang w:val="uk-UA"/>
              </w:rPr>
              <w:t xml:space="preserve"> подальшого роз</w:t>
            </w:r>
            <w:r w:rsidR="00132904" w:rsidRPr="00C03848">
              <w:rPr>
                <w:lang w:val="uk-UA"/>
              </w:rPr>
              <w:t>роблення</w:t>
            </w:r>
            <w:r w:rsidRPr="00C03848">
              <w:rPr>
                <w:lang w:val="uk-UA"/>
              </w:rPr>
              <w:t xml:space="preserve"> підходу</w:t>
            </w:r>
            <w:r w:rsidR="00132904" w:rsidRPr="00C03848">
              <w:rPr>
                <w:lang w:val="uk-UA"/>
              </w:rPr>
              <w:t xml:space="preserve"> до</w:t>
            </w:r>
            <w:r w:rsidRPr="00C03848">
              <w:rPr>
                <w:lang w:val="uk-UA"/>
              </w:rPr>
              <w:t xml:space="preserve"> кримінального права на рівні Союзу, </w:t>
            </w:r>
            <w:r w:rsidR="00132904" w:rsidRPr="00C03848">
              <w:rPr>
                <w:lang w:val="uk-UA"/>
              </w:rPr>
              <w:t xml:space="preserve">необхідним є </w:t>
            </w:r>
            <w:r w:rsidRPr="00C03848">
              <w:rPr>
                <w:lang w:val="uk-UA"/>
              </w:rPr>
              <w:t>цілеспрямован</w:t>
            </w:r>
            <w:r w:rsidR="00132904" w:rsidRPr="00C03848">
              <w:rPr>
                <w:lang w:val="uk-UA"/>
              </w:rPr>
              <w:t>е</w:t>
            </w:r>
            <w:r w:rsidRPr="00C03848">
              <w:rPr>
                <w:lang w:val="uk-UA"/>
              </w:rPr>
              <w:t xml:space="preserve"> </w:t>
            </w:r>
            <w:r w:rsidR="00132904" w:rsidRPr="00C03848">
              <w:rPr>
                <w:lang w:val="uk-UA"/>
              </w:rPr>
              <w:t>та</w:t>
            </w:r>
            <w:r w:rsidRPr="00C03848">
              <w:rPr>
                <w:lang w:val="uk-UA"/>
              </w:rPr>
              <w:t xml:space="preserve"> пропорційн</w:t>
            </w:r>
            <w:r w:rsidR="00132904" w:rsidRPr="00C03848">
              <w:rPr>
                <w:lang w:val="uk-UA"/>
              </w:rPr>
              <w:t>е</w:t>
            </w:r>
            <w:r w:rsidRPr="00C03848">
              <w:rPr>
                <w:lang w:val="uk-UA"/>
              </w:rPr>
              <w:t xml:space="preserve"> запобігання використанню фінансової системи для цілей відмивання грошей та фінансування тероризму </w:t>
            </w:r>
            <w:r w:rsidR="00132904" w:rsidRPr="00C03848">
              <w:rPr>
                <w:lang w:val="uk-UA"/>
              </w:rPr>
              <w:t>та може сприя</w:t>
            </w:r>
            <w:r w:rsidRPr="00C03848">
              <w:rPr>
                <w:lang w:val="uk-UA"/>
              </w:rPr>
              <w:t xml:space="preserve">ти </w:t>
            </w:r>
            <w:r w:rsidR="00132904" w:rsidRPr="00C03848">
              <w:rPr>
                <w:lang w:val="uk-UA"/>
              </w:rPr>
              <w:t xml:space="preserve">досягненню </w:t>
            </w:r>
            <w:r w:rsidRPr="00C03848">
              <w:rPr>
                <w:lang w:val="uk-UA"/>
              </w:rPr>
              <w:t>додатков</w:t>
            </w:r>
            <w:r w:rsidR="00132904" w:rsidRPr="00C03848">
              <w:rPr>
                <w:lang w:val="uk-UA"/>
              </w:rPr>
              <w:t>их взаємодоповнюючих</w:t>
            </w:r>
            <w:r w:rsidRPr="00C03848">
              <w:rPr>
                <w:lang w:val="uk-UA"/>
              </w:rPr>
              <w:t xml:space="preserve"> результат</w:t>
            </w:r>
            <w:r w:rsidR="00132904" w:rsidRPr="00C03848">
              <w:rPr>
                <w:lang w:val="uk-UA"/>
              </w:rPr>
              <w:t>ів</w:t>
            </w:r>
            <w:r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61F4" w:rsidRPr="00C03848" w:rsidRDefault="005961F4" w:rsidP="008B76F2">
            <w:pPr>
              <w:pStyle w:val="1"/>
              <w:spacing w:before="0" w:beforeAutospacing="0" w:after="0" w:afterAutospacing="0"/>
              <w:jc w:val="both"/>
              <w:textAlignment w:val="baseline"/>
              <w:rPr>
                <w:lang w:val="uk-UA"/>
              </w:rPr>
            </w:pPr>
            <w:r w:rsidRPr="00C03848">
              <w:rPr>
                <w:lang w:val="uk-UA"/>
              </w:rPr>
              <w:t>Ефективність, цілісність та стабільність кредитних організацій і фінансових інститутів, та впевненість у фінансовій системі в цілому можуть бути серйозно поставлені під загрозу зусиллями злочинців та їхніх пособників приховати походження доходів, одержаних злочинним шляхом, або направляти законн</w:t>
            </w:r>
            <w:r w:rsidR="00765A0C" w:rsidRPr="00C03848">
              <w:rPr>
                <w:lang w:val="uk-UA"/>
              </w:rPr>
              <w:t>і</w:t>
            </w:r>
            <w:r w:rsidRPr="00C03848">
              <w:rPr>
                <w:lang w:val="uk-UA"/>
              </w:rPr>
              <w:t xml:space="preserve"> або незаконн</w:t>
            </w:r>
            <w:r w:rsidR="00765A0C" w:rsidRPr="00C03848">
              <w:rPr>
                <w:lang w:val="uk-UA"/>
              </w:rPr>
              <w:t>і гроші для цілей фінансування</w:t>
            </w:r>
            <w:r w:rsidRPr="00C03848">
              <w:rPr>
                <w:lang w:val="uk-UA"/>
              </w:rPr>
              <w:t xml:space="preserve"> терори</w:t>
            </w:r>
            <w:r w:rsidR="00765A0C" w:rsidRPr="00C03848">
              <w:rPr>
                <w:lang w:val="uk-UA"/>
              </w:rPr>
              <w:t>зму</w:t>
            </w:r>
            <w:r w:rsidRPr="00C03848">
              <w:rPr>
                <w:lang w:val="uk-UA"/>
              </w:rPr>
              <w:t xml:space="preserve">. Для </w:t>
            </w:r>
            <w:r w:rsidR="00765A0C" w:rsidRPr="00C03848">
              <w:rPr>
                <w:lang w:val="uk-UA"/>
              </w:rPr>
              <w:t>здійснення</w:t>
            </w:r>
            <w:r w:rsidRPr="00C03848">
              <w:rPr>
                <w:lang w:val="uk-UA"/>
              </w:rPr>
              <w:t xml:space="preserve"> їх злочинної діяльності, </w:t>
            </w:r>
            <w:r w:rsidR="00765A0C" w:rsidRPr="00C03848">
              <w:rPr>
                <w:lang w:val="uk-UA"/>
              </w:rPr>
              <w:t>особи, які займаються відмиванням грошей та</w:t>
            </w:r>
            <w:r w:rsidRPr="00C03848">
              <w:rPr>
                <w:lang w:val="uk-UA"/>
              </w:rPr>
              <w:t xml:space="preserve"> фінанс</w:t>
            </w:r>
            <w:r w:rsidR="00765A0C" w:rsidRPr="00C03848">
              <w:rPr>
                <w:lang w:val="uk-UA"/>
              </w:rPr>
              <w:t>уванням</w:t>
            </w:r>
            <w:r w:rsidRPr="00C03848">
              <w:rPr>
                <w:lang w:val="uk-UA"/>
              </w:rPr>
              <w:t xml:space="preserve"> тероризму</w:t>
            </w:r>
            <w:r w:rsidR="00765A0C" w:rsidRPr="00C03848">
              <w:rPr>
                <w:lang w:val="uk-UA"/>
              </w:rPr>
              <w:t>,</w:t>
            </w:r>
            <w:r w:rsidRPr="00C03848">
              <w:rPr>
                <w:lang w:val="uk-UA"/>
              </w:rPr>
              <w:t xml:space="preserve"> мож</w:t>
            </w:r>
            <w:r w:rsidR="00765A0C" w:rsidRPr="00C03848">
              <w:rPr>
                <w:lang w:val="uk-UA"/>
              </w:rPr>
              <w:t>уть</w:t>
            </w:r>
            <w:r w:rsidRPr="00C03848">
              <w:rPr>
                <w:lang w:val="uk-UA"/>
              </w:rPr>
              <w:t xml:space="preserve"> спробувати скористатися свободою руху капіталу та свобод</w:t>
            </w:r>
            <w:r w:rsidR="00765A0C" w:rsidRPr="00C03848">
              <w:rPr>
                <w:lang w:val="uk-UA"/>
              </w:rPr>
              <w:t>ою</w:t>
            </w:r>
            <w:r w:rsidRPr="00C03848">
              <w:rPr>
                <w:lang w:val="uk-UA"/>
              </w:rPr>
              <w:t xml:space="preserve"> на</w:t>
            </w:r>
            <w:r w:rsidR="00765A0C" w:rsidRPr="00C03848">
              <w:rPr>
                <w:lang w:val="uk-UA"/>
              </w:rPr>
              <w:t xml:space="preserve">дання фінансових послуг, якими дозволяє користатись </w:t>
            </w:r>
            <w:r w:rsidRPr="00C03848">
              <w:rPr>
                <w:lang w:val="uk-UA"/>
              </w:rPr>
              <w:t>інтегрован</w:t>
            </w:r>
            <w:r w:rsidR="00765A0C" w:rsidRPr="00C03848">
              <w:rPr>
                <w:lang w:val="uk-UA"/>
              </w:rPr>
              <w:t>а</w:t>
            </w:r>
            <w:r w:rsidRPr="00C03848">
              <w:rPr>
                <w:lang w:val="uk-UA"/>
              </w:rPr>
              <w:t xml:space="preserve"> фінансов</w:t>
            </w:r>
            <w:r w:rsidR="00765A0C" w:rsidRPr="00C03848">
              <w:rPr>
                <w:lang w:val="uk-UA"/>
              </w:rPr>
              <w:t>а</w:t>
            </w:r>
            <w:r w:rsidRPr="00C03848">
              <w:rPr>
                <w:lang w:val="uk-UA"/>
              </w:rPr>
              <w:t xml:space="preserve"> </w:t>
            </w:r>
            <w:r w:rsidR="00765A0C" w:rsidRPr="00C03848">
              <w:rPr>
                <w:lang w:val="uk-UA"/>
              </w:rPr>
              <w:t>територія Союзу</w:t>
            </w:r>
            <w:r w:rsidRPr="00C03848">
              <w:rPr>
                <w:lang w:val="uk-UA"/>
              </w:rPr>
              <w:t xml:space="preserve">. Таким чином, </w:t>
            </w:r>
            <w:r w:rsidR="00765A0C" w:rsidRPr="00C03848">
              <w:rPr>
                <w:lang w:val="uk-UA"/>
              </w:rPr>
              <w:t xml:space="preserve">необхідно застосовувати </w:t>
            </w:r>
            <w:r w:rsidRPr="00C03848">
              <w:rPr>
                <w:lang w:val="uk-UA"/>
              </w:rPr>
              <w:t xml:space="preserve">певні координаційні </w:t>
            </w:r>
            <w:r w:rsidR="00765A0C" w:rsidRPr="00C03848">
              <w:rPr>
                <w:lang w:val="uk-UA"/>
              </w:rPr>
              <w:t xml:space="preserve">заходи </w:t>
            </w:r>
            <w:r w:rsidRPr="00C03848">
              <w:rPr>
                <w:lang w:val="uk-UA"/>
              </w:rPr>
              <w:t>на рівні Союзу. У той же час, цілі захисту суспільства від злочинності та захисту стабільності і цілісності фінансової системи Союзу повинні бути збалансовані з необхідніс</w:t>
            </w:r>
            <w:r w:rsidR="00765A0C" w:rsidRPr="00C03848">
              <w:rPr>
                <w:lang w:val="uk-UA"/>
              </w:rPr>
              <w:t>тю створення нормативно-правового середовища</w:t>
            </w:r>
            <w:r w:rsidRPr="00C03848">
              <w:rPr>
                <w:lang w:val="uk-UA"/>
              </w:rPr>
              <w:t>, що дозволяє компаніям розвивати свій бізнес</w:t>
            </w:r>
            <w:r w:rsidR="00765A0C" w:rsidRPr="00C03848">
              <w:rPr>
                <w:lang w:val="uk-UA"/>
              </w:rPr>
              <w:t xml:space="preserve"> без необхідності нести</w:t>
            </w:r>
            <w:r w:rsidRPr="00C03848">
              <w:rPr>
                <w:lang w:val="uk-UA"/>
              </w:rPr>
              <w:t xml:space="preserve"> непропорційн</w:t>
            </w:r>
            <w:r w:rsidR="00765A0C" w:rsidRPr="00C03848">
              <w:rPr>
                <w:lang w:val="uk-UA"/>
              </w:rPr>
              <w:t>і</w:t>
            </w:r>
            <w:r w:rsidRPr="00C03848">
              <w:rPr>
                <w:lang w:val="uk-UA"/>
              </w:rPr>
              <w:t xml:space="preserve"> витрати на дотримання вимог.</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08283D" w:rsidP="00AF42CF">
            <w:pPr>
              <w:pStyle w:val="1"/>
              <w:spacing w:before="0" w:beforeAutospacing="0" w:after="0" w:afterAutospacing="0"/>
              <w:jc w:val="both"/>
              <w:textAlignment w:val="baseline"/>
              <w:rPr>
                <w:lang w:val="uk-UA"/>
              </w:rPr>
            </w:pPr>
            <w:r w:rsidRPr="00C03848">
              <w:rPr>
                <w:lang w:val="uk-UA"/>
              </w:rPr>
              <w:t xml:space="preserve">Дана </w:t>
            </w:r>
            <w:r w:rsidR="002C54D7" w:rsidRPr="00C03848">
              <w:rPr>
                <w:lang w:val="uk-UA"/>
              </w:rPr>
              <w:t>Директива</w:t>
            </w:r>
            <w:r w:rsidR="00C07AC9" w:rsidRPr="00C03848">
              <w:rPr>
                <w:lang w:val="uk-UA"/>
              </w:rPr>
              <w:t xml:space="preserve"> </w:t>
            </w:r>
            <w:r w:rsidR="00765A0C" w:rsidRPr="00C03848">
              <w:rPr>
                <w:lang w:val="uk-UA"/>
              </w:rPr>
              <w:t xml:space="preserve">є четвертою </w:t>
            </w:r>
            <w:r w:rsidR="002C54D7" w:rsidRPr="00C03848">
              <w:rPr>
                <w:lang w:val="uk-UA"/>
              </w:rPr>
              <w:t>Директи</w:t>
            </w:r>
            <w:r w:rsidR="00765A0C" w:rsidRPr="00C03848">
              <w:rPr>
                <w:lang w:val="uk-UA"/>
              </w:rPr>
              <w:t xml:space="preserve">вою, яка спрямована на запобігання загрози відмивання грошей. </w:t>
            </w:r>
            <w:r w:rsidR="002C54D7" w:rsidRPr="00C03848">
              <w:rPr>
                <w:lang w:val="uk-UA"/>
              </w:rPr>
              <w:t>Директива</w:t>
            </w:r>
            <w:r w:rsidR="00765A0C" w:rsidRPr="00C03848">
              <w:rPr>
                <w:lang w:val="uk-UA"/>
              </w:rPr>
              <w:t xml:space="preserve"> Ради</w:t>
            </w:r>
            <w:r w:rsidR="00C07AC9" w:rsidRPr="00C03848">
              <w:rPr>
                <w:lang w:val="uk-UA"/>
              </w:rPr>
              <w:t xml:space="preserve"> 91/308/EEC</w:t>
            </w:r>
            <w:hyperlink r:id="rId11" w:anchor="ntr4-L_2015141EN.01007301-E0004" w:history="1">
              <w:r w:rsidR="00C07AC9" w:rsidRPr="00C03848">
                <w:rPr>
                  <w:rStyle w:val="Hyperlink"/>
                  <w:color w:val="auto"/>
                  <w:u w:val="none"/>
                  <w:bdr w:val="none" w:sz="0" w:space="0" w:color="auto" w:frame="1"/>
                  <w:lang w:val="uk-UA"/>
                </w:rPr>
                <w:t> (</w:t>
              </w:r>
              <w:r w:rsidR="00C07AC9" w:rsidRPr="00C03848">
                <w:rPr>
                  <w:rStyle w:val="super"/>
                  <w:sz w:val="24"/>
                  <w:szCs w:val="24"/>
                  <w:bdr w:val="none" w:sz="0" w:space="0" w:color="auto" w:frame="1"/>
                  <w:lang w:val="uk-UA"/>
                </w:rPr>
                <w:t>4</w:t>
              </w:r>
              <w:r w:rsidR="00C07AC9" w:rsidRPr="00C03848">
                <w:rPr>
                  <w:rStyle w:val="Hyperlink"/>
                  <w:color w:val="auto"/>
                  <w:u w:val="none"/>
                  <w:bdr w:val="none" w:sz="0" w:space="0" w:color="auto" w:frame="1"/>
                  <w:lang w:val="uk-UA"/>
                </w:rPr>
                <w:t>)</w:t>
              </w:r>
            </w:hyperlink>
            <w:r w:rsidR="00C07AC9" w:rsidRPr="00C03848">
              <w:rPr>
                <w:rStyle w:val="apple-converted-space"/>
                <w:lang w:val="uk-UA"/>
              </w:rPr>
              <w:t> </w:t>
            </w:r>
            <w:r w:rsidR="00D50C80" w:rsidRPr="00C03848">
              <w:rPr>
                <w:rStyle w:val="apple-converted-space"/>
                <w:lang w:val="uk-UA"/>
              </w:rPr>
              <w:t>визначала відмивання грошей з точки зору правопорушень, пов’язаних з наркотиками, і накладала зобов'язання виключно на фінансовий сектор.</w:t>
            </w:r>
            <w:r w:rsidR="00AF42CF" w:rsidRPr="00C03848">
              <w:rPr>
                <w:rStyle w:val="apple-converted-space"/>
                <w:lang w:val="uk-UA"/>
              </w:rPr>
              <w:t xml:space="preserve"> </w:t>
            </w:r>
            <w:r w:rsidR="002C54D7" w:rsidRPr="00C03848">
              <w:rPr>
                <w:lang w:val="uk-UA"/>
              </w:rPr>
              <w:t>Директива</w:t>
            </w:r>
            <w:r w:rsidR="008D558B" w:rsidRPr="00C03848">
              <w:rPr>
                <w:lang w:val="uk-UA"/>
              </w:rPr>
              <w:t xml:space="preserve"> 2001/97/EC </w:t>
            </w:r>
            <w:r w:rsidR="00D50C80" w:rsidRPr="00C03848">
              <w:rPr>
                <w:lang w:val="uk-UA"/>
              </w:rPr>
              <w:t>Європейського Парламенту та Ради</w:t>
            </w:r>
            <w:hyperlink r:id="rId12" w:anchor="ntr5-L_2015141EN.01007301-E0005" w:history="1">
              <w:r w:rsidR="00C07AC9" w:rsidRPr="00C03848">
                <w:rPr>
                  <w:rStyle w:val="Hyperlink"/>
                  <w:color w:val="auto"/>
                  <w:u w:val="none"/>
                  <w:bdr w:val="none" w:sz="0" w:space="0" w:color="auto" w:frame="1"/>
                  <w:lang w:val="uk-UA"/>
                </w:rPr>
                <w:t> (</w:t>
              </w:r>
              <w:r w:rsidR="00C07AC9" w:rsidRPr="00C03848">
                <w:rPr>
                  <w:rStyle w:val="super"/>
                  <w:sz w:val="24"/>
                  <w:szCs w:val="24"/>
                  <w:bdr w:val="none" w:sz="0" w:space="0" w:color="auto" w:frame="1"/>
                  <w:lang w:val="uk-UA"/>
                </w:rPr>
                <w:t>5</w:t>
              </w:r>
              <w:r w:rsidR="00C07AC9" w:rsidRPr="00C03848">
                <w:rPr>
                  <w:rStyle w:val="Hyperlink"/>
                  <w:color w:val="auto"/>
                  <w:u w:val="none"/>
                  <w:bdr w:val="none" w:sz="0" w:space="0" w:color="auto" w:frame="1"/>
                  <w:lang w:val="uk-UA"/>
                </w:rPr>
                <w:t>)</w:t>
              </w:r>
            </w:hyperlink>
            <w:r w:rsidR="00C07AC9" w:rsidRPr="00C03848">
              <w:rPr>
                <w:rStyle w:val="apple-converted-space"/>
                <w:lang w:val="uk-UA"/>
              </w:rPr>
              <w:t> </w:t>
            </w:r>
            <w:r w:rsidR="00D50C80" w:rsidRPr="00C03848">
              <w:rPr>
                <w:lang w:val="uk-UA"/>
              </w:rPr>
              <w:t xml:space="preserve">розширила сферу дій </w:t>
            </w:r>
            <w:r w:rsidR="002C54D7" w:rsidRPr="00C03848">
              <w:rPr>
                <w:lang w:val="uk-UA"/>
              </w:rPr>
              <w:t>Директив</w:t>
            </w:r>
            <w:r w:rsidR="00D50C80" w:rsidRPr="00C03848">
              <w:rPr>
                <w:lang w:val="uk-UA"/>
              </w:rPr>
              <w:t>и</w:t>
            </w:r>
            <w:r w:rsidR="00C07AC9" w:rsidRPr="00C03848">
              <w:rPr>
                <w:lang w:val="uk-UA"/>
              </w:rPr>
              <w:t xml:space="preserve"> 91/308/EEC </w:t>
            </w:r>
            <w:r w:rsidR="00D50C80" w:rsidRPr="00C03848">
              <w:rPr>
                <w:lang w:val="uk-UA"/>
              </w:rPr>
              <w:t>як з точки зору охоплен</w:t>
            </w:r>
            <w:r w:rsidR="008D558B" w:rsidRPr="00C03848">
              <w:rPr>
                <w:lang w:val="uk-UA"/>
              </w:rPr>
              <w:t>ня</w:t>
            </w:r>
            <w:r w:rsidR="00D50C80" w:rsidRPr="00C03848">
              <w:rPr>
                <w:lang w:val="uk-UA"/>
              </w:rPr>
              <w:t xml:space="preserve"> злочинів, так і з точки зору </w:t>
            </w:r>
            <w:r w:rsidR="008D558B" w:rsidRPr="00C03848">
              <w:rPr>
                <w:lang w:val="uk-UA"/>
              </w:rPr>
              <w:t>охоплення сукупності професій та видів діяльності. У червні</w:t>
            </w:r>
            <w:r w:rsidR="00C07AC9" w:rsidRPr="00C03848">
              <w:rPr>
                <w:lang w:val="uk-UA"/>
              </w:rPr>
              <w:t xml:space="preserve"> 2003</w:t>
            </w:r>
            <w:r w:rsidR="008D558B" w:rsidRPr="00C03848">
              <w:rPr>
                <w:lang w:val="uk-UA"/>
              </w:rPr>
              <w:t xml:space="preserve"> року</w:t>
            </w:r>
            <w:r w:rsidR="00C07AC9" w:rsidRPr="00C03848">
              <w:rPr>
                <w:lang w:val="uk-UA"/>
              </w:rPr>
              <w:t xml:space="preserve">, </w:t>
            </w:r>
            <w:r w:rsidR="008D558B" w:rsidRPr="00C03848">
              <w:rPr>
                <w:lang w:val="uk-UA"/>
              </w:rPr>
              <w:t>Група</w:t>
            </w:r>
            <w:r w:rsidR="00D50C80" w:rsidRPr="00C03848">
              <w:rPr>
                <w:lang w:val="uk-UA"/>
              </w:rPr>
              <w:t xml:space="preserve"> розробки фінансових заходів боротьби з відмиванням грошей (</w:t>
            </w:r>
            <w:r w:rsidR="008D558B" w:rsidRPr="00C03848">
              <w:rPr>
                <w:shd w:val="clear" w:color="auto" w:fill="FFFFFF"/>
                <w:lang w:val="uk-UA"/>
              </w:rPr>
              <w:t>FATF</w:t>
            </w:r>
            <w:r w:rsidR="00D50C80" w:rsidRPr="00C03848">
              <w:rPr>
                <w:lang w:val="uk-UA"/>
              </w:rPr>
              <w:t xml:space="preserve">) </w:t>
            </w:r>
            <w:r w:rsidR="008D558B" w:rsidRPr="00C03848">
              <w:rPr>
                <w:lang w:val="uk-UA"/>
              </w:rPr>
              <w:t xml:space="preserve">переглянула свої рекомендації, щоб охопити фінансування тероризму, та надала більш детальні вимоги стосовно ідентифікації клієнта та перевірки, ситуацій, в яких більш високий ризик відмивання грошей або фінансування тероризму може виправдати підвищені заходи, а також ситуації, в яких знижений рівень ризику може </w:t>
            </w:r>
            <w:r w:rsidR="008D558B" w:rsidRPr="00C03848">
              <w:rPr>
                <w:lang w:val="uk-UA"/>
              </w:rPr>
              <w:lastRenderedPageBreak/>
              <w:t>виправдати менш суворий контроль. Зазначені зміни були відображені в Директиві</w:t>
            </w:r>
            <w:r w:rsidR="00C07AC9" w:rsidRPr="00C03848">
              <w:rPr>
                <w:lang w:val="uk-UA"/>
              </w:rPr>
              <w:t xml:space="preserve"> 2005/60/EC </w:t>
            </w:r>
            <w:r w:rsidR="00D50C80" w:rsidRPr="00C03848">
              <w:rPr>
                <w:lang w:val="uk-UA"/>
              </w:rPr>
              <w:t xml:space="preserve">Європейського Парламенту та Ради </w:t>
            </w:r>
            <w:hyperlink r:id="rId13" w:anchor="ntr6-L_2015141EN.01007301-E0006" w:history="1">
              <w:r w:rsidR="00C07AC9" w:rsidRPr="00C03848">
                <w:rPr>
                  <w:rStyle w:val="Hyperlink"/>
                  <w:color w:val="auto"/>
                  <w:u w:val="none"/>
                  <w:bdr w:val="none" w:sz="0" w:space="0" w:color="auto" w:frame="1"/>
                  <w:lang w:val="uk-UA"/>
                </w:rPr>
                <w:t> (</w:t>
              </w:r>
              <w:r w:rsidR="00C07AC9" w:rsidRPr="00C03848">
                <w:rPr>
                  <w:rStyle w:val="super"/>
                  <w:sz w:val="24"/>
                  <w:szCs w:val="24"/>
                  <w:bdr w:val="none" w:sz="0" w:space="0" w:color="auto" w:frame="1"/>
                  <w:lang w:val="uk-UA"/>
                </w:rPr>
                <w:t>6</w:t>
              </w:r>
              <w:r w:rsidR="00C07AC9" w:rsidRPr="00C03848">
                <w:rPr>
                  <w:rStyle w:val="Hyperlink"/>
                  <w:color w:val="auto"/>
                  <w:u w:val="none"/>
                  <w:bdr w:val="none" w:sz="0" w:space="0" w:color="auto" w:frame="1"/>
                  <w:lang w:val="uk-UA"/>
                </w:rPr>
                <w:t>)</w:t>
              </w:r>
            </w:hyperlink>
            <w:r w:rsidR="00C07AC9" w:rsidRPr="00C03848">
              <w:rPr>
                <w:rStyle w:val="apple-converted-space"/>
                <w:lang w:val="uk-UA"/>
              </w:rPr>
              <w:t> </w:t>
            </w:r>
            <w:r w:rsidR="008D558B" w:rsidRPr="00C03848">
              <w:rPr>
                <w:rStyle w:val="apple-converted-space"/>
                <w:lang w:val="uk-UA"/>
              </w:rPr>
              <w:t xml:space="preserve">та в </w:t>
            </w:r>
            <w:r w:rsidR="002C54D7" w:rsidRPr="00C03848">
              <w:rPr>
                <w:lang w:val="uk-UA"/>
              </w:rPr>
              <w:t>Директив</w:t>
            </w:r>
            <w:r w:rsidR="008D558B" w:rsidRPr="00C03848">
              <w:rPr>
                <w:lang w:val="uk-UA"/>
              </w:rPr>
              <w:t>і Комісії</w:t>
            </w:r>
            <w:r w:rsidR="00C07AC9" w:rsidRPr="00C03848">
              <w:rPr>
                <w:lang w:val="uk-UA"/>
              </w:rPr>
              <w:t xml:space="preserve"> 2006/70/EC</w:t>
            </w:r>
            <w:hyperlink r:id="rId14" w:anchor="ntr7-L_2015141EN.01007301-E0007" w:history="1">
              <w:r w:rsidR="00C07AC9" w:rsidRPr="00C03848">
                <w:rPr>
                  <w:rStyle w:val="Hyperlink"/>
                  <w:color w:val="auto"/>
                  <w:u w:val="none"/>
                  <w:bdr w:val="none" w:sz="0" w:space="0" w:color="auto" w:frame="1"/>
                  <w:lang w:val="uk-UA"/>
                </w:rPr>
                <w:t> (</w:t>
              </w:r>
              <w:r w:rsidR="00C07AC9" w:rsidRPr="00C03848">
                <w:rPr>
                  <w:rStyle w:val="super"/>
                  <w:sz w:val="24"/>
                  <w:szCs w:val="24"/>
                  <w:bdr w:val="none" w:sz="0" w:space="0" w:color="auto" w:frame="1"/>
                  <w:lang w:val="uk-UA"/>
                </w:rPr>
                <w:t>7</w:t>
              </w:r>
              <w:r w:rsidR="00C07AC9" w:rsidRPr="00C03848">
                <w:rPr>
                  <w:rStyle w:val="Hyperlink"/>
                  <w:color w:val="auto"/>
                  <w:u w:val="none"/>
                  <w:bdr w:val="none" w:sz="0" w:space="0" w:color="auto" w:frame="1"/>
                  <w:lang w:val="uk-UA"/>
                </w:rPr>
                <w:t>)</w:t>
              </w:r>
            </w:hyperlink>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3C138D" w:rsidP="00AF42CF">
            <w:pPr>
              <w:pStyle w:val="1"/>
              <w:spacing w:before="0" w:beforeAutospacing="0" w:after="0" w:afterAutospacing="0"/>
              <w:jc w:val="both"/>
              <w:textAlignment w:val="baseline"/>
              <w:rPr>
                <w:lang w:val="uk-UA"/>
              </w:rPr>
            </w:pPr>
            <w:r w:rsidRPr="00C03848">
              <w:rPr>
                <w:lang w:val="uk-UA"/>
              </w:rPr>
              <w:t>Відмивання грошей та фінансування тероризму часто здійсню</w:t>
            </w:r>
            <w:r w:rsidR="00AF42CF" w:rsidRPr="00C03848">
              <w:rPr>
                <w:lang w:val="uk-UA"/>
              </w:rPr>
              <w:t>ю</w:t>
            </w:r>
            <w:r w:rsidRPr="00C03848">
              <w:rPr>
                <w:lang w:val="uk-UA"/>
              </w:rPr>
              <w:t>ться в міжнародному контексті. Заходи, вжиті виключно на національному або навіть на рівні Союзу, без урахування міжнародного співробітництва та координації, будуть мати дуже обмежений результат. Таким чином заходи, прийняті Союзом в зазначеній сфері</w:t>
            </w:r>
            <w:r w:rsidR="00AF42CF" w:rsidRPr="00C03848">
              <w:rPr>
                <w:lang w:val="uk-UA"/>
              </w:rPr>
              <w:t>,</w:t>
            </w:r>
            <w:r w:rsidRPr="00C03848">
              <w:rPr>
                <w:lang w:val="uk-UA"/>
              </w:rPr>
              <w:t xml:space="preserve"> повинні бути сумісними з, та принаймні, настільки ж строгими, як, ін</w:t>
            </w:r>
            <w:r w:rsidR="00AF42CF" w:rsidRPr="00C03848">
              <w:rPr>
                <w:lang w:val="uk-UA"/>
              </w:rPr>
              <w:t>ші</w:t>
            </w:r>
            <w:r w:rsidRPr="00C03848">
              <w:rPr>
                <w:lang w:val="uk-UA"/>
              </w:rPr>
              <w:t xml:space="preserve"> заход</w:t>
            </w:r>
            <w:r w:rsidR="00AF42CF" w:rsidRPr="00C03848">
              <w:rPr>
                <w:lang w:val="uk-UA"/>
              </w:rPr>
              <w:t>и</w:t>
            </w:r>
            <w:r w:rsidRPr="00C03848">
              <w:rPr>
                <w:lang w:val="uk-UA"/>
              </w:rPr>
              <w:t>, що вживаються на міжнародному рівні. Діяльність Союзу повинна продовжувати приділяти особливу увагу Рекомендаціям FATF та інструментам інших міжнародних органів, що діють у боротьбі з відмиванням грошей і фінансуванням тероризму. З метою посилення ефективності боротьби з відмиванням грошей і фінансуванням тероризму, відповідні нормативно-правові акти Союзу повинні, у доречних випадках, бути приведені у відповідність з міжнародними стандартами по боротьбі з відмиванням грошей і фінансуванням тероризму та його розповсюдженням, прийнятими</w:t>
            </w:r>
            <w:r w:rsidR="00C07AC9" w:rsidRPr="00C03848">
              <w:rPr>
                <w:lang w:val="uk-UA"/>
              </w:rPr>
              <w:t xml:space="preserve"> FATF </w:t>
            </w:r>
            <w:r w:rsidRPr="00C03848">
              <w:rPr>
                <w:lang w:val="uk-UA"/>
              </w:rPr>
              <w:t>у лютому</w:t>
            </w:r>
            <w:r w:rsidR="00C07AC9" w:rsidRPr="00C03848">
              <w:rPr>
                <w:lang w:val="uk-UA"/>
              </w:rPr>
              <w:t xml:space="preserve"> 2012 </w:t>
            </w:r>
            <w:r w:rsidRPr="00C03848">
              <w:rPr>
                <w:lang w:val="uk-UA"/>
              </w:rPr>
              <w:t xml:space="preserve">року </w:t>
            </w:r>
            <w:r w:rsidR="00C07AC9" w:rsidRPr="00C03848">
              <w:rPr>
                <w:lang w:val="uk-UA"/>
              </w:rPr>
              <w:t>(</w:t>
            </w:r>
            <w:r w:rsidRPr="00C03848">
              <w:rPr>
                <w:lang w:val="uk-UA"/>
              </w:rPr>
              <w:t>«</w:t>
            </w:r>
            <w:r w:rsidR="00663228" w:rsidRPr="00C03848">
              <w:rPr>
                <w:lang w:val="uk-UA"/>
              </w:rPr>
              <w:t>оновлен</w:t>
            </w:r>
            <w:r w:rsidRPr="00C03848">
              <w:rPr>
                <w:lang w:val="uk-UA"/>
              </w:rPr>
              <w:t>і Рекомендації FATF»</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3C138D" w:rsidP="008B76F2">
            <w:pPr>
              <w:pStyle w:val="1"/>
              <w:spacing w:before="0" w:beforeAutospacing="0" w:after="0" w:afterAutospacing="0"/>
              <w:jc w:val="both"/>
              <w:textAlignment w:val="baseline"/>
              <w:rPr>
                <w:lang w:val="uk-UA"/>
              </w:rPr>
            </w:pPr>
            <w:r w:rsidRPr="00C03848">
              <w:rPr>
                <w:lang w:val="uk-UA"/>
              </w:rPr>
              <w:t>Крім того, зловживання фінансовою системою з метою спрямування незаконн</w:t>
            </w:r>
            <w:r w:rsidR="00BA0F89" w:rsidRPr="00C03848">
              <w:rPr>
                <w:lang w:val="uk-UA"/>
              </w:rPr>
              <w:t>их або навіть</w:t>
            </w:r>
            <w:r w:rsidRPr="00C03848">
              <w:rPr>
                <w:lang w:val="uk-UA"/>
              </w:rPr>
              <w:t xml:space="preserve"> законн</w:t>
            </w:r>
            <w:r w:rsidR="00BA0F89" w:rsidRPr="00C03848">
              <w:rPr>
                <w:lang w:val="uk-UA"/>
              </w:rPr>
              <w:t>их</w:t>
            </w:r>
            <w:r w:rsidRPr="00C03848">
              <w:rPr>
                <w:lang w:val="uk-UA"/>
              </w:rPr>
              <w:t xml:space="preserve"> грош</w:t>
            </w:r>
            <w:r w:rsidR="00BA0F89" w:rsidRPr="00C03848">
              <w:rPr>
                <w:lang w:val="uk-UA"/>
              </w:rPr>
              <w:t>ей</w:t>
            </w:r>
            <w:r w:rsidRPr="00C03848">
              <w:rPr>
                <w:lang w:val="uk-UA"/>
              </w:rPr>
              <w:t xml:space="preserve"> </w:t>
            </w:r>
            <w:r w:rsidR="00BA0F89" w:rsidRPr="00C03848">
              <w:rPr>
                <w:lang w:val="uk-UA"/>
              </w:rPr>
              <w:t>для терористичних</w:t>
            </w:r>
            <w:r w:rsidRPr="00C03848">
              <w:rPr>
                <w:lang w:val="uk-UA"/>
              </w:rPr>
              <w:t xml:space="preserve"> ціл</w:t>
            </w:r>
            <w:r w:rsidR="00BA0F89" w:rsidRPr="00C03848">
              <w:rPr>
                <w:lang w:val="uk-UA"/>
              </w:rPr>
              <w:t>ей</w:t>
            </w:r>
            <w:r w:rsidRPr="00C03848">
              <w:rPr>
                <w:lang w:val="uk-UA"/>
              </w:rPr>
              <w:t xml:space="preserve"> створює чітк</w:t>
            </w:r>
            <w:r w:rsidR="00BA0F89" w:rsidRPr="00C03848">
              <w:rPr>
                <w:lang w:val="uk-UA"/>
              </w:rPr>
              <w:t>ий</w:t>
            </w:r>
            <w:r w:rsidRPr="00C03848">
              <w:rPr>
                <w:lang w:val="uk-UA"/>
              </w:rPr>
              <w:t xml:space="preserve"> ризик для цілісності, належного функціонування, репутації та стабільності фінансової системи. Відповідно, пр</w:t>
            </w:r>
            <w:r w:rsidR="00BA0F89" w:rsidRPr="00C03848">
              <w:rPr>
                <w:lang w:val="uk-UA"/>
              </w:rPr>
              <w:t>евентив</w:t>
            </w:r>
            <w:r w:rsidRPr="00C03848">
              <w:rPr>
                <w:lang w:val="uk-UA"/>
              </w:rPr>
              <w:t xml:space="preserve">ні заходи, викладені в </w:t>
            </w:r>
            <w:r w:rsidR="00BA0F89" w:rsidRPr="00C03848">
              <w:rPr>
                <w:lang w:val="uk-UA"/>
              </w:rPr>
              <w:t>даній</w:t>
            </w:r>
            <w:r w:rsidRPr="00C03848">
              <w:rPr>
                <w:lang w:val="uk-UA"/>
              </w:rPr>
              <w:t xml:space="preserve"> </w:t>
            </w:r>
            <w:r w:rsidR="00BA0F89" w:rsidRPr="00C03848">
              <w:rPr>
                <w:lang w:val="uk-UA"/>
              </w:rPr>
              <w:t>Директиві</w:t>
            </w:r>
            <w:r w:rsidR="00AF42CF" w:rsidRPr="00C03848">
              <w:rPr>
                <w:lang w:val="uk-UA"/>
              </w:rPr>
              <w:t>,</w:t>
            </w:r>
            <w:r w:rsidR="00BA0F89" w:rsidRPr="00C03848">
              <w:rPr>
                <w:lang w:val="uk-UA"/>
              </w:rPr>
              <w:t xml:space="preserve"> повинні бути спрямовані на</w:t>
            </w:r>
            <w:r w:rsidRPr="00C03848">
              <w:rPr>
                <w:lang w:val="uk-UA"/>
              </w:rPr>
              <w:t xml:space="preserve"> </w:t>
            </w:r>
            <w:r w:rsidR="00AF42CF" w:rsidRPr="00C03848">
              <w:rPr>
                <w:lang w:val="uk-UA"/>
              </w:rPr>
              <w:t>управління операці</w:t>
            </w:r>
            <w:r w:rsidR="00BA0F89" w:rsidRPr="00C03848">
              <w:rPr>
                <w:lang w:val="uk-UA"/>
              </w:rPr>
              <w:t>ями з грошима</w:t>
            </w:r>
            <w:r w:rsidRPr="00C03848">
              <w:rPr>
                <w:lang w:val="uk-UA"/>
              </w:rPr>
              <w:t>, отримани</w:t>
            </w:r>
            <w:r w:rsidR="00BA0F89" w:rsidRPr="00C03848">
              <w:rPr>
                <w:lang w:val="uk-UA"/>
              </w:rPr>
              <w:t>ми</w:t>
            </w:r>
            <w:r w:rsidRPr="00C03848">
              <w:rPr>
                <w:lang w:val="uk-UA"/>
              </w:rPr>
              <w:t xml:space="preserve"> від серйозного злочину та зб</w:t>
            </w:r>
            <w:r w:rsidR="00BA0F89" w:rsidRPr="00C03848">
              <w:rPr>
                <w:lang w:val="uk-UA"/>
              </w:rPr>
              <w:t>ирання грошей</w:t>
            </w:r>
            <w:r w:rsidRPr="00C03848">
              <w:rPr>
                <w:lang w:val="uk-UA"/>
              </w:rPr>
              <w:t xml:space="preserve"> або майна в терористичних цілях.</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73F13" w:rsidRPr="00C03848" w:rsidRDefault="00773F13" w:rsidP="00AC3A3E">
            <w:pPr>
              <w:pStyle w:val="1"/>
              <w:spacing w:before="0" w:beforeAutospacing="0" w:after="0" w:afterAutospacing="0"/>
              <w:jc w:val="both"/>
              <w:textAlignment w:val="baseline"/>
              <w:rPr>
                <w:lang w:val="uk-UA"/>
              </w:rPr>
            </w:pPr>
            <w:r w:rsidRPr="00C03848">
              <w:rPr>
                <w:lang w:val="uk-UA"/>
              </w:rPr>
              <w:t xml:space="preserve">Використання великих грошових платежів є дуже уразливим для відмивання грошей та фінансування тероризму. З метою збільшення настороженості та зниження ризиків, виникнення яких пов'язане з такими грошовими </w:t>
            </w:r>
            <w:r w:rsidR="00AC3A3E" w:rsidRPr="00C03848">
              <w:rPr>
                <w:lang w:val="uk-UA"/>
              </w:rPr>
              <w:t>виплат</w:t>
            </w:r>
            <w:r w:rsidRPr="00C03848">
              <w:rPr>
                <w:lang w:val="uk-UA"/>
              </w:rPr>
              <w:t>ами, на особистостей, які здійснюють торгівлю товарами, повинні поширюватись полож</w:t>
            </w:r>
            <w:r w:rsidR="00846527" w:rsidRPr="00C03848">
              <w:rPr>
                <w:lang w:val="uk-UA"/>
              </w:rPr>
              <w:t xml:space="preserve">ення даної Директиви за умови, </w:t>
            </w:r>
            <w:r w:rsidRPr="00C03848">
              <w:rPr>
                <w:lang w:val="uk-UA"/>
              </w:rPr>
              <w:t>що вони здійснюють або отримують грошові виплати в розмірі 10000 євро або більше. Держави-члени повинні бути в змозі затвердити більш низькі граничні величини, додаткові загальні обмеження на використання готівкових коштів і в подальшому більш строгі положення.</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9B7A9D" w:rsidP="008B76F2">
            <w:pPr>
              <w:pStyle w:val="1"/>
              <w:spacing w:before="0" w:beforeAutospacing="0" w:after="0" w:afterAutospacing="0"/>
              <w:jc w:val="both"/>
              <w:textAlignment w:val="baseline"/>
              <w:rPr>
                <w:lang w:val="uk-UA"/>
              </w:rPr>
            </w:pPr>
            <w:r w:rsidRPr="00C03848">
              <w:rPr>
                <w:lang w:val="uk-UA"/>
              </w:rPr>
              <w:t>Використання електронних гр</w:t>
            </w:r>
            <w:r w:rsidR="00775331" w:rsidRPr="00C03848">
              <w:rPr>
                <w:lang w:val="uk-UA"/>
              </w:rPr>
              <w:t xml:space="preserve">ошових продуктів все частіше розглядається в якості </w:t>
            </w:r>
            <w:r w:rsidRPr="00C03848">
              <w:rPr>
                <w:lang w:val="uk-UA"/>
              </w:rPr>
              <w:t>замін</w:t>
            </w:r>
            <w:r w:rsidR="00775331" w:rsidRPr="00C03848">
              <w:rPr>
                <w:lang w:val="uk-UA"/>
              </w:rPr>
              <w:t>и</w:t>
            </w:r>
            <w:r w:rsidRPr="00C03848">
              <w:rPr>
                <w:lang w:val="uk-UA"/>
              </w:rPr>
              <w:t xml:space="preserve"> для банківських рахунків, </w:t>
            </w:r>
            <w:r w:rsidR="00775331" w:rsidRPr="00C03848">
              <w:rPr>
                <w:lang w:val="uk-UA"/>
              </w:rPr>
              <w:t xml:space="preserve">що крім </w:t>
            </w:r>
            <w:r w:rsidRPr="00C03848">
              <w:rPr>
                <w:lang w:val="uk-UA"/>
              </w:rPr>
              <w:t xml:space="preserve">заходів, викладених в </w:t>
            </w:r>
            <w:r w:rsidR="00775331" w:rsidRPr="00C03848">
              <w:rPr>
                <w:lang w:val="uk-UA"/>
              </w:rPr>
              <w:t>Директиві</w:t>
            </w:r>
            <w:r w:rsidRPr="00C03848">
              <w:rPr>
                <w:lang w:val="uk-UA"/>
              </w:rPr>
              <w:t xml:space="preserve"> 2009/110/EC </w:t>
            </w:r>
            <w:r w:rsidR="00D50C80" w:rsidRPr="00C03848">
              <w:rPr>
                <w:lang w:val="uk-UA"/>
              </w:rPr>
              <w:t>Є</w:t>
            </w:r>
            <w:r w:rsidR="00775331" w:rsidRPr="00C03848">
              <w:rPr>
                <w:lang w:val="uk-UA"/>
              </w:rPr>
              <w:t>вропейського Парламенту та Ради</w:t>
            </w:r>
            <w:hyperlink r:id="rId15" w:anchor="ntr8-L_2015141EN.01007301-E0008" w:history="1">
              <w:r w:rsidR="00C07AC9" w:rsidRPr="00C03848">
                <w:rPr>
                  <w:rStyle w:val="Hyperlink"/>
                  <w:color w:val="auto"/>
                  <w:u w:val="none"/>
                  <w:bdr w:val="none" w:sz="0" w:space="0" w:color="auto" w:frame="1"/>
                  <w:lang w:val="uk-UA"/>
                </w:rPr>
                <w:t> (</w:t>
              </w:r>
              <w:r w:rsidR="00C07AC9" w:rsidRPr="00C03848">
                <w:rPr>
                  <w:rStyle w:val="super"/>
                  <w:sz w:val="24"/>
                  <w:szCs w:val="24"/>
                  <w:bdr w:val="none" w:sz="0" w:space="0" w:color="auto" w:frame="1"/>
                  <w:lang w:val="uk-UA"/>
                </w:rPr>
                <w:t>8</w:t>
              </w:r>
              <w:r w:rsidR="00C07AC9" w:rsidRPr="00C03848">
                <w:rPr>
                  <w:rStyle w:val="Hyperlink"/>
                  <w:color w:val="auto"/>
                  <w:u w:val="none"/>
                  <w:bdr w:val="none" w:sz="0" w:space="0" w:color="auto" w:frame="1"/>
                  <w:lang w:val="uk-UA"/>
                </w:rPr>
                <w:t>)</w:t>
              </w:r>
            </w:hyperlink>
            <w:r w:rsidR="00C07AC9" w:rsidRPr="00C03848">
              <w:rPr>
                <w:lang w:val="uk-UA"/>
              </w:rPr>
              <w:t xml:space="preserve">, </w:t>
            </w:r>
            <w:r w:rsidR="00775331" w:rsidRPr="00C03848">
              <w:rPr>
                <w:lang w:val="uk-UA"/>
              </w:rPr>
              <w:t>обґрунтовує, що на зазначені продукти поширюються зобов’язання по боротьбі з відмиванням грошей і протидії фінансуванню тероризму (</w:t>
            </w:r>
            <w:r w:rsidR="008D5EE7" w:rsidRPr="00C03848">
              <w:rPr>
                <w:lang w:val="uk-UA"/>
              </w:rPr>
              <w:t>БВГ/</w:t>
            </w:r>
            <w:r w:rsidR="00775331" w:rsidRPr="00C03848">
              <w:rPr>
                <w:lang w:val="uk-UA"/>
              </w:rPr>
              <w:t>ПФТ) зобов'язань.</w:t>
            </w:r>
            <w:r w:rsidR="00C07AC9" w:rsidRPr="00C03848">
              <w:rPr>
                <w:lang w:val="uk-UA"/>
              </w:rPr>
              <w:t xml:space="preserve"> </w:t>
            </w:r>
            <w:r w:rsidR="00775331" w:rsidRPr="00C03848">
              <w:rPr>
                <w:lang w:val="uk-UA"/>
              </w:rPr>
              <w:t xml:space="preserve">Тим не менш, в деяких перевірених обставинах, які характеризуються низьким рівнем ризику, і в суворих </w:t>
            </w:r>
            <w:r w:rsidR="008D5EE7" w:rsidRPr="00C03848">
              <w:rPr>
                <w:lang w:val="uk-UA"/>
              </w:rPr>
              <w:t>положення</w:t>
            </w:r>
            <w:r w:rsidR="00775331" w:rsidRPr="00C03848">
              <w:rPr>
                <w:lang w:val="uk-UA"/>
              </w:rPr>
              <w:t xml:space="preserve">х зменшення ризиків, Державам-членам повинно бути дозволено звільнити електронні грошові продукти від </w:t>
            </w:r>
            <w:r w:rsidR="008D5EE7" w:rsidRPr="00C03848">
              <w:rPr>
                <w:lang w:val="uk-UA"/>
              </w:rPr>
              <w:t xml:space="preserve">застосування </w:t>
            </w:r>
            <w:r w:rsidR="00775331" w:rsidRPr="00C03848">
              <w:rPr>
                <w:lang w:val="uk-UA"/>
              </w:rPr>
              <w:t xml:space="preserve">деяких </w:t>
            </w:r>
            <w:r w:rsidR="008D5EE7" w:rsidRPr="00C03848">
              <w:rPr>
                <w:lang w:val="uk-UA"/>
              </w:rPr>
              <w:t>заходів належної перевірки клієнта, таких як ідентифікація</w:t>
            </w:r>
            <w:r w:rsidR="00775331" w:rsidRPr="00C03848">
              <w:rPr>
                <w:lang w:val="uk-UA"/>
              </w:rPr>
              <w:t xml:space="preserve"> та </w:t>
            </w:r>
            <w:r w:rsidR="008D5EE7" w:rsidRPr="00C03848">
              <w:rPr>
                <w:lang w:val="uk-UA"/>
              </w:rPr>
              <w:t xml:space="preserve">перевірка </w:t>
            </w:r>
            <w:r w:rsidR="00775331" w:rsidRPr="00C03848">
              <w:rPr>
                <w:lang w:val="uk-UA"/>
              </w:rPr>
              <w:t xml:space="preserve">клієнта і </w:t>
            </w:r>
            <w:r w:rsidR="008D5EE7" w:rsidRPr="00C03848">
              <w:rPr>
                <w:lang w:val="uk-UA"/>
              </w:rPr>
              <w:t>бенефіціарного власника</w:t>
            </w:r>
            <w:r w:rsidR="00775331" w:rsidRPr="00C03848">
              <w:rPr>
                <w:lang w:val="uk-UA"/>
              </w:rPr>
              <w:t xml:space="preserve">, але не від </w:t>
            </w:r>
            <w:r w:rsidR="008D5EE7" w:rsidRPr="00C03848">
              <w:rPr>
                <w:lang w:val="uk-UA"/>
              </w:rPr>
              <w:t xml:space="preserve">заходів стосовно </w:t>
            </w:r>
            <w:r w:rsidR="00775331" w:rsidRPr="00C03848">
              <w:rPr>
                <w:lang w:val="uk-UA"/>
              </w:rPr>
              <w:t xml:space="preserve">моніторингу угод або ділових відносин. </w:t>
            </w:r>
            <w:r w:rsidR="008D5EE7" w:rsidRPr="00C03848">
              <w:rPr>
                <w:lang w:val="uk-UA"/>
              </w:rPr>
              <w:t>Положення стосовно зменшення</w:t>
            </w:r>
            <w:r w:rsidR="00775331" w:rsidRPr="00C03848">
              <w:rPr>
                <w:lang w:val="uk-UA"/>
              </w:rPr>
              <w:t xml:space="preserve"> ризику повинні включати вимогу, що електронні грош</w:t>
            </w:r>
            <w:r w:rsidR="008D5EE7" w:rsidRPr="00C03848">
              <w:rPr>
                <w:lang w:val="uk-UA"/>
              </w:rPr>
              <w:t>ов</w:t>
            </w:r>
            <w:r w:rsidR="00775331" w:rsidRPr="00C03848">
              <w:rPr>
                <w:lang w:val="uk-UA"/>
              </w:rPr>
              <w:t>і продукти</w:t>
            </w:r>
            <w:r w:rsidR="008D5EE7" w:rsidRPr="00C03848">
              <w:rPr>
                <w:lang w:val="uk-UA"/>
              </w:rPr>
              <w:t xml:space="preserve">, які звільнені від </w:t>
            </w:r>
            <w:r w:rsidR="00E80E62" w:rsidRPr="00C03848">
              <w:rPr>
                <w:lang w:val="uk-UA"/>
              </w:rPr>
              <w:t>застосування заходів, будуть</w:t>
            </w:r>
            <w:r w:rsidR="00775331" w:rsidRPr="00C03848">
              <w:rPr>
                <w:lang w:val="uk-UA"/>
              </w:rPr>
              <w:t xml:space="preserve"> використовувати</w:t>
            </w:r>
            <w:r w:rsidR="00E80E62" w:rsidRPr="00C03848">
              <w:rPr>
                <w:lang w:val="uk-UA"/>
              </w:rPr>
              <w:t>сь</w:t>
            </w:r>
            <w:r w:rsidR="00775331" w:rsidRPr="00C03848">
              <w:rPr>
                <w:lang w:val="uk-UA"/>
              </w:rPr>
              <w:t xml:space="preserve"> виключно для покупки товарів або послуг, а також, що </w:t>
            </w:r>
            <w:r w:rsidR="00E80E62" w:rsidRPr="00C03848">
              <w:rPr>
                <w:lang w:val="uk-UA"/>
              </w:rPr>
              <w:t>загальна сума, яка</w:t>
            </w:r>
            <w:r w:rsidR="00775331" w:rsidRPr="00C03848">
              <w:rPr>
                <w:lang w:val="uk-UA"/>
              </w:rPr>
              <w:t xml:space="preserve"> зберігається в електронному вигляді</w:t>
            </w:r>
            <w:r w:rsidR="00E80E62" w:rsidRPr="00C03848">
              <w:rPr>
                <w:lang w:val="uk-UA"/>
              </w:rPr>
              <w:t>,</w:t>
            </w:r>
            <w:r w:rsidR="00775331" w:rsidRPr="00C03848">
              <w:rPr>
                <w:lang w:val="uk-UA"/>
              </w:rPr>
              <w:t xml:space="preserve"> буде досить низькою, щоб виключити обхід правил БВГ/ПФТ. </w:t>
            </w:r>
            <w:r w:rsidR="00E80E62" w:rsidRPr="00C03848">
              <w:rPr>
                <w:lang w:val="uk-UA"/>
              </w:rPr>
              <w:t xml:space="preserve">Зазначене звільнення не повинно </w:t>
            </w:r>
            <w:r w:rsidR="00775331" w:rsidRPr="00C03848">
              <w:rPr>
                <w:lang w:val="uk-UA"/>
              </w:rPr>
              <w:t>шкоди</w:t>
            </w:r>
            <w:r w:rsidR="00E80E62" w:rsidRPr="00C03848">
              <w:rPr>
                <w:lang w:val="uk-UA"/>
              </w:rPr>
              <w:t>ти</w:t>
            </w:r>
            <w:r w:rsidR="00775331" w:rsidRPr="00C03848">
              <w:rPr>
                <w:lang w:val="uk-UA"/>
              </w:rPr>
              <w:t xml:space="preserve"> </w:t>
            </w:r>
            <w:r w:rsidR="00E80E62" w:rsidRPr="00C03848">
              <w:rPr>
                <w:lang w:val="uk-UA"/>
              </w:rPr>
              <w:t>дискреційному праву</w:t>
            </w:r>
            <w:r w:rsidR="00775331" w:rsidRPr="00C03848">
              <w:rPr>
                <w:lang w:val="uk-UA"/>
              </w:rPr>
              <w:t xml:space="preserve"> </w:t>
            </w:r>
            <w:r w:rsidR="00E80E62" w:rsidRPr="00C03848">
              <w:rPr>
                <w:lang w:val="uk-UA"/>
              </w:rPr>
              <w:t>Д</w:t>
            </w:r>
            <w:r w:rsidR="00775331" w:rsidRPr="00C03848">
              <w:rPr>
                <w:lang w:val="uk-UA"/>
              </w:rPr>
              <w:t>ержав-членів</w:t>
            </w:r>
            <w:r w:rsidR="00E80E62" w:rsidRPr="00C03848">
              <w:rPr>
                <w:lang w:val="uk-UA"/>
              </w:rPr>
              <w:t xml:space="preserve"> </w:t>
            </w:r>
            <w:r w:rsidR="00775331" w:rsidRPr="00C03848">
              <w:rPr>
                <w:lang w:val="uk-UA"/>
              </w:rPr>
              <w:t>дозволити зобов'яза</w:t>
            </w:r>
            <w:r w:rsidR="00E80E62" w:rsidRPr="00C03848">
              <w:rPr>
                <w:lang w:val="uk-UA"/>
              </w:rPr>
              <w:t>ним суб'єктам</w:t>
            </w:r>
            <w:r w:rsidR="00775331" w:rsidRPr="00C03848">
              <w:rPr>
                <w:lang w:val="uk-UA"/>
              </w:rPr>
              <w:t xml:space="preserve"> застосовувати спрощен</w:t>
            </w:r>
            <w:r w:rsidR="00E80E62" w:rsidRPr="00C03848">
              <w:rPr>
                <w:lang w:val="uk-UA"/>
              </w:rPr>
              <w:t>і заходи належної перевірки клієнта</w:t>
            </w:r>
            <w:r w:rsidR="00775331" w:rsidRPr="00C03848">
              <w:rPr>
                <w:lang w:val="uk-UA"/>
              </w:rPr>
              <w:t xml:space="preserve"> </w:t>
            </w:r>
            <w:r w:rsidR="00E80E62" w:rsidRPr="00C03848">
              <w:rPr>
                <w:lang w:val="uk-UA"/>
              </w:rPr>
              <w:t>стосовно</w:t>
            </w:r>
            <w:r w:rsidR="00775331" w:rsidRPr="00C03848">
              <w:rPr>
                <w:lang w:val="uk-UA"/>
              </w:rPr>
              <w:t xml:space="preserve"> інших електронних грош</w:t>
            </w:r>
            <w:r w:rsidR="00E80E62" w:rsidRPr="00C03848">
              <w:rPr>
                <w:lang w:val="uk-UA"/>
              </w:rPr>
              <w:t>ових</w:t>
            </w:r>
            <w:r w:rsidR="00775331" w:rsidRPr="00C03848">
              <w:rPr>
                <w:lang w:val="uk-UA"/>
              </w:rPr>
              <w:t xml:space="preserve"> </w:t>
            </w:r>
            <w:r w:rsidR="00E80E62" w:rsidRPr="00C03848">
              <w:rPr>
                <w:lang w:val="uk-UA"/>
              </w:rPr>
              <w:t>продукт</w:t>
            </w:r>
            <w:r w:rsidR="00775331" w:rsidRPr="00C03848">
              <w:rPr>
                <w:lang w:val="uk-UA"/>
              </w:rPr>
              <w:t>ів, що створюють більш низькі ризики, відповідно до Статт</w:t>
            </w:r>
            <w:r w:rsidR="008D5EE7" w:rsidRPr="00C03848">
              <w:rPr>
                <w:lang w:val="uk-UA"/>
              </w:rPr>
              <w:t>і</w:t>
            </w:r>
            <w:r w:rsidR="00775331" w:rsidRPr="00C03848">
              <w:rPr>
                <w:lang w:val="uk-UA"/>
              </w:rPr>
              <w:t xml:space="preserve"> 15.</w:t>
            </w:r>
            <w:r w:rsidR="00C07AC9" w:rsidRPr="00C03848">
              <w:rPr>
                <w:lang w:val="uk-UA"/>
              </w:rPr>
              <w:t xml:space="preserve"> </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604941" w:rsidP="008B76F2">
            <w:pPr>
              <w:pStyle w:val="1"/>
              <w:spacing w:before="0" w:beforeAutospacing="0" w:after="0" w:afterAutospacing="0"/>
              <w:jc w:val="both"/>
              <w:textAlignment w:val="baseline"/>
              <w:rPr>
                <w:lang w:val="uk-UA"/>
              </w:rPr>
            </w:pPr>
            <w:r w:rsidRPr="00C03848">
              <w:rPr>
                <w:lang w:val="uk-UA"/>
              </w:rPr>
              <w:t xml:space="preserve">Стосовно зобов'язаних суб’єктів, на яких поширюються положення даної Директиви, може бути зрозумілим, щоб агенти з нерухомості включали агентів зі здавання в </w:t>
            </w:r>
            <w:r w:rsidRPr="00C03848">
              <w:rPr>
                <w:lang w:val="uk-UA"/>
              </w:rPr>
              <w:lastRenderedPageBreak/>
              <w:t>оренду, у доречних випадках.</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0C6A45" w:rsidP="00846527">
            <w:pPr>
              <w:pStyle w:val="1"/>
              <w:spacing w:before="0" w:beforeAutospacing="0" w:after="0" w:afterAutospacing="0"/>
              <w:jc w:val="both"/>
              <w:textAlignment w:val="baseline"/>
              <w:rPr>
                <w:lang w:val="uk-UA"/>
              </w:rPr>
            </w:pPr>
            <w:r w:rsidRPr="00C03848">
              <w:rPr>
                <w:lang w:val="uk-UA"/>
              </w:rPr>
              <w:t>На спеціалістів у галузі права, як визначено державами-членами,</w:t>
            </w:r>
            <w:r w:rsidR="00846527" w:rsidRPr="00C03848">
              <w:rPr>
                <w:lang w:val="uk-UA"/>
              </w:rPr>
              <w:t xml:space="preserve"> </w:t>
            </w:r>
            <w:r w:rsidRPr="00C03848">
              <w:rPr>
                <w:lang w:val="uk-UA"/>
              </w:rPr>
              <w:t>повинні поширюватися положення даної Директиви, за умови участі у фінансових або корпоративних угодах, у тому числі при наданні податкових консультацій, в яких існує найвищий ризик, що послугами цих юристів зловживають з метою відмивання доходів, отриманих від злочинної діяльності, або для цілей фінансування тероризму. Проте, повинні існувати винятки з будь-якого зобов'язання звітування інформації, отриманої до, під час або після судових розглядів, або в ході встановлення правового становища клієнта. Таким чином, на юридичну консультацію повинні поширюватись вимоги зобов'язання стосовно зберігання професійної таємниці, крім випадків, в яких спеціаліст у галузі права приймає участь у відмиванні грошей або фінансуванні тероризму, правова консультація надається з метою відмивання грошей або фінансування тероризму, або спеціаліст у галузі права знає, що клієнт звертається за отриманням юридичної консультації для цілей відмивання грошей або фінансування тероризму.</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F020B" w:rsidRPr="00C03848" w:rsidRDefault="000C6A45" w:rsidP="008B76F2">
            <w:pPr>
              <w:pStyle w:val="1"/>
              <w:spacing w:before="0" w:beforeAutospacing="0" w:after="0" w:afterAutospacing="0"/>
              <w:jc w:val="both"/>
              <w:textAlignment w:val="baseline"/>
              <w:rPr>
                <w:lang w:val="uk-UA"/>
              </w:rPr>
            </w:pPr>
            <w:r w:rsidRPr="00C03848">
              <w:rPr>
                <w:lang w:val="uk-UA"/>
              </w:rPr>
              <w:t>П</w:t>
            </w:r>
            <w:r w:rsidR="00CF020B" w:rsidRPr="00C03848">
              <w:rPr>
                <w:lang w:val="uk-UA"/>
              </w:rPr>
              <w:t xml:space="preserve">ослуги, які можна безпосередньо </w:t>
            </w:r>
            <w:r w:rsidR="006D613A" w:rsidRPr="00C03848">
              <w:rPr>
                <w:lang w:val="uk-UA"/>
              </w:rPr>
              <w:t>п</w:t>
            </w:r>
            <w:r w:rsidR="00CF020B" w:rsidRPr="00C03848">
              <w:rPr>
                <w:lang w:val="uk-UA"/>
              </w:rPr>
              <w:t xml:space="preserve">орівняти, </w:t>
            </w:r>
            <w:r w:rsidR="006D613A" w:rsidRPr="00C03848">
              <w:rPr>
                <w:lang w:val="uk-UA"/>
              </w:rPr>
              <w:t xml:space="preserve">повинні розглядатися таким же чином, коли вони надаються будь-яким із фахівців, які охоплені положеннями даної Директиви. Для забезпечення поваги прав, гарантованих Хартією основних прав Європейського Союзу («Хартія»), </w:t>
            </w:r>
            <w:r w:rsidR="00CF020B" w:rsidRPr="00C03848">
              <w:rPr>
                <w:iCs/>
                <w:bdr w:val="none" w:sz="0" w:space="0" w:color="auto" w:frame="1"/>
                <w:lang w:val="uk-UA"/>
              </w:rPr>
              <w:t xml:space="preserve">у справах із </w:t>
            </w:r>
            <w:r w:rsidR="00CF020B" w:rsidRPr="00C03848">
              <w:rPr>
                <w:lang w:val="uk-UA"/>
              </w:rPr>
              <w:t>аудиторами</w:t>
            </w:r>
            <w:r w:rsidR="006D613A" w:rsidRPr="00C03848">
              <w:rPr>
                <w:lang w:val="uk-UA"/>
              </w:rPr>
              <w:t>, зовнішні</w:t>
            </w:r>
            <w:r w:rsidR="00CF020B" w:rsidRPr="00C03848">
              <w:rPr>
                <w:lang w:val="uk-UA"/>
              </w:rPr>
              <w:t>ми бухгалтерами</w:t>
            </w:r>
            <w:r w:rsidR="006D613A" w:rsidRPr="00C03848">
              <w:rPr>
                <w:lang w:val="uk-UA"/>
              </w:rPr>
              <w:t xml:space="preserve"> та податкови</w:t>
            </w:r>
            <w:r w:rsidR="00CF020B" w:rsidRPr="00C03848">
              <w:rPr>
                <w:lang w:val="uk-UA"/>
              </w:rPr>
              <w:t>ми</w:t>
            </w:r>
            <w:r w:rsidR="006D613A" w:rsidRPr="00C03848">
              <w:rPr>
                <w:lang w:val="uk-UA"/>
              </w:rPr>
              <w:t xml:space="preserve"> консультант</w:t>
            </w:r>
            <w:r w:rsidR="00CF020B" w:rsidRPr="00C03848">
              <w:rPr>
                <w:lang w:val="uk-UA"/>
              </w:rPr>
              <w:t>ами</w:t>
            </w:r>
            <w:r w:rsidR="006D613A" w:rsidRPr="00C03848">
              <w:rPr>
                <w:lang w:val="uk-UA"/>
              </w:rPr>
              <w:t xml:space="preserve">, які, в деяких державах-членах, мають право на захист або представлення клієнта в процесі судового розгляду або </w:t>
            </w:r>
            <w:r w:rsidR="00CF020B" w:rsidRPr="00C03848">
              <w:rPr>
                <w:lang w:val="uk-UA"/>
              </w:rPr>
              <w:t>засвідч</w:t>
            </w:r>
            <w:r w:rsidR="006D613A" w:rsidRPr="00C03848">
              <w:rPr>
                <w:lang w:val="uk-UA"/>
              </w:rPr>
              <w:t xml:space="preserve">ення правового статусу клієнта, на інформацію, яку вони отримують у процесі виконання зазначених завдань, не повинні поширюватись зобов'язання щодо звітування, </w:t>
            </w:r>
            <w:r w:rsidR="00663228" w:rsidRPr="00C03848">
              <w:rPr>
                <w:lang w:val="uk-UA"/>
              </w:rPr>
              <w:t xml:space="preserve">які </w:t>
            </w:r>
            <w:r w:rsidR="006D613A" w:rsidRPr="00C03848">
              <w:rPr>
                <w:lang w:val="uk-UA"/>
              </w:rPr>
              <w:t>викладен</w:t>
            </w:r>
            <w:r w:rsidR="00663228" w:rsidRPr="00C03848">
              <w:rPr>
                <w:lang w:val="uk-UA"/>
              </w:rPr>
              <w:t>і</w:t>
            </w:r>
            <w:r w:rsidR="006D613A" w:rsidRPr="00C03848">
              <w:rPr>
                <w:lang w:val="uk-UA"/>
              </w:rPr>
              <w:t xml:space="preserve"> в </w:t>
            </w:r>
            <w:r w:rsidR="00663228" w:rsidRPr="00C03848">
              <w:rPr>
                <w:lang w:val="uk-UA"/>
              </w:rPr>
              <w:t>дан</w:t>
            </w:r>
            <w:r w:rsidR="006D613A" w:rsidRPr="00C03848">
              <w:rPr>
                <w:lang w:val="uk-UA"/>
              </w:rPr>
              <w:t>ій Директив</w:t>
            </w:r>
            <w:r w:rsidR="00663228" w:rsidRPr="00C03848">
              <w:rPr>
                <w:lang w:val="uk-UA"/>
              </w:rPr>
              <w:t>і</w:t>
            </w:r>
            <w:r w:rsidR="006D613A" w:rsidRPr="00C03848">
              <w:rPr>
                <w:lang w:val="uk-UA"/>
              </w:rPr>
              <w:t xml:space="preserve">. </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73100A" w:rsidP="008B76F2">
            <w:pPr>
              <w:pStyle w:val="1"/>
              <w:spacing w:before="0" w:beforeAutospacing="0" w:after="0" w:afterAutospacing="0"/>
              <w:jc w:val="both"/>
              <w:textAlignment w:val="baseline"/>
              <w:rPr>
                <w:lang w:val="uk-UA"/>
              </w:rPr>
            </w:pPr>
            <w:r w:rsidRPr="00C03848">
              <w:rPr>
                <w:lang w:val="uk-UA"/>
              </w:rPr>
              <w:t>Важливо чітко підкреслити, що «податкові злочини», пов'язані з прямими і непрямими податками, включені у широке визначення «злочинної діяльності» в даній Директиві, відповідно до оновлених Рекомендацій FATF. Враховуючи, що різні податкові правопорушення можуть бути ви</w:t>
            </w:r>
            <w:r w:rsidR="00014DDB" w:rsidRPr="00C03848">
              <w:rPr>
                <w:lang w:val="uk-UA"/>
              </w:rPr>
              <w:t xml:space="preserve">значені в кожній державі-члені як </w:t>
            </w:r>
            <w:r w:rsidRPr="00C03848">
              <w:rPr>
                <w:lang w:val="uk-UA"/>
              </w:rPr>
              <w:t>складов</w:t>
            </w:r>
            <w:r w:rsidR="00014DDB" w:rsidRPr="00C03848">
              <w:rPr>
                <w:lang w:val="uk-UA"/>
              </w:rPr>
              <w:t>і</w:t>
            </w:r>
            <w:r w:rsidRPr="00C03848">
              <w:rPr>
                <w:lang w:val="uk-UA"/>
              </w:rPr>
              <w:t xml:space="preserve"> </w:t>
            </w:r>
            <w:r w:rsidR="00014DDB" w:rsidRPr="00C03848">
              <w:rPr>
                <w:lang w:val="uk-UA"/>
              </w:rPr>
              <w:t>«злочинної діяльності», яка</w:t>
            </w:r>
            <w:r w:rsidRPr="00C03848">
              <w:rPr>
                <w:lang w:val="uk-UA"/>
              </w:rPr>
              <w:t xml:space="preserve"> карається за допомогою санк</w:t>
            </w:r>
            <w:r w:rsidR="00014DDB" w:rsidRPr="00C03848">
              <w:rPr>
                <w:lang w:val="uk-UA"/>
              </w:rPr>
              <w:t xml:space="preserve">цій, зазначених у пункті (4) (f) </w:t>
            </w:r>
            <w:r w:rsidRPr="00C03848">
              <w:rPr>
                <w:lang w:val="uk-UA"/>
              </w:rPr>
              <w:t>Статт</w:t>
            </w:r>
            <w:r w:rsidR="00014DDB" w:rsidRPr="00C03848">
              <w:rPr>
                <w:lang w:val="uk-UA"/>
              </w:rPr>
              <w:t>і</w:t>
            </w:r>
            <w:r w:rsidRPr="00C03848">
              <w:rPr>
                <w:lang w:val="uk-UA"/>
              </w:rPr>
              <w:t xml:space="preserve"> 3 </w:t>
            </w:r>
            <w:r w:rsidR="00014DDB" w:rsidRPr="00C03848">
              <w:rPr>
                <w:lang w:val="uk-UA"/>
              </w:rPr>
              <w:t>дано</w:t>
            </w:r>
            <w:r w:rsidRPr="00C03848">
              <w:rPr>
                <w:lang w:val="uk-UA"/>
              </w:rPr>
              <w:t>ї Директив</w:t>
            </w:r>
            <w:r w:rsidR="00014DDB" w:rsidRPr="00C03848">
              <w:rPr>
                <w:lang w:val="uk-UA"/>
              </w:rPr>
              <w:t>и</w:t>
            </w:r>
            <w:r w:rsidRPr="00C03848">
              <w:rPr>
                <w:lang w:val="uk-UA"/>
              </w:rPr>
              <w:t xml:space="preserve">, національні </w:t>
            </w:r>
            <w:r w:rsidR="00014DDB" w:rsidRPr="00C03848">
              <w:rPr>
                <w:lang w:val="uk-UA"/>
              </w:rPr>
              <w:t xml:space="preserve">юридичні </w:t>
            </w:r>
            <w:r w:rsidRPr="00C03848">
              <w:rPr>
                <w:lang w:val="uk-UA"/>
              </w:rPr>
              <w:t>визначення податко</w:t>
            </w:r>
            <w:r w:rsidR="00014DDB" w:rsidRPr="00C03848">
              <w:rPr>
                <w:lang w:val="uk-UA"/>
              </w:rPr>
              <w:t>вих злочинів можуть розходитись.</w:t>
            </w:r>
            <w:r w:rsidRPr="00C03848">
              <w:rPr>
                <w:lang w:val="uk-UA"/>
              </w:rPr>
              <w:t xml:space="preserve"> Хоча н</w:t>
            </w:r>
            <w:r w:rsidR="00014DDB" w:rsidRPr="00C03848">
              <w:rPr>
                <w:lang w:val="uk-UA"/>
              </w:rPr>
              <w:t xml:space="preserve">е прагнеться досягнення гармонізації </w:t>
            </w:r>
            <w:r w:rsidRPr="00C03848">
              <w:rPr>
                <w:lang w:val="uk-UA"/>
              </w:rPr>
              <w:t xml:space="preserve">визначень податкових злочинів в </w:t>
            </w:r>
            <w:r w:rsidR="00014DDB" w:rsidRPr="00C03848">
              <w:rPr>
                <w:lang w:val="uk-UA"/>
              </w:rPr>
              <w:t>н</w:t>
            </w:r>
            <w:r w:rsidRPr="00C03848">
              <w:rPr>
                <w:lang w:val="uk-UA"/>
              </w:rPr>
              <w:t xml:space="preserve">аціональному законодавстві держав-членів, держави-члени повинні дозволити в максимально можливій мірі відповідно до </w:t>
            </w:r>
            <w:r w:rsidR="00014DDB" w:rsidRPr="00C03848">
              <w:rPr>
                <w:lang w:val="uk-UA"/>
              </w:rPr>
              <w:t xml:space="preserve">положень </w:t>
            </w:r>
            <w:r w:rsidRPr="00C03848">
              <w:rPr>
                <w:lang w:val="uk-UA"/>
              </w:rPr>
              <w:t>національного з</w:t>
            </w:r>
            <w:r w:rsidR="00014DDB" w:rsidRPr="00C03848">
              <w:rPr>
                <w:lang w:val="uk-UA"/>
              </w:rPr>
              <w:t>аконодавства</w:t>
            </w:r>
            <w:r w:rsidRPr="00C03848">
              <w:rPr>
                <w:lang w:val="uk-UA"/>
              </w:rPr>
              <w:t xml:space="preserve"> обмін інформацією або надання допомоги між </w:t>
            </w:r>
            <w:r w:rsidR="00EC4576" w:rsidRPr="00C03848">
              <w:rPr>
                <w:lang w:val="uk-UA"/>
              </w:rPr>
              <w:t>органами фінансов</w:t>
            </w:r>
            <w:r w:rsidR="00AC3A3E" w:rsidRPr="00C03848">
              <w:rPr>
                <w:lang w:val="uk-UA"/>
              </w:rPr>
              <w:t>о</w:t>
            </w:r>
            <w:r w:rsidR="00EC4576" w:rsidRPr="00C03848">
              <w:rPr>
                <w:lang w:val="uk-UA"/>
              </w:rPr>
              <w:t>ї розвідки ЄС (FIU</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693AE5" w:rsidP="008B76F2">
            <w:pPr>
              <w:pStyle w:val="1"/>
              <w:spacing w:before="0" w:beforeAutospacing="0" w:after="0" w:afterAutospacing="0"/>
              <w:jc w:val="both"/>
              <w:textAlignment w:val="baseline"/>
              <w:rPr>
                <w:lang w:val="uk-UA"/>
              </w:rPr>
            </w:pPr>
            <w:r w:rsidRPr="00C03848">
              <w:rPr>
                <w:lang w:val="uk-UA"/>
              </w:rPr>
              <w:t>Існує необхідність визначення будь-якої фізичної особи, яка здійснює володіння або контроль над юридичною особою. З метою забезпечення ефективно</w:t>
            </w:r>
            <w:r w:rsidR="0046445B" w:rsidRPr="00C03848">
              <w:rPr>
                <w:lang w:val="uk-UA"/>
              </w:rPr>
              <w:t>ї</w:t>
            </w:r>
            <w:r w:rsidRPr="00C03848">
              <w:rPr>
                <w:lang w:val="uk-UA"/>
              </w:rPr>
              <w:t xml:space="preserve"> прозорості, держави-члени повинні забезпечити</w:t>
            </w:r>
            <w:r w:rsidR="0046445B" w:rsidRPr="00C03848">
              <w:rPr>
                <w:lang w:val="uk-UA"/>
              </w:rPr>
              <w:t xml:space="preserve"> охоплення </w:t>
            </w:r>
            <w:r w:rsidRPr="00C03848">
              <w:rPr>
                <w:lang w:val="uk-UA"/>
              </w:rPr>
              <w:t xml:space="preserve">максимально широкого спектру юридичних осіб, </w:t>
            </w:r>
            <w:r w:rsidR="0046445B" w:rsidRPr="00C03848">
              <w:rPr>
                <w:lang w:val="uk-UA"/>
              </w:rPr>
              <w:t>зареєстрованих як корпорація</w:t>
            </w:r>
            <w:r w:rsidRPr="00C03848">
              <w:rPr>
                <w:lang w:val="uk-UA"/>
              </w:rPr>
              <w:t xml:space="preserve"> або створ</w:t>
            </w:r>
            <w:r w:rsidR="0046445B" w:rsidRPr="00C03848">
              <w:rPr>
                <w:lang w:val="uk-UA"/>
              </w:rPr>
              <w:t>е</w:t>
            </w:r>
            <w:r w:rsidRPr="00C03848">
              <w:rPr>
                <w:lang w:val="uk-UA"/>
              </w:rPr>
              <w:t xml:space="preserve">них </w:t>
            </w:r>
            <w:r w:rsidR="0046445B" w:rsidRPr="00C03848">
              <w:rPr>
                <w:lang w:val="uk-UA"/>
              </w:rPr>
              <w:t xml:space="preserve">на основі використання </w:t>
            </w:r>
            <w:r w:rsidRPr="00C03848">
              <w:rPr>
                <w:lang w:val="uk-UA"/>
              </w:rPr>
              <w:t xml:space="preserve">будь-якого іншого механізму на їх території. Хоча </w:t>
            </w:r>
            <w:r w:rsidR="0046445B" w:rsidRPr="00C03848">
              <w:rPr>
                <w:lang w:val="uk-UA"/>
              </w:rPr>
              <w:t>виявлення</w:t>
            </w:r>
            <w:r w:rsidRPr="00C03848">
              <w:rPr>
                <w:lang w:val="uk-UA"/>
              </w:rPr>
              <w:t xml:space="preserve"> </w:t>
            </w:r>
            <w:r w:rsidR="0046445B" w:rsidRPr="00C03848">
              <w:rPr>
                <w:lang w:val="uk-UA"/>
              </w:rPr>
              <w:t>визначеного відсот</w:t>
            </w:r>
            <w:r w:rsidRPr="00C03848">
              <w:rPr>
                <w:lang w:val="uk-UA"/>
              </w:rPr>
              <w:t>к</w:t>
            </w:r>
            <w:r w:rsidR="0046445B" w:rsidRPr="00C03848">
              <w:rPr>
                <w:lang w:val="uk-UA"/>
              </w:rPr>
              <w:t>а</w:t>
            </w:r>
            <w:r w:rsidRPr="00C03848">
              <w:rPr>
                <w:lang w:val="uk-UA"/>
              </w:rPr>
              <w:t xml:space="preserve"> </w:t>
            </w:r>
            <w:r w:rsidR="0046445B" w:rsidRPr="00C03848">
              <w:rPr>
                <w:lang w:val="uk-UA"/>
              </w:rPr>
              <w:t>володіння акціями</w:t>
            </w:r>
            <w:r w:rsidRPr="00C03848">
              <w:rPr>
                <w:lang w:val="uk-UA"/>
              </w:rPr>
              <w:t xml:space="preserve"> </w:t>
            </w:r>
            <w:r w:rsidR="0046445B" w:rsidRPr="00C03848">
              <w:rPr>
                <w:lang w:val="uk-UA"/>
              </w:rPr>
              <w:t>та</w:t>
            </w:r>
            <w:r w:rsidRPr="00C03848">
              <w:rPr>
                <w:lang w:val="uk-UA"/>
              </w:rPr>
              <w:t xml:space="preserve"> </w:t>
            </w:r>
            <w:r w:rsidR="0046445B" w:rsidRPr="00C03848">
              <w:rPr>
                <w:lang w:val="uk-UA"/>
              </w:rPr>
              <w:t xml:space="preserve">частки в статутному капіталі </w:t>
            </w:r>
            <w:r w:rsidRPr="00C03848">
              <w:rPr>
                <w:lang w:val="uk-UA"/>
              </w:rPr>
              <w:t xml:space="preserve">не призводить автоматично до </w:t>
            </w:r>
            <w:r w:rsidR="0046445B" w:rsidRPr="00C03848">
              <w:rPr>
                <w:lang w:val="uk-UA"/>
              </w:rPr>
              <w:t>виявлення</w:t>
            </w:r>
            <w:r w:rsidRPr="00C03848">
              <w:rPr>
                <w:lang w:val="uk-UA"/>
              </w:rPr>
              <w:t xml:space="preserve"> бенефіціарного власника, </w:t>
            </w:r>
            <w:r w:rsidR="0046445B" w:rsidRPr="00C03848">
              <w:rPr>
                <w:lang w:val="uk-UA"/>
              </w:rPr>
              <w:t>це повинно</w:t>
            </w:r>
            <w:r w:rsidRPr="00C03848">
              <w:rPr>
                <w:lang w:val="uk-UA"/>
              </w:rPr>
              <w:t xml:space="preserve"> бути одним з </w:t>
            </w:r>
            <w:r w:rsidR="000B535A" w:rsidRPr="00C03848">
              <w:rPr>
                <w:lang w:val="uk-UA"/>
              </w:rPr>
              <w:t xml:space="preserve">доказових </w:t>
            </w:r>
            <w:r w:rsidRPr="00C03848">
              <w:rPr>
                <w:lang w:val="uk-UA"/>
              </w:rPr>
              <w:t>факторів, серед інших</w:t>
            </w:r>
            <w:r w:rsidR="000B535A" w:rsidRPr="00C03848">
              <w:rPr>
                <w:lang w:val="uk-UA"/>
              </w:rPr>
              <w:t>, який</w:t>
            </w:r>
            <w:r w:rsidRPr="00C03848">
              <w:rPr>
                <w:lang w:val="uk-UA"/>
              </w:rPr>
              <w:t xml:space="preserve"> повин</w:t>
            </w:r>
            <w:r w:rsidR="000B535A" w:rsidRPr="00C03848">
              <w:rPr>
                <w:lang w:val="uk-UA"/>
              </w:rPr>
              <w:t>ен</w:t>
            </w:r>
            <w:r w:rsidRPr="00C03848">
              <w:rPr>
                <w:lang w:val="uk-UA"/>
              </w:rPr>
              <w:t xml:space="preserve"> бути прийнят</w:t>
            </w:r>
            <w:r w:rsidR="000B535A" w:rsidRPr="00C03848">
              <w:rPr>
                <w:lang w:val="uk-UA"/>
              </w:rPr>
              <w:t>ий</w:t>
            </w:r>
            <w:r w:rsidRPr="00C03848">
              <w:rPr>
                <w:lang w:val="uk-UA"/>
              </w:rPr>
              <w:t xml:space="preserve"> до уваги. Держави-члени повинні бути в змозі, однак, вирішити, що більш низький відсоток може бути ознакою права власності або контролю.</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0B535A" w:rsidP="006B647A">
            <w:pPr>
              <w:pStyle w:val="1"/>
              <w:spacing w:before="0" w:beforeAutospacing="0" w:after="0" w:afterAutospacing="0"/>
              <w:jc w:val="both"/>
              <w:textAlignment w:val="baseline"/>
              <w:rPr>
                <w:lang w:val="uk-UA"/>
              </w:rPr>
            </w:pPr>
            <w:r w:rsidRPr="00C03848">
              <w:rPr>
                <w:lang w:val="uk-UA"/>
              </w:rPr>
              <w:t xml:space="preserve">Ідентифікація та перевірка </w:t>
            </w:r>
            <w:r w:rsidR="00AF7A61" w:rsidRPr="00C03848">
              <w:rPr>
                <w:lang w:val="uk-UA"/>
              </w:rPr>
              <w:t>бенефіціар</w:t>
            </w:r>
            <w:r w:rsidRPr="00C03848">
              <w:rPr>
                <w:lang w:val="uk-UA"/>
              </w:rPr>
              <w:t>них власників повинні, у доречних випадках, поширюватись на юридичних осіб, які володіють іншими юридичними особами, а зобов'язані органи повинні шукати фізичн</w:t>
            </w:r>
            <w:r w:rsidR="00663F4D" w:rsidRPr="00C03848">
              <w:rPr>
                <w:lang w:val="uk-UA"/>
              </w:rPr>
              <w:t>у</w:t>
            </w:r>
            <w:r w:rsidRPr="00C03848">
              <w:rPr>
                <w:lang w:val="uk-UA"/>
              </w:rPr>
              <w:t xml:space="preserve"> особ</w:t>
            </w:r>
            <w:r w:rsidR="00663F4D" w:rsidRPr="00C03848">
              <w:rPr>
                <w:lang w:val="uk-UA"/>
              </w:rPr>
              <w:t>у</w:t>
            </w:r>
            <w:r w:rsidRPr="00C03848">
              <w:rPr>
                <w:lang w:val="uk-UA"/>
              </w:rPr>
              <w:t xml:space="preserve"> (осіб), </w:t>
            </w:r>
            <w:r w:rsidR="00663F4D" w:rsidRPr="00C03848">
              <w:rPr>
                <w:lang w:val="uk-UA"/>
              </w:rPr>
              <w:t>що</w:t>
            </w:r>
            <w:r w:rsidRPr="00C03848">
              <w:rPr>
                <w:lang w:val="uk-UA"/>
              </w:rPr>
              <w:t xml:space="preserve"> в кінцевому </w:t>
            </w:r>
            <w:r w:rsidR="00663F4D" w:rsidRPr="00C03848">
              <w:rPr>
                <w:lang w:val="uk-UA"/>
              </w:rPr>
              <w:t>підсум</w:t>
            </w:r>
            <w:r w:rsidRPr="00C03848">
              <w:rPr>
                <w:lang w:val="uk-UA"/>
              </w:rPr>
              <w:t xml:space="preserve">ку здійснює контроль через власність або за допомогою інших засобів </w:t>
            </w:r>
            <w:r w:rsidR="00663F4D" w:rsidRPr="00C03848">
              <w:rPr>
                <w:lang w:val="uk-UA"/>
              </w:rPr>
              <w:t xml:space="preserve">за </w:t>
            </w:r>
            <w:r w:rsidRPr="00C03848">
              <w:rPr>
                <w:lang w:val="uk-UA"/>
              </w:rPr>
              <w:t>юридично</w:t>
            </w:r>
            <w:r w:rsidR="00663F4D" w:rsidRPr="00C03848">
              <w:rPr>
                <w:lang w:val="uk-UA"/>
              </w:rPr>
              <w:t>ю особою</w:t>
            </w:r>
            <w:r w:rsidRPr="00C03848">
              <w:rPr>
                <w:lang w:val="uk-UA"/>
              </w:rPr>
              <w:t>, що є клієнт</w:t>
            </w:r>
            <w:r w:rsidR="00663F4D" w:rsidRPr="00C03848">
              <w:rPr>
                <w:lang w:val="uk-UA"/>
              </w:rPr>
              <w:t>ом</w:t>
            </w:r>
            <w:r w:rsidRPr="00C03848">
              <w:rPr>
                <w:lang w:val="uk-UA"/>
              </w:rPr>
              <w:t>.</w:t>
            </w:r>
            <w:r w:rsidR="00663F4D" w:rsidRPr="00C03848">
              <w:rPr>
                <w:lang w:val="uk-UA"/>
              </w:rPr>
              <w:t xml:space="preserve"> Здійснення контролю за допомогою інших засобів може, </w:t>
            </w:r>
            <w:r w:rsidR="00663F4D" w:rsidRPr="00C03848">
              <w:rPr>
                <w:lang w:val="uk-UA"/>
              </w:rPr>
              <w:lastRenderedPageBreak/>
              <w:t>серед іншого, включати критерії контролю, які використову</w:t>
            </w:r>
            <w:r w:rsidR="006B647A" w:rsidRPr="00C03848">
              <w:rPr>
                <w:lang w:val="uk-UA"/>
              </w:rPr>
              <w:t xml:space="preserve">ються </w:t>
            </w:r>
            <w:r w:rsidR="00663F4D" w:rsidRPr="00C03848">
              <w:rPr>
                <w:lang w:val="uk-UA"/>
              </w:rPr>
              <w:t>для цілей підготовки консолідованої фінансової звітності, наприклад, шляхом угоди акціонерів, здійснення домінуючого вплив</w:t>
            </w:r>
            <w:r w:rsidR="006B647A" w:rsidRPr="00C03848">
              <w:rPr>
                <w:lang w:val="uk-UA"/>
              </w:rPr>
              <w:t xml:space="preserve">у </w:t>
            </w:r>
            <w:r w:rsidR="00663F4D" w:rsidRPr="00C03848">
              <w:rPr>
                <w:lang w:val="uk-UA"/>
              </w:rPr>
              <w:t xml:space="preserve">або повноважень, призначати вище керівництво. Можуть існувати випадки, в яких </w:t>
            </w:r>
            <w:r w:rsidR="004E3195" w:rsidRPr="00C03848">
              <w:rPr>
                <w:lang w:val="uk-UA"/>
              </w:rPr>
              <w:t>не можливо ідентифікувати жодної</w:t>
            </w:r>
            <w:r w:rsidR="00663F4D" w:rsidRPr="00C03848">
              <w:rPr>
                <w:lang w:val="uk-UA"/>
              </w:rPr>
              <w:t xml:space="preserve"> фізичн</w:t>
            </w:r>
            <w:r w:rsidR="004E3195" w:rsidRPr="00C03848">
              <w:rPr>
                <w:lang w:val="uk-UA"/>
              </w:rPr>
              <w:t>ої</w:t>
            </w:r>
            <w:r w:rsidR="00663F4D" w:rsidRPr="00C03848">
              <w:rPr>
                <w:lang w:val="uk-UA"/>
              </w:rPr>
              <w:t xml:space="preserve"> особ</w:t>
            </w:r>
            <w:r w:rsidR="004E3195" w:rsidRPr="00C03848">
              <w:rPr>
                <w:lang w:val="uk-UA"/>
              </w:rPr>
              <w:t xml:space="preserve">и, </w:t>
            </w:r>
            <w:r w:rsidR="00663F4D" w:rsidRPr="00C03848">
              <w:rPr>
                <w:lang w:val="uk-UA"/>
              </w:rPr>
              <w:t>як</w:t>
            </w:r>
            <w:r w:rsidR="004E3195" w:rsidRPr="00C03848">
              <w:rPr>
                <w:lang w:val="uk-UA"/>
              </w:rPr>
              <w:t>а</w:t>
            </w:r>
            <w:r w:rsidR="00663F4D" w:rsidRPr="00C03848">
              <w:rPr>
                <w:lang w:val="uk-UA"/>
              </w:rPr>
              <w:t xml:space="preserve"> в кінцевому підсумку володіє або здійснює контроль над юридичною особою. У таких виняткових випадках, зобов'язані особи, вичерпавши всі інші засоби ідентифікації, і за умови, що немає ніяких підстав для підозр, може розгля</w:t>
            </w:r>
            <w:r w:rsidR="004E3195" w:rsidRPr="00C03848">
              <w:rPr>
                <w:lang w:val="uk-UA"/>
              </w:rPr>
              <w:t>да</w:t>
            </w:r>
            <w:r w:rsidR="00663F4D" w:rsidRPr="00C03848">
              <w:rPr>
                <w:lang w:val="uk-UA"/>
              </w:rPr>
              <w:t>ти старш</w:t>
            </w:r>
            <w:r w:rsidR="004E3195" w:rsidRPr="00C03848">
              <w:rPr>
                <w:lang w:val="uk-UA"/>
              </w:rPr>
              <w:t>у управляючу посадову особу (осіб</w:t>
            </w:r>
            <w:r w:rsidR="00663F4D" w:rsidRPr="00C03848">
              <w:rPr>
                <w:lang w:val="uk-UA"/>
              </w:rPr>
              <w:t xml:space="preserve">) </w:t>
            </w:r>
            <w:r w:rsidR="004E3195" w:rsidRPr="00C03848">
              <w:rPr>
                <w:lang w:val="uk-UA"/>
              </w:rPr>
              <w:t>як</w:t>
            </w:r>
            <w:r w:rsidR="00663F4D" w:rsidRPr="00C03848">
              <w:rPr>
                <w:lang w:val="uk-UA"/>
              </w:rPr>
              <w:t xml:space="preserve"> </w:t>
            </w:r>
            <w:r w:rsidR="004E3195" w:rsidRPr="00C03848">
              <w:rPr>
                <w:lang w:val="uk-UA"/>
              </w:rPr>
              <w:t>бенефіціарного</w:t>
            </w:r>
            <w:r w:rsidR="00663F4D" w:rsidRPr="00C03848">
              <w:rPr>
                <w:lang w:val="uk-UA"/>
              </w:rPr>
              <w:t xml:space="preserve"> власник</w:t>
            </w:r>
            <w:r w:rsidR="004E3195" w:rsidRPr="00C03848">
              <w:rPr>
                <w:lang w:val="uk-UA"/>
              </w:rPr>
              <w:t>а</w:t>
            </w:r>
            <w:r w:rsidR="00663F4D" w:rsidRPr="00C03848">
              <w:rPr>
                <w:lang w:val="uk-UA"/>
              </w:rPr>
              <w:t xml:space="preserve"> (</w:t>
            </w:r>
            <w:r w:rsidR="004E3195" w:rsidRPr="00C03848">
              <w:rPr>
                <w:lang w:val="uk-UA"/>
              </w:rPr>
              <w:t>власників</w:t>
            </w:r>
            <w:r w:rsidR="00663F4D"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4E3195" w:rsidP="008B76F2">
            <w:pPr>
              <w:pStyle w:val="1"/>
              <w:spacing w:before="0" w:beforeAutospacing="0" w:after="0" w:afterAutospacing="0"/>
              <w:jc w:val="both"/>
              <w:textAlignment w:val="baseline"/>
              <w:rPr>
                <w:lang w:val="uk-UA"/>
              </w:rPr>
            </w:pPr>
            <w:r w:rsidRPr="00C03848">
              <w:rPr>
                <w:lang w:val="uk-UA"/>
              </w:rPr>
              <w:t>Необхідність наявності точної і актуальної інформації про бенефіціарного власника є ключовим чинником у відстеженні злочинців, які в іншому випадку могли приховати свою особистість за корпоративною структурою. Тому держави-члени повинні забезпечити, щоб особи, зареєстровані на їхній території, відповідно до положень національного законодавства, отримували та утримували достовірну, точну та актуальну інформацію про їх бенефіціарн</w:t>
            </w:r>
            <w:r w:rsidR="00221EFC" w:rsidRPr="00C03848">
              <w:rPr>
                <w:lang w:val="uk-UA"/>
              </w:rPr>
              <w:t>е</w:t>
            </w:r>
            <w:r w:rsidRPr="00C03848">
              <w:rPr>
                <w:lang w:val="uk-UA"/>
              </w:rPr>
              <w:t xml:space="preserve"> володіння, на додаток до основної інформації, такої як ім'я компанії, адрес</w:t>
            </w:r>
            <w:r w:rsidR="00221EFC" w:rsidRPr="00C03848">
              <w:rPr>
                <w:lang w:val="uk-UA"/>
              </w:rPr>
              <w:t>а</w:t>
            </w:r>
            <w:r w:rsidRPr="00C03848">
              <w:rPr>
                <w:lang w:val="uk-UA"/>
              </w:rPr>
              <w:t xml:space="preserve"> і докази реєстрації та </w:t>
            </w:r>
            <w:r w:rsidR="00221EFC" w:rsidRPr="00C03848">
              <w:rPr>
                <w:lang w:val="uk-UA"/>
              </w:rPr>
              <w:t>юридичне право</w:t>
            </w:r>
            <w:r w:rsidRPr="00C03848">
              <w:rPr>
                <w:lang w:val="uk-UA"/>
              </w:rPr>
              <w:t xml:space="preserve"> власності.</w:t>
            </w:r>
            <w:r w:rsidR="00221EFC" w:rsidRPr="00C03848">
              <w:rPr>
                <w:lang w:val="uk-UA"/>
              </w:rPr>
              <w:t xml:space="preserve"> З метою підвищення прозорості в цілях боротьби із незалежним використанням юридичними особами, держави-члени повинні гарантувати, що інформація про бенефіціарного власника зберігається в центральному реєстрі, який розташований за межами компанії, в повній відповідності з законодавством Союзу. Держави-члени можуть, для </w:t>
            </w:r>
            <w:r w:rsidR="00F3146E" w:rsidRPr="00C03848">
              <w:rPr>
                <w:lang w:val="uk-UA"/>
              </w:rPr>
              <w:t>досягнення зазначеної мети</w:t>
            </w:r>
            <w:r w:rsidR="00221EFC" w:rsidRPr="00C03848">
              <w:rPr>
                <w:lang w:val="uk-UA"/>
              </w:rPr>
              <w:t xml:space="preserve"> використову</w:t>
            </w:r>
            <w:r w:rsidR="00F3146E" w:rsidRPr="00C03848">
              <w:rPr>
                <w:lang w:val="uk-UA"/>
              </w:rPr>
              <w:t>вати</w:t>
            </w:r>
            <w:r w:rsidR="00221EFC" w:rsidRPr="00C03848">
              <w:rPr>
                <w:lang w:val="uk-UA"/>
              </w:rPr>
              <w:t xml:space="preserve"> центральну базу даних, яка збирає інформацію </w:t>
            </w:r>
            <w:r w:rsidR="00F3146E" w:rsidRPr="00C03848">
              <w:rPr>
                <w:lang w:val="uk-UA"/>
              </w:rPr>
              <w:t>про бенефіціарну власні</w:t>
            </w:r>
            <w:r w:rsidR="00221EFC" w:rsidRPr="00C03848">
              <w:rPr>
                <w:lang w:val="uk-UA"/>
              </w:rPr>
              <w:t>ст</w:t>
            </w:r>
            <w:r w:rsidR="00F3146E" w:rsidRPr="00C03848">
              <w:rPr>
                <w:lang w:val="uk-UA"/>
              </w:rPr>
              <w:t>ь</w:t>
            </w:r>
            <w:r w:rsidR="00221EFC" w:rsidRPr="00C03848">
              <w:rPr>
                <w:lang w:val="uk-UA"/>
              </w:rPr>
              <w:t>, або ре</w:t>
            </w:r>
            <w:r w:rsidR="00962A33" w:rsidRPr="00C03848">
              <w:rPr>
                <w:lang w:val="uk-UA"/>
              </w:rPr>
              <w:t>є</w:t>
            </w:r>
            <w:r w:rsidR="00221EFC" w:rsidRPr="00C03848">
              <w:rPr>
                <w:lang w:val="uk-UA"/>
              </w:rPr>
              <w:t>стр</w:t>
            </w:r>
            <w:r w:rsidR="00962A33" w:rsidRPr="00C03848">
              <w:rPr>
                <w:lang w:val="uk-UA"/>
              </w:rPr>
              <w:t xml:space="preserve"> юридичних осіб</w:t>
            </w:r>
            <w:r w:rsidR="00221EFC" w:rsidRPr="00C03848">
              <w:rPr>
                <w:lang w:val="uk-UA"/>
              </w:rPr>
              <w:t>, чи інший центральний ре</w:t>
            </w:r>
            <w:r w:rsidR="00962A33" w:rsidRPr="00C03848">
              <w:rPr>
                <w:lang w:val="uk-UA"/>
              </w:rPr>
              <w:t>є</w:t>
            </w:r>
            <w:r w:rsidR="00221EFC" w:rsidRPr="00C03848">
              <w:rPr>
                <w:lang w:val="uk-UA"/>
              </w:rPr>
              <w:t>стр. Держави-член</w:t>
            </w:r>
            <w:r w:rsidR="00962A33" w:rsidRPr="00C03848">
              <w:rPr>
                <w:lang w:val="uk-UA"/>
              </w:rPr>
              <w:t>и можуть вирішити, що зобов'язані особи є</w:t>
            </w:r>
            <w:r w:rsidR="00221EFC" w:rsidRPr="00C03848">
              <w:rPr>
                <w:lang w:val="uk-UA"/>
              </w:rPr>
              <w:t xml:space="preserve"> відповідальн</w:t>
            </w:r>
            <w:r w:rsidR="00962A33" w:rsidRPr="00C03848">
              <w:rPr>
                <w:lang w:val="uk-UA"/>
              </w:rPr>
              <w:t>ими</w:t>
            </w:r>
            <w:r w:rsidR="00221EFC" w:rsidRPr="00C03848">
              <w:rPr>
                <w:lang w:val="uk-UA"/>
              </w:rPr>
              <w:t xml:space="preserve"> за заповнення ре</w:t>
            </w:r>
            <w:r w:rsidR="00962A33" w:rsidRPr="00C03848">
              <w:rPr>
                <w:lang w:val="uk-UA"/>
              </w:rPr>
              <w:t>єс</w:t>
            </w:r>
            <w:r w:rsidR="00AC3A3E" w:rsidRPr="00C03848">
              <w:rPr>
                <w:lang w:val="uk-UA"/>
              </w:rPr>
              <w:t>тру</w:t>
            </w:r>
            <w:r w:rsidR="00221EFC" w:rsidRPr="00C03848">
              <w:rPr>
                <w:lang w:val="uk-UA"/>
              </w:rPr>
              <w:t>.</w:t>
            </w:r>
            <w:r w:rsidR="001305A3" w:rsidRPr="00C03848">
              <w:rPr>
                <w:lang w:val="uk-UA"/>
              </w:rPr>
              <w:t xml:space="preserve"> Держави-члени повинні переконатися, що у всіх випадках інформація стає доступною компетентним органам і FIU, і надається зобов'язаним особам, коли останні здійснюють заходи з належної перевірки клієнтів. Держави-члени повинні також забезпечити, щоб іншим особам, які можуть продемонструвати законний інтерес стосовно відмивання грошей, фінансування тероризму та пов'язаних правопорушень, таких як корупція, податкові злочини і шахрайства, надається доступ до інформації про </w:t>
            </w:r>
            <w:r w:rsidR="00AF7A61" w:rsidRPr="00C03848">
              <w:rPr>
                <w:lang w:val="uk-UA"/>
              </w:rPr>
              <w:t>бенефіціар</w:t>
            </w:r>
            <w:r w:rsidR="001305A3" w:rsidRPr="00C03848">
              <w:rPr>
                <w:lang w:val="uk-UA"/>
              </w:rPr>
              <w:t>ну власність відповідно до правил захисту даних. Особи, які можуть продемонструвати законний інтерес, повинні мати доступ до інформації про характер та бенефіціарної долі участі, що складається з їх приблизної ваги.</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8F409F" w:rsidP="008B76F2">
            <w:pPr>
              <w:pStyle w:val="1"/>
              <w:spacing w:before="0" w:beforeAutospacing="0" w:after="0" w:afterAutospacing="0"/>
              <w:jc w:val="both"/>
              <w:textAlignment w:val="baseline"/>
              <w:rPr>
                <w:lang w:val="uk-UA"/>
              </w:rPr>
            </w:pPr>
            <w:r w:rsidRPr="00C03848">
              <w:rPr>
                <w:lang w:val="uk-UA"/>
              </w:rPr>
              <w:t>Для досягнення цієї мети держави-члени повинні бути в змозі, відповідно до положень національного законодавства, забезпечити доступ, який є ширшим, ніж доступ, який передбачається відповідно до вимог даної Директиви.</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8F409F" w:rsidP="008B76F2">
            <w:pPr>
              <w:pStyle w:val="1"/>
              <w:spacing w:before="0" w:beforeAutospacing="0" w:after="0" w:afterAutospacing="0"/>
              <w:jc w:val="both"/>
              <w:textAlignment w:val="baseline"/>
              <w:rPr>
                <w:lang w:val="uk-UA"/>
              </w:rPr>
            </w:pPr>
            <w:r w:rsidRPr="00C03848">
              <w:rPr>
                <w:lang w:val="uk-UA"/>
              </w:rPr>
              <w:t>Своєчасний доступ до інформації про бенефіціарну власність повинен забезпечуватись способами, які уникають виникнення будь-якого ризику інформування зацікавленої компанії.</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8F409F" w:rsidP="00AC3A3E">
            <w:pPr>
              <w:pStyle w:val="1"/>
              <w:spacing w:before="0" w:beforeAutospacing="0" w:after="0" w:afterAutospacing="0"/>
              <w:jc w:val="both"/>
              <w:textAlignment w:val="baseline"/>
              <w:rPr>
                <w:highlight w:val="yellow"/>
                <w:lang w:val="uk-UA"/>
              </w:rPr>
            </w:pPr>
            <w:r w:rsidRPr="00C03848">
              <w:rPr>
                <w:lang w:val="uk-UA"/>
              </w:rPr>
              <w:t xml:space="preserve">Для забезпечення рівних умов між різними видами юридичних форм, </w:t>
            </w:r>
            <w:r w:rsidR="000A4AC2" w:rsidRPr="00C03848">
              <w:rPr>
                <w:lang w:val="uk-UA"/>
              </w:rPr>
              <w:t>довірені особи</w:t>
            </w:r>
            <w:r w:rsidRPr="00C03848">
              <w:rPr>
                <w:lang w:val="uk-UA"/>
              </w:rPr>
              <w:t xml:space="preserve"> повинні також бути зобов'язані отримувати, зберігати та надавати інформацію </w:t>
            </w:r>
            <w:r w:rsidR="000A4AC2" w:rsidRPr="00C03848">
              <w:rPr>
                <w:lang w:val="uk-UA"/>
              </w:rPr>
              <w:t xml:space="preserve">про бенефіціарну </w:t>
            </w:r>
            <w:r w:rsidRPr="00C03848">
              <w:rPr>
                <w:lang w:val="uk-UA"/>
              </w:rPr>
              <w:t>власн</w:t>
            </w:r>
            <w:r w:rsidR="000A4AC2" w:rsidRPr="00C03848">
              <w:rPr>
                <w:lang w:val="uk-UA"/>
              </w:rPr>
              <w:t>ість</w:t>
            </w:r>
            <w:r w:rsidRPr="00C03848">
              <w:rPr>
                <w:lang w:val="uk-UA"/>
              </w:rPr>
              <w:t xml:space="preserve"> зобов'язани</w:t>
            </w:r>
            <w:r w:rsidR="000A4AC2" w:rsidRPr="00C03848">
              <w:rPr>
                <w:lang w:val="uk-UA"/>
              </w:rPr>
              <w:t>м</w:t>
            </w:r>
            <w:r w:rsidRPr="00C03848">
              <w:rPr>
                <w:lang w:val="uk-UA"/>
              </w:rPr>
              <w:t xml:space="preserve"> ос</w:t>
            </w:r>
            <w:r w:rsidR="000A4AC2" w:rsidRPr="00C03848">
              <w:rPr>
                <w:lang w:val="uk-UA"/>
              </w:rPr>
              <w:t>о</w:t>
            </w:r>
            <w:r w:rsidRPr="00C03848">
              <w:rPr>
                <w:lang w:val="uk-UA"/>
              </w:rPr>
              <w:t>б</w:t>
            </w:r>
            <w:r w:rsidR="000A4AC2" w:rsidRPr="00C03848">
              <w:rPr>
                <w:lang w:val="uk-UA"/>
              </w:rPr>
              <w:t>ам, які здійснюють заходи із належної перевірки клієнта,</w:t>
            </w:r>
            <w:r w:rsidR="0000179F" w:rsidRPr="00C03848">
              <w:rPr>
                <w:lang w:val="uk-UA"/>
              </w:rPr>
              <w:t xml:space="preserve"> </w:t>
            </w:r>
            <w:r w:rsidRPr="00C03848">
              <w:rPr>
                <w:lang w:val="uk-UA"/>
              </w:rPr>
              <w:t>і повідомити</w:t>
            </w:r>
            <w:r w:rsidR="000A4AC2" w:rsidRPr="00C03848">
              <w:rPr>
                <w:lang w:val="uk-UA"/>
              </w:rPr>
              <w:t xml:space="preserve"> зазначену</w:t>
            </w:r>
            <w:r w:rsidRPr="00C03848">
              <w:rPr>
                <w:lang w:val="uk-UA"/>
              </w:rPr>
              <w:t xml:space="preserve"> інформацію в центральний реєстр або центральн</w:t>
            </w:r>
            <w:r w:rsidR="000A4AC2" w:rsidRPr="00C03848">
              <w:rPr>
                <w:lang w:val="uk-UA"/>
              </w:rPr>
              <w:t>у</w:t>
            </w:r>
            <w:r w:rsidRPr="00C03848">
              <w:rPr>
                <w:lang w:val="uk-UA"/>
              </w:rPr>
              <w:t xml:space="preserve"> баз</w:t>
            </w:r>
            <w:r w:rsidR="000A4AC2" w:rsidRPr="00C03848">
              <w:rPr>
                <w:lang w:val="uk-UA"/>
              </w:rPr>
              <w:t>у</w:t>
            </w:r>
            <w:r w:rsidRPr="00C03848">
              <w:rPr>
                <w:lang w:val="uk-UA"/>
              </w:rPr>
              <w:t xml:space="preserve"> даних, і вони повинні розкрити </w:t>
            </w:r>
            <w:r w:rsidR="0000179F" w:rsidRPr="00C03848">
              <w:rPr>
                <w:lang w:val="uk-UA"/>
              </w:rPr>
              <w:t xml:space="preserve">їх статус </w:t>
            </w:r>
            <w:r w:rsidRPr="00C03848">
              <w:rPr>
                <w:lang w:val="uk-UA"/>
              </w:rPr>
              <w:t>зобов'язани</w:t>
            </w:r>
            <w:r w:rsidR="0000179F" w:rsidRPr="00C03848">
              <w:rPr>
                <w:lang w:val="uk-UA"/>
              </w:rPr>
              <w:t>м осо</w:t>
            </w:r>
            <w:r w:rsidRPr="00C03848">
              <w:rPr>
                <w:lang w:val="uk-UA"/>
              </w:rPr>
              <w:t>б</w:t>
            </w:r>
            <w:r w:rsidR="0000179F" w:rsidRPr="00C03848">
              <w:rPr>
                <w:lang w:val="uk-UA"/>
              </w:rPr>
              <w:t>ам</w:t>
            </w:r>
            <w:r w:rsidRPr="00C03848">
              <w:rPr>
                <w:lang w:val="uk-UA"/>
              </w:rPr>
              <w:t xml:space="preserve">. </w:t>
            </w:r>
            <w:r w:rsidR="00BE08A7" w:rsidRPr="00C03848">
              <w:rPr>
                <w:lang w:val="uk-UA"/>
              </w:rPr>
              <w:t>На ю</w:t>
            </w:r>
            <w:r w:rsidRPr="00C03848">
              <w:rPr>
                <w:lang w:val="uk-UA"/>
              </w:rPr>
              <w:t>ридичні особи, такі як фонди та юридичн</w:t>
            </w:r>
            <w:r w:rsidR="00BE08A7" w:rsidRPr="00C03848">
              <w:rPr>
                <w:lang w:val="uk-UA"/>
              </w:rPr>
              <w:t>і механізми</w:t>
            </w:r>
            <w:r w:rsidRPr="00C03848">
              <w:rPr>
                <w:lang w:val="uk-UA"/>
              </w:rPr>
              <w:t xml:space="preserve">, </w:t>
            </w:r>
            <w:r w:rsidR="00BE08A7" w:rsidRPr="00C03848">
              <w:rPr>
                <w:lang w:val="uk-UA"/>
              </w:rPr>
              <w:t>схожі на</w:t>
            </w:r>
            <w:r w:rsidRPr="00C03848">
              <w:rPr>
                <w:lang w:val="uk-UA"/>
              </w:rPr>
              <w:t xml:space="preserve"> трест</w:t>
            </w:r>
            <w:r w:rsidR="00BE08A7" w:rsidRPr="00C03848">
              <w:rPr>
                <w:lang w:val="uk-UA"/>
              </w:rPr>
              <w:t>и</w:t>
            </w:r>
            <w:r w:rsidRPr="00C03848">
              <w:rPr>
                <w:lang w:val="uk-UA"/>
              </w:rPr>
              <w:t xml:space="preserve"> повинні </w:t>
            </w:r>
            <w:r w:rsidR="00BE08A7" w:rsidRPr="00C03848">
              <w:rPr>
                <w:lang w:val="uk-UA"/>
              </w:rPr>
              <w:t>поширюватись</w:t>
            </w:r>
            <w:r w:rsidRPr="00C03848">
              <w:rPr>
                <w:lang w:val="uk-UA"/>
              </w:rPr>
              <w:t xml:space="preserve"> еквівалентн</w:t>
            </w:r>
            <w:r w:rsidR="00BE08A7" w:rsidRPr="00C03848">
              <w:rPr>
                <w:lang w:val="uk-UA"/>
              </w:rPr>
              <w:t>і</w:t>
            </w:r>
            <w:r w:rsidRPr="00C03848">
              <w:rPr>
                <w:lang w:val="uk-UA"/>
              </w:rPr>
              <w:t xml:space="preserve"> вимог</w:t>
            </w:r>
            <w:r w:rsidR="00BE08A7" w:rsidRPr="00C03848">
              <w:rPr>
                <w:lang w:val="uk-UA"/>
              </w:rPr>
              <w:t>и</w:t>
            </w:r>
            <w:r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BE08A7" w:rsidP="008B76F2">
            <w:pPr>
              <w:pStyle w:val="1"/>
              <w:spacing w:before="0" w:beforeAutospacing="0" w:after="0" w:afterAutospacing="0"/>
              <w:jc w:val="both"/>
              <w:textAlignment w:val="baseline"/>
              <w:rPr>
                <w:lang w:val="uk-UA"/>
              </w:rPr>
            </w:pPr>
            <w:r w:rsidRPr="00C03848">
              <w:rPr>
                <w:lang w:val="uk-UA"/>
              </w:rPr>
              <w:t>Положення даної</w:t>
            </w:r>
            <w:r w:rsidR="00C07AC9" w:rsidRPr="00C03848">
              <w:rPr>
                <w:lang w:val="uk-UA"/>
              </w:rPr>
              <w:t xml:space="preserve"> </w:t>
            </w:r>
            <w:r w:rsidR="002C54D7" w:rsidRPr="00C03848">
              <w:rPr>
                <w:lang w:val="uk-UA"/>
              </w:rPr>
              <w:t>Директив</w:t>
            </w:r>
            <w:r w:rsidRPr="00C03848">
              <w:rPr>
                <w:lang w:val="uk-UA"/>
              </w:rPr>
              <w:t xml:space="preserve">и повинні також застосовуватись до діяльності зобов’язаних </w:t>
            </w:r>
            <w:r w:rsidR="006723B9" w:rsidRPr="00C03848">
              <w:rPr>
                <w:lang w:val="uk-UA"/>
              </w:rPr>
              <w:t>суб’єктів</w:t>
            </w:r>
            <w:r w:rsidR="006B647A" w:rsidRPr="00C03848">
              <w:rPr>
                <w:lang w:val="uk-UA"/>
              </w:rPr>
              <w:t>, які здійснює</w:t>
            </w:r>
            <w:r w:rsidRPr="00C03848">
              <w:rPr>
                <w:lang w:val="uk-UA"/>
              </w:rPr>
              <w:t xml:space="preserve">ться </w:t>
            </w:r>
            <w:r w:rsidR="00496503" w:rsidRPr="00C03848">
              <w:rPr>
                <w:lang w:val="uk-UA"/>
              </w:rPr>
              <w:t>в мережі інтернет</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96503" w:rsidRPr="00C03848" w:rsidRDefault="00496503" w:rsidP="008B76F2">
            <w:pPr>
              <w:pStyle w:val="1"/>
              <w:spacing w:before="0" w:beforeAutospacing="0" w:after="0" w:afterAutospacing="0"/>
              <w:jc w:val="both"/>
              <w:textAlignment w:val="baseline"/>
              <w:rPr>
                <w:lang w:val="uk-UA"/>
              </w:rPr>
            </w:pPr>
            <w:r w:rsidRPr="00C03848">
              <w:rPr>
                <w:lang w:val="uk-UA"/>
              </w:rPr>
              <w:t xml:space="preserve">Нові технології надають ефективні </w:t>
            </w:r>
            <w:r w:rsidR="006723B9" w:rsidRPr="00C03848">
              <w:rPr>
                <w:lang w:val="uk-UA"/>
              </w:rPr>
              <w:t xml:space="preserve">за використанням часу </w:t>
            </w:r>
            <w:r w:rsidRPr="00C03848">
              <w:rPr>
                <w:lang w:val="uk-UA"/>
              </w:rPr>
              <w:t xml:space="preserve">і </w:t>
            </w:r>
            <w:r w:rsidR="006723B9" w:rsidRPr="00C03848">
              <w:rPr>
                <w:lang w:val="uk-UA"/>
              </w:rPr>
              <w:t>рентабель</w:t>
            </w:r>
            <w:r w:rsidRPr="00C03848">
              <w:rPr>
                <w:lang w:val="uk-UA"/>
              </w:rPr>
              <w:t xml:space="preserve">ні рішення для бізнесу і споживачів, і тому повинні бути прийняті до уваги при </w:t>
            </w:r>
            <w:r w:rsidR="006723B9" w:rsidRPr="00C03848">
              <w:rPr>
                <w:lang w:val="uk-UA"/>
              </w:rPr>
              <w:t xml:space="preserve">здійсненні </w:t>
            </w:r>
            <w:r w:rsidRPr="00C03848">
              <w:rPr>
                <w:lang w:val="uk-UA"/>
              </w:rPr>
              <w:t>оцін</w:t>
            </w:r>
            <w:r w:rsidR="006723B9" w:rsidRPr="00C03848">
              <w:rPr>
                <w:lang w:val="uk-UA"/>
              </w:rPr>
              <w:t>ювання</w:t>
            </w:r>
            <w:r w:rsidRPr="00C03848">
              <w:rPr>
                <w:lang w:val="uk-UA"/>
              </w:rPr>
              <w:t xml:space="preserve"> ризику. Компетентні органи </w:t>
            </w:r>
            <w:r w:rsidR="006723B9" w:rsidRPr="00C03848">
              <w:rPr>
                <w:lang w:val="uk-UA"/>
              </w:rPr>
              <w:t xml:space="preserve">та </w:t>
            </w:r>
            <w:r w:rsidRPr="00C03848">
              <w:rPr>
                <w:lang w:val="uk-UA"/>
              </w:rPr>
              <w:t xml:space="preserve">зобов'язані </w:t>
            </w:r>
            <w:r w:rsidR="006723B9" w:rsidRPr="00C03848">
              <w:rPr>
                <w:lang w:val="uk-UA"/>
              </w:rPr>
              <w:t>суб’єкти</w:t>
            </w:r>
            <w:r w:rsidRPr="00C03848">
              <w:rPr>
                <w:lang w:val="uk-UA"/>
              </w:rPr>
              <w:t xml:space="preserve"> повинні відігравати </w:t>
            </w:r>
            <w:r w:rsidRPr="00C03848">
              <w:rPr>
                <w:lang w:val="uk-UA"/>
              </w:rPr>
              <w:lastRenderedPageBreak/>
              <w:t>активну роль у боротьбі з новими</w:t>
            </w:r>
            <w:r w:rsidR="006723B9" w:rsidRPr="00C03848">
              <w:rPr>
                <w:lang w:val="uk-UA"/>
              </w:rPr>
              <w:t xml:space="preserve"> та інноваційними</w:t>
            </w:r>
            <w:r w:rsidRPr="00C03848">
              <w:rPr>
                <w:lang w:val="uk-UA"/>
              </w:rPr>
              <w:t xml:space="preserve"> способ</w:t>
            </w:r>
            <w:r w:rsidR="006723B9" w:rsidRPr="00C03848">
              <w:rPr>
                <w:lang w:val="uk-UA"/>
              </w:rPr>
              <w:t>ам</w:t>
            </w:r>
            <w:r w:rsidRPr="00C03848">
              <w:rPr>
                <w:lang w:val="uk-UA"/>
              </w:rPr>
              <w:t>и відмивання грошей.</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D39CB" w:rsidRPr="00C03848" w:rsidRDefault="007D39CB" w:rsidP="008B76F2">
            <w:pPr>
              <w:pStyle w:val="1"/>
              <w:spacing w:before="0" w:beforeAutospacing="0" w:after="0" w:afterAutospacing="0"/>
              <w:jc w:val="both"/>
              <w:textAlignment w:val="baseline"/>
              <w:rPr>
                <w:lang w:val="uk-UA"/>
              </w:rPr>
            </w:pPr>
            <w:r w:rsidRPr="00C03848">
              <w:rPr>
                <w:lang w:val="uk-UA"/>
              </w:rPr>
              <w:t>Представників Союзу в керівних органах Європейського банку реконструкції та розвитку заохочують імплементувати положення даної Директиви та опублікувати на його веб-сайті політику у сфері БВГ/ПФТ, що містить докладні процедури, які запроваджують положення даної Директиви.</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467EAB" w:rsidP="008B76F2">
            <w:pPr>
              <w:pStyle w:val="1"/>
              <w:spacing w:before="0" w:beforeAutospacing="0" w:after="0" w:afterAutospacing="0"/>
              <w:jc w:val="both"/>
              <w:textAlignment w:val="baseline"/>
              <w:rPr>
                <w:lang w:val="uk-UA"/>
              </w:rPr>
            </w:pPr>
            <w:r w:rsidRPr="00C03848">
              <w:rPr>
                <w:lang w:val="uk-UA"/>
              </w:rPr>
              <w:t xml:space="preserve">Викликає занепокоєння використання послуг у сфері азартних ігор для відмивання доходів, одержаних злочинним шляхом. З метою зниження ризиків, пов'язаних </w:t>
            </w:r>
            <w:r w:rsidR="00B14539" w:rsidRPr="00C03848">
              <w:rPr>
                <w:lang w:val="uk-UA"/>
              </w:rPr>
              <w:t xml:space="preserve">із </w:t>
            </w:r>
            <w:r w:rsidRPr="00C03848">
              <w:rPr>
                <w:lang w:val="uk-UA"/>
              </w:rPr>
              <w:t>послугами у сфері азартних ігор, положення даної Директиви повинні передбачати обов'язок для постачальників послуг у сфері азартних ігор, що представляють вищі ризики, застосувати заходи належної перевірки клієнта для разових угод на суму 2 000 євро або більше.</w:t>
            </w:r>
            <w:r w:rsidR="008475BF" w:rsidRPr="00C03848">
              <w:rPr>
                <w:lang w:val="uk-UA"/>
              </w:rPr>
              <w:t xml:space="preserve"> Держави-члени повинні забезпечувати, щоб</w:t>
            </w:r>
            <w:r w:rsidR="006B647A" w:rsidRPr="00C03848">
              <w:rPr>
                <w:lang w:val="uk-UA"/>
              </w:rPr>
              <w:t xml:space="preserve"> зобов'язані суб'єкти застосувал</w:t>
            </w:r>
            <w:r w:rsidR="008475BF" w:rsidRPr="00C03848">
              <w:rPr>
                <w:lang w:val="uk-UA"/>
              </w:rPr>
              <w:t xml:space="preserve">и однакову граничну величину до зборів виграшів, </w:t>
            </w:r>
            <w:r w:rsidR="00B14539" w:rsidRPr="00C03848">
              <w:rPr>
                <w:lang w:val="uk-UA"/>
              </w:rPr>
              <w:t xml:space="preserve">укладання </w:t>
            </w:r>
            <w:r w:rsidR="008475BF" w:rsidRPr="00C03848">
              <w:rPr>
                <w:lang w:val="uk-UA"/>
              </w:rPr>
              <w:t xml:space="preserve">парі </w:t>
            </w:r>
            <w:r w:rsidR="00B14539" w:rsidRPr="00C03848">
              <w:rPr>
                <w:lang w:val="uk-UA"/>
              </w:rPr>
              <w:t xml:space="preserve">на </w:t>
            </w:r>
            <w:r w:rsidR="000438AA" w:rsidRPr="00C03848">
              <w:rPr>
                <w:lang w:val="uk-UA"/>
              </w:rPr>
              <w:t>став</w:t>
            </w:r>
            <w:r w:rsidR="008475BF" w:rsidRPr="00C03848">
              <w:rPr>
                <w:lang w:val="uk-UA"/>
              </w:rPr>
              <w:t>ку, в тому числі шляхом придбання та обміну гральних фішок, або обох</w:t>
            </w:r>
            <w:r w:rsidR="00B14539" w:rsidRPr="00C03848">
              <w:rPr>
                <w:lang w:val="uk-UA"/>
              </w:rPr>
              <w:t xml:space="preserve"> операцій</w:t>
            </w:r>
            <w:r w:rsidR="008475BF" w:rsidRPr="00C03848">
              <w:rPr>
                <w:lang w:val="uk-UA"/>
              </w:rPr>
              <w:t>. П</w:t>
            </w:r>
            <w:r w:rsidR="00B14539" w:rsidRPr="00C03848">
              <w:rPr>
                <w:lang w:val="uk-UA"/>
              </w:rPr>
              <w:t>остачальник</w:t>
            </w:r>
            <w:r w:rsidR="008475BF" w:rsidRPr="00C03848">
              <w:rPr>
                <w:lang w:val="uk-UA"/>
              </w:rPr>
              <w:t xml:space="preserve">и </w:t>
            </w:r>
            <w:r w:rsidR="00B14539" w:rsidRPr="00C03848">
              <w:rPr>
                <w:lang w:val="uk-UA"/>
              </w:rPr>
              <w:t xml:space="preserve">послуг у сфері азартних ігор, які володіють </w:t>
            </w:r>
            <w:r w:rsidR="008475BF" w:rsidRPr="00C03848">
              <w:rPr>
                <w:lang w:val="uk-UA"/>
              </w:rPr>
              <w:t>фізичними приміщен</w:t>
            </w:r>
            <w:r w:rsidR="00B14539" w:rsidRPr="00C03848">
              <w:rPr>
                <w:lang w:val="uk-UA"/>
              </w:rPr>
              <w:t>нями</w:t>
            </w:r>
            <w:r w:rsidR="008475BF" w:rsidRPr="00C03848">
              <w:rPr>
                <w:lang w:val="uk-UA"/>
              </w:rPr>
              <w:t>, так</w:t>
            </w:r>
            <w:r w:rsidR="003529EC" w:rsidRPr="00C03848">
              <w:rPr>
                <w:lang w:val="uk-UA"/>
              </w:rPr>
              <w:t>і</w:t>
            </w:r>
            <w:r w:rsidR="008475BF" w:rsidRPr="00C03848">
              <w:rPr>
                <w:lang w:val="uk-UA"/>
              </w:rPr>
              <w:t xml:space="preserve"> як казино </w:t>
            </w:r>
            <w:r w:rsidR="003529EC" w:rsidRPr="00C03848">
              <w:rPr>
                <w:lang w:val="uk-UA"/>
              </w:rPr>
              <w:t>та і</w:t>
            </w:r>
            <w:r w:rsidR="008475BF" w:rsidRPr="00C03848">
              <w:rPr>
                <w:lang w:val="uk-UA"/>
              </w:rPr>
              <w:t>г</w:t>
            </w:r>
            <w:r w:rsidR="003529EC" w:rsidRPr="00C03848">
              <w:rPr>
                <w:lang w:val="uk-UA"/>
              </w:rPr>
              <w:t>орні доми</w:t>
            </w:r>
            <w:r w:rsidR="008475BF" w:rsidRPr="00C03848">
              <w:rPr>
                <w:lang w:val="uk-UA"/>
              </w:rPr>
              <w:t>, повинні гарантувати, що належн</w:t>
            </w:r>
            <w:r w:rsidR="00472CC9" w:rsidRPr="00C03848">
              <w:rPr>
                <w:lang w:val="uk-UA"/>
              </w:rPr>
              <w:t>а</w:t>
            </w:r>
            <w:r w:rsidR="008475BF" w:rsidRPr="00C03848">
              <w:rPr>
                <w:lang w:val="uk-UA"/>
              </w:rPr>
              <w:t xml:space="preserve"> перевірк</w:t>
            </w:r>
            <w:r w:rsidR="00472CC9" w:rsidRPr="00C03848">
              <w:rPr>
                <w:lang w:val="uk-UA"/>
              </w:rPr>
              <w:t>а</w:t>
            </w:r>
            <w:r w:rsidR="008475BF" w:rsidRPr="00C03848">
              <w:rPr>
                <w:lang w:val="uk-UA"/>
              </w:rPr>
              <w:t xml:space="preserve"> клієнта, </w:t>
            </w:r>
            <w:r w:rsidR="00472CC9" w:rsidRPr="00C03848">
              <w:rPr>
                <w:lang w:val="uk-UA"/>
              </w:rPr>
              <w:t>за умови здійснення</w:t>
            </w:r>
            <w:r w:rsidR="008475BF" w:rsidRPr="00C03848">
              <w:rPr>
                <w:lang w:val="uk-UA"/>
              </w:rPr>
              <w:t xml:space="preserve"> в точці входу в приміщення, може бути по</w:t>
            </w:r>
            <w:r w:rsidR="00472CC9" w:rsidRPr="00C03848">
              <w:rPr>
                <w:lang w:val="uk-UA"/>
              </w:rPr>
              <w:t>в'язана з операціями</w:t>
            </w:r>
            <w:r w:rsidR="008475BF" w:rsidRPr="00C03848">
              <w:rPr>
                <w:lang w:val="uk-UA"/>
              </w:rPr>
              <w:t xml:space="preserve">, </w:t>
            </w:r>
            <w:r w:rsidR="00472CC9" w:rsidRPr="00C03848">
              <w:rPr>
                <w:lang w:val="uk-UA"/>
              </w:rPr>
              <w:t>які виконуються</w:t>
            </w:r>
            <w:r w:rsidR="008475BF" w:rsidRPr="00C03848">
              <w:rPr>
                <w:lang w:val="uk-UA"/>
              </w:rPr>
              <w:t xml:space="preserve"> клієнтом </w:t>
            </w:r>
            <w:r w:rsidR="00472CC9" w:rsidRPr="00C03848">
              <w:rPr>
                <w:lang w:val="uk-UA"/>
              </w:rPr>
              <w:t xml:space="preserve">в </w:t>
            </w:r>
            <w:r w:rsidR="008475BF" w:rsidRPr="00C03848">
              <w:rPr>
                <w:lang w:val="uk-UA"/>
              </w:rPr>
              <w:t>цих приміщеннях.</w:t>
            </w:r>
            <w:r w:rsidR="00472CC9" w:rsidRPr="00C03848">
              <w:rPr>
                <w:lang w:val="uk-UA"/>
              </w:rPr>
              <w:t xml:space="preserve"> Проте, в перевірених умовах низького ризику, держави-члени повинні мати можливість виключати певні послуги у сфері азартних ігор від виконання деяких або всіх вимог, викладених в дан</w:t>
            </w:r>
            <w:r w:rsidR="00F74AAA" w:rsidRPr="00C03848">
              <w:rPr>
                <w:lang w:val="uk-UA"/>
              </w:rPr>
              <w:t>ій Директиві</w:t>
            </w:r>
            <w:r w:rsidR="00472CC9" w:rsidRPr="00C03848">
              <w:rPr>
                <w:lang w:val="uk-UA"/>
              </w:rPr>
              <w:t xml:space="preserve">. Використання </w:t>
            </w:r>
            <w:r w:rsidR="00F74AAA" w:rsidRPr="00C03848">
              <w:rPr>
                <w:lang w:val="uk-UA"/>
              </w:rPr>
              <w:t>виключ</w:t>
            </w:r>
            <w:r w:rsidR="00472CC9" w:rsidRPr="00C03848">
              <w:rPr>
                <w:lang w:val="uk-UA"/>
              </w:rPr>
              <w:t>ення держав</w:t>
            </w:r>
            <w:r w:rsidR="00F74AAA" w:rsidRPr="00C03848">
              <w:rPr>
                <w:lang w:val="uk-UA"/>
              </w:rPr>
              <w:t>ою</w:t>
            </w:r>
            <w:r w:rsidR="00472CC9" w:rsidRPr="00C03848">
              <w:rPr>
                <w:lang w:val="uk-UA"/>
              </w:rPr>
              <w:t>-член</w:t>
            </w:r>
            <w:r w:rsidR="00F74AAA" w:rsidRPr="00C03848">
              <w:rPr>
                <w:lang w:val="uk-UA"/>
              </w:rPr>
              <w:t>ом</w:t>
            </w:r>
            <w:r w:rsidR="00472CC9" w:rsidRPr="00C03848">
              <w:rPr>
                <w:lang w:val="uk-UA"/>
              </w:rPr>
              <w:t xml:space="preserve"> слід розглядати тільки в </w:t>
            </w:r>
            <w:r w:rsidR="00F74AAA" w:rsidRPr="00C03848">
              <w:rPr>
                <w:lang w:val="uk-UA"/>
              </w:rPr>
              <w:t>жорстк</w:t>
            </w:r>
            <w:r w:rsidR="00472CC9" w:rsidRPr="00C03848">
              <w:rPr>
                <w:lang w:val="uk-UA"/>
              </w:rPr>
              <w:t xml:space="preserve">о визначених </w:t>
            </w:r>
            <w:r w:rsidR="00F74AAA" w:rsidRPr="00C03848">
              <w:rPr>
                <w:lang w:val="uk-UA"/>
              </w:rPr>
              <w:t xml:space="preserve">та </w:t>
            </w:r>
            <w:r w:rsidR="00472CC9" w:rsidRPr="00C03848">
              <w:rPr>
                <w:lang w:val="uk-UA"/>
              </w:rPr>
              <w:t>виправданих обставин</w:t>
            </w:r>
            <w:r w:rsidR="00F74AAA" w:rsidRPr="00C03848">
              <w:rPr>
                <w:lang w:val="uk-UA"/>
              </w:rPr>
              <w:t>ах</w:t>
            </w:r>
            <w:r w:rsidR="00472CC9" w:rsidRPr="00C03848">
              <w:rPr>
                <w:lang w:val="uk-UA"/>
              </w:rPr>
              <w:t xml:space="preserve">, </w:t>
            </w:r>
            <w:r w:rsidR="00F74AAA" w:rsidRPr="00C03848">
              <w:rPr>
                <w:lang w:val="uk-UA"/>
              </w:rPr>
              <w:t>т</w:t>
            </w:r>
            <w:r w:rsidR="00472CC9" w:rsidRPr="00C03848">
              <w:rPr>
                <w:lang w:val="uk-UA"/>
              </w:rPr>
              <w:t>а</w:t>
            </w:r>
            <w:r w:rsidR="00F74AAA" w:rsidRPr="00C03848">
              <w:rPr>
                <w:lang w:val="uk-UA"/>
              </w:rPr>
              <w:t xml:space="preserve"> у випадках, в яких</w:t>
            </w:r>
            <w:r w:rsidR="00472CC9" w:rsidRPr="00C03848">
              <w:rPr>
                <w:lang w:val="uk-UA"/>
              </w:rPr>
              <w:t xml:space="preserve"> ризики відмивання </w:t>
            </w:r>
            <w:r w:rsidR="00F567A7" w:rsidRPr="00C03848">
              <w:rPr>
                <w:lang w:val="uk-UA"/>
              </w:rPr>
              <w:t>грошей</w:t>
            </w:r>
            <w:r w:rsidR="00472CC9" w:rsidRPr="00C03848">
              <w:rPr>
                <w:lang w:val="uk-UA"/>
              </w:rPr>
              <w:t xml:space="preserve"> та фінансування тероризму є низькими. </w:t>
            </w:r>
            <w:r w:rsidR="00F74AAA" w:rsidRPr="00C03848">
              <w:rPr>
                <w:lang w:val="uk-UA"/>
              </w:rPr>
              <w:t xml:space="preserve">У зазначених виключеннях </w:t>
            </w:r>
            <w:r w:rsidR="00472CC9" w:rsidRPr="00C03848">
              <w:rPr>
                <w:lang w:val="uk-UA"/>
              </w:rPr>
              <w:t>повинн</w:t>
            </w:r>
            <w:r w:rsidR="00F74AAA" w:rsidRPr="00C03848">
              <w:rPr>
                <w:lang w:val="uk-UA"/>
              </w:rPr>
              <w:t xml:space="preserve">а застосовуватись спеціальне </w:t>
            </w:r>
            <w:r w:rsidR="00472CC9" w:rsidRPr="00C03848">
              <w:rPr>
                <w:lang w:val="uk-UA"/>
              </w:rPr>
              <w:t>оцін</w:t>
            </w:r>
            <w:r w:rsidR="00F74AAA" w:rsidRPr="00C03848">
              <w:rPr>
                <w:lang w:val="uk-UA"/>
              </w:rPr>
              <w:t>ювання</w:t>
            </w:r>
            <w:r w:rsidR="00472CC9" w:rsidRPr="00C03848">
              <w:rPr>
                <w:lang w:val="uk-UA"/>
              </w:rPr>
              <w:t xml:space="preserve"> ризиків, як</w:t>
            </w:r>
            <w:r w:rsidR="00F74AAA" w:rsidRPr="00C03848">
              <w:rPr>
                <w:lang w:val="uk-UA"/>
              </w:rPr>
              <w:t>е</w:t>
            </w:r>
            <w:r w:rsidR="00472CC9" w:rsidRPr="00C03848">
              <w:rPr>
                <w:lang w:val="uk-UA"/>
              </w:rPr>
              <w:t xml:space="preserve"> також враховує ступінь уразливості </w:t>
            </w:r>
            <w:r w:rsidR="00F74AAA" w:rsidRPr="00C03848">
              <w:rPr>
                <w:lang w:val="uk-UA"/>
              </w:rPr>
              <w:t>відповідних</w:t>
            </w:r>
            <w:r w:rsidR="00472CC9" w:rsidRPr="00C03848">
              <w:rPr>
                <w:lang w:val="uk-UA"/>
              </w:rPr>
              <w:t xml:space="preserve"> угод. Вони повинні бути доведені до відома Комісії. </w:t>
            </w:r>
            <w:r w:rsidR="00F74AAA" w:rsidRPr="00C03848">
              <w:rPr>
                <w:lang w:val="uk-UA"/>
              </w:rPr>
              <w:t>У процесі здійснення</w:t>
            </w:r>
            <w:r w:rsidR="00472CC9" w:rsidRPr="00C03848">
              <w:rPr>
                <w:lang w:val="uk-UA"/>
              </w:rPr>
              <w:t xml:space="preserve"> оцін</w:t>
            </w:r>
            <w:r w:rsidR="00F74AAA" w:rsidRPr="00C03848">
              <w:rPr>
                <w:lang w:val="uk-UA"/>
              </w:rPr>
              <w:t>ювання</w:t>
            </w:r>
            <w:r w:rsidR="00472CC9" w:rsidRPr="00C03848">
              <w:rPr>
                <w:lang w:val="uk-UA"/>
              </w:rPr>
              <w:t xml:space="preserve"> ризику, держави-члени повинні вказати, як вони </w:t>
            </w:r>
            <w:r w:rsidR="00F74AAA" w:rsidRPr="00C03848">
              <w:rPr>
                <w:lang w:val="uk-UA"/>
              </w:rPr>
              <w:t>врахували</w:t>
            </w:r>
            <w:r w:rsidR="00472CC9" w:rsidRPr="00C03848">
              <w:rPr>
                <w:lang w:val="uk-UA"/>
              </w:rPr>
              <w:t xml:space="preserve"> будь-які відповідні висновки, що містяться в доповідях, випущених Комісією в рамках </w:t>
            </w:r>
            <w:r w:rsidR="00F74AAA" w:rsidRPr="00C03848">
              <w:rPr>
                <w:lang w:val="uk-UA"/>
              </w:rPr>
              <w:t xml:space="preserve">здійснення </w:t>
            </w:r>
            <w:r w:rsidR="00472CC9" w:rsidRPr="00C03848">
              <w:rPr>
                <w:lang w:val="uk-UA"/>
              </w:rPr>
              <w:t xml:space="preserve">наднаціонального </w:t>
            </w:r>
            <w:r w:rsidR="00F74AAA" w:rsidRPr="00C03848">
              <w:rPr>
                <w:lang w:val="uk-UA"/>
              </w:rPr>
              <w:t xml:space="preserve">оцінювання </w:t>
            </w:r>
            <w:r w:rsidR="00472CC9" w:rsidRPr="00C03848">
              <w:rPr>
                <w:lang w:val="uk-UA"/>
              </w:rPr>
              <w:t>ризику.</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DF6EDA" w:rsidP="008B76F2">
            <w:pPr>
              <w:pStyle w:val="1"/>
              <w:spacing w:before="0" w:beforeAutospacing="0" w:after="0" w:afterAutospacing="0"/>
              <w:jc w:val="both"/>
              <w:textAlignment w:val="baseline"/>
              <w:rPr>
                <w:lang w:val="uk-UA"/>
              </w:rPr>
            </w:pPr>
            <w:r w:rsidRPr="00C03848">
              <w:rPr>
                <w:lang w:val="uk-UA"/>
              </w:rPr>
              <w:t xml:space="preserve">Ризик відмивання грошей і фінансування тероризму не </w:t>
            </w:r>
            <w:r w:rsidR="00294762" w:rsidRPr="00C03848">
              <w:rPr>
                <w:lang w:val="uk-UA"/>
              </w:rPr>
              <w:t>є однаковим</w:t>
            </w:r>
            <w:r w:rsidRPr="00C03848">
              <w:rPr>
                <w:lang w:val="uk-UA"/>
              </w:rPr>
              <w:t xml:space="preserve"> в </w:t>
            </w:r>
            <w:r w:rsidR="00294762" w:rsidRPr="00C03848">
              <w:rPr>
                <w:lang w:val="uk-UA"/>
              </w:rPr>
              <w:t>кожному</w:t>
            </w:r>
            <w:r w:rsidRPr="00C03848">
              <w:rPr>
                <w:lang w:val="uk-UA"/>
              </w:rPr>
              <w:t xml:space="preserve"> випадку. Відповідно, </w:t>
            </w:r>
            <w:r w:rsidR="00294762" w:rsidRPr="00C03848">
              <w:rPr>
                <w:lang w:val="uk-UA"/>
              </w:rPr>
              <w:t xml:space="preserve">постає необхідність у </w:t>
            </w:r>
            <w:r w:rsidRPr="00C03848">
              <w:rPr>
                <w:lang w:val="uk-UA"/>
              </w:rPr>
              <w:t>використ</w:t>
            </w:r>
            <w:r w:rsidR="00294762" w:rsidRPr="00C03848">
              <w:rPr>
                <w:lang w:val="uk-UA"/>
              </w:rPr>
              <w:t>анні</w:t>
            </w:r>
            <w:r w:rsidRPr="00C03848">
              <w:rPr>
                <w:lang w:val="uk-UA"/>
              </w:rPr>
              <w:t xml:space="preserve"> цілісн</w:t>
            </w:r>
            <w:r w:rsidR="00294762" w:rsidRPr="00C03848">
              <w:rPr>
                <w:lang w:val="uk-UA"/>
              </w:rPr>
              <w:t>ого підхо</w:t>
            </w:r>
            <w:r w:rsidRPr="00C03848">
              <w:rPr>
                <w:lang w:val="uk-UA"/>
              </w:rPr>
              <w:t>д</w:t>
            </w:r>
            <w:r w:rsidR="00294762" w:rsidRPr="00C03848">
              <w:rPr>
                <w:lang w:val="uk-UA"/>
              </w:rPr>
              <w:t>у</w:t>
            </w:r>
            <w:r w:rsidRPr="00C03848">
              <w:rPr>
                <w:lang w:val="uk-UA"/>
              </w:rPr>
              <w:t xml:space="preserve"> на основі ризику. </w:t>
            </w:r>
            <w:r w:rsidR="001719FD" w:rsidRPr="00C03848">
              <w:rPr>
                <w:lang w:val="uk-UA"/>
              </w:rPr>
              <w:t>Підхід, заснований на о</w:t>
            </w:r>
            <w:r w:rsidRPr="00C03848">
              <w:rPr>
                <w:lang w:val="uk-UA"/>
              </w:rPr>
              <w:t>цінці ризику, не є надмірно дозвільни</w:t>
            </w:r>
            <w:r w:rsidR="001719FD" w:rsidRPr="00C03848">
              <w:rPr>
                <w:lang w:val="uk-UA"/>
              </w:rPr>
              <w:t>м</w:t>
            </w:r>
            <w:r w:rsidRPr="00C03848">
              <w:rPr>
                <w:lang w:val="uk-UA"/>
              </w:rPr>
              <w:t xml:space="preserve"> варіант</w:t>
            </w:r>
            <w:r w:rsidR="001719FD" w:rsidRPr="00C03848">
              <w:rPr>
                <w:lang w:val="uk-UA"/>
              </w:rPr>
              <w:t>ом</w:t>
            </w:r>
            <w:r w:rsidRPr="00C03848">
              <w:rPr>
                <w:lang w:val="uk-UA"/>
              </w:rPr>
              <w:t xml:space="preserve"> для держав-членів і зобов'яза</w:t>
            </w:r>
            <w:r w:rsidR="001719FD" w:rsidRPr="00C03848">
              <w:rPr>
                <w:lang w:val="uk-UA"/>
              </w:rPr>
              <w:t>них</w:t>
            </w:r>
            <w:r w:rsidRPr="00C03848">
              <w:rPr>
                <w:lang w:val="uk-UA"/>
              </w:rPr>
              <w:t xml:space="preserve"> суб'єктів. </w:t>
            </w:r>
            <w:r w:rsidR="001719FD" w:rsidRPr="00C03848">
              <w:rPr>
                <w:lang w:val="uk-UA"/>
              </w:rPr>
              <w:t>Він</w:t>
            </w:r>
            <w:r w:rsidRPr="00C03848">
              <w:rPr>
                <w:lang w:val="uk-UA"/>
              </w:rPr>
              <w:t xml:space="preserve"> передбачає використання </w:t>
            </w:r>
            <w:r w:rsidR="001719FD" w:rsidRPr="00C03848">
              <w:rPr>
                <w:lang w:val="uk-UA"/>
              </w:rPr>
              <w:t xml:space="preserve">прийняття рішень </w:t>
            </w:r>
            <w:r w:rsidRPr="00C03848">
              <w:rPr>
                <w:lang w:val="uk-UA"/>
              </w:rPr>
              <w:t xml:space="preserve">на основі фактичних даних з метою виявлення ризиків відмивання грошей і фінансування тероризму, </w:t>
            </w:r>
            <w:r w:rsidR="001719FD" w:rsidRPr="00C03848">
              <w:rPr>
                <w:lang w:val="uk-UA"/>
              </w:rPr>
              <w:t>які виникають в</w:t>
            </w:r>
            <w:r w:rsidRPr="00C03848">
              <w:rPr>
                <w:lang w:val="uk-UA"/>
              </w:rPr>
              <w:t xml:space="preserve"> </w:t>
            </w:r>
            <w:r w:rsidR="001719FD" w:rsidRPr="00C03848">
              <w:rPr>
                <w:lang w:val="uk-UA"/>
              </w:rPr>
              <w:t>С</w:t>
            </w:r>
            <w:r w:rsidRPr="00C03848">
              <w:rPr>
                <w:lang w:val="uk-UA"/>
              </w:rPr>
              <w:t>оюз</w:t>
            </w:r>
            <w:r w:rsidR="001719FD" w:rsidRPr="00C03848">
              <w:rPr>
                <w:lang w:val="uk-UA"/>
              </w:rPr>
              <w:t>і,</w:t>
            </w:r>
            <w:r w:rsidRPr="00C03848">
              <w:rPr>
                <w:lang w:val="uk-UA"/>
              </w:rPr>
              <w:t xml:space="preserve"> і тих, хто </w:t>
            </w:r>
            <w:r w:rsidR="001719FD" w:rsidRPr="00C03848">
              <w:rPr>
                <w:lang w:val="uk-UA"/>
              </w:rPr>
              <w:t>функціону</w:t>
            </w:r>
            <w:r w:rsidRPr="00C03848">
              <w:rPr>
                <w:lang w:val="uk-UA"/>
              </w:rPr>
              <w:t>є в н</w:t>
            </w:r>
            <w:r w:rsidR="001719FD" w:rsidRPr="00C03848">
              <w:rPr>
                <w:lang w:val="uk-UA"/>
              </w:rPr>
              <w:t>ьому</w:t>
            </w:r>
            <w:r w:rsidRPr="00C03848">
              <w:rPr>
                <w:lang w:val="uk-UA"/>
              </w:rPr>
              <w:t xml:space="preserve"> більш ефективно.</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1719FD" w:rsidP="008B76F2">
            <w:pPr>
              <w:pStyle w:val="1"/>
              <w:spacing w:before="0" w:beforeAutospacing="0" w:after="0" w:afterAutospacing="0"/>
              <w:jc w:val="both"/>
              <w:textAlignment w:val="baseline"/>
              <w:rPr>
                <w:lang w:val="uk-UA"/>
              </w:rPr>
            </w:pPr>
            <w:r w:rsidRPr="00C03848">
              <w:rPr>
                <w:lang w:val="uk-UA"/>
              </w:rPr>
              <w:t xml:space="preserve">В основі підходу, заснованому на ризику, </w:t>
            </w:r>
            <w:r w:rsidR="009A3193" w:rsidRPr="00C03848">
              <w:rPr>
                <w:lang w:val="uk-UA"/>
              </w:rPr>
              <w:t>поляга</w:t>
            </w:r>
            <w:r w:rsidRPr="00C03848">
              <w:rPr>
                <w:lang w:val="uk-UA"/>
              </w:rPr>
              <w:t xml:space="preserve">є необхідність для держав-членів і Союзу визначити, зрозуміти та зменшити ризики відмивання грошей і фінансування тероризму, з якими вони стикаються. Важливість наднаціонального підходу до ідентифікації ризиків була визнана на міжнародному рівні, і </w:t>
            </w:r>
            <w:r w:rsidR="006F6F7F" w:rsidRPr="00C03848">
              <w:rPr>
                <w:lang w:val="uk-UA"/>
              </w:rPr>
              <w:t xml:space="preserve">Європейському </w:t>
            </w:r>
            <w:r w:rsidR="006F6F7F" w:rsidRPr="00C03848">
              <w:rPr>
                <w:rStyle w:val="hps"/>
                <w:lang w:val="uk-UA"/>
              </w:rPr>
              <w:t>наглядовому</w:t>
            </w:r>
            <w:r w:rsidR="006F6F7F" w:rsidRPr="00C03848">
              <w:rPr>
                <w:lang w:val="uk-UA"/>
              </w:rPr>
              <w:t xml:space="preserve"> </w:t>
            </w:r>
            <w:r w:rsidR="006F6F7F" w:rsidRPr="00C03848">
              <w:rPr>
                <w:rStyle w:val="hps"/>
                <w:lang w:val="uk-UA"/>
              </w:rPr>
              <w:t>органу (</w:t>
            </w:r>
            <w:r w:rsidR="006F6F7F" w:rsidRPr="00C03848">
              <w:rPr>
                <w:lang w:val="uk-UA"/>
              </w:rPr>
              <w:t xml:space="preserve">Європейській службі банківського нагляду) </w:t>
            </w:r>
            <w:r w:rsidR="006F6F7F" w:rsidRPr="00C03848">
              <w:rPr>
                <w:rStyle w:val="hps"/>
                <w:lang w:val="uk-UA"/>
              </w:rPr>
              <w:t>(«</w:t>
            </w:r>
            <w:r w:rsidR="006F6F7F" w:rsidRPr="00C03848">
              <w:rPr>
                <w:lang w:val="uk-UA"/>
              </w:rPr>
              <w:t xml:space="preserve">EBA»), заснованому відповідно до Регламенту </w:t>
            </w:r>
            <w:r w:rsidR="00C07AC9" w:rsidRPr="00C03848">
              <w:rPr>
                <w:lang w:val="uk-UA"/>
              </w:rPr>
              <w:t xml:space="preserve">(EU) No 1093/2010 </w:t>
            </w:r>
            <w:r w:rsidR="00D50C80" w:rsidRPr="00C03848">
              <w:rPr>
                <w:lang w:val="uk-UA"/>
              </w:rPr>
              <w:t xml:space="preserve">Європейського Парламенту та Ради </w:t>
            </w:r>
            <w:hyperlink r:id="rId16" w:anchor="ntr9-L_2015141EN.01007301-E0009" w:history="1">
              <w:r w:rsidR="00C07AC9" w:rsidRPr="00C03848">
                <w:rPr>
                  <w:rStyle w:val="Hyperlink"/>
                  <w:color w:val="auto"/>
                  <w:u w:val="none"/>
                  <w:bdr w:val="none" w:sz="0" w:space="0" w:color="auto" w:frame="1"/>
                  <w:lang w:val="uk-UA"/>
                </w:rPr>
                <w:t> (</w:t>
              </w:r>
              <w:r w:rsidR="00C07AC9" w:rsidRPr="00C03848">
                <w:rPr>
                  <w:rStyle w:val="super"/>
                  <w:sz w:val="24"/>
                  <w:szCs w:val="24"/>
                  <w:bdr w:val="none" w:sz="0" w:space="0" w:color="auto" w:frame="1"/>
                  <w:lang w:val="uk-UA"/>
                </w:rPr>
                <w:t>9</w:t>
              </w:r>
              <w:r w:rsidR="00C07AC9" w:rsidRPr="00C03848">
                <w:rPr>
                  <w:rStyle w:val="Hyperlink"/>
                  <w:color w:val="auto"/>
                  <w:u w:val="none"/>
                  <w:bdr w:val="none" w:sz="0" w:space="0" w:color="auto" w:frame="1"/>
                  <w:lang w:val="uk-UA"/>
                </w:rPr>
                <w:t>)</w:t>
              </w:r>
            </w:hyperlink>
            <w:r w:rsidR="00C07AC9" w:rsidRPr="00C03848">
              <w:rPr>
                <w:lang w:val="uk-UA"/>
              </w:rPr>
              <w:t xml:space="preserve">, </w:t>
            </w:r>
            <w:r w:rsidR="006F6F7F" w:rsidRPr="00C03848">
              <w:rPr>
                <w:lang w:val="uk-UA"/>
              </w:rPr>
              <w:t xml:space="preserve">Європейському </w:t>
            </w:r>
            <w:r w:rsidR="006F6F7F" w:rsidRPr="00C03848">
              <w:rPr>
                <w:rStyle w:val="hps"/>
                <w:lang w:val="uk-UA"/>
              </w:rPr>
              <w:t>наглядовому</w:t>
            </w:r>
            <w:r w:rsidR="006F6F7F" w:rsidRPr="00C03848">
              <w:rPr>
                <w:lang w:val="uk-UA"/>
              </w:rPr>
              <w:t xml:space="preserve"> </w:t>
            </w:r>
            <w:r w:rsidR="006F6F7F" w:rsidRPr="00C03848">
              <w:rPr>
                <w:rStyle w:val="hps"/>
                <w:lang w:val="uk-UA"/>
              </w:rPr>
              <w:t xml:space="preserve">органу </w:t>
            </w:r>
            <w:r w:rsidR="006F6F7F" w:rsidRPr="00C03848">
              <w:rPr>
                <w:lang w:val="uk-UA"/>
              </w:rPr>
              <w:t xml:space="preserve">(Європейському органу з нагляду в сфері страхування та недержавного пенсійного забезпечення)  </w:t>
            </w:r>
            <w:r w:rsidR="00C07AC9" w:rsidRPr="00C03848">
              <w:rPr>
                <w:lang w:val="uk-UA"/>
              </w:rPr>
              <w:t xml:space="preserve">(EIOPA), </w:t>
            </w:r>
            <w:r w:rsidR="006F6F7F" w:rsidRPr="00C03848">
              <w:rPr>
                <w:lang w:val="uk-UA"/>
              </w:rPr>
              <w:t xml:space="preserve">заснованому відповідно до Регламенту </w:t>
            </w:r>
            <w:r w:rsidR="00C07AC9" w:rsidRPr="00C03848">
              <w:rPr>
                <w:lang w:val="uk-UA"/>
              </w:rPr>
              <w:t xml:space="preserve">(EU) No 1094/2010 </w:t>
            </w:r>
            <w:r w:rsidR="00D50C80" w:rsidRPr="00C03848">
              <w:rPr>
                <w:lang w:val="uk-UA"/>
              </w:rPr>
              <w:t xml:space="preserve">Європейського Парламенту та Ради </w:t>
            </w:r>
            <w:hyperlink r:id="rId17" w:anchor="ntr10-L_2015141EN.01007301-E0010" w:history="1">
              <w:r w:rsidR="00C07AC9" w:rsidRPr="00C03848">
                <w:rPr>
                  <w:rStyle w:val="Hyperlink"/>
                  <w:color w:val="auto"/>
                  <w:u w:val="none"/>
                  <w:bdr w:val="none" w:sz="0" w:space="0" w:color="auto" w:frame="1"/>
                  <w:lang w:val="uk-UA"/>
                </w:rPr>
                <w:t> (</w:t>
              </w:r>
              <w:r w:rsidR="00C07AC9" w:rsidRPr="00C03848">
                <w:rPr>
                  <w:rStyle w:val="super"/>
                  <w:sz w:val="24"/>
                  <w:szCs w:val="24"/>
                  <w:bdr w:val="none" w:sz="0" w:space="0" w:color="auto" w:frame="1"/>
                  <w:lang w:val="uk-UA"/>
                </w:rPr>
                <w:t>10</w:t>
              </w:r>
              <w:r w:rsidR="00C07AC9" w:rsidRPr="00C03848">
                <w:rPr>
                  <w:rStyle w:val="Hyperlink"/>
                  <w:color w:val="auto"/>
                  <w:u w:val="none"/>
                  <w:bdr w:val="none" w:sz="0" w:space="0" w:color="auto" w:frame="1"/>
                  <w:lang w:val="uk-UA"/>
                </w:rPr>
                <w:t>)</w:t>
              </w:r>
            </w:hyperlink>
            <w:r w:rsidR="00C07AC9" w:rsidRPr="00C03848">
              <w:rPr>
                <w:lang w:val="uk-UA"/>
              </w:rPr>
              <w:t xml:space="preserve">, </w:t>
            </w:r>
            <w:r w:rsidR="006F6F7F" w:rsidRPr="00C03848">
              <w:rPr>
                <w:lang w:val="uk-UA"/>
              </w:rPr>
              <w:t xml:space="preserve">та Європейському </w:t>
            </w:r>
            <w:r w:rsidR="006F6F7F" w:rsidRPr="00C03848">
              <w:rPr>
                <w:rStyle w:val="hps"/>
                <w:lang w:val="uk-UA"/>
              </w:rPr>
              <w:t>наглядовому</w:t>
            </w:r>
            <w:r w:rsidR="006F6F7F" w:rsidRPr="00C03848">
              <w:rPr>
                <w:lang w:val="uk-UA"/>
              </w:rPr>
              <w:t xml:space="preserve"> </w:t>
            </w:r>
            <w:r w:rsidR="006F6F7F" w:rsidRPr="00C03848">
              <w:rPr>
                <w:rStyle w:val="hps"/>
                <w:lang w:val="uk-UA"/>
              </w:rPr>
              <w:t xml:space="preserve">органу </w:t>
            </w:r>
            <w:r w:rsidR="006F6F7F" w:rsidRPr="00C03848">
              <w:rPr>
                <w:lang w:val="uk-UA"/>
              </w:rPr>
              <w:t>(Європейському органу з цінних паперів та фондового ринку)</w:t>
            </w:r>
            <w:r w:rsidR="00C07AC9" w:rsidRPr="00C03848">
              <w:rPr>
                <w:lang w:val="uk-UA"/>
              </w:rPr>
              <w:t xml:space="preserve"> (ESMA), </w:t>
            </w:r>
            <w:r w:rsidR="006F6F7F" w:rsidRPr="00C03848">
              <w:rPr>
                <w:lang w:val="uk-UA"/>
              </w:rPr>
              <w:t xml:space="preserve">відповідно до Регламенту </w:t>
            </w:r>
            <w:r w:rsidR="00C07AC9" w:rsidRPr="00C03848">
              <w:rPr>
                <w:lang w:val="uk-UA"/>
              </w:rPr>
              <w:t xml:space="preserve">(EU) No 1095/2010 </w:t>
            </w:r>
            <w:r w:rsidR="00D50C80" w:rsidRPr="00C03848">
              <w:rPr>
                <w:lang w:val="uk-UA"/>
              </w:rPr>
              <w:t xml:space="preserve">Європейського Парламенту та Ради </w:t>
            </w:r>
            <w:hyperlink r:id="rId18" w:anchor="ntr11-L_2015141EN.01007301-E0011" w:history="1">
              <w:r w:rsidR="00C07AC9" w:rsidRPr="00C03848">
                <w:rPr>
                  <w:rStyle w:val="Hyperlink"/>
                  <w:color w:val="auto"/>
                  <w:u w:val="none"/>
                  <w:bdr w:val="none" w:sz="0" w:space="0" w:color="auto" w:frame="1"/>
                  <w:lang w:val="uk-UA"/>
                </w:rPr>
                <w:t> (</w:t>
              </w:r>
              <w:r w:rsidR="00C07AC9" w:rsidRPr="00C03848">
                <w:rPr>
                  <w:rStyle w:val="super"/>
                  <w:sz w:val="24"/>
                  <w:szCs w:val="24"/>
                  <w:bdr w:val="none" w:sz="0" w:space="0" w:color="auto" w:frame="1"/>
                  <w:lang w:val="uk-UA"/>
                </w:rPr>
                <w:t>11</w:t>
              </w:r>
              <w:r w:rsidR="00C07AC9" w:rsidRPr="00C03848">
                <w:rPr>
                  <w:rStyle w:val="Hyperlink"/>
                  <w:color w:val="auto"/>
                  <w:u w:val="none"/>
                  <w:bdr w:val="none" w:sz="0" w:space="0" w:color="auto" w:frame="1"/>
                  <w:lang w:val="uk-UA"/>
                </w:rPr>
                <w:t>)</w:t>
              </w:r>
            </w:hyperlink>
            <w:r w:rsidR="00C07AC9" w:rsidRPr="00C03848">
              <w:rPr>
                <w:lang w:val="uk-UA"/>
              </w:rPr>
              <w:t xml:space="preserve">, </w:t>
            </w:r>
            <w:r w:rsidR="006F6F7F" w:rsidRPr="00C03848">
              <w:rPr>
                <w:lang w:val="uk-UA"/>
              </w:rPr>
              <w:t xml:space="preserve">слід доручити </w:t>
            </w:r>
            <w:r w:rsidR="006049C1" w:rsidRPr="00C03848">
              <w:rPr>
                <w:lang w:val="uk-UA"/>
              </w:rPr>
              <w:t>представлення висновку</w:t>
            </w:r>
            <w:r w:rsidR="006F6F7F" w:rsidRPr="00C03848">
              <w:rPr>
                <w:lang w:val="uk-UA"/>
              </w:rPr>
              <w:t xml:space="preserve">, через їх </w:t>
            </w:r>
            <w:r w:rsidR="006049C1" w:rsidRPr="00C03848">
              <w:rPr>
                <w:lang w:val="uk-UA"/>
              </w:rPr>
              <w:t>Спільний</w:t>
            </w:r>
            <w:r w:rsidR="006F6F7F" w:rsidRPr="00C03848">
              <w:rPr>
                <w:lang w:val="uk-UA"/>
              </w:rPr>
              <w:t xml:space="preserve"> </w:t>
            </w:r>
            <w:r w:rsidR="006049C1" w:rsidRPr="00C03848">
              <w:rPr>
                <w:lang w:val="uk-UA"/>
              </w:rPr>
              <w:t>Комітет</w:t>
            </w:r>
            <w:r w:rsidR="006F6F7F" w:rsidRPr="00C03848">
              <w:rPr>
                <w:lang w:val="uk-UA"/>
              </w:rPr>
              <w:t xml:space="preserve">, про ризики, які впливають на фінансовий сектор </w:t>
            </w:r>
            <w:r w:rsidR="006049C1" w:rsidRPr="00C03848">
              <w:rPr>
                <w:lang w:val="uk-UA"/>
              </w:rPr>
              <w:t>Союзу</w:t>
            </w:r>
            <w:r w:rsidR="006F6F7F"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B82762" w:rsidP="008B76F2">
            <w:pPr>
              <w:pStyle w:val="1"/>
              <w:spacing w:before="0" w:beforeAutospacing="0" w:after="0" w:afterAutospacing="0"/>
              <w:jc w:val="both"/>
              <w:textAlignment w:val="baseline"/>
              <w:rPr>
                <w:lang w:val="uk-UA"/>
              </w:rPr>
            </w:pPr>
            <w:r w:rsidRPr="00C03848">
              <w:rPr>
                <w:lang w:val="uk-UA"/>
              </w:rPr>
              <w:t xml:space="preserve">Комісія має всі </w:t>
            </w:r>
            <w:r w:rsidR="006B0F5D" w:rsidRPr="00C03848">
              <w:rPr>
                <w:lang w:val="uk-UA"/>
              </w:rPr>
              <w:t xml:space="preserve">найкращі </w:t>
            </w:r>
            <w:r w:rsidRPr="00C03848">
              <w:rPr>
                <w:lang w:val="uk-UA"/>
              </w:rPr>
              <w:t xml:space="preserve">можливості для того, щоб розглянути конкретні </w:t>
            </w:r>
            <w:r w:rsidRPr="00C03848">
              <w:rPr>
                <w:lang w:val="uk-UA"/>
              </w:rPr>
              <w:lastRenderedPageBreak/>
              <w:t>транскордонні загрози, які можуть вплинути на внутрішній ринок і які не можуть бути ідентифіковані</w:t>
            </w:r>
            <w:r w:rsidR="00BC15E9" w:rsidRPr="00C03848">
              <w:rPr>
                <w:lang w:val="uk-UA"/>
              </w:rPr>
              <w:t>, та з якими неможливо</w:t>
            </w:r>
            <w:r w:rsidRPr="00C03848">
              <w:rPr>
                <w:lang w:val="uk-UA"/>
              </w:rPr>
              <w:t xml:space="preserve"> ефективно боротися окремим державам-членам.</w:t>
            </w:r>
            <w:r w:rsidR="006B0F5D" w:rsidRPr="00C03848">
              <w:rPr>
                <w:lang w:val="uk-UA"/>
              </w:rPr>
              <w:t xml:space="preserve"> Саме тому на неї повинна бути покладена відповідальність за координацію оцінки ризиків, пов'язаних з транскордонною діяльністю. Залучення відповідних експертів, таких як Група експертів по боротьбі з відмиванням грошей і фінансуванням тероризму, а також представники FIU, а також у доцільних випадках, інших органів на рівні Союзу, має важливе значення для ефективності цього процесу. Національні оцінки ризику і досвід також є важливим джерелом інформації для процесу. Зазначене оцінювання транскордонних ризиків Комісією не повинно включати в себе обробку персональних даних. У будь-якому випадку, дані повинні бути повністю анонімн</w:t>
            </w:r>
            <w:r w:rsidR="00AC3A3E" w:rsidRPr="00C03848">
              <w:rPr>
                <w:lang w:val="uk-UA"/>
              </w:rPr>
              <w:t>ими. Національні та Союзні нагля</w:t>
            </w:r>
            <w:r w:rsidR="006B0F5D" w:rsidRPr="00C03848">
              <w:rPr>
                <w:lang w:val="uk-UA"/>
              </w:rPr>
              <w:t>дові органи захисту даних повинні бути залучені тільки</w:t>
            </w:r>
            <w:r w:rsidR="00693AF9" w:rsidRPr="00C03848">
              <w:rPr>
                <w:lang w:val="uk-UA"/>
              </w:rPr>
              <w:t>,</w:t>
            </w:r>
            <w:r w:rsidR="006B0F5D" w:rsidRPr="00C03848">
              <w:rPr>
                <w:lang w:val="uk-UA"/>
              </w:rPr>
              <w:t xml:space="preserve"> якщо оцінка ризику відмивання грошей та фінансування тероризму впливає на конфіденційність і захист даних фізичних осіб.</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6B0F5D" w:rsidP="008B76F2">
            <w:pPr>
              <w:pStyle w:val="1"/>
              <w:spacing w:before="0" w:beforeAutospacing="0" w:after="0" w:afterAutospacing="0"/>
              <w:jc w:val="both"/>
              <w:textAlignment w:val="baseline"/>
              <w:rPr>
                <w:lang w:val="uk-UA"/>
              </w:rPr>
            </w:pPr>
            <w:r w:rsidRPr="00C03848">
              <w:rPr>
                <w:lang w:val="uk-UA"/>
              </w:rPr>
              <w:t>Результати оцінки ризику повинні, у доречних випадках, надаватись зобов'язаним суб’єктам своєчасно, щоб дати їм можливість визначити, зрозуміти, управляти та зменшити свої власні ризики.</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6B0F5D" w:rsidP="008B76F2">
            <w:pPr>
              <w:pStyle w:val="1"/>
              <w:spacing w:before="0" w:beforeAutospacing="0" w:after="0" w:afterAutospacing="0"/>
              <w:jc w:val="both"/>
              <w:textAlignment w:val="baseline"/>
              <w:rPr>
                <w:lang w:val="uk-UA"/>
              </w:rPr>
            </w:pPr>
            <w:r w:rsidRPr="00C03848">
              <w:rPr>
                <w:lang w:val="uk-UA"/>
              </w:rPr>
              <w:t>Крім того, з метою визначення, розуміння, управління та зниження ризиків на рівні Союзу в ще більшому обсязі, держави-члени повинні надавати рез</w:t>
            </w:r>
            <w:r w:rsidR="00693AF9" w:rsidRPr="00C03848">
              <w:rPr>
                <w:lang w:val="uk-UA"/>
              </w:rPr>
              <w:t>ультати їх оцінки ризику один</w:t>
            </w:r>
            <w:r w:rsidRPr="00C03848">
              <w:rPr>
                <w:lang w:val="uk-UA"/>
              </w:rPr>
              <w:t xml:space="preserve"> одному, Комісії та EBA, EIOPA і ESMA («ЄНО»).</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6B0F5D" w:rsidP="008B76F2">
            <w:pPr>
              <w:pStyle w:val="1"/>
              <w:spacing w:before="0" w:beforeAutospacing="0" w:after="0" w:afterAutospacing="0"/>
              <w:jc w:val="both"/>
              <w:textAlignment w:val="baseline"/>
              <w:rPr>
                <w:lang w:val="uk-UA"/>
              </w:rPr>
            </w:pPr>
            <w:r w:rsidRPr="00C03848">
              <w:rPr>
                <w:lang w:val="uk-UA"/>
              </w:rPr>
              <w:t>При застосуванні положень даної</w:t>
            </w:r>
            <w:r w:rsidR="00C07AC9" w:rsidRPr="00C03848">
              <w:rPr>
                <w:lang w:val="uk-UA"/>
              </w:rPr>
              <w:t xml:space="preserve"> </w:t>
            </w:r>
            <w:r w:rsidRPr="00C03848">
              <w:rPr>
                <w:lang w:val="uk-UA"/>
              </w:rPr>
              <w:t>Директиви</w:t>
            </w:r>
            <w:r w:rsidR="00C07AC9" w:rsidRPr="00C03848">
              <w:rPr>
                <w:lang w:val="uk-UA"/>
              </w:rPr>
              <w:t xml:space="preserve">, </w:t>
            </w:r>
            <w:r w:rsidRPr="00C03848">
              <w:rPr>
                <w:lang w:val="uk-UA"/>
              </w:rPr>
              <w:t>доцільно врах</w:t>
            </w:r>
            <w:r w:rsidR="0001660D" w:rsidRPr="00C03848">
              <w:rPr>
                <w:lang w:val="uk-UA"/>
              </w:rPr>
              <w:t>овувати особливості і потреби менш</w:t>
            </w:r>
            <w:r w:rsidRPr="00C03848">
              <w:rPr>
                <w:lang w:val="uk-UA"/>
              </w:rPr>
              <w:t xml:space="preserve">их зобов'язаних осіб, які підпадають під </w:t>
            </w:r>
            <w:r w:rsidR="00695D46" w:rsidRPr="00C03848">
              <w:rPr>
                <w:lang w:val="uk-UA"/>
              </w:rPr>
              <w:t>її</w:t>
            </w:r>
            <w:r w:rsidRPr="00C03848">
              <w:rPr>
                <w:lang w:val="uk-UA"/>
              </w:rPr>
              <w:t xml:space="preserve"> дію, і забезпечити </w:t>
            </w:r>
            <w:r w:rsidR="00695D46" w:rsidRPr="00C03848">
              <w:rPr>
                <w:lang w:val="uk-UA"/>
              </w:rPr>
              <w:t>ставле</w:t>
            </w:r>
            <w:r w:rsidRPr="00C03848">
              <w:rPr>
                <w:lang w:val="uk-UA"/>
              </w:rPr>
              <w:t>ння, яке відповідає їх специфічним потребам, і характер</w:t>
            </w:r>
            <w:r w:rsidR="00695D46" w:rsidRPr="00C03848">
              <w:rPr>
                <w:lang w:val="uk-UA"/>
              </w:rPr>
              <w:t>у</w:t>
            </w:r>
            <w:r w:rsidRPr="00C03848">
              <w:rPr>
                <w:lang w:val="uk-UA"/>
              </w:rPr>
              <w:t xml:space="preserve"> бізнесу.</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695D46" w:rsidP="008B76F2">
            <w:pPr>
              <w:pStyle w:val="1"/>
              <w:spacing w:before="0" w:beforeAutospacing="0" w:after="0" w:afterAutospacing="0"/>
              <w:jc w:val="both"/>
              <w:textAlignment w:val="baseline"/>
              <w:rPr>
                <w:lang w:val="uk-UA"/>
              </w:rPr>
            </w:pPr>
            <w:r w:rsidRPr="00C03848">
              <w:rPr>
                <w:lang w:val="uk-UA"/>
              </w:rPr>
              <w:t>Для того щоб захистити нормальне функціонування фінансової системи Союзу та внутрішнього ринку від відмивання грошей і фінансування тероризму, Комісії повинно бути делеговане повноваження приймати акти у відповідності зі Статтею 290 Договору про функціонування Європейського Союзу (ДФЄС) з метою виявлення юрисдикцій третіх країн, які мають стратегічні недоліки в їх національних БВГ/ПФТ режимах («треті країни, що характеризуються високим рівнем ризику»). Динамічний характер відмивання грошей і фінансування терористичних загроз, якому сприяє постійна еволюція технології і засобів, наявних у розпорядженні злочинців, вимагає швидкої та постійної адаптації нормативно-правової бази</w:t>
            </w:r>
            <w:r w:rsidR="00961CDC" w:rsidRPr="00C03848">
              <w:rPr>
                <w:lang w:val="uk-UA"/>
              </w:rPr>
              <w:t xml:space="preserve"> треті країни, що характеризуються високим рівнем ризику,</w:t>
            </w:r>
            <w:r w:rsidRPr="00C03848">
              <w:rPr>
                <w:lang w:val="uk-UA"/>
              </w:rPr>
              <w:t xml:space="preserve"> </w:t>
            </w:r>
            <w:r w:rsidR="00961CDC" w:rsidRPr="00C03848">
              <w:rPr>
                <w:lang w:val="uk-UA"/>
              </w:rPr>
              <w:t>з метою</w:t>
            </w:r>
            <w:r w:rsidRPr="00C03848">
              <w:rPr>
                <w:lang w:val="uk-UA"/>
              </w:rPr>
              <w:t xml:space="preserve"> ефективно</w:t>
            </w:r>
            <w:r w:rsidR="00961CDC" w:rsidRPr="00C03848">
              <w:rPr>
                <w:lang w:val="uk-UA"/>
              </w:rPr>
              <w:t>го</w:t>
            </w:r>
            <w:r w:rsidRPr="00C03848">
              <w:rPr>
                <w:lang w:val="uk-UA"/>
              </w:rPr>
              <w:t xml:space="preserve"> </w:t>
            </w:r>
            <w:r w:rsidR="00961CDC" w:rsidRPr="00C03848">
              <w:rPr>
                <w:lang w:val="uk-UA"/>
              </w:rPr>
              <w:t>вирішення існуючих ризиків та</w:t>
            </w:r>
            <w:r w:rsidRPr="00C03848">
              <w:rPr>
                <w:lang w:val="uk-UA"/>
              </w:rPr>
              <w:t xml:space="preserve"> запобіг</w:t>
            </w:r>
            <w:r w:rsidR="00961CDC" w:rsidRPr="00C03848">
              <w:rPr>
                <w:lang w:val="uk-UA"/>
              </w:rPr>
              <w:t>ання</w:t>
            </w:r>
            <w:r w:rsidRPr="00C03848">
              <w:rPr>
                <w:lang w:val="uk-UA"/>
              </w:rPr>
              <w:t xml:space="preserve"> виникненню нових</w:t>
            </w:r>
            <w:r w:rsidR="00961CDC" w:rsidRPr="00C03848">
              <w:rPr>
                <w:lang w:val="uk-UA"/>
              </w:rPr>
              <w:t xml:space="preserve"> ризиків</w:t>
            </w:r>
            <w:r w:rsidRPr="00C03848">
              <w:rPr>
                <w:lang w:val="uk-UA"/>
              </w:rPr>
              <w:t xml:space="preserve">. Комісія повинна враховувати інформацію від міжнародних організацій та розробників стандартів в </w:t>
            </w:r>
            <w:r w:rsidR="00961CDC" w:rsidRPr="00C03848">
              <w:rPr>
                <w:lang w:val="uk-UA"/>
              </w:rPr>
              <w:t>сфері БВГ</w:t>
            </w:r>
            <w:r w:rsidRPr="00C03848">
              <w:rPr>
                <w:lang w:val="uk-UA"/>
              </w:rPr>
              <w:t>/ПФТ, таких як публічн</w:t>
            </w:r>
            <w:r w:rsidR="00961CDC" w:rsidRPr="00C03848">
              <w:rPr>
                <w:lang w:val="uk-UA"/>
              </w:rPr>
              <w:t>і</w:t>
            </w:r>
            <w:r w:rsidRPr="00C03848">
              <w:rPr>
                <w:lang w:val="uk-UA"/>
              </w:rPr>
              <w:t xml:space="preserve"> зв</w:t>
            </w:r>
            <w:r w:rsidR="00961CDC" w:rsidRPr="00C03848">
              <w:rPr>
                <w:lang w:val="uk-UA"/>
              </w:rPr>
              <w:t>іти FATF</w:t>
            </w:r>
            <w:r w:rsidRPr="00C03848">
              <w:rPr>
                <w:lang w:val="uk-UA"/>
              </w:rPr>
              <w:t xml:space="preserve">, </w:t>
            </w:r>
            <w:r w:rsidR="00961CDC" w:rsidRPr="00C03848">
              <w:rPr>
                <w:lang w:val="uk-UA"/>
              </w:rPr>
              <w:t xml:space="preserve">звіти </w:t>
            </w:r>
            <w:r w:rsidRPr="00C03848">
              <w:rPr>
                <w:lang w:val="uk-UA"/>
              </w:rPr>
              <w:t xml:space="preserve">взаємної </w:t>
            </w:r>
            <w:r w:rsidR="00961CDC" w:rsidRPr="00C03848">
              <w:rPr>
                <w:lang w:val="uk-UA"/>
              </w:rPr>
              <w:t xml:space="preserve">або деталізованої </w:t>
            </w:r>
            <w:r w:rsidRPr="00C03848">
              <w:rPr>
                <w:lang w:val="uk-UA"/>
              </w:rPr>
              <w:t>оцінки або опублікован</w:t>
            </w:r>
            <w:r w:rsidR="0065522F" w:rsidRPr="00C03848">
              <w:rPr>
                <w:lang w:val="uk-UA"/>
              </w:rPr>
              <w:t>і подальші звіти</w:t>
            </w:r>
            <w:r w:rsidRPr="00C03848">
              <w:rPr>
                <w:lang w:val="uk-UA"/>
              </w:rPr>
              <w:t xml:space="preserve">, і адаптувати свої оцінки </w:t>
            </w:r>
            <w:r w:rsidR="0065522F" w:rsidRPr="00C03848">
              <w:rPr>
                <w:lang w:val="uk-UA"/>
              </w:rPr>
              <w:t xml:space="preserve">до </w:t>
            </w:r>
            <w:r w:rsidRPr="00C03848">
              <w:rPr>
                <w:lang w:val="uk-UA"/>
              </w:rPr>
              <w:t>змін в н</w:t>
            </w:r>
            <w:r w:rsidR="0065522F" w:rsidRPr="00C03848">
              <w:rPr>
                <w:lang w:val="uk-UA"/>
              </w:rPr>
              <w:t>их</w:t>
            </w:r>
            <w:r w:rsidRPr="00C03848">
              <w:rPr>
                <w:lang w:val="uk-UA"/>
              </w:rPr>
              <w:t xml:space="preserve">, </w:t>
            </w:r>
            <w:r w:rsidR="0065522F" w:rsidRPr="00C03848">
              <w:rPr>
                <w:lang w:val="uk-UA"/>
              </w:rPr>
              <w:t>у</w:t>
            </w:r>
            <w:r w:rsidRPr="00C03848">
              <w:rPr>
                <w:lang w:val="uk-UA"/>
              </w:rPr>
              <w:t xml:space="preserve"> доречн</w:t>
            </w:r>
            <w:r w:rsidR="0065522F" w:rsidRPr="00C03848">
              <w:rPr>
                <w:lang w:val="uk-UA"/>
              </w:rPr>
              <w:t>их випадках</w:t>
            </w:r>
            <w:r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587AC6" w:rsidP="008B76F2">
            <w:pPr>
              <w:pStyle w:val="1"/>
              <w:spacing w:before="0" w:beforeAutospacing="0" w:after="0" w:afterAutospacing="0"/>
              <w:jc w:val="both"/>
              <w:textAlignment w:val="baseline"/>
              <w:rPr>
                <w:lang w:val="uk-UA"/>
              </w:rPr>
            </w:pPr>
            <w:r w:rsidRPr="00C03848">
              <w:rPr>
                <w:lang w:val="uk-UA"/>
              </w:rPr>
              <w:t xml:space="preserve">Держави-члени повинні, принаймні забезпечити </w:t>
            </w:r>
            <w:r w:rsidR="005250A6" w:rsidRPr="00C03848">
              <w:rPr>
                <w:lang w:val="uk-UA"/>
              </w:rPr>
              <w:t xml:space="preserve">застосування заходів із </w:t>
            </w:r>
            <w:r w:rsidR="006A088C" w:rsidRPr="00C03848">
              <w:rPr>
                <w:lang w:val="uk-UA"/>
              </w:rPr>
              <w:t>поглибленої належної перевірки</w:t>
            </w:r>
            <w:r w:rsidRPr="00C03848">
              <w:rPr>
                <w:lang w:val="uk-UA"/>
              </w:rPr>
              <w:t xml:space="preserve"> клієнта</w:t>
            </w:r>
            <w:r w:rsidR="006A088C" w:rsidRPr="00C03848">
              <w:rPr>
                <w:lang w:val="uk-UA"/>
              </w:rPr>
              <w:t xml:space="preserve"> </w:t>
            </w:r>
            <w:r w:rsidRPr="00C03848">
              <w:rPr>
                <w:lang w:val="uk-UA"/>
              </w:rPr>
              <w:t>зобов'язани</w:t>
            </w:r>
            <w:r w:rsidR="006A088C" w:rsidRPr="00C03848">
              <w:rPr>
                <w:lang w:val="uk-UA"/>
              </w:rPr>
              <w:t>ми</w:t>
            </w:r>
            <w:r w:rsidRPr="00C03848">
              <w:rPr>
                <w:lang w:val="uk-UA"/>
              </w:rPr>
              <w:t xml:space="preserve"> ос</w:t>
            </w:r>
            <w:r w:rsidR="006A088C" w:rsidRPr="00C03848">
              <w:rPr>
                <w:lang w:val="uk-UA"/>
              </w:rPr>
              <w:t>о</w:t>
            </w:r>
            <w:r w:rsidRPr="00C03848">
              <w:rPr>
                <w:lang w:val="uk-UA"/>
              </w:rPr>
              <w:t>б</w:t>
            </w:r>
            <w:r w:rsidR="006A088C" w:rsidRPr="00C03848">
              <w:rPr>
                <w:lang w:val="uk-UA"/>
              </w:rPr>
              <w:t>ами</w:t>
            </w:r>
            <w:r w:rsidRPr="00C03848">
              <w:rPr>
                <w:lang w:val="uk-UA"/>
              </w:rPr>
              <w:t xml:space="preserve"> при роботі з фізичними або юридичними особами</w:t>
            </w:r>
            <w:r w:rsidR="006A088C" w:rsidRPr="00C03848">
              <w:rPr>
                <w:lang w:val="uk-UA"/>
              </w:rPr>
              <w:t xml:space="preserve">, створеними </w:t>
            </w:r>
            <w:r w:rsidRPr="00C03848">
              <w:rPr>
                <w:lang w:val="uk-UA"/>
              </w:rPr>
              <w:t xml:space="preserve">в третіх країнах з високим рівнем ризику, </w:t>
            </w:r>
            <w:r w:rsidR="006A088C" w:rsidRPr="00C03848">
              <w:rPr>
                <w:lang w:val="uk-UA"/>
              </w:rPr>
              <w:t>ідентифікова</w:t>
            </w:r>
            <w:r w:rsidRPr="00C03848">
              <w:rPr>
                <w:lang w:val="uk-UA"/>
              </w:rPr>
              <w:t xml:space="preserve">них Комісією. </w:t>
            </w:r>
            <w:r w:rsidR="006A088C" w:rsidRPr="00C03848">
              <w:rPr>
                <w:lang w:val="uk-UA"/>
              </w:rPr>
              <w:t>Покладання</w:t>
            </w:r>
            <w:r w:rsidRPr="00C03848">
              <w:rPr>
                <w:lang w:val="uk-UA"/>
              </w:rPr>
              <w:t xml:space="preserve"> на третіх </w:t>
            </w:r>
            <w:r w:rsidR="006A088C" w:rsidRPr="00C03848">
              <w:rPr>
                <w:lang w:val="uk-UA"/>
              </w:rPr>
              <w:t>сторін</w:t>
            </w:r>
            <w:r w:rsidRPr="00C03848">
              <w:rPr>
                <w:lang w:val="uk-UA"/>
              </w:rPr>
              <w:t>, створених в таких третіх країнах з високим рівнем ризику</w:t>
            </w:r>
            <w:r w:rsidR="006A088C" w:rsidRPr="00C03848">
              <w:rPr>
                <w:lang w:val="uk-UA"/>
              </w:rPr>
              <w:t>,</w:t>
            </w:r>
            <w:r w:rsidRPr="00C03848">
              <w:rPr>
                <w:lang w:val="uk-UA"/>
              </w:rPr>
              <w:t xml:space="preserve"> також повинн</w:t>
            </w:r>
            <w:r w:rsidR="006A088C" w:rsidRPr="00C03848">
              <w:rPr>
                <w:lang w:val="uk-UA"/>
              </w:rPr>
              <w:t>о</w:t>
            </w:r>
            <w:r w:rsidRPr="00C03848">
              <w:rPr>
                <w:lang w:val="uk-UA"/>
              </w:rPr>
              <w:t xml:space="preserve"> бути заборонен</w:t>
            </w:r>
            <w:r w:rsidR="006A088C" w:rsidRPr="00C03848">
              <w:rPr>
                <w:lang w:val="uk-UA"/>
              </w:rPr>
              <w:t>е</w:t>
            </w:r>
            <w:r w:rsidRPr="00C03848">
              <w:rPr>
                <w:lang w:val="uk-UA"/>
              </w:rPr>
              <w:t xml:space="preserve">. </w:t>
            </w:r>
            <w:r w:rsidR="006A088C" w:rsidRPr="00C03848">
              <w:rPr>
                <w:lang w:val="uk-UA"/>
              </w:rPr>
              <w:t>Не повинно</w:t>
            </w:r>
            <w:r w:rsidR="000F1AFF" w:rsidRPr="00C03848">
              <w:rPr>
                <w:lang w:val="uk-UA"/>
              </w:rPr>
              <w:t xml:space="preserve"> автоматично вважа</w:t>
            </w:r>
            <w:r w:rsidR="006A088C" w:rsidRPr="00C03848">
              <w:rPr>
                <w:lang w:val="uk-UA"/>
              </w:rPr>
              <w:t>тись, що к</w:t>
            </w:r>
            <w:r w:rsidRPr="00C03848">
              <w:rPr>
                <w:lang w:val="uk-UA"/>
              </w:rPr>
              <w:t xml:space="preserve">раїни, які не включені в </w:t>
            </w:r>
            <w:r w:rsidR="006A088C" w:rsidRPr="00C03848">
              <w:rPr>
                <w:lang w:val="uk-UA"/>
              </w:rPr>
              <w:t>перелі</w:t>
            </w:r>
            <w:r w:rsidRPr="00C03848">
              <w:rPr>
                <w:lang w:val="uk-UA"/>
              </w:rPr>
              <w:t xml:space="preserve">к, </w:t>
            </w:r>
            <w:r w:rsidR="005250A6" w:rsidRPr="00C03848">
              <w:rPr>
                <w:lang w:val="uk-UA"/>
              </w:rPr>
              <w:t>ма</w:t>
            </w:r>
            <w:r w:rsidR="006A088C" w:rsidRPr="00C03848">
              <w:rPr>
                <w:lang w:val="uk-UA"/>
              </w:rPr>
              <w:t>ють</w:t>
            </w:r>
            <w:r w:rsidR="005250A6" w:rsidRPr="00C03848">
              <w:rPr>
                <w:lang w:val="uk-UA"/>
              </w:rPr>
              <w:t xml:space="preserve"> ефективні системи БВГ/</w:t>
            </w:r>
            <w:r w:rsidRPr="00C03848">
              <w:rPr>
                <w:lang w:val="uk-UA"/>
              </w:rPr>
              <w:t>ПФТ</w:t>
            </w:r>
            <w:r w:rsidR="006A088C" w:rsidRPr="00C03848">
              <w:rPr>
                <w:lang w:val="uk-UA"/>
              </w:rPr>
              <w:t>, та</w:t>
            </w:r>
            <w:r w:rsidRPr="00C03848">
              <w:rPr>
                <w:lang w:val="uk-UA"/>
              </w:rPr>
              <w:t xml:space="preserve"> фізичні або юридичні особи, </w:t>
            </w:r>
            <w:r w:rsidR="006A088C" w:rsidRPr="00C03848">
              <w:rPr>
                <w:lang w:val="uk-UA"/>
              </w:rPr>
              <w:t>заснова</w:t>
            </w:r>
            <w:r w:rsidRPr="00C03848">
              <w:rPr>
                <w:lang w:val="uk-UA"/>
              </w:rPr>
              <w:t>ні в таких країнах</w:t>
            </w:r>
            <w:r w:rsidR="006A088C" w:rsidRPr="00C03848">
              <w:rPr>
                <w:lang w:val="uk-UA"/>
              </w:rPr>
              <w:t>,</w:t>
            </w:r>
            <w:r w:rsidRPr="00C03848">
              <w:rPr>
                <w:lang w:val="uk-UA"/>
              </w:rPr>
              <w:t xml:space="preserve"> повинні бути оцінені на основі </w:t>
            </w:r>
            <w:r w:rsidR="006A088C" w:rsidRPr="00C03848">
              <w:rPr>
                <w:lang w:val="uk-UA"/>
              </w:rPr>
              <w:t xml:space="preserve">чутливості до </w:t>
            </w:r>
            <w:r w:rsidRPr="00C03848">
              <w:rPr>
                <w:lang w:val="uk-UA"/>
              </w:rPr>
              <w:t>ризику.</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0F1AFF" w:rsidP="008B76F2">
            <w:pPr>
              <w:pStyle w:val="1"/>
              <w:spacing w:before="0" w:beforeAutospacing="0" w:after="0" w:afterAutospacing="0"/>
              <w:jc w:val="both"/>
              <w:textAlignment w:val="baseline"/>
              <w:rPr>
                <w:lang w:val="uk-UA"/>
              </w:rPr>
            </w:pPr>
            <w:r w:rsidRPr="00C03848">
              <w:rPr>
                <w:lang w:val="uk-UA"/>
              </w:rPr>
              <w:t xml:space="preserve">Ризик є змінним за своїм характером, та змінні величини, самі по собі або в поєднанні, можуть збільшити або зменшити потенційний ризик, таким чином, впливаючи на відповідний рівень превентивних заходів, таких як заходи з належної перевірки клієнта. Таким чином, існують обставини, при яких постає необхідність у застосуванні заходів поглибленої належної перевірки та інші обставини, в яких </w:t>
            </w:r>
            <w:r w:rsidRPr="00C03848">
              <w:rPr>
                <w:lang w:val="uk-UA"/>
              </w:rPr>
              <w:lastRenderedPageBreak/>
              <w:t>доцільним є застосування заходів спрощеної належної перевірки.</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F1AFF" w:rsidRPr="00C03848" w:rsidRDefault="000F1AFF" w:rsidP="00693AF9">
            <w:pPr>
              <w:pStyle w:val="1"/>
              <w:spacing w:before="0" w:beforeAutospacing="0" w:after="0" w:afterAutospacing="0"/>
              <w:jc w:val="both"/>
              <w:textAlignment w:val="baseline"/>
              <w:rPr>
                <w:lang w:val="uk-UA"/>
              </w:rPr>
            </w:pPr>
            <w:r w:rsidRPr="00C03848">
              <w:rPr>
                <w:lang w:val="uk-UA"/>
              </w:rPr>
              <w:t>Необхідно усвідомити, що в деякі ситуації представля</w:t>
            </w:r>
            <w:r w:rsidR="00693AF9" w:rsidRPr="00C03848">
              <w:rPr>
                <w:lang w:val="uk-UA"/>
              </w:rPr>
              <w:t>ю</w:t>
            </w:r>
            <w:r w:rsidRPr="00C03848">
              <w:rPr>
                <w:lang w:val="uk-UA"/>
              </w:rPr>
              <w:t>т</w:t>
            </w:r>
            <w:r w:rsidR="00693AF9" w:rsidRPr="00C03848">
              <w:rPr>
                <w:lang w:val="uk-UA"/>
              </w:rPr>
              <w:t>ь</w:t>
            </w:r>
            <w:r w:rsidRPr="00C03848">
              <w:rPr>
                <w:lang w:val="uk-UA"/>
              </w:rPr>
              <w:t xml:space="preserve"> більший ризик відмивання грошей або фінансування тероризму. Хоча особистість і бізнес-профіль всіх клієнтів повинні бути встановлені, є випадки, в яких потрібні особливо суворі процедури ідентифікації клієнтів і верифікації.</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F1AFF" w:rsidRPr="00C03848" w:rsidRDefault="000F1AFF" w:rsidP="008B76F2">
            <w:pPr>
              <w:pStyle w:val="1"/>
              <w:spacing w:before="0" w:beforeAutospacing="0" w:after="0" w:afterAutospacing="0"/>
              <w:jc w:val="both"/>
              <w:textAlignment w:val="baseline"/>
              <w:rPr>
                <w:lang w:val="uk-UA"/>
              </w:rPr>
            </w:pPr>
            <w:r w:rsidRPr="00C03848">
              <w:rPr>
                <w:lang w:val="uk-UA"/>
              </w:rPr>
              <w:t xml:space="preserve">Це особливо вірно стосовно взаємовідносин з приватними особами, які </w:t>
            </w:r>
            <w:r w:rsidR="00E07356" w:rsidRPr="00C03848">
              <w:rPr>
                <w:lang w:val="uk-UA"/>
              </w:rPr>
              <w:t>викону</w:t>
            </w:r>
            <w:r w:rsidRPr="00C03848">
              <w:rPr>
                <w:lang w:val="uk-UA"/>
              </w:rPr>
              <w:t xml:space="preserve">ють або </w:t>
            </w:r>
            <w:r w:rsidR="00E07356" w:rsidRPr="00C03848">
              <w:rPr>
                <w:lang w:val="uk-UA"/>
              </w:rPr>
              <w:t xml:space="preserve">виконували </w:t>
            </w:r>
            <w:r w:rsidRPr="00C03848">
              <w:rPr>
                <w:lang w:val="uk-UA"/>
              </w:rPr>
              <w:t xml:space="preserve">важливі суспільні функції, в рамках Союзу або на міжнародному рівні, і, зокрема осіб з країн, де широко поширена корупція. </w:t>
            </w:r>
            <w:r w:rsidR="00E07356" w:rsidRPr="00C03848">
              <w:rPr>
                <w:lang w:val="uk-UA"/>
              </w:rPr>
              <w:t>Зазначен</w:t>
            </w:r>
            <w:r w:rsidRPr="00C03848">
              <w:rPr>
                <w:lang w:val="uk-UA"/>
              </w:rPr>
              <w:t>і відносини можуть підда</w:t>
            </w:r>
            <w:r w:rsidR="00E07356" w:rsidRPr="00C03848">
              <w:rPr>
                <w:lang w:val="uk-UA"/>
              </w:rPr>
              <w:t>ва</w:t>
            </w:r>
            <w:r w:rsidRPr="00C03848">
              <w:rPr>
                <w:lang w:val="uk-UA"/>
              </w:rPr>
              <w:t>ти фінансовий сектор зокрема значни</w:t>
            </w:r>
            <w:r w:rsidR="00E07356" w:rsidRPr="00C03848">
              <w:rPr>
                <w:lang w:val="uk-UA"/>
              </w:rPr>
              <w:t xml:space="preserve">м репутаційним та </w:t>
            </w:r>
            <w:r w:rsidRPr="00C03848">
              <w:rPr>
                <w:lang w:val="uk-UA"/>
              </w:rPr>
              <w:t>правовим ризикам. Міжнародні зусилля по боротьбі з корупцією також обґрунтову</w:t>
            </w:r>
            <w:r w:rsidR="00E07356" w:rsidRPr="00C03848">
              <w:rPr>
                <w:lang w:val="uk-UA"/>
              </w:rPr>
              <w:t>ють</w:t>
            </w:r>
            <w:r w:rsidRPr="00C03848">
              <w:rPr>
                <w:lang w:val="uk-UA"/>
              </w:rPr>
              <w:t xml:space="preserve"> необхідність приділяти особливу увагу таким особам і застосовувати відповідні заходи поглиблено</w:t>
            </w:r>
            <w:r w:rsidR="00E07356" w:rsidRPr="00C03848">
              <w:rPr>
                <w:lang w:val="uk-UA"/>
              </w:rPr>
              <w:t>ї належної перевірки</w:t>
            </w:r>
            <w:r w:rsidRPr="00C03848">
              <w:rPr>
                <w:lang w:val="uk-UA"/>
              </w:rPr>
              <w:t xml:space="preserve"> клієнтів по відношенню до осіб, як</w:t>
            </w:r>
            <w:r w:rsidR="00E07356" w:rsidRPr="00C03848">
              <w:rPr>
                <w:lang w:val="uk-UA"/>
              </w:rPr>
              <w:t>им</w:t>
            </w:r>
            <w:r w:rsidRPr="00C03848">
              <w:rPr>
                <w:lang w:val="uk-UA"/>
              </w:rPr>
              <w:t xml:space="preserve"> </w:t>
            </w:r>
            <w:r w:rsidR="00E07356" w:rsidRPr="00C03848">
              <w:rPr>
                <w:lang w:val="uk-UA"/>
              </w:rPr>
              <w:t>доручаються</w:t>
            </w:r>
            <w:r w:rsidRPr="00C03848">
              <w:rPr>
                <w:lang w:val="uk-UA"/>
              </w:rPr>
              <w:t xml:space="preserve"> або як</w:t>
            </w:r>
            <w:r w:rsidR="00E07356" w:rsidRPr="00C03848">
              <w:rPr>
                <w:lang w:val="uk-UA"/>
              </w:rPr>
              <w:t>им</w:t>
            </w:r>
            <w:r w:rsidRPr="00C03848">
              <w:rPr>
                <w:lang w:val="uk-UA"/>
              </w:rPr>
              <w:t xml:space="preserve"> були </w:t>
            </w:r>
            <w:r w:rsidR="00E07356" w:rsidRPr="00C03848">
              <w:rPr>
                <w:lang w:val="uk-UA"/>
              </w:rPr>
              <w:t>доручені виконувати</w:t>
            </w:r>
            <w:r w:rsidRPr="00C03848">
              <w:rPr>
                <w:lang w:val="uk-UA"/>
              </w:rPr>
              <w:t xml:space="preserve"> важливі публічні функції всередині країни або за кордоном і по відношенню до </w:t>
            </w:r>
            <w:r w:rsidR="00E07356" w:rsidRPr="00C03848">
              <w:rPr>
                <w:lang w:val="uk-UA"/>
              </w:rPr>
              <w:t>особистостей високого рівня</w:t>
            </w:r>
            <w:r w:rsidRPr="00C03848">
              <w:rPr>
                <w:lang w:val="uk-UA"/>
              </w:rPr>
              <w:t xml:space="preserve"> в міжнародних організаціях.</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B0889" w:rsidRPr="00C03848" w:rsidRDefault="006B0889" w:rsidP="008B76F2">
            <w:pPr>
              <w:pStyle w:val="1"/>
              <w:spacing w:before="0" w:beforeAutospacing="0" w:after="0" w:afterAutospacing="0"/>
              <w:jc w:val="both"/>
              <w:textAlignment w:val="baseline"/>
              <w:rPr>
                <w:lang w:val="uk-UA"/>
              </w:rPr>
            </w:pPr>
            <w:r w:rsidRPr="00C03848">
              <w:rPr>
                <w:lang w:val="uk-UA"/>
              </w:rPr>
              <w:t xml:space="preserve">Вимоги, пов'язані з видатними політичними діячами, носять превентивний, а не кримінальний характер, та не повинні інтерпретуватись як такі, що асоціюють політично значимих осіб </w:t>
            </w:r>
            <w:r w:rsidR="00DE4CBD" w:rsidRPr="00C03848">
              <w:rPr>
                <w:lang w:val="uk-UA"/>
              </w:rPr>
              <w:t>із причетні</w:t>
            </w:r>
            <w:r w:rsidRPr="00C03848">
              <w:rPr>
                <w:lang w:val="uk-UA"/>
              </w:rPr>
              <w:t>ст</w:t>
            </w:r>
            <w:r w:rsidR="00DE4CBD" w:rsidRPr="00C03848">
              <w:rPr>
                <w:lang w:val="uk-UA"/>
              </w:rPr>
              <w:t>ю</w:t>
            </w:r>
            <w:r w:rsidRPr="00C03848">
              <w:rPr>
                <w:lang w:val="uk-UA"/>
              </w:rPr>
              <w:t xml:space="preserve"> до злочинної діяльності. Відмова у ділових відносинах з людиною просто на основі визначення, що він або вона є політичн</w:t>
            </w:r>
            <w:r w:rsidR="00DE4CBD" w:rsidRPr="00C03848">
              <w:rPr>
                <w:lang w:val="uk-UA"/>
              </w:rPr>
              <w:t>им</w:t>
            </w:r>
            <w:r w:rsidRPr="00C03848">
              <w:rPr>
                <w:lang w:val="uk-UA"/>
              </w:rPr>
              <w:t xml:space="preserve"> </w:t>
            </w:r>
            <w:r w:rsidR="00DE4CBD" w:rsidRPr="00C03848">
              <w:rPr>
                <w:lang w:val="uk-UA"/>
              </w:rPr>
              <w:t>діячем суперечить букві і духові</w:t>
            </w:r>
            <w:r w:rsidRPr="00C03848">
              <w:rPr>
                <w:lang w:val="uk-UA"/>
              </w:rPr>
              <w:t xml:space="preserve"> </w:t>
            </w:r>
            <w:r w:rsidR="00DE4CBD" w:rsidRPr="00C03848">
              <w:rPr>
                <w:lang w:val="uk-UA"/>
              </w:rPr>
              <w:t>даної Директиви</w:t>
            </w:r>
            <w:r w:rsidRPr="00C03848">
              <w:rPr>
                <w:lang w:val="uk-UA"/>
              </w:rPr>
              <w:t xml:space="preserve"> та </w:t>
            </w:r>
            <w:r w:rsidR="00DE4CBD" w:rsidRPr="00C03848">
              <w:rPr>
                <w:lang w:val="uk-UA"/>
              </w:rPr>
              <w:t>оновлен</w:t>
            </w:r>
            <w:r w:rsidRPr="00C03848">
              <w:rPr>
                <w:lang w:val="uk-UA"/>
              </w:rPr>
              <w:t>их Рекомендацій</w:t>
            </w:r>
            <w:r w:rsidR="00DE4CBD" w:rsidRPr="00C03848">
              <w:rPr>
                <w:lang w:val="uk-UA"/>
              </w:rPr>
              <w:t xml:space="preserve"> FATF.</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E4CBD" w:rsidRPr="00C03848" w:rsidRDefault="00DE4CBD" w:rsidP="008B76F2">
            <w:pPr>
              <w:pStyle w:val="1"/>
              <w:spacing w:before="0" w:beforeAutospacing="0" w:after="0" w:afterAutospacing="0"/>
              <w:jc w:val="both"/>
              <w:textAlignment w:val="baseline"/>
              <w:rPr>
                <w:lang w:val="uk-UA"/>
              </w:rPr>
            </w:pPr>
            <w:r w:rsidRPr="00C03848">
              <w:rPr>
                <w:lang w:val="uk-UA"/>
              </w:rPr>
              <w:t xml:space="preserve">Отримання дозволу від старшого керівництва на встановлення ділових відносин не </w:t>
            </w:r>
            <w:r w:rsidR="005B2236" w:rsidRPr="00C03848">
              <w:rPr>
                <w:lang w:val="uk-UA"/>
              </w:rPr>
              <w:t xml:space="preserve">повинно означати </w:t>
            </w:r>
            <w:r w:rsidRPr="00C03848">
              <w:rPr>
                <w:lang w:val="uk-UA"/>
              </w:rPr>
              <w:t xml:space="preserve">у всіх випадках отримання схвалення від ради директорів. </w:t>
            </w:r>
            <w:r w:rsidR="005B2236" w:rsidRPr="00C03848">
              <w:rPr>
                <w:lang w:val="uk-UA"/>
              </w:rPr>
              <w:t>П</w:t>
            </w:r>
            <w:r w:rsidRPr="00C03848">
              <w:rPr>
                <w:lang w:val="uk-UA"/>
              </w:rPr>
              <w:t>овинно бути можливим</w:t>
            </w:r>
            <w:r w:rsidR="005B2236" w:rsidRPr="00C03848">
              <w:rPr>
                <w:lang w:val="uk-UA"/>
              </w:rPr>
              <w:t>, щоб</w:t>
            </w:r>
            <w:r w:rsidRPr="00C03848">
              <w:rPr>
                <w:lang w:val="uk-UA"/>
              </w:rPr>
              <w:t xml:space="preserve"> так</w:t>
            </w:r>
            <w:r w:rsidR="005B2236" w:rsidRPr="00C03848">
              <w:rPr>
                <w:lang w:val="uk-UA"/>
              </w:rPr>
              <w:t>е</w:t>
            </w:r>
            <w:r w:rsidRPr="00C03848">
              <w:rPr>
                <w:lang w:val="uk-UA"/>
              </w:rPr>
              <w:t xml:space="preserve"> </w:t>
            </w:r>
            <w:r w:rsidR="005B2236" w:rsidRPr="00C03848">
              <w:rPr>
                <w:lang w:val="uk-UA"/>
              </w:rPr>
              <w:t>схвале</w:t>
            </w:r>
            <w:r w:rsidRPr="00C03848">
              <w:rPr>
                <w:lang w:val="uk-UA"/>
              </w:rPr>
              <w:t>ння нада</w:t>
            </w:r>
            <w:r w:rsidR="005B2236" w:rsidRPr="00C03848">
              <w:rPr>
                <w:lang w:val="uk-UA"/>
              </w:rPr>
              <w:t>валось</w:t>
            </w:r>
            <w:r w:rsidRPr="00C03848">
              <w:rPr>
                <w:lang w:val="uk-UA"/>
              </w:rPr>
              <w:t xml:space="preserve"> ким</w:t>
            </w:r>
            <w:r w:rsidR="005B2236" w:rsidRPr="00C03848">
              <w:rPr>
                <w:lang w:val="uk-UA"/>
              </w:rPr>
              <w:t>-небудь, хто володіє</w:t>
            </w:r>
            <w:r w:rsidRPr="00C03848">
              <w:rPr>
                <w:lang w:val="uk-UA"/>
              </w:rPr>
              <w:t xml:space="preserve"> достатніми знаннями у </w:t>
            </w:r>
            <w:r w:rsidR="005B2236" w:rsidRPr="00C03848">
              <w:rPr>
                <w:lang w:val="uk-UA"/>
              </w:rPr>
              <w:t>сфері схильності до ризику відмивання</w:t>
            </w:r>
            <w:r w:rsidRPr="00C03848">
              <w:rPr>
                <w:lang w:val="uk-UA"/>
              </w:rPr>
              <w:t xml:space="preserve"> грошей установи</w:t>
            </w:r>
            <w:r w:rsidR="005B2236" w:rsidRPr="00C03848">
              <w:rPr>
                <w:lang w:val="uk-UA"/>
              </w:rPr>
              <w:t xml:space="preserve"> організації</w:t>
            </w:r>
            <w:r w:rsidRPr="00C03848">
              <w:rPr>
                <w:lang w:val="uk-UA"/>
              </w:rPr>
              <w:t xml:space="preserve"> та терористичного фінансування</w:t>
            </w:r>
            <w:r w:rsidR="005B2236" w:rsidRPr="00C03848">
              <w:rPr>
                <w:lang w:val="uk-UA"/>
              </w:rPr>
              <w:t>,</w:t>
            </w:r>
            <w:r w:rsidRPr="00C03848">
              <w:rPr>
                <w:lang w:val="uk-UA"/>
              </w:rPr>
              <w:t xml:space="preserve"> </w:t>
            </w:r>
            <w:r w:rsidR="005B2236" w:rsidRPr="00C03848">
              <w:rPr>
                <w:lang w:val="uk-UA"/>
              </w:rPr>
              <w:t>та має</w:t>
            </w:r>
            <w:r w:rsidRPr="00C03848">
              <w:rPr>
                <w:lang w:val="uk-UA"/>
              </w:rPr>
              <w:t xml:space="preserve"> достатньо</w:t>
            </w:r>
            <w:r w:rsidR="005B2236" w:rsidRPr="00C03848">
              <w:rPr>
                <w:lang w:val="uk-UA"/>
              </w:rPr>
              <w:t xml:space="preserve"> високий рівень посади,  щоб</w:t>
            </w:r>
            <w:r w:rsidRPr="00C03848">
              <w:rPr>
                <w:lang w:val="uk-UA"/>
              </w:rPr>
              <w:t xml:space="preserve"> приймати рішення, що впливають на її </w:t>
            </w:r>
            <w:r w:rsidR="005B2236" w:rsidRPr="00C03848">
              <w:rPr>
                <w:lang w:val="uk-UA"/>
              </w:rPr>
              <w:t>схильність до</w:t>
            </w:r>
            <w:r w:rsidRPr="00C03848">
              <w:rPr>
                <w:lang w:val="uk-UA"/>
              </w:rPr>
              <w:t xml:space="preserve"> ризику.</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F020B" w:rsidRPr="00C03848" w:rsidRDefault="005B2236" w:rsidP="008B76F2">
            <w:pPr>
              <w:pStyle w:val="1"/>
              <w:spacing w:before="0" w:beforeAutospacing="0" w:after="0" w:afterAutospacing="0"/>
              <w:jc w:val="both"/>
              <w:textAlignment w:val="baseline"/>
              <w:rPr>
                <w:lang w:val="uk-UA"/>
              </w:rPr>
            </w:pPr>
            <w:r w:rsidRPr="00C03848">
              <w:rPr>
                <w:lang w:val="uk-UA"/>
              </w:rPr>
              <w:t>З метою уникнення численних процедур ідентифікації клієнтів, що призвод</w:t>
            </w:r>
            <w:r w:rsidR="00CF020B" w:rsidRPr="00C03848">
              <w:rPr>
                <w:lang w:val="uk-UA"/>
              </w:rPr>
              <w:t>я</w:t>
            </w:r>
            <w:r w:rsidRPr="00C03848">
              <w:rPr>
                <w:lang w:val="uk-UA"/>
              </w:rPr>
              <w:t xml:space="preserve">ть до затримок і неефективності </w:t>
            </w:r>
            <w:r w:rsidR="00CF020B" w:rsidRPr="00C03848">
              <w:rPr>
                <w:lang w:val="uk-UA"/>
              </w:rPr>
              <w:t>діяльності</w:t>
            </w:r>
            <w:r w:rsidRPr="00C03848">
              <w:rPr>
                <w:lang w:val="uk-UA"/>
              </w:rPr>
              <w:t xml:space="preserve">, доречним є, при наявності відповідних гарантій, дозволити клієнтам, ідентифікація яких була проведена в іншому місці, бути </w:t>
            </w:r>
            <w:r w:rsidR="00CF020B" w:rsidRPr="00C03848">
              <w:rPr>
                <w:lang w:val="uk-UA"/>
              </w:rPr>
              <w:t>представл</w:t>
            </w:r>
            <w:r w:rsidR="00B655FD" w:rsidRPr="00C03848">
              <w:rPr>
                <w:lang w:val="uk-UA"/>
              </w:rPr>
              <w:t>яти її</w:t>
            </w:r>
            <w:r w:rsidR="00CF020B" w:rsidRPr="00C03848">
              <w:rPr>
                <w:lang w:val="uk-UA"/>
              </w:rPr>
              <w:t xml:space="preserve"> зобов'язаним</w:t>
            </w:r>
            <w:r w:rsidRPr="00C03848">
              <w:rPr>
                <w:lang w:val="uk-UA"/>
              </w:rPr>
              <w:t xml:space="preserve"> ос</w:t>
            </w:r>
            <w:r w:rsidR="00CF020B" w:rsidRPr="00C03848">
              <w:rPr>
                <w:lang w:val="uk-UA"/>
              </w:rPr>
              <w:t>о</w:t>
            </w:r>
            <w:r w:rsidRPr="00C03848">
              <w:rPr>
                <w:lang w:val="uk-UA"/>
              </w:rPr>
              <w:t>б</w:t>
            </w:r>
            <w:r w:rsidR="00CF020B" w:rsidRPr="00C03848">
              <w:rPr>
                <w:lang w:val="uk-UA"/>
              </w:rPr>
              <w:t>ам</w:t>
            </w:r>
            <w:r w:rsidRPr="00C03848">
              <w:rPr>
                <w:lang w:val="uk-UA"/>
              </w:rPr>
              <w:t xml:space="preserve">. </w:t>
            </w:r>
            <w:r w:rsidR="00CF020B" w:rsidRPr="00C03848">
              <w:rPr>
                <w:lang w:val="uk-UA"/>
              </w:rPr>
              <w:t xml:space="preserve">У випадку, якщо зобов'язана особа </w:t>
            </w:r>
            <w:r w:rsidRPr="00C03848">
              <w:rPr>
                <w:lang w:val="uk-UA"/>
              </w:rPr>
              <w:t xml:space="preserve">покладається на третю особу, в кінцевому рахунку відповідальність за </w:t>
            </w:r>
            <w:r w:rsidR="00B655FD" w:rsidRPr="00C03848">
              <w:rPr>
                <w:lang w:val="uk-UA"/>
              </w:rPr>
              <w:t xml:space="preserve">проведення </w:t>
            </w:r>
            <w:r w:rsidRPr="00C03848">
              <w:rPr>
                <w:lang w:val="uk-UA"/>
              </w:rPr>
              <w:t xml:space="preserve">належної перевірки клієнтів </w:t>
            </w:r>
            <w:r w:rsidR="00B655FD" w:rsidRPr="00C03848">
              <w:rPr>
                <w:lang w:val="uk-UA"/>
              </w:rPr>
              <w:t>покладається на</w:t>
            </w:r>
            <w:r w:rsidRPr="00C03848">
              <w:rPr>
                <w:lang w:val="uk-UA"/>
              </w:rPr>
              <w:t xml:space="preserve"> зобов'язан</w:t>
            </w:r>
            <w:r w:rsidR="00B655FD" w:rsidRPr="00C03848">
              <w:rPr>
                <w:lang w:val="uk-UA"/>
              </w:rPr>
              <w:t>ий суб’єкт</w:t>
            </w:r>
            <w:r w:rsidRPr="00C03848">
              <w:rPr>
                <w:lang w:val="uk-UA"/>
              </w:rPr>
              <w:t xml:space="preserve">, </w:t>
            </w:r>
            <w:r w:rsidR="00B655FD" w:rsidRPr="00C03848">
              <w:rPr>
                <w:iCs/>
                <w:bdr w:val="none" w:sz="0" w:space="0" w:color="auto" w:frame="1"/>
                <w:lang w:val="uk-UA"/>
              </w:rPr>
              <w:t>якому представлений клієнт</w:t>
            </w:r>
            <w:r w:rsidRPr="00C03848">
              <w:rPr>
                <w:lang w:val="uk-UA"/>
              </w:rPr>
              <w:t xml:space="preserve">. Третя сторона, або особа, </w:t>
            </w:r>
            <w:r w:rsidR="00B655FD" w:rsidRPr="00C03848">
              <w:rPr>
                <w:lang w:val="uk-UA"/>
              </w:rPr>
              <w:t>яка представляє</w:t>
            </w:r>
            <w:r w:rsidRPr="00C03848">
              <w:rPr>
                <w:lang w:val="uk-UA"/>
              </w:rPr>
              <w:t xml:space="preserve"> клієнта, також повинн</w:t>
            </w:r>
            <w:r w:rsidR="00B655FD" w:rsidRPr="00C03848">
              <w:rPr>
                <w:lang w:val="uk-UA"/>
              </w:rPr>
              <w:t>а</w:t>
            </w:r>
            <w:r w:rsidRPr="00C03848">
              <w:rPr>
                <w:lang w:val="uk-UA"/>
              </w:rPr>
              <w:t xml:space="preserve"> </w:t>
            </w:r>
            <w:r w:rsidR="00B655FD" w:rsidRPr="00C03848">
              <w:rPr>
                <w:lang w:val="uk-UA"/>
              </w:rPr>
              <w:t xml:space="preserve">нести </w:t>
            </w:r>
            <w:r w:rsidRPr="00C03848">
              <w:rPr>
                <w:lang w:val="uk-UA"/>
              </w:rPr>
              <w:t xml:space="preserve">власну відповідальність за дотримання </w:t>
            </w:r>
            <w:r w:rsidR="00B655FD" w:rsidRPr="00C03848">
              <w:rPr>
                <w:lang w:val="uk-UA"/>
              </w:rPr>
              <w:t>положень даної Директиви</w:t>
            </w:r>
            <w:r w:rsidRPr="00C03848">
              <w:rPr>
                <w:lang w:val="uk-UA"/>
              </w:rPr>
              <w:t xml:space="preserve">, включаючи вимогу </w:t>
            </w:r>
            <w:r w:rsidR="00B655FD" w:rsidRPr="00C03848">
              <w:rPr>
                <w:iCs/>
                <w:bdr w:val="none" w:sz="0" w:space="0" w:color="auto" w:frame="1"/>
                <w:lang w:val="uk-UA"/>
              </w:rPr>
              <w:t>звітування щодо</w:t>
            </w:r>
            <w:r w:rsidR="00B655FD" w:rsidRPr="00C03848">
              <w:rPr>
                <w:lang w:val="uk-UA"/>
              </w:rPr>
              <w:t xml:space="preserve"> підозрілих операцій</w:t>
            </w:r>
            <w:r w:rsidRPr="00C03848">
              <w:rPr>
                <w:lang w:val="uk-UA"/>
              </w:rPr>
              <w:t xml:space="preserve"> та </w:t>
            </w:r>
            <w:r w:rsidR="00B655FD" w:rsidRPr="00C03848">
              <w:rPr>
                <w:lang w:val="uk-UA"/>
              </w:rPr>
              <w:t>збереження</w:t>
            </w:r>
            <w:r w:rsidRPr="00C03848">
              <w:rPr>
                <w:lang w:val="uk-UA"/>
              </w:rPr>
              <w:t xml:space="preserve"> записів</w:t>
            </w:r>
            <w:r w:rsidR="00B655FD" w:rsidRPr="00C03848">
              <w:rPr>
                <w:lang w:val="uk-UA"/>
              </w:rPr>
              <w:t xml:space="preserve"> реєстрації в рамках ділових стосунків з клієнтом </w:t>
            </w:r>
            <w:r w:rsidR="00CF020B" w:rsidRPr="00C03848">
              <w:rPr>
                <w:iCs/>
                <w:bdr w:val="none" w:sz="0" w:space="0" w:color="auto" w:frame="1"/>
                <w:lang w:val="uk-UA"/>
              </w:rPr>
              <w:t xml:space="preserve">згідно з </w:t>
            </w:r>
            <w:r w:rsidR="00B655FD" w:rsidRPr="00C03848">
              <w:rPr>
                <w:iCs/>
                <w:bdr w:val="none" w:sz="0" w:space="0" w:color="auto" w:frame="1"/>
                <w:lang w:val="uk-UA"/>
              </w:rPr>
              <w:t>положеннями даної Директиви</w:t>
            </w:r>
            <w:r w:rsidR="00CF020B" w:rsidRPr="00C03848">
              <w:rPr>
                <w:iCs/>
                <w:bdr w:val="none" w:sz="0" w:space="0" w:color="auto" w:frame="1"/>
                <w:lang w:val="uk-UA"/>
              </w:rPr>
              <w:t xml:space="preserve">. </w:t>
            </w:r>
          </w:p>
        </w:tc>
      </w:tr>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25DAE" w:rsidP="008B76F2">
            <w:pPr>
              <w:pStyle w:val="HTMLPreformatted"/>
              <w:shd w:val="clear" w:color="auto" w:fill="FFFFFF"/>
              <w:jc w:val="both"/>
              <w:textAlignment w:val="baseline"/>
              <w:rPr>
                <w:rFonts w:ascii="Times New Roman" w:hAnsi="Times New Roman" w:cs="Times New Roman"/>
                <w:sz w:val="24"/>
                <w:szCs w:val="24"/>
              </w:rPr>
            </w:pPr>
            <w:r w:rsidRPr="00C03848">
              <w:rPr>
                <w:rFonts w:ascii="Times New Roman" w:hAnsi="Times New Roman" w:cs="Times New Roman"/>
                <w:iCs/>
                <w:sz w:val="24"/>
                <w:szCs w:val="24"/>
                <w:bdr w:val="none" w:sz="0" w:space="0" w:color="auto" w:frame="1"/>
              </w:rPr>
              <w:t xml:space="preserve">У </w:t>
            </w:r>
            <w:r w:rsidR="00B655FD" w:rsidRPr="00C03848">
              <w:rPr>
                <w:rFonts w:ascii="Times New Roman" w:hAnsi="Times New Roman" w:cs="Times New Roman"/>
                <w:iCs/>
                <w:sz w:val="24"/>
                <w:szCs w:val="24"/>
                <w:bdr w:val="none" w:sz="0" w:space="0" w:color="auto" w:frame="1"/>
              </w:rPr>
              <w:t>випадку наявності агентських або аутсорсингових</w:t>
            </w:r>
            <w:r w:rsidRPr="00C03848">
              <w:rPr>
                <w:rFonts w:ascii="Times New Roman" w:hAnsi="Times New Roman" w:cs="Times New Roman"/>
                <w:iCs/>
                <w:sz w:val="24"/>
                <w:szCs w:val="24"/>
                <w:bdr w:val="none" w:sz="0" w:space="0" w:color="auto" w:frame="1"/>
              </w:rPr>
              <w:t xml:space="preserve"> стосунків на </w:t>
            </w:r>
            <w:r w:rsidRPr="00C03848">
              <w:rPr>
                <w:rFonts w:ascii="Times New Roman" w:hAnsi="Times New Roman" w:cs="Times New Roman"/>
                <w:iCs/>
                <w:sz w:val="24"/>
                <w:szCs w:val="24"/>
                <w:bdr w:val="none" w:sz="0" w:space="0" w:color="auto" w:frame="1"/>
              </w:rPr>
              <w:br/>
              <w:t xml:space="preserve">контрактній </w:t>
            </w:r>
            <w:r w:rsidR="00B655FD" w:rsidRPr="00C03848">
              <w:rPr>
                <w:rFonts w:ascii="Times New Roman" w:hAnsi="Times New Roman" w:cs="Times New Roman"/>
                <w:iCs/>
                <w:sz w:val="24"/>
                <w:szCs w:val="24"/>
                <w:bdr w:val="none" w:sz="0" w:space="0" w:color="auto" w:frame="1"/>
              </w:rPr>
              <w:t xml:space="preserve">основі між зобов’язаними суб’єктами та зовнішніми особами, на яких не поширюється дія даної Директиви, будь-які зобов'язання стосовно </w:t>
            </w:r>
            <w:r w:rsidR="00B655FD" w:rsidRPr="00C03848">
              <w:rPr>
                <w:rFonts w:ascii="Times New Roman" w:hAnsi="Times New Roman" w:cs="Times New Roman"/>
                <w:sz w:val="24"/>
                <w:szCs w:val="24"/>
              </w:rPr>
              <w:t>БВГ/ПФТ</w:t>
            </w:r>
            <w:r w:rsidR="00B655FD" w:rsidRPr="00C03848">
              <w:rPr>
                <w:rFonts w:ascii="Times New Roman" w:hAnsi="Times New Roman" w:cs="Times New Roman"/>
                <w:iCs/>
                <w:sz w:val="24"/>
                <w:szCs w:val="24"/>
                <w:bdr w:val="none" w:sz="0" w:space="0" w:color="auto" w:frame="1"/>
              </w:rPr>
              <w:t xml:space="preserve"> для таких агентів та </w:t>
            </w:r>
            <w:r w:rsidRPr="00C03848">
              <w:rPr>
                <w:rFonts w:ascii="Times New Roman" w:hAnsi="Times New Roman" w:cs="Times New Roman"/>
                <w:iCs/>
                <w:sz w:val="24"/>
                <w:szCs w:val="24"/>
                <w:bdr w:val="none" w:sz="0" w:space="0" w:color="auto" w:frame="1"/>
              </w:rPr>
              <w:t xml:space="preserve">постачальників </w:t>
            </w:r>
            <w:r w:rsidR="00B655FD" w:rsidRPr="00C03848">
              <w:rPr>
                <w:rFonts w:ascii="Times New Roman" w:hAnsi="Times New Roman" w:cs="Times New Roman"/>
                <w:iCs/>
                <w:sz w:val="24"/>
                <w:szCs w:val="24"/>
                <w:bdr w:val="none" w:sz="0" w:space="0" w:color="auto" w:frame="1"/>
              </w:rPr>
              <w:t xml:space="preserve">аутсорсингових </w:t>
            </w:r>
            <w:r w:rsidRPr="00C03848">
              <w:rPr>
                <w:rFonts w:ascii="Times New Roman" w:hAnsi="Times New Roman" w:cs="Times New Roman"/>
                <w:iCs/>
                <w:sz w:val="24"/>
                <w:szCs w:val="24"/>
                <w:bdr w:val="none" w:sz="0" w:space="0" w:color="auto" w:frame="1"/>
              </w:rPr>
              <w:t xml:space="preserve">послуг як складових </w:t>
            </w:r>
            <w:r w:rsidR="00B655FD" w:rsidRPr="00C03848">
              <w:rPr>
                <w:rFonts w:ascii="Times New Roman" w:hAnsi="Times New Roman" w:cs="Times New Roman"/>
                <w:iCs/>
                <w:sz w:val="24"/>
                <w:szCs w:val="24"/>
                <w:bdr w:val="none" w:sz="0" w:space="0" w:color="auto" w:frame="1"/>
              </w:rPr>
              <w:t xml:space="preserve">частин </w:t>
            </w:r>
            <w:r w:rsidRPr="00C03848">
              <w:rPr>
                <w:rFonts w:ascii="Times New Roman" w:hAnsi="Times New Roman" w:cs="Times New Roman"/>
                <w:iCs/>
                <w:sz w:val="24"/>
                <w:szCs w:val="24"/>
                <w:bdr w:val="none" w:sz="0" w:space="0" w:color="auto" w:frame="1"/>
              </w:rPr>
              <w:t xml:space="preserve">зобов’язаних суб’єктів </w:t>
            </w:r>
            <w:r w:rsidR="00B655FD" w:rsidRPr="00C03848">
              <w:rPr>
                <w:rFonts w:ascii="Times New Roman" w:hAnsi="Times New Roman" w:cs="Times New Roman"/>
                <w:iCs/>
                <w:sz w:val="24"/>
                <w:szCs w:val="24"/>
                <w:bdr w:val="none" w:sz="0" w:space="0" w:color="auto" w:frame="1"/>
              </w:rPr>
              <w:t>можуть випливати лиш</w:t>
            </w:r>
            <w:r w:rsidRPr="00C03848">
              <w:rPr>
                <w:rFonts w:ascii="Times New Roman" w:hAnsi="Times New Roman" w:cs="Times New Roman"/>
                <w:iCs/>
                <w:sz w:val="24"/>
                <w:szCs w:val="24"/>
                <w:bdr w:val="none" w:sz="0" w:space="0" w:color="auto" w:frame="1"/>
              </w:rPr>
              <w:t xml:space="preserve">е з </w:t>
            </w:r>
            <w:r w:rsidR="00B655FD" w:rsidRPr="00C03848">
              <w:rPr>
                <w:rFonts w:ascii="Times New Roman" w:hAnsi="Times New Roman" w:cs="Times New Roman"/>
                <w:iCs/>
                <w:sz w:val="24"/>
                <w:szCs w:val="24"/>
                <w:bdr w:val="none" w:sz="0" w:space="0" w:color="auto" w:frame="1"/>
              </w:rPr>
              <w:t>контракту</w:t>
            </w:r>
            <w:r w:rsidRPr="00C03848">
              <w:rPr>
                <w:rFonts w:ascii="Times New Roman" w:hAnsi="Times New Roman" w:cs="Times New Roman"/>
                <w:iCs/>
                <w:sz w:val="24"/>
                <w:szCs w:val="24"/>
                <w:bdr w:val="none" w:sz="0" w:space="0" w:color="auto" w:frame="1"/>
              </w:rPr>
              <w:t xml:space="preserve"> між сторонами, а не </w:t>
            </w:r>
            <w:r w:rsidR="00B655FD" w:rsidRPr="00C03848">
              <w:rPr>
                <w:rFonts w:ascii="Times New Roman" w:hAnsi="Times New Roman" w:cs="Times New Roman"/>
                <w:iCs/>
                <w:sz w:val="24"/>
                <w:szCs w:val="24"/>
                <w:bdr w:val="none" w:sz="0" w:space="0" w:color="auto" w:frame="1"/>
              </w:rPr>
              <w:t xml:space="preserve">з </w:t>
            </w:r>
            <w:r w:rsidRPr="00C03848">
              <w:rPr>
                <w:rFonts w:ascii="Times New Roman" w:hAnsi="Times New Roman" w:cs="Times New Roman"/>
                <w:iCs/>
                <w:sz w:val="24"/>
                <w:szCs w:val="24"/>
                <w:bdr w:val="none" w:sz="0" w:space="0" w:color="auto" w:frame="1"/>
              </w:rPr>
              <w:t xml:space="preserve">положень даної Директиви. Таким чином, відповідальність за </w:t>
            </w:r>
            <w:r w:rsidR="00B655FD" w:rsidRPr="00C03848">
              <w:rPr>
                <w:rFonts w:ascii="Times New Roman" w:hAnsi="Times New Roman" w:cs="Times New Roman"/>
                <w:iCs/>
                <w:sz w:val="24"/>
                <w:szCs w:val="24"/>
                <w:bdr w:val="none" w:sz="0" w:space="0" w:color="auto" w:frame="1"/>
              </w:rPr>
              <w:t xml:space="preserve">дотримання </w:t>
            </w:r>
            <w:r w:rsidRPr="00C03848">
              <w:rPr>
                <w:rFonts w:ascii="Times New Roman" w:hAnsi="Times New Roman" w:cs="Times New Roman"/>
                <w:iCs/>
                <w:sz w:val="24"/>
                <w:szCs w:val="24"/>
                <w:bdr w:val="none" w:sz="0" w:space="0" w:color="auto" w:frame="1"/>
              </w:rPr>
              <w:t xml:space="preserve">положень даної </w:t>
            </w:r>
            <w:r w:rsidR="00B655FD" w:rsidRPr="00C03848">
              <w:rPr>
                <w:rFonts w:ascii="Times New Roman" w:hAnsi="Times New Roman" w:cs="Times New Roman"/>
                <w:iCs/>
                <w:sz w:val="24"/>
                <w:szCs w:val="24"/>
                <w:bdr w:val="none" w:sz="0" w:space="0" w:color="auto" w:frame="1"/>
              </w:rPr>
              <w:t>Директиви має залишатися</w:t>
            </w:r>
            <w:r w:rsidRPr="00C03848">
              <w:rPr>
                <w:rFonts w:ascii="Times New Roman" w:hAnsi="Times New Roman" w:cs="Times New Roman"/>
                <w:iCs/>
                <w:sz w:val="24"/>
                <w:szCs w:val="24"/>
                <w:bdr w:val="none" w:sz="0" w:space="0" w:color="auto" w:frame="1"/>
              </w:rPr>
              <w:t xml:space="preserve"> головним чином</w:t>
            </w:r>
            <w:r w:rsidR="00B655FD" w:rsidRPr="00C03848">
              <w:rPr>
                <w:rFonts w:ascii="Times New Roman" w:hAnsi="Times New Roman" w:cs="Times New Roman"/>
                <w:iCs/>
                <w:sz w:val="24"/>
                <w:szCs w:val="24"/>
                <w:bdr w:val="none" w:sz="0" w:space="0" w:color="auto" w:frame="1"/>
              </w:rPr>
              <w:t xml:space="preserve"> за </w:t>
            </w:r>
            <w:r w:rsidRPr="00C03848">
              <w:rPr>
                <w:rFonts w:ascii="Times New Roman" w:hAnsi="Times New Roman" w:cs="Times New Roman"/>
                <w:iCs/>
                <w:sz w:val="24"/>
                <w:szCs w:val="24"/>
                <w:bdr w:val="none" w:sz="0" w:space="0" w:color="auto" w:frame="1"/>
              </w:rPr>
              <w:t>зобов’язаними суб’єктами</w:t>
            </w:r>
            <w:r w:rsidR="00B655FD" w:rsidRPr="00C03848">
              <w:rPr>
                <w:rFonts w:ascii="Times New Roman" w:hAnsi="Times New Roman" w:cs="Times New Roman"/>
                <w:iCs/>
                <w:sz w:val="24"/>
                <w:szCs w:val="24"/>
                <w:bdr w:val="none" w:sz="0" w:space="0" w:color="auto" w:frame="1"/>
              </w:rPr>
              <w:t xml:space="preserve">. </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25DAE" w:rsidP="008B76F2">
            <w:pPr>
              <w:pStyle w:val="1"/>
              <w:spacing w:before="0" w:beforeAutospacing="0" w:after="0" w:afterAutospacing="0"/>
              <w:jc w:val="both"/>
              <w:textAlignment w:val="baseline"/>
              <w:rPr>
                <w:lang w:val="uk-UA"/>
              </w:rPr>
            </w:pPr>
            <w:r w:rsidRPr="00C03848">
              <w:rPr>
                <w:lang w:val="uk-UA"/>
              </w:rPr>
              <w:t>Всі держави-члени мають або повинні створити операційно незалежні і автономні FIU збирати та аналізувати інформацію, яку вони отримують з метою встановлення зв'язків між підозрілими операціями та прихованою злочинною діяльністю з метою попередження і боротьби з відмиванням грошей та фінансуванням тероризму.</w:t>
            </w:r>
            <w:r w:rsidR="00FC38B6" w:rsidRPr="00C03848">
              <w:rPr>
                <w:lang w:val="uk-UA"/>
              </w:rPr>
              <w:t xml:space="preserve"> Операційно незалежні і автономні FIU означає, що FIU мають повноваження і можливості для вільного виконання своїх функцій, включаючи автономне рішення </w:t>
            </w:r>
            <w:r w:rsidR="00FC38B6" w:rsidRPr="00C03848">
              <w:rPr>
                <w:lang w:val="uk-UA"/>
              </w:rPr>
              <w:lastRenderedPageBreak/>
              <w:t>здійснювати аналіз, надсилати запит та поширювати певну інформацію. Інформація про підозрілі угоди та інша інформація, що відноситься до відмивання грошей, пов'язан</w:t>
            </w:r>
            <w:r w:rsidR="009F3E73" w:rsidRPr="00C03848">
              <w:rPr>
                <w:lang w:val="uk-UA"/>
              </w:rPr>
              <w:t>ими предикатними</w:t>
            </w:r>
            <w:r w:rsidR="00FC38B6" w:rsidRPr="00C03848">
              <w:rPr>
                <w:lang w:val="uk-UA"/>
              </w:rPr>
              <w:t xml:space="preserve"> правопорушен</w:t>
            </w:r>
            <w:r w:rsidR="009F3E73" w:rsidRPr="00C03848">
              <w:rPr>
                <w:lang w:val="uk-UA"/>
              </w:rPr>
              <w:t>нями та</w:t>
            </w:r>
            <w:r w:rsidR="00FC38B6" w:rsidRPr="00C03848">
              <w:rPr>
                <w:lang w:val="uk-UA"/>
              </w:rPr>
              <w:t xml:space="preserve"> фінансуванн</w:t>
            </w:r>
            <w:r w:rsidR="009F3E73" w:rsidRPr="00C03848">
              <w:rPr>
                <w:lang w:val="uk-UA"/>
              </w:rPr>
              <w:t>ям</w:t>
            </w:r>
            <w:r w:rsidR="00FC38B6" w:rsidRPr="00C03848">
              <w:rPr>
                <w:lang w:val="uk-UA"/>
              </w:rPr>
              <w:t xml:space="preserve"> тероризму, повинн</w:t>
            </w:r>
            <w:r w:rsidR="009F3E73" w:rsidRPr="00C03848">
              <w:rPr>
                <w:lang w:val="uk-UA"/>
              </w:rPr>
              <w:t>а</w:t>
            </w:r>
            <w:r w:rsidR="00FC38B6" w:rsidRPr="00C03848">
              <w:rPr>
                <w:lang w:val="uk-UA"/>
              </w:rPr>
              <w:t xml:space="preserve"> бути доведені до відома </w:t>
            </w:r>
            <w:r w:rsidR="009F3E73" w:rsidRPr="00C03848">
              <w:rPr>
                <w:lang w:val="uk-UA"/>
              </w:rPr>
              <w:t>FIU</w:t>
            </w:r>
            <w:r w:rsidR="00FC38B6" w:rsidRPr="00C03848">
              <w:rPr>
                <w:lang w:val="uk-UA"/>
              </w:rPr>
              <w:t>, який повинен виступати в якості центрального національного органу для прийому, аналізу та поширення результат</w:t>
            </w:r>
            <w:r w:rsidR="00717E3A" w:rsidRPr="00C03848">
              <w:rPr>
                <w:lang w:val="uk-UA"/>
              </w:rPr>
              <w:t>ів</w:t>
            </w:r>
            <w:r w:rsidR="00FC38B6" w:rsidRPr="00C03848">
              <w:rPr>
                <w:lang w:val="uk-UA"/>
              </w:rPr>
              <w:t xml:space="preserve"> свого аналізу</w:t>
            </w:r>
            <w:r w:rsidR="00717E3A" w:rsidRPr="00C03848">
              <w:rPr>
                <w:lang w:val="uk-UA"/>
              </w:rPr>
              <w:t xml:space="preserve"> компетентним органам. Інформацію про в</w:t>
            </w:r>
            <w:r w:rsidR="00FC38B6" w:rsidRPr="00C03848">
              <w:rPr>
                <w:lang w:val="uk-UA"/>
              </w:rPr>
              <w:t xml:space="preserve">сі підозрілі операції, включаючи спроби здійснення операцій, </w:t>
            </w:r>
            <w:r w:rsidR="00717E3A" w:rsidRPr="00C03848">
              <w:rPr>
                <w:lang w:val="uk-UA"/>
              </w:rPr>
              <w:t>необхідно</w:t>
            </w:r>
            <w:r w:rsidR="00FC38B6" w:rsidRPr="00C03848">
              <w:rPr>
                <w:lang w:val="uk-UA"/>
              </w:rPr>
              <w:t xml:space="preserve"> повідомляти незалежно від суми угоди. </w:t>
            </w:r>
            <w:r w:rsidR="00717E3A" w:rsidRPr="00C03848">
              <w:rPr>
                <w:lang w:val="uk-UA"/>
              </w:rPr>
              <w:t>І</w:t>
            </w:r>
            <w:r w:rsidR="00FC38B6" w:rsidRPr="00C03848">
              <w:rPr>
                <w:lang w:val="uk-UA"/>
              </w:rPr>
              <w:t>нформація</w:t>
            </w:r>
            <w:r w:rsidR="00717E3A" w:rsidRPr="00C03848">
              <w:rPr>
                <w:lang w:val="uk-UA"/>
              </w:rPr>
              <w:t>, що повідомляється</w:t>
            </w:r>
            <w:r w:rsidR="000E371F" w:rsidRPr="00C03848">
              <w:rPr>
                <w:lang w:val="uk-UA"/>
              </w:rPr>
              <w:t>,</w:t>
            </w:r>
            <w:r w:rsidR="00FC38B6" w:rsidRPr="00C03848">
              <w:rPr>
                <w:lang w:val="uk-UA"/>
              </w:rPr>
              <w:t xml:space="preserve"> може також включати в себе інформацію</w:t>
            </w:r>
            <w:r w:rsidR="000E371F" w:rsidRPr="00C03848">
              <w:rPr>
                <w:lang w:val="uk-UA"/>
              </w:rPr>
              <w:t>,  засновану на граничних величинах</w:t>
            </w:r>
            <w:r w:rsidR="00FC38B6"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1"/>
        <w:gridCol w:w="8889"/>
      </w:tblGrid>
      <w:tr w:rsidR="00C07AC9" w:rsidRPr="00C03848" w:rsidTr="00653AF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(38)</w:t>
            </w:r>
          </w:p>
        </w:tc>
        <w:tc>
          <w:tcPr>
            <w:tcW w:w="4698"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E371F" w:rsidRPr="00C03848" w:rsidRDefault="000E371F" w:rsidP="00894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eastAsia="ru-RU"/>
              </w:rPr>
            </w:pPr>
            <w:r w:rsidRPr="00C03848">
              <w:rPr>
                <w:rFonts w:ascii="Times New Roman" w:eastAsia="Times New Roman" w:hAnsi="Times New Roman" w:cs="Times New Roman"/>
                <w:iCs/>
                <w:sz w:val="24"/>
                <w:szCs w:val="24"/>
                <w:bdr w:val="none" w:sz="0" w:space="0" w:color="auto" w:frame="1"/>
                <w:lang w:val="uk-UA" w:eastAsia="ru-RU"/>
              </w:rPr>
              <w:t>Шляхом часткового обмеження загальної заборони здійснення підозрілих операцій, зобов’язані суб’єкт</w:t>
            </w:r>
            <w:r w:rsidR="007626CB" w:rsidRPr="00C03848">
              <w:rPr>
                <w:rFonts w:ascii="Times New Roman" w:eastAsia="Times New Roman" w:hAnsi="Times New Roman" w:cs="Times New Roman"/>
                <w:iCs/>
                <w:sz w:val="24"/>
                <w:szCs w:val="24"/>
                <w:bdr w:val="none" w:sz="0" w:space="0" w:color="auto" w:frame="1"/>
                <w:lang w:val="uk-UA" w:eastAsia="ru-RU"/>
              </w:rPr>
              <w:t>и</w:t>
            </w:r>
            <w:r w:rsidRPr="00C03848">
              <w:rPr>
                <w:rFonts w:ascii="Times New Roman" w:eastAsia="Times New Roman" w:hAnsi="Times New Roman" w:cs="Times New Roman"/>
                <w:iCs/>
                <w:sz w:val="24"/>
                <w:szCs w:val="24"/>
                <w:bdr w:val="none" w:sz="0" w:space="0" w:color="auto" w:frame="1"/>
                <w:lang w:val="uk-UA" w:eastAsia="ru-RU"/>
              </w:rPr>
              <w:t xml:space="preserve"> повинні </w:t>
            </w:r>
            <w:r w:rsidR="007626CB" w:rsidRPr="00C03848">
              <w:rPr>
                <w:rFonts w:ascii="Times New Roman" w:eastAsia="Times New Roman" w:hAnsi="Times New Roman" w:cs="Times New Roman"/>
                <w:iCs/>
                <w:sz w:val="24"/>
                <w:szCs w:val="24"/>
                <w:bdr w:val="none" w:sz="0" w:space="0" w:color="auto" w:frame="1"/>
                <w:lang w:val="uk-UA" w:eastAsia="ru-RU"/>
              </w:rPr>
              <w:t xml:space="preserve">бути в змозі </w:t>
            </w:r>
            <w:r w:rsidRPr="00C03848">
              <w:rPr>
                <w:rFonts w:ascii="Times New Roman" w:eastAsia="Times New Roman" w:hAnsi="Times New Roman" w:cs="Times New Roman"/>
                <w:iCs/>
                <w:sz w:val="24"/>
                <w:szCs w:val="24"/>
                <w:bdr w:val="none" w:sz="0" w:space="0" w:color="auto" w:frame="1"/>
                <w:lang w:val="uk-UA" w:eastAsia="ru-RU"/>
              </w:rPr>
              <w:t xml:space="preserve">здійснювати підозрілі </w:t>
            </w:r>
            <w:r w:rsidR="007626CB" w:rsidRPr="00C03848">
              <w:rPr>
                <w:rFonts w:ascii="Times New Roman" w:eastAsia="Times New Roman" w:hAnsi="Times New Roman" w:cs="Times New Roman"/>
                <w:iCs/>
                <w:sz w:val="24"/>
                <w:szCs w:val="24"/>
                <w:bdr w:val="none" w:sz="0" w:space="0" w:color="auto" w:frame="1"/>
                <w:lang w:val="uk-UA" w:eastAsia="ru-RU"/>
              </w:rPr>
              <w:t xml:space="preserve">операції перед </w:t>
            </w:r>
            <w:r w:rsidRPr="00C03848">
              <w:rPr>
                <w:rFonts w:ascii="Times New Roman" w:eastAsia="Times New Roman" w:hAnsi="Times New Roman" w:cs="Times New Roman"/>
                <w:iCs/>
                <w:sz w:val="24"/>
                <w:szCs w:val="24"/>
                <w:bdr w:val="none" w:sz="0" w:space="0" w:color="auto" w:frame="1"/>
                <w:lang w:val="uk-UA" w:eastAsia="ru-RU"/>
              </w:rPr>
              <w:t>інформування</w:t>
            </w:r>
            <w:r w:rsidR="007626CB" w:rsidRPr="00C03848">
              <w:rPr>
                <w:rFonts w:ascii="Times New Roman" w:eastAsia="Times New Roman" w:hAnsi="Times New Roman" w:cs="Times New Roman"/>
                <w:iCs/>
                <w:sz w:val="24"/>
                <w:szCs w:val="24"/>
                <w:bdr w:val="none" w:sz="0" w:space="0" w:color="auto" w:frame="1"/>
                <w:lang w:val="uk-UA" w:eastAsia="ru-RU"/>
              </w:rPr>
              <w:t>м</w:t>
            </w:r>
            <w:r w:rsidRPr="00C03848">
              <w:rPr>
                <w:rFonts w:ascii="Times New Roman" w:eastAsia="Times New Roman" w:hAnsi="Times New Roman" w:cs="Times New Roman"/>
                <w:iCs/>
                <w:sz w:val="24"/>
                <w:szCs w:val="24"/>
                <w:bdr w:val="none" w:sz="0" w:space="0" w:color="auto" w:frame="1"/>
                <w:lang w:val="uk-UA" w:eastAsia="ru-RU"/>
              </w:rPr>
              <w:t xml:space="preserve"> компетентних органів,  якщо відмова від здійснення є</w:t>
            </w:r>
            <w:r w:rsidR="00653AF2" w:rsidRPr="00C03848">
              <w:rPr>
                <w:rFonts w:ascii="Times New Roman" w:eastAsia="Times New Roman" w:hAnsi="Times New Roman" w:cs="Times New Roman"/>
                <w:iCs/>
                <w:sz w:val="24"/>
                <w:szCs w:val="24"/>
                <w:bdr w:val="none" w:sz="0" w:space="0" w:color="auto" w:frame="1"/>
                <w:lang w:val="uk-UA" w:eastAsia="ru-RU"/>
              </w:rPr>
              <w:t xml:space="preserve"> </w:t>
            </w:r>
            <w:r w:rsidRPr="00C03848">
              <w:rPr>
                <w:rFonts w:ascii="Times New Roman" w:eastAsia="Times New Roman" w:hAnsi="Times New Roman" w:cs="Times New Roman"/>
                <w:iCs/>
                <w:sz w:val="24"/>
                <w:szCs w:val="24"/>
                <w:bdr w:val="none" w:sz="0" w:space="0" w:color="auto" w:frame="1"/>
                <w:lang w:val="uk-UA" w:eastAsia="ru-RU"/>
              </w:rPr>
              <w:t>неможливою чи може звести нанівець спроби  виявлення  бенефіціарів</w:t>
            </w:r>
            <w:r w:rsidR="00653AF2" w:rsidRPr="00C03848">
              <w:rPr>
                <w:rFonts w:ascii="Times New Roman" w:eastAsia="Times New Roman" w:hAnsi="Times New Roman" w:cs="Times New Roman"/>
                <w:iCs/>
                <w:sz w:val="24"/>
                <w:szCs w:val="24"/>
                <w:bdr w:val="none" w:sz="0" w:space="0" w:color="auto" w:frame="1"/>
                <w:lang w:val="uk-UA" w:eastAsia="ru-RU"/>
              </w:rPr>
              <w:t xml:space="preserve"> </w:t>
            </w:r>
            <w:r w:rsidR="0089491F" w:rsidRPr="00C03848">
              <w:rPr>
                <w:rFonts w:ascii="Times New Roman" w:eastAsia="Times New Roman" w:hAnsi="Times New Roman" w:cs="Times New Roman"/>
                <w:iCs/>
                <w:sz w:val="24"/>
                <w:szCs w:val="24"/>
                <w:bdr w:val="none" w:sz="0" w:space="0" w:color="auto" w:frame="1"/>
                <w:lang w:val="uk-UA" w:eastAsia="ru-RU"/>
              </w:rPr>
              <w:t xml:space="preserve">за </w:t>
            </w:r>
            <w:r w:rsidRPr="00C03848">
              <w:rPr>
                <w:rFonts w:ascii="Times New Roman" w:eastAsia="Times New Roman" w:hAnsi="Times New Roman" w:cs="Times New Roman"/>
                <w:iCs/>
                <w:sz w:val="24"/>
                <w:szCs w:val="24"/>
                <w:bdr w:val="none" w:sz="0" w:space="0" w:color="auto" w:frame="1"/>
                <w:lang w:val="uk-UA" w:eastAsia="ru-RU"/>
              </w:rPr>
              <w:t xml:space="preserve">підозрілими  операціями  з  </w:t>
            </w:r>
            <w:r w:rsidR="00F567A7" w:rsidRPr="00C03848">
              <w:rPr>
                <w:rFonts w:ascii="Times New Roman" w:eastAsia="Times New Roman" w:hAnsi="Times New Roman" w:cs="Times New Roman"/>
                <w:iCs/>
                <w:sz w:val="24"/>
                <w:szCs w:val="24"/>
                <w:bdr w:val="none" w:sz="0" w:space="0" w:color="auto" w:frame="1"/>
                <w:lang w:val="uk-UA" w:eastAsia="ru-RU"/>
              </w:rPr>
              <w:t xml:space="preserve">відмивання грошей </w:t>
            </w:r>
            <w:r w:rsidRPr="00C03848">
              <w:rPr>
                <w:rFonts w:ascii="Times New Roman" w:eastAsia="Times New Roman" w:hAnsi="Times New Roman" w:cs="Times New Roman"/>
                <w:iCs/>
                <w:sz w:val="24"/>
                <w:szCs w:val="24"/>
                <w:bdr w:val="none" w:sz="0" w:space="0" w:color="auto" w:frame="1"/>
                <w:lang w:val="uk-UA" w:eastAsia="ru-RU"/>
              </w:rPr>
              <w:t>або фінансування</w:t>
            </w:r>
            <w:r w:rsidR="00653AF2" w:rsidRPr="00C03848">
              <w:rPr>
                <w:rFonts w:ascii="Times New Roman" w:eastAsia="Times New Roman" w:hAnsi="Times New Roman" w:cs="Times New Roman"/>
                <w:iCs/>
                <w:sz w:val="24"/>
                <w:szCs w:val="24"/>
                <w:bdr w:val="none" w:sz="0" w:space="0" w:color="auto" w:frame="1"/>
                <w:lang w:val="uk-UA" w:eastAsia="ru-RU"/>
              </w:rPr>
              <w:t xml:space="preserve"> </w:t>
            </w:r>
            <w:r w:rsidR="0089491F" w:rsidRPr="00C03848">
              <w:rPr>
                <w:rFonts w:ascii="Times New Roman" w:eastAsia="Times New Roman" w:hAnsi="Times New Roman" w:cs="Times New Roman"/>
                <w:iCs/>
                <w:sz w:val="24"/>
                <w:szCs w:val="24"/>
                <w:bdr w:val="none" w:sz="0" w:space="0" w:color="auto" w:frame="1"/>
                <w:lang w:val="uk-UA" w:eastAsia="ru-RU"/>
              </w:rPr>
              <w:t xml:space="preserve">тероризму.  Це, </w:t>
            </w:r>
            <w:r w:rsidRPr="00C03848">
              <w:rPr>
                <w:rFonts w:ascii="Times New Roman" w:eastAsia="Times New Roman" w:hAnsi="Times New Roman" w:cs="Times New Roman"/>
                <w:iCs/>
                <w:sz w:val="24"/>
                <w:szCs w:val="24"/>
                <w:bdr w:val="none" w:sz="0" w:space="0" w:color="auto" w:frame="1"/>
                <w:lang w:val="uk-UA" w:eastAsia="ru-RU"/>
              </w:rPr>
              <w:t xml:space="preserve">однак,  має  відбуватися  без  завдавання шкоди міжнародним </w:t>
            </w:r>
            <w:r w:rsidR="0089491F" w:rsidRPr="00C03848">
              <w:rPr>
                <w:rFonts w:ascii="Times New Roman" w:eastAsia="Times New Roman" w:hAnsi="Times New Roman" w:cs="Times New Roman"/>
                <w:iCs/>
                <w:sz w:val="24"/>
                <w:szCs w:val="24"/>
                <w:bdr w:val="none" w:sz="0" w:space="0" w:color="auto" w:frame="1"/>
                <w:lang w:val="uk-UA" w:eastAsia="ru-RU"/>
              </w:rPr>
              <w:t xml:space="preserve">зобов'язанням, </w:t>
            </w:r>
            <w:r w:rsidRPr="00C03848">
              <w:rPr>
                <w:rFonts w:ascii="Times New Roman" w:eastAsia="Times New Roman" w:hAnsi="Times New Roman" w:cs="Times New Roman"/>
                <w:iCs/>
                <w:sz w:val="24"/>
                <w:szCs w:val="24"/>
                <w:bdr w:val="none" w:sz="0" w:space="0" w:color="auto" w:frame="1"/>
                <w:lang w:val="uk-UA" w:eastAsia="ru-RU"/>
              </w:rPr>
              <w:t>прийнятим</w:t>
            </w:r>
            <w:r w:rsidR="0089491F" w:rsidRPr="00C03848">
              <w:rPr>
                <w:rFonts w:ascii="Times New Roman" w:eastAsia="Times New Roman" w:hAnsi="Times New Roman" w:cs="Times New Roman"/>
                <w:iCs/>
                <w:sz w:val="24"/>
                <w:szCs w:val="24"/>
                <w:bdr w:val="none" w:sz="0" w:space="0" w:color="auto" w:frame="1"/>
                <w:lang w:val="uk-UA" w:eastAsia="ru-RU"/>
              </w:rPr>
              <w:t xml:space="preserve"> </w:t>
            </w:r>
            <w:r w:rsidRPr="00C03848">
              <w:rPr>
                <w:rFonts w:ascii="Times New Roman" w:eastAsia="Times New Roman" w:hAnsi="Times New Roman" w:cs="Times New Roman"/>
                <w:iCs/>
                <w:sz w:val="24"/>
                <w:szCs w:val="24"/>
                <w:bdr w:val="none" w:sz="0" w:space="0" w:color="auto" w:frame="1"/>
                <w:lang w:val="uk-UA" w:eastAsia="ru-RU"/>
              </w:rPr>
              <w:t>державами-членами  щодо</w:t>
            </w:r>
            <w:r w:rsidR="00653AF2" w:rsidRPr="00C03848">
              <w:rPr>
                <w:rFonts w:ascii="Times New Roman" w:eastAsia="Times New Roman" w:hAnsi="Times New Roman" w:cs="Times New Roman"/>
                <w:iCs/>
                <w:sz w:val="24"/>
                <w:szCs w:val="24"/>
                <w:bdr w:val="none" w:sz="0" w:space="0" w:color="auto" w:frame="1"/>
                <w:lang w:val="uk-UA" w:eastAsia="ru-RU"/>
              </w:rPr>
              <w:t xml:space="preserve"> </w:t>
            </w:r>
            <w:r w:rsidR="0089491F" w:rsidRPr="00C03848">
              <w:rPr>
                <w:rFonts w:ascii="Times New Roman" w:eastAsia="Times New Roman" w:hAnsi="Times New Roman" w:cs="Times New Roman"/>
                <w:iCs/>
                <w:sz w:val="24"/>
                <w:szCs w:val="24"/>
                <w:bdr w:val="none" w:sz="0" w:space="0" w:color="auto" w:frame="1"/>
                <w:lang w:val="uk-UA" w:eastAsia="ru-RU"/>
              </w:rPr>
              <w:t xml:space="preserve">негайного заморожування коштів </w:t>
            </w:r>
            <w:r w:rsidRPr="00C03848">
              <w:rPr>
                <w:rFonts w:ascii="Times New Roman" w:eastAsia="Times New Roman" w:hAnsi="Times New Roman" w:cs="Times New Roman"/>
                <w:iCs/>
                <w:sz w:val="24"/>
                <w:szCs w:val="24"/>
                <w:bdr w:val="none" w:sz="0" w:space="0" w:color="auto" w:frame="1"/>
                <w:lang w:val="uk-UA" w:eastAsia="ru-RU"/>
              </w:rPr>
              <w:t>або</w:t>
            </w:r>
            <w:r w:rsidR="0089491F" w:rsidRPr="00C03848">
              <w:rPr>
                <w:rFonts w:ascii="Times New Roman" w:eastAsia="Times New Roman" w:hAnsi="Times New Roman" w:cs="Times New Roman"/>
                <w:iCs/>
                <w:sz w:val="24"/>
                <w:szCs w:val="24"/>
                <w:bdr w:val="none" w:sz="0" w:space="0" w:color="auto" w:frame="1"/>
                <w:lang w:val="uk-UA" w:eastAsia="ru-RU"/>
              </w:rPr>
              <w:t xml:space="preserve"> </w:t>
            </w:r>
            <w:r w:rsidRPr="00C03848">
              <w:rPr>
                <w:rFonts w:ascii="Times New Roman" w:eastAsia="Times New Roman" w:hAnsi="Times New Roman" w:cs="Times New Roman"/>
                <w:iCs/>
                <w:sz w:val="24"/>
                <w:szCs w:val="24"/>
                <w:bdr w:val="none" w:sz="0" w:space="0" w:color="auto" w:frame="1"/>
                <w:lang w:val="uk-UA" w:eastAsia="ru-RU"/>
              </w:rPr>
              <w:t>інших</w:t>
            </w:r>
            <w:r w:rsidR="0089491F" w:rsidRPr="00C03848">
              <w:rPr>
                <w:rFonts w:ascii="Times New Roman" w:eastAsia="Times New Roman" w:hAnsi="Times New Roman" w:cs="Times New Roman"/>
                <w:iCs/>
                <w:sz w:val="24"/>
                <w:szCs w:val="24"/>
                <w:bdr w:val="none" w:sz="0" w:space="0" w:color="auto" w:frame="1"/>
                <w:lang w:val="uk-UA" w:eastAsia="ru-RU"/>
              </w:rPr>
              <w:t xml:space="preserve"> </w:t>
            </w:r>
            <w:r w:rsidRPr="00C03848">
              <w:rPr>
                <w:rFonts w:ascii="Times New Roman" w:eastAsia="Times New Roman" w:hAnsi="Times New Roman" w:cs="Times New Roman"/>
                <w:iCs/>
                <w:sz w:val="24"/>
                <w:szCs w:val="24"/>
                <w:bdr w:val="none" w:sz="0" w:space="0" w:color="auto" w:frame="1"/>
                <w:lang w:val="uk-UA" w:eastAsia="ru-RU"/>
              </w:rPr>
              <w:t>активів терористів,</w:t>
            </w:r>
            <w:r w:rsidR="00653AF2" w:rsidRPr="00C03848">
              <w:rPr>
                <w:rFonts w:ascii="Times New Roman" w:eastAsia="Times New Roman" w:hAnsi="Times New Roman" w:cs="Times New Roman"/>
                <w:iCs/>
                <w:sz w:val="24"/>
                <w:szCs w:val="24"/>
                <w:bdr w:val="none" w:sz="0" w:space="0" w:color="auto" w:frame="1"/>
                <w:lang w:val="uk-UA" w:eastAsia="ru-RU"/>
              </w:rPr>
              <w:t xml:space="preserve"> </w:t>
            </w:r>
            <w:r w:rsidRPr="00C03848">
              <w:rPr>
                <w:rFonts w:ascii="Times New Roman" w:eastAsia="Times New Roman" w:hAnsi="Times New Roman" w:cs="Times New Roman"/>
                <w:iCs/>
                <w:sz w:val="24"/>
                <w:szCs w:val="24"/>
                <w:bdr w:val="none" w:sz="0" w:space="0" w:color="auto" w:frame="1"/>
                <w:lang w:val="uk-UA" w:eastAsia="ru-RU"/>
              </w:rPr>
              <w:t>терористичних  о</w:t>
            </w:r>
            <w:r w:rsidR="0089491F" w:rsidRPr="00C03848">
              <w:rPr>
                <w:rFonts w:ascii="Times New Roman" w:eastAsia="Times New Roman" w:hAnsi="Times New Roman" w:cs="Times New Roman"/>
                <w:iCs/>
                <w:sz w:val="24"/>
                <w:szCs w:val="24"/>
                <w:bdr w:val="none" w:sz="0" w:space="0" w:color="auto" w:frame="1"/>
                <w:lang w:val="uk-UA" w:eastAsia="ru-RU"/>
              </w:rPr>
              <w:t xml:space="preserve">рганізацій чи тих, </w:t>
            </w:r>
            <w:r w:rsidRPr="00C03848">
              <w:rPr>
                <w:rFonts w:ascii="Times New Roman" w:eastAsia="Times New Roman" w:hAnsi="Times New Roman" w:cs="Times New Roman"/>
                <w:iCs/>
                <w:sz w:val="24"/>
                <w:szCs w:val="24"/>
                <w:bdr w:val="none" w:sz="0" w:space="0" w:color="auto" w:frame="1"/>
                <w:lang w:val="uk-UA" w:eastAsia="ru-RU"/>
              </w:rPr>
              <w:t>хто займається фінансуванням</w:t>
            </w:r>
            <w:r w:rsidR="00653AF2" w:rsidRPr="00C03848">
              <w:rPr>
                <w:rFonts w:ascii="Times New Roman" w:eastAsia="Times New Roman" w:hAnsi="Times New Roman" w:cs="Times New Roman"/>
                <w:iCs/>
                <w:sz w:val="24"/>
                <w:szCs w:val="24"/>
                <w:bdr w:val="none" w:sz="0" w:space="0" w:color="auto" w:frame="1"/>
                <w:lang w:val="uk-UA" w:eastAsia="ru-RU"/>
              </w:rPr>
              <w:t xml:space="preserve"> </w:t>
            </w:r>
            <w:r w:rsidRPr="00C03848">
              <w:rPr>
                <w:rFonts w:ascii="Times New Roman" w:eastAsia="Times New Roman" w:hAnsi="Times New Roman" w:cs="Times New Roman"/>
                <w:iCs/>
                <w:sz w:val="24"/>
                <w:szCs w:val="24"/>
                <w:bdr w:val="none" w:sz="0" w:space="0" w:color="auto" w:frame="1"/>
                <w:lang w:val="uk-UA" w:eastAsia="ru-RU"/>
              </w:rPr>
              <w:t>тероризму, згідно з відповідними резолюціями Ради Безпеки ООН.</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B6A55" w:rsidRPr="00C03848" w:rsidRDefault="008B6A55" w:rsidP="008B7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eastAsia="ru-RU"/>
              </w:rPr>
            </w:pPr>
            <w:r w:rsidRPr="00C03848">
              <w:rPr>
                <w:rFonts w:ascii="Times New Roman" w:eastAsia="Times New Roman" w:hAnsi="Times New Roman" w:cs="Times New Roman"/>
                <w:sz w:val="24"/>
                <w:szCs w:val="24"/>
                <w:lang w:val="uk-UA" w:eastAsia="ru-RU"/>
              </w:rPr>
              <w:t>Дл</w:t>
            </w:r>
            <w:r w:rsidR="001618CC" w:rsidRPr="00C03848">
              <w:rPr>
                <w:rFonts w:ascii="Times New Roman" w:eastAsia="Times New Roman" w:hAnsi="Times New Roman" w:cs="Times New Roman"/>
                <w:sz w:val="24"/>
                <w:szCs w:val="24"/>
                <w:lang w:val="uk-UA" w:eastAsia="ru-RU"/>
              </w:rPr>
              <w:t xml:space="preserve">я певних зобов’язаних суб’єктів </w:t>
            </w:r>
            <w:r w:rsidRPr="00C03848">
              <w:rPr>
                <w:rFonts w:ascii="Times New Roman" w:eastAsia="Times New Roman" w:hAnsi="Times New Roman" w:cs="Times New Roman"/>
                <w:sz w:val="24"/>
                <w:szCs w:val="24"/>
                <w:lang w:val="uk-UA" w:eastAsia="ru-RU"/>
              </w:rPr>
              <w:t>держави-члени повинні мати можливість призначати відповідний саморегулюючий орган</w:t>
            </w:r>
            <w:r w:rsidR="00C72A5F" w:rsidRPr="00C03848">
              <w:rPr>
                <w:rFonts w:ascii="Times New Roman" w:eastAsia="Times New Roman" w:hAnsi="Times New Roman" w:cs="Times New Roman"/>
                <w:sz w:val="24"/>
                <w:szCs w:val="24"/>
                <w:lang w:val="uk-UA" w:eastAsia="ru-RU"/>
              </w:rPr>
              <w:t xml:space="preserve"> як орган,</w:t>
            </w:r>
            <w:r w:rsidR="001618CC" w:rsidRPr="00C03848">
              <w:rPr>
                <w:rFonts w:ascii="Times New Roman" w:eastAsia="Times New Roman" w:hAnsi="Times New Roman" w:cs="Times New Roman"/>
                <w:sz w:val="24"/>
                <w:szCs w:val="24"/>
                <w:lang w:val="uk-UA" w:eastAsia="ru-RU"/>
              </w:rPr>
              <w:t xml:space="preserve"> </w:t>
            </w:r>
            <w:r w:rsidR="00C72A5F" w:rsidRPr="00C03848">
              <w:rPr>
                <w:rFonts w:ascii="Times New Roman" w:eastAsia="Times New Roman" w:hAnsi="Times New Roman" w:cs="Times New Roman"/>
                <w:sz w:val="24"/>
                <w:szCs w:val="24"/>
                <w:lang w:val="uk-UA" w:eastAsia="ru-RU"/>
              </w:rPr>
              <w:t xml:space="preserve">який замість </w:t>
            </w:r>
            <w:r w:rsidR="001618CC" w:rsidRPr="00C03848">
              <w:rPr>
                <w:rFonts w:ascii="Times New Roman" w:hAnsi="Times New Roman" w:cs="Times New Roman"/>
                <w:sz w:val="24"/>
                <w:szCs w:val="24"/>
                <w:shd w:val="clear" w:color="auto" w:fill="FFFFFF"/>
              </w:rPr>
              <w:t>FIU</w:t>
            </w:r>
            <w:r w:rsidR="00C72A5F" w:rsidRPr="00C03848">
              <w:rPr>
                <w:rFonts w:ascii="Times New Roman" w:eastAsia="Times New Roman" w:hAnsi="Times New Roman" w:cs="Times New Roman"/>
                <w:sz w:val="24"/>
                <w:szCs w:val="24"/>
                <w:lang w:val="uk-UA" w:eastAsia="ru-RU"/>
              </w:rPr>
              <w:t xml:space="preserve"> слід </w:t>
            </w:r>
            <w:r w:rsidRPr="00C03848">
              <w:rPr>
                <w:rFonts w:ascii="Times New Roman" w:eastAsia="Times New Roman" w:hAnsi="Times New Roman" w:cs="Times New Roman"/>
                <w:sz w:val="24"/>
                <w:szCs w:val="24"/>
                <w:lang w:val="uk-UA" w:eastAsia="ru-RU"/>
              </w:rPr>
              <w:t>інформувати</w:t>
            </w:r>
            <w:r w:rsidR="00C72A5F" w:rsidRPr="00C03848">
              <w:rPr>
                <w:rFonts w:ascii="Times New Roman" w:eastAsia="Times New Roman" w:hAnsi="Times New Roman" w:cs="Times New Roman"/>
                <w:sz w:val="24"/>
                <w:szCs w:val="24"/>
                <w:lang w:val="uk-UA" w:eastAsia="ru-RU"/>
              </w:rPr>
              <w:t xml:space="preserve"> </w:t>
            </w:r>
            <w:r w:rsidRPr="00C03848">
              <w:rPr>
                <w:rFonts w:ascii="Times New Roman" w:eastAsia="Times New Roman" w:hAnsi="Times New Roman" w:cs="Times New Roman"/>
                <w:sz w:val="24"/>
                <w:szCs w:val="24"/>
                <w:lang w:val="uk-UA" w:eastAsia="ru-RU"/>
              </w:rPr>
              <w:t>в</w:t>
            </w:r>
            <w:r w:rsidR="00C72A5F" w:rsidRPr="00C03848">
              <w:rPr>
                <w:rFonts w:ascii="Times New Roman" w:eastAsia="Times New Roman" w:hAnsi="Times New Roman" w:cs="Times New Roman"/>
                <w:sz w:val="24"/>
                <w:szCs w:val="24"/>
                <w:lang w:val="uk-UA" w:eastAsia="ru-RU"/>
              </w:rPr>
              <w:t xml:space="preserve"> першій </w:t>
            </w:r>
            <w:r w:rsidRPr="00C03848">
              <w:rPr>
                <w:rFonts w:ascii="Times New Roman" w:eastAsia="Times New Roman" w:hAnsi="Times New Roman" w:cs="Times New Roman"/>
                <w:sz w:val="24"/>
                <w:szCs w:val="24"/>
                <w:lang w:val="uk-UA" w:eastAsia="ru-RU"/>
              </w:rPr>
              <w:t>інстанції</w:t>
            </w:r>
            <w:r w:rsidR="00C72A5F" w:rsidRPr="00C03848">
              <w:rPr>
                <w:rFonts w:ascii="Times New Roman" w:eastAsia="Times New Roman" w:hAnsi="Times New Roman" w:cs="Times New Roman"/>
                <w:sz w:val="24"/>
                <w:szCs w:val="24"/>
                <w:lang w:val="uk-UA" w:eastAsia="ru-RU"/>
              </w:rPr>
              <w:t>. Відповідно до прецедентного права Європейського суду з прав людини, система першої інстанції звітності саморегулюючому органу є важливою гарантією для підтримки захисту основних прав стосовно зобов'язань щодо звітування, які застосуються до юристів. Держави-члени повинні забезпечити засоби і способи для досягнення захисту професійної таємниці, конфіденційності та секретності.</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72632" w:rsidRPr="00C03848" w:rsidRDefault="00C72A5F" w:rsidP="008B76F2">
            <w:pPr>
              <w:pStyle w:val="1"/>
              <w:spacing w:before="0" w:beforeAutospacing="0" w:after="0" w:afterAutospacing="0"/>
              <w:jc w:val="both"/>
              <w:textAlignment w:val="baseline"/>
              <w:rPr>
                <w:lang w:val="uk-UA"/>
              </w:rPr>
            </w:pPr>
            <w:r w:rsidRPr="00C03848">
              <w:rPr>
                <w:lang w:val="uk-UA"/>
              </w:rPr>
              <w:t>У випадку, якщо держава-член вирішує призначити так</w:t>
            </w:r>
            <w:r w:rsidR="00CB0DA1" w:rsidRPr="00C03848">
              <w:rPr>
                <w:lang w:val="uk-UA"/>
              </w:rPr>
              <w:t>ий саморегулюючий</w:t>
            </w:r>
            <w:r w:rsidRPr="00C03848">
              <w:rPr>
                <w:lang w:val="uk-UA"/>
              </w:rPr>
              <w:t xml:space="preserve"> орган, вона може дозволити або вимагати, щоб </w:t>
            </w:r>
            <w:r w:rsidR="00CB0DA1" w:rsidRPr="00C03848">
              <w:rPr>
                <w:lang w:val="uk-UA"/>
              </w:rPr>
              <w:t>зазначений орган не передава</w:t>
            </w:r>
            <w:r w:rsidRPr="00C03848">
              <w:rPr>
                <w:lang w:val="uk-UA"/>
              </w:rPr>
              <w:t xml:space="preserve">в </w:t>
            </w:r>
            <w:r w:rsidR="00CB0DA1" w:rsidRPr="00C03848">
              <w:rPr>
                <w:lang w:val="uk-UA"/>
              </w:rPr>
              <w:t>FIU</w:t>
            </w:r>
            <w:r w:rsidRPr="00C03848">
              <w:rPr>
                <w:lang w:val="uk-UA"/>
              </w:rPr>
              <w:t xml:space="preserve"> будь-яку інформацію, отриману від осіб, представлених цим органом, якщо така інформація була отримана </w:t>
            </w:r>
            <w:r w:rsidR="00172632" w:rsidRPr="00C03848">
              <w:rPr>
                <w:lang w:val="uk-UA"/>
              </w:rPr>
              <w:t xml:space="preserve">від або про </w:t>
            </w:r>
            <w:r w:rsidRPr="00C03848">
              <w:rPr>
                <w:lang w:val="uk-UA"/>
              </w:rPr>
              <w:t>одн</w:t>
            </w:r>
            <w:r w:rsidR="00172632" w:rsidRPr="00C03848">
              <w:rPr>
                <w:lang w:val="uk-UA"/>
              </w:rPr>
              <w:t>ого</w:t>
            </w:r>
            <w:r w:rsidRPr="00C03848">
              <w:rPr>
                <w:lang w:val="uk-UA"/>
              </w:rPr>
              <w:t xml:space="preserve"> з їх клієнт</w:t>
            </w:r>
            <w:r w:rsidR="00172632" w:rsidRPr="00C03848">
              <w:rPr>
                <w:lang w:val="uk-UA"/>
              </w:rPr>
              <w:t>ів</w:t>
            </w:r>
            <w:r w:rsidRPr="00C03848">
              <w:rPr>
                <w:lang w:val="uk-UA"/>
              </w:rPr>
              <w:t xml:space="preserve">, в </w:t>
            </w:r>
            <w:r w:rsidR="00172632" w:rsidRPr="00C03848">
              <w:rPr>
                <w:lang w:val="uk-UA"/>
              </w:rPr>
              <w:t>процес</w:t>
            </w:r>
            <w:r w:rsidRPr="00C03848">
              <w:rPr>
                <w:lang w:val="uk-UA"/>
              </w:rPr>
              <w:t>і в</w:t>
            </w:r>
            <w:r w:rsidR="00172632" w:rsidRPr="00C03848">
              <w:rPr>
                <w:lang w:val="uk-UA"/>
              </w:rPr>
              <w:t>изначе</w:t>
            </w:r>
            <w:r w:rsidRPr="00C03848">
              <w:rPr>
                <w:lang w:val="uk-UA"/>
              </w:rPr>
              <w:t>ння правового статусу свого клієнта або при виконанні своїх функцій по захисту або п</w:t>
            </w:r>
            <w:r w:rsidR="00172632" w:rsidRPr="00C03848">
              <w:rPr>
                <w:lang w:val="uk-UA"/>
              </w:rPr>
              <w:t>редставле</w:t>
            </w:r>
            <w:r w:rsidRPr="00C03848">
              <w:rPr>
                <w:lang w:val="uk-UA"/>
              </w:rPr>
              <w:t>ння</w:t>
            </w:r>
            <w:r w:rsidR="00172632" w:rsidRPr="00C03848">
              <w:rPr>
                <w:lang w:val="uk-UA"/>
              </w:rPr>
              <w:t xml:space="preserve"> їх</w:t>
            </w:r>
            <w:r w:rsidRPr="00C03848">
              <w:rPr>
                <w:lang w:val="uk-UA"/>
              </w:rPr>
              <w:t xml:space="preserve"> клієнта </w:t>
            </w:r>
            <w:r w:rsidR="00172632" w:rsidRPr="00C03848">
              <w:rPr>
                <w:lang w:val="uk-UA"/>
              </w:rPr>
              <w:t>у судових процесах</w:t>
            </w:r>
            <w:r w:rsidRPr="00C03848">
              <w:rPr>
                <w:lang w:val="uk-UA"/>
              </w:rPr>
              <w:t xml:space="preserve"> або </w:t>
            </w:r>
            <w:r w:rsidR="00172632" w:rsidRPr="00C03848">
              <w:rPr>
                <w:lang w:val="uk-UA"/>
              </w:rPr>
              <w:t>стосовн</w:t>
            </w:r>
            <w:r w:rsidRPr="00C03848">
              <w:rPr>
                <w:lang w:val="uk-UA"/>
              </w:rPr>
              <w:t>о</w:t>
            </w:r>
            <w:r w:rsidR="00172632" w:rsidRPr="00C03848">
              <w:rPr>
                <w:lang w:val="uk-UA"/>
              </w:rPr>
              <w:t xml:space="preserve"> судових процесів</w:t>
            </w:r>
            <w:r w:rsidRPr="00C03848">
              <w:rPr>
                <w:lang w:val="uk-UA"/>
              </w:rPr>
              <w:t xml:space="preserve">, в тому числі надання консультацій щодо порушення або уникнення таких </w:t>
            </w:r>
            <w:r w:rsidR="00172632" w:rsidRPr="00C03848">
              <w:rPr>
                <w:lang w:val="uk-UA"/>
              </w:rPr>
              <w:t>судових процес</w:t>
            </w:r>
            <w:r w:rsidRPr="00C03848">
              <w:rPr>
                <w:lang w:val="uk-UA"/>
              </w:rPr>
              <w:t xml:space="preserve">ів, </w:t>
            </w:r>
            <w:r w:rsidR="00172632" w:rsidRPr="00C03848">
              <w:rPr>
                <w:lang w:val="uk-UA"/>
              </w:rPr>
              <w:t xml:space="preserve">незалежно, чи була така інформація отримана до,  під час або після такого провадження. </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847B7" w:rsidRPr="00C03848" w:rsidRDefault="008847B7" w:rsidP="008B76F2">
            <w:pPr>
              <w:pStyle w:val="1"/>
              <w:spacing w:before="0" w:beforeAutospacing="0" w:after="0" w:afterAutospacing="0"/>
              <w:jc w:val="both"/>
              <w:textAlignment w:val="baseline"/>
              <w:rPr>
                <w:lang w:val="uk-UA"/>
              </w:rPr>
            </w:pPr>
            <w:r w:rsidRPr="00C03848">
              <w:rPr>
                <w:lang w:val="uk-UA"/>
              </w:rPr>
              <w:t>Було кілька випадків, в яких співробітники, які повідомили про свої підозри у відмиванні грошей, були піддані погрозам або ворожим діям. Хоча положення даної Директиви не можуть втручатись в судові процедури держав-членів, дуже важливо, щоб це питання було розглянуто в цілях забезпечення ефективності системи БВГ/ПФТ. Держави-члени повинні усвідомлювати цю проблему та повинні робити все, що вони можуть, щоб захистити людей в тому числі співробітників і представників зобов'язаного суб’єкта від таких загроз або ворожих дій, і забезпечити, відповідно до положень національного законодавства, належний захист таким особам, особливо щодо їх права на захист своїх персональних даних та їх право на ефективний судовий захист і представництво.</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2C54D7" w:rsidP="008B76F2">
            <w:pPr>
              <w:pStyle w:val="1"/>
              <w:spacing w:before="0" w:beforeAutospacing="0" w:after="0" w:afterAutospacing="0"/>
              <w:jc w:val="both"/>
              <w:textAlignment w:val="baseline"/>
              <w:rPr>
                <w:lang w:val="uk-UA"/>
              </w:rPr>
            </w:pPr>
            <w:r w:rsidRPr="00C03848">
              <w:rPr>
                <w:lang w:val="uk-UA"/>
              </w:rPr>
              <w:t>Директива</w:t>
            </w:r>
            <w:r w:rsidR="00C07AC9" w:rsidRPr="00C03848">
              <w:rPr>
                <w:lang w:val="uk-UA"/>
              </w:rPr>
              <w:t xml:space="preserve"> 95/46/EC </w:t>
            </w:r>
            <w:r w:rsidR="00D50C80" w:rsidRPr="00C03848">
              <w:rPr>
                <w:lang w:val="uk-UA"/>
              </w:rPr>
              <w:t xml:space="preserve">Європейського Парламенту та Ради </w:t>
            </w:r>
            <w:hyperlink r:id="rId19" w:anchor="ntr12-L_2015141EN.01007301-E0012" w:history="1">
              <w:r w:rsidR="00C07AC9" w:rsidRPr="00C03848">
                <w:rPr>
                  <w:rStyle w:val="Hyperlink"/>
                  <w:color w:val="auto"/>
                  <w:u w:val="none"/>
                  <w:bdr w:val="none" w:sz="0" w:space="0" w:color="auto" w:frame="1"/>
                  <w:lang w:val="uk-UA"/>
                </w:rPr>
                <w:t> (</w:t>
              </w:r>
              <w:r w:rsidR="00C07AC9" w:rsidRPr="00C03848">
                <w:rPr>
                  <w:rStyle w:val="super"/>
                  <w:sz w:val="24"/>
                  <w:szCs w:val="24"/>
                  <w:bdr w:val="none" w:sz="0" w:space="0" w:color="auto" w:frame="1"/>
                  <w:lang w:val="uk-UA"/>
                </w:rPr>
                <w:t>12</w:t>
              </w:r>
              <w:r w:rsidR="00C07AC9" w:rsidRPr="00C03848">
                <w:rPr>
                  <w:rStyle w:val="Hyperlink"/>
                  <w:color w:val="auto"/>
                  <w:u w:val="none"/>
                  <w:bdr w:val="none" w:sz="0" w:space="0" w:color="auto" w:frame="1"/>
                  <w:lang w:val="uk-UA"/>
                </w:rPr>
                <w:t>)</w:t>
              </w:r>
            </w:hyperlink>
            <w:r w:rsidR="00C07AC9" w:rsidRPr="00C03848">
              <w:rPr>
                <w:lang w:val="uk-UA"/>
              </w:rPr>
              <w:t xml:space="preserve">, </w:t>
            </w:r>
            <w:r w:rsidR="0093213B" w:rsidRPr="00C03848">
              <w:rPr>
                <w:lang w:val="uk-UA"/>
              </w:rPr>
              <w:t>після транспонування у національне законодавство, застосовується до обробки персональних даних для цілей цієї Директиви. Регламент (EC) № 45/2001 Європейського Парламенту та Ради</w:t>
            </w:r>
            <w:hyperlink r:id="rId20" w:anchor="ntr13-L_2015141EN.01007301-E0013" w:history="1">
              <w:r w:rsidR="0093213B" w:rsidRPr="00C03848">
                <w:rPr>
                  <w:rStyle w:val="Hyperlink"/>
                  <w:color w:val="auto"/>
                  <w:u w:val="none"/>
                  <w:bdr w:val="none" w:sz="0" w:space="0" w:color="auto" w:frame="1"/>
                  <w:lang w:val="uk-UA"/>
                </w:rPr>
                <w:t> (</w:t>
              </w:r>
              <w:r w:rsidR="0093213B" w:rsidRPr="00C03848">
                <w:rPr>
                  <w:rStyle w:val="super"/>
                  <w:sz w:val="24"/>
                  <w:szCs w:val="24"/>
                  <w:bdr w:val="none" w:sz="0" w:space="0" w:color="auto" w:frame="1"/>
                  <w:lang w:val="uk-UA"/>
                </w:rPr>
                <w:t>13</w:t>
              </w:r>
              <w:r w:rsidR="0093213B" w:rsidRPr="00C03848">
                <w:rPr>
                  <w:rStyle w:val="Hyperlink"/>
                  <w:color w:val="auto"/>
                  <w:u w:val="none"/>
                  <w:bdr w:val="none" w:sz="0" w:space="0" w:color="auto" w:frame="1"/>
                  <w:lang w:val="uk-UA"/>
                </w:rPr>
                <w:t>)</w:t>
              </w:r>
            </w:hyperlink>
            <w:r w:rsidR="0093213B" w:rsidRPr="00C03848">
              <w:rPr>
                <w:lang w:val="uk-UA"/>
              </w:rPr>
              <w:t xml:space="preserve"> застосовується до </w:t>
            </w:r>
            <w:r w:rsidR="00FB4D4A" w:rsidRPr="00C03848">
              <w:rPr>
                <w:lang w:val="uk-UA"/>
              </w:rPr>
              <w:t>обробки персональних даних установами та органами Союзу для цілей цієї Директиви. Боротьба з відмиванням грошей і фінансуванням тероризму визнається в якості важливої основи громадського інтересу для всіма державами-</w:t>
            </w:r>
            <w:r w:rsidR="00FB4D4A" w:rsidRPr="00C03848">
              <w:rPr>
                <w:lang w:val="uk-UA"/>
              </w:rPr>
              <w:lastRenderedPageBreak/>
              <w:t>членами. Положення даної Директиви не завдає шкоди захисту персональних даних, які обробляються в рамках поліцейського і судового співробітництва у кримінальних справах, в тому числі Структурного рішення Ради 2008/977/JHA</w:t>
            </w:r>
            <w:hyperlink r:id="rId21" w:anchor="ntr14-L_2015141EN.01007301-E0014" w:history="1">
              <w:r w:rsidR="00FB4D4A" w:rsidRPr="00C03848">
                <w:rPr>
                  <w:rStyle w:val="Hyperlink"/>
                  <w:color w:val="auto"/>
                  <w:u w:val="none"/>
                  <w:bdr w:val="none" w:sz="0" w:space="0" w:color="auto" w:frame="1"/>
                  <w:lang w:val="uk-UA"/>
                </w:rPr>
                <w:t> (</w:t>
              </w:r>
              <w:r w:rsidR="00FB4D4A" w:rsidRPr="00C03848">
                <w:rPr>
                  <w:rStyle w:val="super"/>
                  <w:sz w:val="24"/>
                  <w:szCs w:val="24"/>
                  <w:bdr w:val="none" w:sz="0" w:space="0" w:color="auto" w:frame="1"/>
                  <w:lang w:val="uk-UA"/>
                </w:rPr>
                <w:t>14</w:t>
              </w:r>
              <w:r w:rsidR="00FB4D4A" w:rsidRPr="00C03848">
                <w:rPr>
                  <w:rStyle w:val="Hyperlink"/>
                  <w:color w:val="auto"/>
                  <w:u w:val="none"/>
                  <w:bdr w:val="none" w:sz="0" w:space="0" w:color="auto" w:frame="1"/>
                  <w:lang w:val="uk-UA"/>
                </w:rPr>
                <w:t>)</w:t>
              </w:r>
            </w:hyperlink>
            <w:r w:rsidR="00FB4D4A" w:rsidRPr="00C03848">
              <w:rPr>
                <w:lang w:val="uk-UA"/>
              </w:rPr>
              <w:t>, після імплементації в національне законодавство.</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1618CC">
        <w:trPr>
          <w:trHeight w:val="4577"/>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FB4D4A" w:rsidP="008B76F2">
            <w:pPr>
              <w:pStyle w:val="1"/>
              <w:spacing w:before="0" w:beforeAutospacing="0" w:after="0" w:afterAutospacing="0"/>
              <w:jc w:val="both"/>
              <w:textAlignment w:val="baseline"/>
              <w:rPr>
                <w:lang w:val="uk-UA"/>
              </w:rPr>
            </w:pPr>
            <w:r w:rsidRPr="00C03848">
              <w:rPr>
                <w:lang w:val="uk-UA"/>
              </w:rPr>
              <w:t xml:space="preserve">Важливо, що приведення у відповідність даної Директиви з оновленими Рекомендаціями FATF здійснюється в повній відповідності з законодавством Союзу, зокрема </w:t>
            </w:r>
            <w:r w:rsidR="009A2DDB" w:rsidRPr="00C03848">
              <w:rPr>
                <w:lang w:val="uk-UA"/>
              </w:rPr>
              <w:t>стосовн</w:t>
            </w:r>
            <w:r w:rsidRPr="00C03848">
              <w:rPr>
                <w:lang w:val="uk-UA"/>
              </w:rPr>
              <w:t>о закон</w:t>
            </w:r>
            <w:r w:rsidR="009A2DDB" w:rsidRPr="00C03848">
              <w:rPr>
                <w:lang w:val="uk-UA"/>
              </w:rPr>
              <w:t>одавства Союзу в сфері</w:t>
            </w:r>
            <w:r w:rsidRPr="00C03848">
              <w:rPr>
                <w:lang w:val="uk-UA"/>
              </w:rPr>
              <w:t xml:space="preserve"> захист</w:t>
            </w:r>
            <w:r w:rsidR="009A2DDB" w:rsidRPr="00C03848">
              <w:rPr>
                <w:lang w:val="uk-UA"/>
              </w:rPr>
              <w:t>у</w:t>
            </w:r>
            <w:r w:rsidRPr="00C03848">
              <w:rPr>
                <w:lang w:val="uk-UA"/>
              </w:rPr>
              <w:t xml:space="preserve"> даних і захисту основних прав, закріплених в </w:t>
            </w:r>
            <w:r w:rsidR="009A2DDB" w:rsidRPr="00C03848">
              <w:rPr>
                <w:lang w:val="uk-UA"/>
              </w:rPr>
              <w:t>Хартії</w:t>
            </w:r>
            <w:r w:rsidRPr="00C03848">
              <w:rPr>
                <w:lang w:val="uk-UA"/>
              </w:rPr>
              <w:t xml:space="preserve">. Деякі аспекти реалізації цієї Директиви включають збір, аналіз, зберігання та обмін даними. </w:t>
            </w:r>
            <w:r w:rsidR="009A2DDB" w:rsidRPr="00C03848">
              <w:rPr>
                <w:lang w:val="uk-UA"/>
              </w:rPr>
              <w:t>Зазначену обробку персональних даних слід дозволити при повному дотриманні основних прав тільки для цілей, викладених в даній Директиві, і для діяльностей, передбачених цією Директивою, таких, як проведення належної перевірки клієнта, постійний моніторинг, дослідження та звітування про незвичайні та підозрілі транзакції, ідентифікація бенефіціарного власника юридичної особи або юридичного механізму, виявлення політичного діяча, спільне користування інформацією компетентними органами та спільне користування інформацією  кредитними організаціями і фінансовими установами та іншими зобов'язаними особами.</w:t>
            </w:r>
            <w:r w:rsidR="00F53F3C" w:rsidRPr="00C03848">
              <w:rPr>
                <w:lang w:val="uk-UA"/>
              </w:rPr>
              <w:t xml:space="preserve"> Збір і подальшу обробку персональних даних </w:t>
            </w:r>
            <w:r w:rsidR="00293F98" w:rsidRPr="00C03848">
              <w:rPr>
                <w:lang w:val="uk-UA"/>
              </w:rPr>
              <w:t>зобов'язаними</w:t>
            </w:r>
            <w:r w:rsidR="00F53F3C" w:rsidRPr="00C03848">
              <w:rPr>
                <w:lang w:val="uk-UA"/>
              </w:rPr>
              <w:t xml:space="preserve"> ос</w:t>
            </w:r>
            <w:r w:rsidR="00293F98" w:rsidRPr="00C03848">
              <w:rPr>
                <w:lang w:val="uk-UA"/>
              </w:rPr>
              <w:t>о</w:t>
            </w:r>
            <w:r w:rsidR="00F53F3C" w:rsidRPr="00C03848">
              <w:rPr>
                <w:lang w:val="uk-UA"/>
              </w:rPr>
              <w:t>б</w:t>
            </w:r>
            <w:r w:rsidR="00293F98" w:rsidRPr="00C03848">
              <w:rPr>
                <w:lang w:val="uk-UA"/>
              </w:rPr>
              <w:t>ами</w:t>
            </w:r>
            <w:r w:rsidR="00F53F3C" w:rsidRPr="00C03848">
              <w:rPr>
                <w:lang w:val="uk-UA"/>
              </w:rPr>
              <w:t xml:space="preserve"> слід обмежувати тим, що необхідно для цілей дотримання вимог цієї Директиви, а персональні дані не слід додатково обробляти таким чином, який несумісний з цією метою. Зокрема, подальшу обробку персональних даних в комерційних цілях має бути строго заборонено</w:t>
            </w:r>
            <w:r w:rsidR="00293F98"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40061E" w:rsidP="008B76F2">
            <w:pPr>
              <w:pStyle w:val="1"/>
              <w:spacing w:before="0" w:beforeAutospacing="0" w:after="0" w:afterAutospacing="0"/>
              <w:jc w:val="both"/>
              <w:textAlignment w:val="baseline"/>
              <w:rPr>
                <w:lang w:val="uk-UA"/>
              </w:rPr>
            </w:pPr>
            <w:r w:rsidRPr="00C03848">
              <w:rPr>
                <w:lang w:val="uk-UA"/>
              </w:rPr>
              <w:t>Оновлені Рекомендації</w:t>
            </w:r>
            <w:r w:rsidR="00C07AC9" w:rsidRPr="00C03848">
              <w:rPr>
                <w:lang w:val="uk-UA"/>
              </w:rPr>
              <w:t xml:space="preserve"> FATF </w:t>
            </w:r>
            <w:r w:rsidR="001F1BE0" w:rsidRPr="00C03848">
              <w:rPr>
                <w:lang w:val="uk-UA"/>
              </w:rPr>
              <w:t>показують, що для того, щоб мати можливість повною мірою співпрацювати і швидко виконувати інформаційні запити від компетентних органів з метою запобігання, виявлення або розслідування відмивання грошей і фінансування тероризму, зобов'язані особи повинні підтримувати, принаймні, п'ять років, необхідну інформацію, отриману за допомогою заходів належної перевірки клієнта, і документи по транзакціям. Для того, щоб уникнути використання різних підходів і з метою виконання вимог, пов'язаних із захистом персональних даних та правової визначеності, термін зберігання повинен бути встановлений на рівні п'яти років після закінчення ділових відносин або випадкової транзакції. Проте, якщо це необхідно для цілей попередження, виявлення або розслідування відмивання грошей і фінансування тероризму, і після проведення оцінки необхідності і пропорційності, держави-члени повинні мати можливість дозволити або вимагати подальше зберігання документів на період, що не перевищує додаткові п'ять років, без шкоди для національного кримінального законодавства у сфері доказів, що застосовуються до поточних кримінальних розслідувань та судових розглядів. Держави-члени повинні вимагати, щоб конкретні запобіжні заходи бути введені в дію для забезпечення безпеки даних</w:t>
            </w:r>
            <w:r w:rsidR="00587C70" w:rsidRPr="00C03848">
              <w:rPr>
                <w:lang w:val="uk-UA"/>
              </w:rPr>
              <w:t>, та повинні</w:t>
            </w:r>
            <w:r w:rsidR="001F1BE0" w:rsidRPr="00C03848">
              <w:rPr>
                <w:lang w:val="uk-UA"/>
              </w:rPr>
              <w:t xml:space="preserve"> визначити, як</w:t>
            </w:r>
            <w:r w:rsidR="00587C70" w:rsidRPr="00C03848">
              <w:rPr>
                <w:lang w:val="uk-UA"/>
              </w:rPr>
              <w:t>і</w:t>
            </w:r>
            <w:r w:rsidR="001F1BE0" w:rsidRPr="00C03848">
              <w:rPr>
                <w:lang w:val="uk-UA"/>
              </w:rPr>
              <w:t xml:space="preserve"> особ</w:t>
            </w:r>
            <w:r w:rsidR="00587C70" w:rsidRPr="00C03848">
              <w:rPr>
                <w:lang w:val="uk-UA"/>
              </w:rPr>
              <w:t>и</w:t>
            </w:r>
            <w:r w:rsidR="001F1BE0" w:rsidRPr="00C03848">
              <w:rPr>
                <w:lang w:val="uk-UA"/>
              </w:rPr>
              <w:t>, категорі</w:t>
            </w:r>
            <w:r w:rsidR="00587C70" w:rsidRPr="00C03848">
              <w:rPr>
                <w:lang w:val="uk-UA"/>
              </w:rPr>
              <w:t>ї</w:t>
            </w:r>
            <w:r w:rsidR="001F1BE0" w:rsidRPr="00C03848">
              <w:rPr>
                <w:lang w:val="uk-UA"/>
              </w:rPr>
              <w:t xml:space="preserve"> осіб або орган</w:t>
            </w:r>
            <w:r w:rsidR="00587C70" w:rsidRPr="00C03848">
              <w:rPr>
                <w:lang w:val="uk-UA"/>
              </w:rPr>
              <w:t>и повинні</w:t>
            </w:r>
            <w:r w:rsidR="001F1BE0" w:rsidRPr="00C03848">
              <w:rPr>
                <w:lang w:val="uk-UA"/>
              </w:rPr>
              <w:t xml:space="preserve"> мати ексклюзивний доступ до даних, які</w:t>
            </w:r>
            <w:r w:rsidR="00587C70" w:rsidRPr="00C03848">
              <w:rPr>
                <w:lang w:val="uk-UA"/>
              </w:rPr>
              <w:t xml:space="preserve"> </w:t>
            </w:r>
            <w:r w:rsidR="001F1BE0" w:rsidRPr="00C03848">
              <w:rPr>
                <w:lang w:val="uk-UA"/>
              </w:rPr>
              <w:t>утримуються.</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587C70" w:rsidP="008B76F2">
            <w:pPr>
              <w:pStyle w:val="1"/>
              <w:spacing w:before="0" w:beforeAutospacing="0" w:after="0" w:afterAutospacing="0"/>
              <w:jc w:val="both"/>
              <w:textAlignment w:val="baseline"/>
              <w:rPr>
                <w:lang w:val="uk-UA"/>
              </w:rPr>
            </w:pPr>
            <w:r w:rsidRPr="00C03848">
              <w:rPr>
                <w:lang w:val="uk-UA"/>
              </w:rPr>
              <w:t>З метою  забезпечення належного і ефективного здійснення правосуддя протягом терміну транспозиції положень даної Ди</w:t>
            </w:r>
            <w:r w:rsidR="00AC3A3E" w:rsidRPr="00C03848">
              <w:rPr>
                <w:lang w:val="uk-UA"/>
              </w:rPr>
              <w:t>рективи до національного право</w:t>
            </w:r>
            <w:r w:rsidRPr="00C03848">
              <w:rPr>
                <w:lang w:val="uk-UA"/>
              </w:rPr>
              <w:t>порядку держав-членів, і з метою сприяння її ефективної взаємодії з процесуальним правом, інформацією та документами, що мають відношення до поточного правового судочинства з метою запобігання, виявлення або розслідування можливого відмивання грошей або фінансування тероризму, які були на розгляді в державах-членах на дату набрання чинності цієї Директиви, які повинні бути збережені протягом п'яти років після цієї дати, і  повинно бути можливим продовжити цей термін ще на наступні п'ять років.</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5E2FC4" w:rsidP="008B76F2">
            <w:pPr>
              <w:pStyle w:val="1"/>
              <w:spacing w:before="0" w:beforeAutospacing="0" w:after="0" w:afterAutospacing="0"/>
              <w:jc w:val="both"/>
              <w:textAlignment w:val="baseline"/>
              <w:rPr>
                <w:lang w:val="uk-UA"/>
              </w:rPr>
            </w:pPr>
            <w:r w:rsidRPr="00C03848">
              <w:rPr>
                <w:lang w:val="uk-UA"/>
              </w:rPr>
              <w:t xml:space="preserve">Права доступу до даних з боку суб'єкта персональних даних застосовні до персональних даних, оброблених для цілей цієї Директиви. Проте, доступ суб'єкта даних до будь-якої інформації, пов'язаної з повідомленням про підозрілу операцію, </w:t>
            </w:r>
            <w:r w:rsidRPr="00C03848">
              <w:rPr>
                <w:lang w:val="uk-UA"/>
              </w:rPr>
              <w:lastRenderedPageBreak/>
              <w:t xml:space="preserve">може серйозно підірвати ефективність боротьби з відмиванням грошей та фінансуванням тероризму. Винятки та обмеження цього права відповідно до Статті 13 </w:t>
            </w:r>
            <w:r w:rsidR="00587C70" w:rsidRPr="00C03848">
              <w:rPr>
                <w:lang w:val="uk-UA"/>
              </w:rPr>
              <w:t>Директиви</w:t>
            </w:r>
            <w:r w:rsidR="00C07AC9" w:rsidRPr="00C03848">
              <w:rPr>
                <w:lang w:val="uk-UA"/>
              </w:rPr>
              <w:t xml:space="preserve"> 95/46/EC </w:t>
            </w:r>
            <w:r w:rsidR="00587C70" w:rsidRPr="00C03848">
              <w:rPr>
                <w:lang w:val="uk-UA"/>
              </w:rPr>
              <w:t>та</w:t>
            </w:r>
            <w:r w:rsidR="00C07AC9" w:rsidRPr="00C03848">
              <w:rPr>
                <w:lang w:val="uk-UA"/>
              </w:rPr>
              <w:t>,</w:t>
            </w:r>
            <w:r w:rsidR="00587C70" w:rsidRPr="00C03848">
              <w:rPr>
                <w:lang w:val="uk-UA"/>
              </w:rPr>
              <w:t xml:space="preserve"> у доцільних випадках</w:t>
            </w:r>
            <w:r w:rsidR="00C07AC9" w:rsidRPr="00C03848">
              <w:rPr>
                <w:lang w:val="uk-UA"/>
              </w:rPr>
              <w:t xml:space="preserve">, </w:t>
            </w:r>
            <w:r w:rsidR="002C54D7" w:rsidRPr="00C03848">
              <w:rPr>
                <w:lang w:val="uk-UA"/>
              </w:rPr>
              <w:t>Статт</w:t>
            </w:r>
            <w:r w:rsidRPr="00C03848">
              <w:rPr>
                <w:lang w:val="uk-UA"/>
              </w:rPr>
              <w:t>і</w:t>
            </w:r>
            <w:r w:rsidR="00C07AC9" w:rsidRPr="00C03848">
              <w:rPr>
                <w:lang w:val="uk-UA"/>
              </w:rPr>
              <w:t xml:space="preserve"> 20 </w:t>
            </w:r>
            <w:r w:rsidRPr="00C03848">
              <w:rPr>
                <w:lang w:val="uk-UA"/>
              </w:rPr>
              <w:t>Регламенту</w:t>
            </w:r>
            <w:r w:rsidR="00C07AC9" w:rsidRPr="00C03848">
              <w:rPr>
                <w:lang w:val="uk-UA"/>
              </w:rPr>
              <w:t xml:space="preserve"> (EC) No 45/2001, </w:t>
            </w:r>
            <w:r w:rsidRPr="00C03848">
              <w:rPr>
                <w:lang w:val="uk-UA"/>
              </w:rPr>
              <w:t>можуть тому бути таким чином виправданими. Суб'єкт даних має право вимагати, щоб наглядовий орган, згаданий у Статті 28 Директиви 95/46/EC, або, у доречних випадках, Європейський інспектор із захисту даних, контролював законність обробки і мав право домагатись судового захисту, який зазначений у Статті 22 цієї Директиви. Контролюючий орган, який згадується в Статті 28 Директиви 95/46/EC, також може діяти на основі займаної посади. Без порушень обмежень права доступу, контролюючий орган повинен мати можливість інформувати суб'єкта даних, що дули проведені всі необхідні перевірки наглядовим органом, і про результат щодо законності зазначеної вище обробки.</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90BFE" w:rsidRPr="00C03848" w:rsidRDefault="00990BFE" w:rsidP="008B76F2">
            <w:pPr>
              <w:pStyle w:val="1"/>
              <w:spacing w:before="0" w:beforeAutospacing="0" w:after="0" w:afterAutospacing="0"/>
              <w:jc w:val="both"/>
              <w:textAlignment w:val="baseline"/>
              <w:rPr>
                <w:lang w:val="uk-UA"/>
              </w:rPr>
            </w:pPr>
            <w:r w:rsidRPr="00C03848">
              <w:rPr>
                <w:lang w:val="uk-UA"/>
              </w:rPr>
              <w:t xml:space="preserve">Особи, які просто перетворюють паперові документи в електронні дані та діють відповідно </w:t>
            </w:r>
            <w:r w:rsidR="00AC3A3E" w:rsidRPr="00C03848">
              <w:rPr>
                <w:lang w:val="uk-UA"/>
              </w:rPr>
              <w:t>до договору з кредитною організа</w:t>
            </w:r>
            <w:r w:rsidRPr="00C03848">
              <w:rPr>
                <w:lang w:val="uk-UA"/>
              </w:rPr>
              <w:t>цією або фінансовою установою, та особи</w:t>
            </w:r>
            <w:r w:rsidR="00AC3A3E" w:rsidRPr="00C03848">
              <w:rPr>
                <w:lang w:val="uk-UA"/>
              </w:rPr>
              <w:t>, які надають кредитним організа</w:t>
            </w:r>
            <w:r w:rsidRPr="00C03848">
              <w:rPr>
                <w:lang w:val="uk-UA"/>
              </w:rPr>
              <w:t>ціям або фінансовим установам тільки повідомлення або інші допоміжні системи підтримки для переказу коштів або клірингові і розрахункові системи, не під</w:t>
            </w:r>
            <w:r w:rsidR="00AC5C1D" w:rsidRPr="00C03848">
              <w:rPr>
                <w:lang w:val="uk-UA"/>
              </w:rPr>
              <w:t>падають під дію цієї Директиви.</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B20CF" w:rsidRPr="00C03848" w:rsidRDefault="00FB20CF" w:rsidP="008B76F2">
            <w:pPr>
              <w:pStyle w:val="1"/>
              <w:spacing w:before="0" w:beforeAutospacing="0" w:after="0" w:afterAutospacing="0"/>
              <w:jc w:val="both"/>
              <w:textAlignment w:val="baseline"/>
              <w:rPr>
                <w:lang w:val="uk-UA"/>
              </w:rPr>
            </w:pPr>
            <w:r w:rsidRPr="00C03848">
              <w:rPr>
                <w:lang w:val="uk-UA"/>
              </w:rPr>
              <w:t>Відмивання грошей і фінансування тероризму є міжнародними проблемами, і зусилля по боротьбі з ними повин</w:t>
            </w:r>
            <w:r w:rsidR="00AC3A3E" w:rsidRPr="00C03848">
              <w:rPr>
                <w:lang w:val="uk-UA"/>
              </w:rPr>
              <w:t>н</w:t>
            </w:r>
            <w:r w:rsidRPr="00C03848">
              <w:rPr>
                <w:lang w:val="uk-UA"/>
              </w:rPr>
              <w:t>і бути глобальними. У випадках, в яких кредитні організації та фінансові установи Союзу мають філії та дочірні компанії, які розташовані в третіх країнах, в яких вимоги в цій сфері є менш суворими, ніж вимоги держав-членів, вони повинні для того, щоб уникнути застосування дуже різних стандартів всередині організації або групи установ, звертатися до тих стандартів філій і дочірніх компаній Союзу або повідомляти про це компетентні органи держави-члена походження, якщо застосування подібних  стандартів не є можливим.</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B20CF" w:rsidRPr="00C03848" w:rsidRDefault="00FB20CF" w:rsidP="008B76F2">
            <w:pPr>
              <w:pStyle w:val="1"/>
              <w:spacing w:before="0" w:beforeAutospacing="0" w:after="0" w:afterAutospacing="0"/>
              <w:jc w:val="both"/>
              <w:textAlignment w:val="baseline"/>
              <w:rPr>
                <w:lang w:val="uk-UA"/>
              </w:rPr>
            </w:pPr>
            <w:r w:rsidRPr="00C03848">
              <w:rPr>
                <w:lang w:val="uk-UA"/>
              </w:rPr>
              <w:t>Зворотний зв'язок про корисність та подальші заходи стосовно повідомлень про  підозрілі транзакції, які вони представляють, повинні, якщо це практично можливо, надаватися зобов'язаними особами. Щоб зробити це можливим, і, щоб мати можливість аналізувати ефективність своїх систем боротьби з відмиванням грошей і фінансуванням тероризму, держави-члени повинні підтримувати і покращувати якість відповідних статистичних даних. З метою подальшого підвищення якості та узгодженості статистичних даних, зібраних на рівні Союзу, Комісія повинна відстежувати загальносоюзні ситуації по відношенню до боротьби з відмиванням грошей і фінансуванням тероризму та повинна публікувати регулярні огляди.</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B20CF" w:rsidRPr="00C03848" w:rsidRDefault="00162162" w:rsidP="004463D7">
            <w:pPr>
              <w:pStyle w:val="1"/>
              <w:spacing w:before="0" w:beforeAutospacing="0" w:after="0" w:afterAutospacing="0"/>
              <w:jc w:val="both"/>
              <w:textAlignment w:val="baseline"/>
              <w:rPr>
                <w:lang w:val="uk-UA"/>
              </w:rPr>
            </w:pPr>
            <w:r w:rsidRPr="00C03848">
              <w:rPr>
                <w:lang w:val="uk-UA"/>
              </w:rPr>
              <w:t>У випадках, в яких держави-члени вимагають від емітентів електронних грошей та постачальників платіжних послуг, які засновані на їх території в інших формах, ніж філія, а головний офіс якої знаходиться в іншій державі-члені, призначити центральну точку контакту на своїй території, вони повинні мати можливість вимагати, щоб така центральна точка контакту, яка діє від імені призн</w:t>
            </w:r>
            <w:r w:rsidR="004463D7" w:rsidRPr="00C03848">
              <w:rPr>
                <w:lang w:val="uk-UA"/>
              </w:rPr>
              <w:t xml:space="preserve">ачаючої установи, забезпечувала </w:t>
            </w:r>
            <w:r w:rsidRPr="00C03848">
              <w:rPr>
                <w:lang w:val="uk-UA"/>
              </w:rPr>
              <w:t>дотримання установою правил БВГ/ПФТ. Вони також повинні гарантувати, що ця вимога є пропорційною і не виходить за рамки того, що необхідно для досягнення мети дотримання правил БВГ/ПФТ в тому числі шляхом сприяння здійсненню відповідного нагляду.</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20588" w:rsidRPr="00C03848" w:rsidRDefault="00320588" w:rsidP="008B76F2">
            <w:pPr>
              <w:pStyle w:val="1"/>
              <w:spacing w:before="0" w:beforeAutospacing="0" w:after="0" w:afterAutospacing="0"/>
              <w:jc w:val="both"/>
              <w:textAlignment w:val="baseline"/>
              <w:rPr>
                <w:lang w:val="uk-UA"/>
              </w:rPr>
            </w:pPr>
            <w:r w:rsidRPr="00C03848">
              <w:rPr>
                <w:lang w:val="uk-UA"/>
              </w:rPr>
              <w:t>Компетентні органи повинні забезпечити, щоб по відношенню до офісів обміну валюти, офісів переведення чеків в готівку, трастів або постачальників послуг компаніям або постачальників послуг у сфері азартних ігор, особи, які ефективно здійснюють управління діяльністю таких осіб і бенефіціарих власникі</w:t>
            </w:r>
            <w:r w:rsidR="004463D7" w:rsidRPr="00C03848">
              <w:rPr>
                <w:lang w:val="uk-UA"/>
              </w:rPr>
              <w:t xml:space="preserve">в таких осіб були відповідними </w:t>
            </w:r>
            <w:r w:rsidRPr="00C03848">
              <w:rPr>
                <w:lang w:val="uk-UA"/>
              </w:rPr>
              <w:t xml:space="preserve">та справжніми особами. Критерії визначення, чи є особа відповідною та справжньою, повинні, як мінімум, відображати необхідність захисту таких осіб від зловживань ними їх менеджерами або бенефіціарними власниками в </w:t>
            </w:r>
            <w:r w:rsidRPr="00C03848">
              <w:rPr>
                <w:lang w:val="uk-UA"/>
              </w:rPr>
              <w:lastRenderedPageBreak/>
              <w:t>злочинних цілях.</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C1875" w:rsidRPr="00C03848" w:rsidRDefault="004C1875" w:rsidP="008B76F2">
            <w:pPr>
              <w:pStyle w:val="1"/>
              <w:spacing w:before="0" w:beforeAutospacing="0" w:after="0" w:afterAutospacing="0"/>
              <w:jc w:val="both"/>
              <w:textAlignment w:val="baseline"/>
              <w:rPr>
                <w:lang w:val="uk-UA"/>
              </w:rPr>
            </w:pPr>
            <w:r w:rsidRPr="00C03848">
              <w:rPr>
                <w:lang w:val="uk-UA"/>
              </w:rPr>
              <w:t>У випадку, якщо зобов'язан</w:t>
            </w:r>
            <w:r w:rsidR="005342C1" w:rsidRPr="00C03848">
              <w:rPr>
                <w:lang w:val="uk-UA"/>
              </w:rPr>
              <w:t>ий суб’єкт</w:t>
            </w:r>
            <w:r w:rsidRPr="00C03848">
              <w:rPr>
                <w:lang w:val="uk-UA"/>
              </w:rPr>
              <w:t xml:space="preserve"> управляє установами в іншій державі-члені, в тому числі через мережу агентів, компетентний орган держави</w:t>
            </w:r>
            <w:r w:rsidR="00046BB6" w:rsidRPr="00C03848">
              <w:rPr>
                <w:lang w:val="uk-UA"/>
              </w:rPr>
              <w:t xml:space="preserve">-члена </w:t>
            </w:r>
            <w:r w:rsidRPr="00C03848">
              <w:rPr>
                <w:lang w:val="uk-UA"/>
              </w:rPr>
              <w:t xml:space="preserve">походження повинен нести відповідальність </w:t>
            </w:r>
            <w:r w:rsidR="00046BB6" w:rsidRPr="00C03848">
              <w:rPr>
                <w:lang w:val="uk-UA"/>
              </w:rPr>
              <w:t>за здійснення нагляду</w:t>
            </w:r>
            <w:r w:rsidRPr="00C03848">
              <w:rPr>
                <w:lang w:val="uk-UA"/>
              </w:rPr>
              <w:t xml:space="preserve"> за застосуванням зобов'язаною особою політики</w:t>
            </w:r>
            <w:r w:rsidR="00046BB6" w:rsidRPr="00C03848">
              <w:rPr>
                <w:lang w:val="uk-UA"/>
              </w:rPr>
              <w:t xml:space="preserve"> і процедур БВГ</w:t>
            </w:r>
            <w:r w:rsidRPr="00C03848">
              <w:rPr>
                <w:lang w:val="uk-UA"/>
              </w:rPr>
              <w:t>/ПФТ для всієї групи. Це може включати поїздки на місця в установи, розташовані в іншій державі-члені. Компетентному органу держави</w:t>
            </w:r>
            <w:r w:rsidR="00046BB6" w:rsidRPr="00C03848">
              <w:rPr>
                <w:lang w:val="uk-UA"/>
              </w:rPr>
              <w:t>-члена</w:t>
            </w:r>
            <w:r w:rsidRPr="00C03848">
              <w:rPr>
                <w:lang w:val="uk-UA"/>
              </w:rPr>
              <w:t xml:space="preserve"> походження слід тісно співпрацювати з компетентним органом приймаючої держави</w:t>
            </w:r>
            <w:r w:rsidR="00046BB6" w:rsidRPr="00C03848">
              <w:rPr>
                <w:lang w:val="uk-UA"/>
              </w:rPr>
              <w:t>-члена</w:t>
            </w:r>
            <w:r w:rsidRPr="00C03848">
              <w:rPr>
                <w:lang w:val="uk-UA"/>
              </w:rPr>
              <w:t xml:space="preserve"> і слід повідомляти про це остан</w:t>
            </w:r>
            <w:r w:rsidR="00AC3A3E" w:rsidRPr="00C03848">
              <w:rPr>
                <w:lang w:val="uk-UA"/>
              </w:rPr>
              <w:t>н</w:t>
            </w:r>
            <w:r w:rsidRPr="00C03848">
              <w:rPr>
                <w:lang w:val="uk-UA"/>
              </w:rPr>
              <w:t xml:space="preserve">ьому органу про виявлені проблеми, які могли б вплинути на їх оцінку дотримання  </w:t>
            </w:r>
            <w:r w:rsidR="00046BB6" w:rsidRPr="00C03848">
              <w:rPr>
                <w:lang w:val="uk-UA"/>
              </w:rPr>
              <w:t>установою правил БВГ</w:t>
            </w:r>
            <w:r w:rsidRPr="00C03848">
              <w:rPr>
                <w:lang w:val="uk-UA"/>
              </w:rPr>
              <w:t>/ПФТ приймаючої держави.</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C1875" w:rsidRPr="00C03848" w:rsidRDefault="005342C1" w:rsidP="004463D7">
            <w:pPr>
              <w:pStyle w:val="1"/>
              <w:spacing w:before="0" w:beforeAutospacing="0" w:after="0" w:afterAutospacing="0"/>
              <w:jc w:val="both"/>
              <w:textAlignment w:val="baseline"/>
              <w:rPr>
                <w:lang w:val="uk-UA"/>
              </w:rPr>
            </w:pPr>
            <w:r w:rsidRPr="00C03848">
              <w:rPr>
                <w:lang w:val="uk-UA"/>
              </w:rPr>
              <w:t xml:space="preserve">У випадку, якщо </w:t>
            </w:r>
            <w:r w:rsidR="004C1875" w:rsidRPr="00C03848">
              <w:rPr>
                <w:lang w:val="uk-UA"/>
              </w:rPr>
              <w:t>зобов'язан</w:t>
            </w:r>
            <w:r w:rsidRPr="00C03848">
              <w:rPr>
                <w:lang w:val="uk-UA"/>
              </w:rPr>
              <w:t xml:space="preserve">ий суб’єкт управляє установами в іншій державі-члені, </w:t>
            </w:r>
            <w:r w:rsidR="004C1875" w:rsidRPr="00C03848">
              <w:rPr>
                <w:lang w:val="uk-UA"/>
              </w:rPr>
              <w:t>в тому числі чер</w:t>
            </w:r>
            <w:r w:rsidRPr="00C03848">
              <w:rPr>
                <w:lang w:val="uk-UA"/>
              </w:rPr>
              <w:t xml:space="preserve">ез мережу агентів </w:t>
            </w:r>
            <w:r w:rsidR="004C1875" w:rsidRPr="00C03848">
              <w:rPr>
                <w:lang w:val="uk-UA"/>
              </w:rPr>
              <w:t xml:space="preserve">або осіб, які розповсюджують електронні гроші відповідно до Статті 3(4) Директиви 2009/110/EC, компетентний орган приймаючої держави-члена зберігає відповідальність за виконання дотримання </w:t>
            </w:r>
            <w:r w:rsidRPr="00C03848">
              <w:rPr>
                <w:lang w:val="uk-UA"/>
              </w:rPr>
              <w:t>установою</w:t>
            </w:r>
            <w:r w:rsidR="004C1875" w:rsidRPr="00C03848">
              <w:rPr>
                <w:lang w:val="uk-UA"/>
              </w:rPr>
              <w:t xml:space="preserve"> правил БВГ/ПФТ, включаючи, </w:t>
            </w:r>
            <w:r w:rsidRPr="00C03848">
              <w:rPr>
                <w:lang w:val="uk-UA"/>
              </w:rPr>
              <w:t>у доречних випадках</w:t>
            </w:r>
            <w:r w:rsidR="004C1875" w:rsidRPr="00C03848">
              <w:rPr>
                <w:lang w:val="uk-UA"/>
              </w:rPr>
              <w:t xml:space="preserve">, шляхом проведення локальних </w:t>
            </w:r>
            <w:r w:rsidRPr="00C03848">
              <w:rPr>
                <w:lang w:val="uk-UA"/>
              </w:rPr>
              <w:t>перевірок на місцях</w:t>
            </w:r>
            <w:r w:rsidR="004463D7" w:rsidRPr="00C03848">
              <w:rPr>
                <w:lang w:val="uk-UA"/>
              </w:rPr>
              <w:t xml:space="preserve"> і зовнішнього </w:t>
            </w:r>
            <w:r w:rsidR="004C1875" w:rsidRPr="00C03848">
              <w:rPr>
                <w:lang w:val="uk-UA"/>
              </w:rPr>
              <w:t>моніторингу та вживання належних і пропорційних заходів для врегулювання серйозних порушень цих вимог. Компетентний орган</w:t>
            </w:r>
            <w:r w:rsidR="004463D7" w:rsidRPr="00C03848">
              <w:rPr>
                <w:lang w:val="uk-UA"/>
              </w:rPr>
              <w:t xml:space="preserve"> приймаючої держави-члени повин</w:t>
            </w:r>
            <w:r w:rsidR="004C1875" w:rsidRPr="00C03848">
              <w:rPr>
                <w:lang w:val="uk-UA"/>
              </w:rPr>
              <w:t>ен тісно співпрацювати з компетентним органом держави</w:t>
            </w:r>
            <w:r w:rsidR="00A60FA2" w:rsidRPr="00C03848">
              <w:rPr>
                <w:lang w:val="uk-UA"/>
              </w:rPr>
              <w:t>-члена</w:t>
            </w:r>
            <w:r w:rsidR="00AC3A3E" w:rsidRPr="00C03848">
              <w:rPr>
                <w:lang w:val="uk-UA"/>
              </w:rPr>
              <w:t xml:space="preserve"> походження, і повин</w:t>
            </w:r>
            <w:r w:rsidR="004C1875" w:rsidRPr="00C03848">
              <w:rPr>
                <w:lang w:val="uk-UA"/>
              </w:rPr>
              <w:t>ен інформувати останній про виявлені проблеми, які можуть вплинути на його оцінку застосування зобов'язан</w:t>
            </w:r>
            <w:r w:rsidR="00A60FA2" w:rsidRPr="00C03848">
              <w:rPr>
                <w:lang w:val="uk-UA"/>
              </w:rPr>
              <w:t>ою</w:t>
            </w:r>
            <w:r w:rsidR="004C1875" w:rsidRPr="00C03848">
              <w:rPr>
                <w:lang w:val="uk-UA"/>
              </w:rPr>
              <w:t xml:space="preserve"> особ</w:t>
            </w:r>
            <w:r w:rsidR="00A60FA2" w:rsidRPr="00C03848">
              <w:rPr>
                <w:lang w:val="uk-UA"/>
              </w:rPr>
              <w:t>ою</w:t>
            </w:r>
            <w:r w:rsidR="004C1875" w:rsidRPr="00C03848">
              <w:rPr>
                <w:lang w:val="uk-UA"/>
              </w:rPr>
              <w:t xml:space="preserve"> групових політик і процедур </w:t>
            </w:r>
            <w:r w:rsidR="00A60FA2" w:rsidRPr="00C03848">
              <w:rPr>
                <w:lang w:val="uk-UA"/>
              </w:rPr>
              <w:t xml:space="preserve">у сфері </w:t>
            </w:r>
            <w:r w:rsidR="004C1875" w:rsidRPr="00C03848">
              <w:rPr>
                <w:lang w:val="uk-UA"/>
              </w:rPr>
              <w:t>БВГ/ПФТ. Для того щоб видалити серйозні порушення правил БВГ/ПФТ, які вимагають негайного виправлення, компетентни</w:t>
            </w:r>
            <w:r w:rsidR="00A60FA2" w:rsidRPr="00C03848">
              <w:rPr>
                <w:lang w:val="uk-UA"/>
              </w:rPr>
              <w:t>й орган приймаючої держави-члена</w:t>
            </w:r>
            <w:r w:rsidR="00AC3A3E" w:rsidRPr="00C03848">
              <w:rPr>
                <w:lang w:val="uk-UA"/>
              </w:rPr>
              <w:t xml:space="preserve"> повин</w:t>
            </w:r>
            <w:r w:rsidR="004C1875" w:rsidRPr="00C03848">
              <w:rPr>
                <w:lang w:val="uk-UA"/>
              </w:rPr>
              <w:t xml:space="preserve">ен мати можливість застосовувати відповідні і пропорційні тимчасові заходи щодо виправлення становища, </w:t>
            </w:r>
            <w:r w:rsidR="00A60FA2" w:rsidRPr="00C03848">
              <w:rPr>
                <w:lang w:val="uk-UA"/>
              </w:rPr>
              <w:t xml:space="preserve">які </w:t>
            </w:r>
            <w:r w:rsidR="004C1875" w:rsidRPr="00C03848">
              <w:rPr>
                <w:lang w:val="uk-UA"/>
              </w:rPr>
              <w:t>застосов</w:t>
            </w:r>
            <w:r w:rsidR="00A60FA2" w:rsidRPr="00C03848">
              <w:rPr>
                <w:lang w:val="uk-UA"/>
              </w:rPr>
              <w:t>уються</w:t>
            </w:r>
            <w:r w:rsidR="004C1875" w:rsidRPr="00C03848">
              <w:rPr>
                <w:lang w:val="uk-UA"/>
              </w:rPr>
              <w:t xml:space="preserve"> при аналогічних обставинах до зобов'язаних осіб</w:t>
            </w:r>
            <w:r w:rsidR="00A60FA2" w:rsidRPr="00C03848">
              <w:rPr>
                <w:lang w:val="uk-UA"/>
              </w:rPr>
              <w:t xml:space="preserve"> в межах</w:t>
            </w:r>
            <w:r w:rsidR="004C1875" w:rsidRPr="00C03848">
              <w:rPr>
                <w:lang w:val="uk-UA"/>
              </w:rPr>
              <w:t xml:space="preserve"> їх компетенці</w:t>
            </w:r>
            <w:r w:rsidR="00A60FA2" w:rsidRPr="00C03848">
              <w:rPr>
                <w:lang w:val="uk-UA"/>
              </w:rPr>
              <w:t>ї</w:t>
            </w:r>
            <w:r w:rsidR="004C1875" w:rsidRPr="00C03848">
              <w:rPr>
                <w:lang w:val="uk-UA"/>
              </w:rPr>
              <w:t xml:space="preserve">, для вирішення таких серйозних недоліків, </w:t>
            </w:r>
            <w:r w:rsidR="00A60FA2" w:rsidRPr="00C03848">
              <w:rPr>
                <w:lang w:val="uk-UA"/>
              </w:rPr>
              <w:t>у</w:t>
            </w:r>
            <w:r w:rsidR="004C1875" w:rsidRPr="00C03848">
              <w:rPr>
                <w:lang w:val="uk-UA"/>
              </w:rPr>
              <w:t xml:space="preserve"> доречн</w:t>
            </w:r>
            <w:r w:rsidR="00A60FA2" w:rsidRPr="00C03848">
              <w:rPr>
                <w:lang w:val="uk-UA"/>
              </w:rPr>
              <w:t>их випадках</w:t>
            </w:r>
            <w:r w:rsidR="004C1875" w:rsidRPr="00C03848">
              <w:rPr>
                <w:lang w:val="uk-UA"/>
              </w:rPr>
              <w:t>, за допомогою або у співпраці з компетентним органом держави походження.</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F4DBA" w:rsidRPr="00C03848" w:rsidRDefault="009F4DBA" w:rsidP="00AC3A3E">
            <w:pPr>
              <w:pStyle w:val="1"/>
              <w:spacing w:before="0" w:beforeAutospacing="0" w:after="0" w:afterAutospacing="0"/>
              <w:jc w:val="both"/>
              <w:textAlignment w:val="baseline"/>
              <w:rPr>
                <w:lang w:val="uk-UA"/>
              </w:rPr>
            </w:pPr>
            <w:r w:rsidRPr="00C03848">
              <w:rPr>
                <w:lang w:val="uk-UA"/>
              </w:rPr>
              <w:t xml:space="preserve">Беручи до уваги транснаціональний характер відмивання грошей і фінансування тероризму, координація і співробітництво між </w:t>
            </w:r>
            <w:r w:rsidRPr="00C03848">
              <w:rPr>
                <w:lang w:val="uk-UA" w:eastAsia="uk-UA"/>
              </w:rPr>
              <w:t>FIU</w:t>
            </w:r>
            <w:r w:rsidRPr="00C03848">
              <w:rPr>
                <w:lang w:val="uk-UA"/>
              </w:rPr>
              <w:t xml:space="preserve"> є надзвичайно важливими. З метою удосконалення такої координації і співпраці, і, зокрема, для забезпечення того, що повідомлення про підозрілі т</w:t>
            </w:r>
            <w:r w:rsidR="00AC3A3E" w:rsidRPr="00C03848">
              <w:rPr>
                <w:lang w:val="uk-UA"/>
              </w:rPr>
              <w:t>р</w:t>
            </w:r>
            <w:r w:rsidRPr="00C03848">
              <w:rPr>
                <w:lang w:val="uk-UA"/>
              </w:rPr>
              <w:t xml:space="preserve">анзакції досягали </w:t>
            </w:r>
            <w:r w:rsidRPr="00C03848">
              <w:rPr>
                <w:lang w:val="uk-UA" w:eastAsia="uk-UA"/>
              </w:rPr>
              <w:t>FIU</w:t>
            </w:r>
            <w:r w:rsidRPr="00C03848">
              <w:rPr>
                <w:lang w:val="uk-UA"/>
              </w:rPr>
              <w:t xml:space="preserve"> держави-члена, де цей звіт був би найбільш корисним, в цій Директиві викладені докладні правила.</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C0F48" w:rsidRPr="00C03848" w:rsidRDefault="004C0F48" w:rsidP="008B76F2">
            <w:pPr>
              <w:pStyle w:val="1"/>
              <w:spacing w:before="0" w:beforeAutospacing="0" w:after="0" w:afterAutospacing="0"/>
              <w:jc w:val="both"/>
              <w:textAlignment w:val="baseline"/>
              <w:rPr>
                <w:lang w:val="uk-UA"/>
              </w:rPr>
            </w:pPr>
            <w:r w:rsidRPr="00C03848">
              <w:rPr>
                <w:lang w:val="uk-UA"/>
              </w:rPr>
              <w:t xml:space="preserve">Платформа органів фінансової розвідки ЄС (Платформа </w:t>
            </w:r>
            <w:r w:rsidRPr="00C03848">
              <w:rPr>
                <w:lang w:val="uk-UA" w:eastAsia="uk-UA"/>
              </w:rPr>
              <w:t xml:space="preserve">FIU </w:t>
            </w:r>
            <w:r w:rsidRPr="00C03848">
              <w:rPr>
                <w:lang w:val="uk-UA"/>
              </w:rPr>
              <w:t xml:space="preserve">ЄС), неофіційна група в складі представників </w:t>
            </w:r>
            <w:r w:rsidRPr="00C03848">
              <w:rPr>
                <w:lang w:val="uk-UA" w:eastAsia="uk-UA"/>
              </w:rPr>
              <w:t xml:space="preserve">FIU, яка </w:t>
            </w:r>
            <w:r w:rsidRPr="00C03848">
              <w:rPr>
                <w:lang w:val="uk-UA"/>
              </w:rPr>
              <w:t xml:space="preserve">діє з 2006 року, використовується для сприяння співпраці між </w:t>
            </w:r>
            <w:r w:rsidRPr="00C03848">
              <w:rPr>
                <w:lang w:val="uk-UA" w:eastAsia="uk-UA"/>
              </w:rPr>
              <w:t>FIU</w:t>
            </w:r>
            <w:r w:rsidRPr="00C03848">
              <w:rPr>
                <w:lang w:val="uk-UA"/>
              </w:rPr>
              <w:t xml:space="preserve"> та обміну поглядами з питань співробітництва, пов'язаними з такими, як ефективне співробітництво серед </w:t>
            </w:r>
            <w:r w:rsidRPr="00C03848">
              <w:rPr>
                <w:lang w:val="uk-UA" w:eastAsia="uk-UA"/>
              </w:rPr>
              <w:t>FIU</w:t>
            </w:r>
            <w:r w:rsidRPr="00C03848">
              <w:rPr>
                <w:lang w:val="uk-UA"/>
              </w:rPr>
              <w:t xml:space="preserve"> і між </w:t>
            </w:r>
            <w:r w:rsidRPr="00C03848">
              <w:rPr>
                <w:lang w:val="uk-UA" w:eastAsia="uk-UA"/>
              </w:rPr>
              <w:t>FIU</w:t>
            </w:r>
            <w:r w:rsidRPr="00C03848">
              <w:rPr>
                <w:lang w:val="uk-UA"/>
              </w:rPr>
              <w:t xml:space="preserve"> та підрозділами фінансової розвідки третіх країн, спільний аналіз транскордонних справ і тенденцій і чинників, що відносяться до оцінки ризиків відмивання грошей і фінансування тероризму на національному і наднаціональному рівнях.</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45614" w:rsidRPr="00C03848" w:rsidRDefault="00545614" w:rsidP="004463D7">
            <w:pPr>
              <w:pStyle w:val="1"/>
              <w:spacing w:before="0" w:beforeAutospacing="0" w:after="0" w:afterAutospacing="0"/>
              <w:jc w:val="both"/>
              <w:textAlignment w:val="baseline"/>
              <w:rPr>
                <w:lang w:val="uk-UA"/>
              </w:rPr>
            </w:pPr>
            <w:r w:rsidRPr="00C03848">
              <w:rPr>
                <w:lang w:val="uk-UA"/>
              </w:rPr>
              <w:t xml:space="preserve">Удосконалення обміну інформацією між </w:t>
            </w:r>
            <w:r w:rsidRPr="00C03848">
              <w:rPr>
                <w:lang w:val="uk-UA" w:eastAsia="uk-UA"/>
              </w:rPr>
              <w:t>FIU</w:t>
            </w:r>
            <w:r w:rsidRPr="00C03848">
              <w:rPr>
                <w:lang w:val="uk-UA"/>
              </w:rPr>
              <w:t xml:space="preserve"> в рамках Союзу є особливо важливим у процесі вирішення проблеми транснаціонального  характеру відмивання грошей і фінансування тероризму.</w:t>
            </w:r>
            <w:r w:rsidR="004463D7" w:rsidRPr="00C03848">
              <w:rPr>
                <w:lang w:val="uk-UA"/>
              </w:rPr>
              <w:t xml:space="preserve"> </w:t>
            </w:r>
            <w:r w:rsidRPr="00C03848">
              <w:rPr>
                <w:lang w:val="uk-UA"/>
              </w:rPr>
              <w:t>Використання надійних механізмів для обміну інформацією, зокрема децентралізованої комп'ютерної мережі FIU.net («FIU.net») або її наступни</w:t>
            </w:r>
            <w:r w:rsidR="004463D7" w:rsidRPr="00C03848">
              <w:rPr>
                <w:lang w:val="uk-UA"/>
              </w:rPr>
              <w:t>х варіантів</w:t>
            </w:r>
            <w:r w:rsidRPr="00C03848">
              <w:rPr>
                <w:lang w:val="uk-UA"/>
              </w:rPr>
              <w:t xml:space="preserve"> і методів, запропонованих FIU.net, повинне заохочуватись державами-членами. Початковий обмін інформацією між </w:t>
            </w:r>
            <w:r w:rsidRPr="00C03848">
              <w:rPr>
                <w:lang w:val="uk-UA" w:eastAsia="uk-UA"/>
              </w:rPr>
              <w:t>FIU</w:t>
            </w:r>
            <w:r w:rsidRPr="00C03848">
              <w:rPr>
                <w:lang w:val="uk-UA"/>
              </w:rPr>
              <w:t xml:space="preserve">, що відноситься до відмивання грошей або фінансування тероризму, для аналітичних цілей, які надалі не обробляються або не розповсюджуються, має бути дозволений, якщо такий обмін інформацією не суперечив би основним принципам національного законодавства. Обмін інформацією про випадки, визначені </w:t>
            </w:r>
            <w:r w:rsidRPr="00C03848">
              <w:rPr>
                <w:lang w:val="uk-UA" w:eastAsia="uk-UA"/>
              </w:rPr>
              <w:t>FIU</w:t>
            </w:r>
            <w:r w:rsidRPr="00C03848">
              <w:rPr>
                <w:lang w:val="uk-UA"/>
              </w:rPr>
              <w:t xml:space="preserve">, як такі, що можливі із залученням </w:t>
            </w:r>
            <w:r w:rsidRPr="00C03848">
              <w:rPr>
                <w:lang w:val="uk-UA"/>
              </w:rPr>
              <w:lastRenderedPageBreak/>
              <w:t>податкових</w:t>
            </w:r>
            <w:r w:rsidR="00AC3A3E" w:rsidRPr="00C03848">
              <w:rPr>
                <w:lang w:val="uk-UA"/>
              </w:rPr>
              <w:t xml:space="preserve"> злочинів, повинен здійснюватися</w:t>
            </w:r>
            <w:r w:rsidRPr="00C03848">
              <w:rPr>
                <w:lang w:val="uk-UA"/>
              </w:rPr>
              <w:t xml:space="preserve"> без шкоди для обміну інформацією в сфері оподаткування відповідно до положень Директиви Ради 2011/16/EU</w:t>
            </w:r>
            <w:r w:rsidRPr="00C03848">
              <w:rPr>
                <w:lang w:val="uk-UA" w:eastAsia="uk-UA"/>
              </w:rPr>
              <w:t xml:space="preserve"> </w:t>
            </w:r>
            <w:hyperlink r:id="rId22" w:anchor="ntr15-L_2015141EN.01007301-E0015" w:history="1">
              <w:r w:rsidRPr="00C03848">
                <w:rPr>
                  <w:bdr w:val="none" w:sz="0" w:space="0" w:color="auto" w:frame="1"/>
                  <w:lang w:val="uk-UA" w:eastAsia="uk-UA"/>
                </w:rPr>
                <w:t>(</w:t>
              </w:r>
              <w:r w:rsidRPr="00C03848">
                <w:rPr>
                  <w:bdr w:val="none" w:sz="0" w:space="0" w:color="auto" w:frame="1"/>
                  <w:vertAlign w:val="superscript"/>
                  <w:lang w:val="uk-UA" w:eastAsia="uk-UA"/>
                </w:rPr>
                <w:t>15</w:t>
              </w:r>
              <w:r w:rsidRPr="00C03848">
                <w:rPr>
                  <w:bdr w:val="none" w:sz="0" w:space="0" w:color="auto" w:frame="1"/>
                  <w:lang w:val="uk-UA" w:eastAsia="uk-UA"/>
                </w:rPr>
                <w:t>)</w:t>
              </w:r>
            </w:hyperlink>
            <w:r w:rsidRPr="00C03848">
              <w:rPr>
                <w:lang w:val="uk-UA" w:eastAsia="uk-UA"/>
              </w:rPr>
              <w:t xml:space="preserve"> </w:t>
            </w:r>
            <w:r w:rsidRPr="00C03848">
              <w:rPr>
                <w:lang w:val="uk-UA"/>
              </w:rPr>
              <w:t>або відповідно до міжнародних стандартів з обміну інформацією та адміністративного співробітництва в податкових питаннях.</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87007" w:rsidRPr="00C03848" w:rsidRDefault="00B87007" w:rsidP="004463D7">
            <w:pPr>
              <w:pStyle w:val="1"/>
              <w:spacing w:before="0" w:beforeAutospacing="0" w:after="0" w:afterAutospacing="0"/>
              <w:jc w:val="both"/>
              <w:textAlignment w:val="baseline"/>
              <w:rPr>
                <w:lang w:val="uk-UA"/>
              </w:rPr>
            </w:pPr>
            <w:r w:rsidRPr="00C03848">
              <w:rPr>
                <w:lang w:val="uk-UA"/>
              </w:rPr>
              <w:t xml:space="preserve">Для того, щоб мати можливість повною мірою і оперативно реагувати на запити </w:t>
            </w:r>
            <w:r w:rsidRPr="00C03848">
              <w:rPr>
                <w:lang w:val="uk-UA" w:eastAsia="uk-UA"/>
              </w:rPr>
              <w:t>FIU</w:t>
            </w:r>
            <w:r w:rsidRPr="00C03848">
              <w:rPr>
                <w:lang w:val="uk-UA"/>
              </w:rPr>
              <w:t xml:space="preserve">, зобов'язані особи повинні мати ефективні системи, які дозволяють їм мати повний і своєчасний доступ через безпечні і конфіденційні канали до інформації про ділові відносин, які вони підтримують або зберегли з зазначеними персонами. Відповідно до законодавства Союзу і національних законодавств держави-члени </w:t>
            </w:r>
            <w:r w:rsidR="00AB6B9D" w:rsidRPr="00C03848">
              <w:rPr>
                <w:lang w:val="uk-UA"/>
              </w:rPr>
              <w:t xml:space="preserve">могли б, </w:t>
            </w:r>
            <w:r w:rsidRPr="00C03848">
              <w:rPr>
                <w:lang w:val="uk-UA"/>
              </w:rPr>
              <w:t xml:space="preserve">наприклад, розглядати питання про запровадження систем банківських реєстрів або електронних систем вилучення даних, які забезпечили б </w:t>
            </w:r>
            <w:r w:rsidRPr="00C03848">
              <w:rPr>
                <w:lang w:val="uk-UA" w:eastAsia="uk-UA"/>
              </w:rPr>
              <w:t>FIU</w:t>
            </w:r>
            <w:r w:rsidRPr="00C03848">
              <w:rPr>
                <w:lang w:val="uk-UA"/>
              </w:rPr>
              <w:t xml:space="preserve"> доступ до інформації про банківські рахунки без шкоди для судової влади у випадках, в яких це може бути застосовано. Держави-члени могли б також розглянути питання про створення механізмів для забезпечення тог</w:t>
            </w:r>
            <w:r w:rsidR="004463D7" w:rsidRPr="00C03848">
              <w:rPr>
                <w:lang w:val="uk-UA"/>
              </w:rPr>
              <w:t xml:space="preserve">о, щоб компетентні органи мають </w:t>
            </w:r>
            <w:r w:rsidRPr="00C03848">
              <w:rPr>
                <w:lang w:val="uk-UA"/>
              </w:rPr>
              <w:t>процедури для ідентифікації активів без попереднього повідомлення власника.</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A62C1" w:rsidRPr="00C03848" w:rsidRDefault="001A62C1" w:rsidP="008B76F2">
            <w:pPr>
              <w:pStyle w:val="1"/>
              <w:spacing w:before="0" w:beforeAutospacing="0" w:after="0" w:afterAutospacing="0"/>
              <w:jc w:val="both"/>
              <w:textAlignment w:val="baseline"/>
              <w:rPr>
                <w:lang w:val="uk-UA"/>
              </w:rPr>
            </w:pPr>
            <w:r w:rsidRPr="00C03848">
              <w:rPr>
                <w:lang w:val="uk-UA"/>
              </w:rPr>
              <w:t xml:space="preserve">Держави-члени повинні заохочувати свої компетентні органи надавати швидко, конструктивно і ефективно широкий спектр транскордонного співробітництва для цілей цієї Директиви без шкоди для будь-яких правил або процедур, які можна застосувати до судової співпраці у кримінальних справах. Держави-члени повинні, зокрема, забезпечити, щоб їх </w:t>
            </w:r>
            <w:r w:rsidRPr="00C03848">
              <w:rPr>
                <w:lang w:val="uk-UA" w:eastAsia="uk-UA"/>
              </w:rPr>
              <w:t>FIU</w:t>
            </w:r>
            <w:r w:rsidRPr="00C03848">
              <w:rPr>
                <w:lang w:val="uk-UA"/>
              </w:rPr>
              <w:t xml:space="preserve"> обмінювались інформацією вільно, спонтанно або за запитом, з підрозділами фінансової розвідки третіх країн, беручи до уваги права Союзу і принципи в сфері обміну інформацією, розроблені Егмонтською групою  підрозділів фінансової розвідки.</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C456A" w:rsidRPr="00C03848" w:rsidRDefault="009C456A" w:rsidP="008B76F2">
            <w:pPr>
              <w:pStyle w:val="1"/>
              <w:spacing w:before="0" w:beforeAutospacing="0" w:after="0" w:afterAutospacing="0"/>
              <w:jc w:val="both"/>
              <w:textAlignment w:val="baseline"/>
              <w:rPr>
                <w:iCs/>
                <w:bdr w:val="none" w:sz="0" w:space="0" w:color="auto" w:frame="1"/>
                <w:lang w:val="uk-UA" w:eastAsia="uk-UA"/>
              </w:rPr>
            </w:pPr>
            <w:r w:rsidRPr="00C03848">
              <w:rPr>
                <w:lang w:val="uk-UA"/>
              </w:rPr>
              <w:t>Важливість боротьби з відмиванням грошей і фінансуванням тероризму повинна привести до того, що держави-члени  встановлять ефективні, адекватні та стримуючі адміністративні санкції і заходи в національному законодавстві за не</w:t>
            </w:r>
            <w:r w:rsidR="00AC3A3E" w:rsidRPr="00C03848">
              <w:rPr>
                <w:lang w:val="uk-UA"/>
              </w:rPr>
              <w:t>дотримання національних положен</w:t>
            </w:r>
            <w:r w:rsidRPr="00C03848">
              <w:rPr>
                <w:lang w:val="uk-UA"/>
              </w:rPr>
              <w:t>ь, які  транспонують  цю Директиву. Держави-члени в даний час володіють широким спектром адміністративних санкцій і заходів за порушення діючих ключових запобіжних положень. Ця різноманітність може бути шкідливою для зусиль, що вживаються в боротьбі з відмиванням грошей і фінансуванням тероризму та реагування Союзу знаходиться під загрозою фрагментації. Таким чином, ця Директива повинна забезпечувати  сукупність адміністративних санкцій і заходів для держав-членів принаймні для серйозних, неодноразових аб</w:t>
            </w:r>
            <w:r w:rsidR="00420AB2" w:rsidRPr="00C03848">
              <w:rPr>
                <w:lang w:val="uk-UA"/>
              </w:rPr>
              <w:t>о систематичних порушень вимог стосовно належ</w:t>
            </w:r>
            <w:r w:rsidRPr="00C03848">
              <w:rPr>
                <w:lang w:val="uk-UA"/>
              </w:rPr>
              <w:t xml:space="preserve">ної перевірки клієнта, обліку, </w:t>
            </w:r>
            <w:r w:rsidR="00420AB2" w:rsidRPr="00C03848">
              <w:rPr>
                <w:lang w:val="uk-UA"/>
              </w:rPr>
              <w:t>повідомлення</w:t>
            </w:r>
            <w:r w:rsidRPr="00C03848">
              <w:rPr>
                <w:lang w:val="uk-UA"/>
              </w:rPr>
              <w:t xml:space="preserve"> про підозрілі операції та внутрішн</w:t>
            </w:r>
            <w:r w:rsidR="00420AB2" w:rsidRPr="00C03848">
              <w:rPr>
                <w:lang w:val="uk-UA"/>
              </w:rPr>
              <w:t>ього</w:t>
            </w:r>
            <w:r w:rsidRPr="00C03848">
              <w:rPr>
                <w:lang w:val="uk-UA"/>
              </w:rPr>
              <w:t xml:space="preserve"> контрол</w:t>
            </w:r>
            <w:r w:rsidR="00420AB2" w:rsidRPr="00C03848">
              <w:rPr>
                <w:lang w:val="uk-UA"/>
              </w:rPr>
              <w:t>ю</w:t>
            </w:r>
            <w:r w:rsidRPr="00C03848">
              <w:rPr>
                <w:lang w:val="uk-UA"/>
              </w:rPr>
              <w:t xml:space="preserve"> зобов'язаних осіб. Діапазон санкцій і заходів повинен бути досить широким, щоб дозволити державам-членам і компетентним органам приймати до уваги відмінності між зобов'язаними особами, зокрема, між кредитними організаціями і фінансовими установами та іншими зобов'язаними особами </w:t>
            </w:r>
            <w:r w:rsidR="00420AB2" w:rsidRPr="00C03848">
              <w:rPr>
                <w:lang w:val="uk-UA"/>
              </w:rPr>
              <w:t>стосовно</w:t>
            </w:r>
            <w:r w:rsidRPr="00C03848">
              <w:rPr>
                <w:lang w:val="uk-UA"/>
              </w:rPr>
              <w:t xml:space="preserve"> їх розміру, характеристик і характеру бізнесу. У </w:t>
            </w:r>
            <w:r w:rsidR="00420AB2" w:rsidRPr="00C03848">
              <w:rPr>
                <w:lang w:val="uk-UA"/>
              </w:rPr>
              <w:t xml:space="preserve">процесі </w:t>
            </w:r>
            <w:r w:rsidRPr="00C03848">
              <w:rPr>
                <w:lang w:val="uk-UA"/>
              </w:rPr>
              <w:t xml:space="preserve">транспозиції </w:t>
            </w:r>
            <w:r w:rsidR="00420AB2" w:rsidRPr="00C03848">
              <w:rPr>
                <w:lang w:val="uk-UA"/>
              </w:rPr>
              <w:t>положень дано</w:t>
            </w:r>
            <w:r w:rsidRPr="00C03848">
              <w:rPr>
                <w:lang w:val="uk-UA"/>
              </w:rPr>
              <w:t>ї Директиви, держав</w:t>
            </w:r>
            <w:r w:rsidR="00420AB2" w:rsidRPr="00C03848">
              <w:rPr>
                <w:lang w:val="uk-UA"/>
              </w:rPr>
              <w:t>и-члени</w:t>
            </w:r>
            <w:r w:rsidRPr="00C03848">
              <w:rPr>
                <w:lang w:val="uk-UA"/>
              </w:rPr>
              <w:t xml:space="preserve"> </w:t>
            </w:r>
            <w:r w:rsidR="00420AB2" w:rsidRPr="00C03848">
              <w:rPr>
                <w:lang w:val="uk-UA"/>
              </w:rPr>
              <w:t>повинні</w:t>
            </w:r>
            <w:r w:rsidRPr="00C03848">
              <w:rPr>
                <w:lang w:val="uk-UA"/>
              </w:rPr>
              <w:t xml:space="preserve"> забезпечити, </w:t>
            </w:r>
            <w:r w:rsidR="00420AB2" w:rsidRPr="00C03848">
              <w:rPr>
                <w:lang w:val="uk-UA"/>
              </w:rPr>
              <w:t>щоб накладання адміністративних санкцій і заходів відповідно до цієї Директиви та кримінальних санкцій відповідно до національног</w:t>
            </w:r>
            <w:r w:rsidR="004463D7" w:rsidRPr="00C03848">
              <w:rPr>
                <w:lang w:val="uk-UA"/>
              </w:rPr>
              <w:t xml:space="preserve">о законодавства, не порушували </w:t>
            </w:r>
            <w:r w:rsidR="00420AB2" w:rsidRPr="00C03848">
              <w:rPr>
                <w:lang w:val="uk-UA"/>
              </w:rPr>
              <w:t xml:space="preserve">принцип </w:t>
            </w:r>
            <w:r w:rsidR="00420AB2" w:rsidRPr="00C03848">
              <w:rPr>
                <w:iCs/>
                <w:bdr w:val="none" w:sz="0" w:space="0" w:color="auto" w:frame="1"/>
                <w:lang w:val="uk-UA" w:eastAsia="uk-UA"/>
              </w:rPr>
              <w:t>ne bis in idem (</w:t>
            </w:r>
            <w:r w:rsidR="00420AB2" w:rsidRPr="00C03848">
              <w:rPr>
                <w:shd w:val="clear" w:color="auto" w:fill="FFFFFF"/>
                <w:lang w:val="uk-UA"/>
              </w:rPr>
              <w:t>неможливості притягнення до юридичної відповідальності двічі за одне й те саме правопорушення</w:t>
            </w:r>
            <w:r w:rsidR="00420AB2" w:rsidRPr="00C03848">
              <w:rPr>
                <w:iCs/>
                <w:bdr w:val="none" w:sz="0" w:space="0" w:color="auto" w:frame="1"/>
                <w:lang w:val="uk-UA" w:eastAsia="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420AB2" w:rsidP="008B76F2">
            <w:pPr>
              <w:pStyle w:val="1"/>
              <w:spacing w:before="0" w:beforeAutospacing="0" w:after="0" w:afterAutospacing="0"/>
              <w:jc w:val="both"/>
              <w:textAlignment w:val="baseline"/>
              <w:rPr>
                <w:lang w:val="uk-UA"/>
              </w:rPr>
            </w:pPr>
            <w:r w:rsidRPr="00C03848">
              <w:rPr>
                <w:lang w:val="uk-UA"/>
              </w:rPr>
              <w:t>Для цілей оцінки доцільності осіб, що виконують функцію управління,  або осіб, які іншим чином контролю</w:t>
            </w:r>
            <w:r w:rsidR="00AC3A3E" w:rsidRPr="00C03848">
              <w:rPr>
                <w:lang w:val="uk-UA"/>
              </w:rPr>
              <w:t>ю</w:t>
            </w:r>
            <w:r w:rsidRPr="00C03848">
              <w:rPr>
                <w:lang w:val="uk-UA"/>
              </w:rPr>
              <w:t>ть зобов'язаних осіб, будь-який обмі</w:t>
            </w:r>
            <w:r w:rsidR="00A92BB2" w:rsidRPr="00C03848">
              <w:rPr>
                <w:lang w:val="uk-UA"/>
              </w:rPr>
              <w:t xml:space="preserve">н інформацією про судимість має </w:t>
            </w:r>
            <w:r w:rsidRPr="00C03848">
              <w:rPr>
                <w:lang w:val="uk-UA"/>
              </w:rPr>
              <w:t xml:space="preserve">здійснюватися відповідно до структурного рішення Ради </w:t>
            </w:r>
            <w:r w:rsidRPr="00C03848">
              <w:rPr>
                <w:lang w:val="uk-UA" w:eastAsia="uk-UA"/>
              </w:rPr>
              <w:t>2009/315/JHA</w:t>
            </w:r>
            <w:hyperlink r:id="rId23" w:anchor="ntr16-L_2015141EN.01007301-E0016" w:history="1">
              <w:r w:rsidRPr="00C03848">
                <w:rPr>
                  <w:bdr w:val="none" w:sz="0" w:space="0" w:color="auto" w:frame="1"/>
                  <w:lang w:val="uk-UA" w:eastAsia="uk-UA"/>
                </w:rPr>
                <w:t> (</w:t>
              </w:r>
              <w:r w:rsidRPr="00C03848">
                <w:rPr>
                  <w:bdr w:val="none" w:sz="0" w:space="0" w:color="auto" w:frame="1"/>
                  <w:vertAlign w:val="superscript"/>
                  <w:lang w:val="uk-UA" w:eastAsia="uk-UA"/>
                </w:rPr>
                <w:t>16</w:t>
              </w:r>
              <w:r w:rsidRPr="00C03848">
                <w:rPr>
                  <w:bdr w:val="none" w:sz="0" w:space="0" w:color="auto" w:frame="1"/>
                  <w:lang w:val="uk-UA" w:eastAsia="uk-UA"/>
                </w:rPr>
                <w:t>)</w:t>
              </w:r>
            </w:hyperlink>
            <w:r w:rsidRPr="00C03848">
              <w:rPr>
                <w:lang w:val="uk-UA" w:eastAsia="uk-UA"/>
              </w:rPr>
              <w:t> </w:t>
            </w:r>
            <w:r w:rsidRPr="00C03848">
              <w:rPr>
                <w:lang w:val="uk-UA"/>
              </w:rPr>
              <w:t xml:space="preserve"> і рішення Ради </w:t>
            </w:r>
            <w:r w:rsidRPr="00C03848">
              <w:rPr>
                <w:lang w:val="uk-UA" w:eastAsia="uk-UA"/>
              </w:rPr>
              <w:t>2009/316/JHA</w:t>
            </w:r>
            <w:hyperlink r:id="rId24" w:anchor="ntr17-L_2015141EN.01007301-E0017" w:history="1">
              <w:r w:rsidRPr="00C03848">
                <w:rPr>
                  <w:bdr w:val="none" w:sz="0" w:space="0" w:color="auto" w:frame="1"/>
                  <w:lang w:val="uk-UA" w:eastAsia="uk-UA"/>
                </w:rPr>
                <w:t> (</w:t>
              </w:r>
              <w:r w:rsidRPr="00C03848">
                <w:rPr>
                  <w:bdr w:val="none" w:sz="0" w:space="0" w:color="auto" w:frame="1"/>
                  <w:vertAlign w:val="superscript"/>
                  <w:lang w:val="uk-UA" w:eastAsia="uk-UA"/>
                </w:rPr>
                <w:t>17</w:t>
              </w:r>
              <w:r w:rsidRPr="00C03848">
                <w:rPr>
                  <w:bdr w:val="none" w:sz="0" w:space="0" w:color="auto" w:frame="1"/>
                  <w:lang w:val="uk-UA" w:eastAsia="uk-UA"/>
                </w:rPr>
                <w:t>)</w:t>
              </w:r>
            </w:hyperlink>
            <w:r w:rsidRPr="00C03848">
              <w:rPr>
                <w:lang w:val="uk-UA"/>
              </w:rPr>
              <w:t xml:space="preserve">, як транспоновано у </w:t>
            </w:r>
            <w:r w:rsidR="004B3E7F" w:rsidRPr="00C03848">
              <w:rPr>
                <w:lang w:val="uk-UA"/>
              </w:rPr>
              <w:t>національне законодавство</w:t>
            </w:r>
            <w:r w:rsidRPr="00C03848">
              <w:rPr>
                <w:lang w:val="uk-UA"/>
              </w:rPr>
              <w:t>, і з іншими відповідними положеннями національного законодавства.</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65B54" w:rsidRPr="00C03848" w:rsidRDefault="00A65B54" w:rsidP="008B76F2">
            <w:pPr>
              <w:pStyle w:val="1"/>
              <w:spacing w:before="0" w:beforeAutospacing="0" w:after="0" w:afterAutospacing="0"/>
              <w:jc w:val="both"/>
              <w:textAlignment w:val="baseline"/>
              <w:rPr>
                <w:lang w:val="uk-UA"/>
              </w:rPr>
            </w:pPr>
            <w:r w:rsidRPr="00C03848">
              <w:rPr>
                <w:lang w:val="uk-UA"/>
              </w:rPr>
              <w:t xml:space="preserve">Нормативно-технічні стандарти в сфері фінансових послуг повинні забезпечити </w:t>
            </w:r>
            <w:r w:rsidRPr="00C03848">
              <w:rPr>
                <w:lang w:val="uk-UA"/>
              </w:rPr>
              <w:lastRenderedPageBreak/>
              <w:t xml:space="preserve">послідовне узгодження і належний захист вкладників, інвесторів і споживачів усього Союзу. Як суб’єктам з високою спеціалізованою компетентністю, було б ефективним і доцільним доручити </w:t>
            </w:r>
            <w:r w:rsidRPr="00C03848">
              <w:rPr>
                <w:lang w:val="uk-UA" w:eastAsia="uk-UA"/>
              </w:rPr>
              <w:t>ЄНО</w:t>
            </w:r>
            <w:r w:rsidRPr="00C03848">
              <w:rPr>
                <w:lang w:val="uk-UA"/>
              </w:rPr>
              <w:t xml:space="preserve"> ретельну розробку для подання Комісії проектів нормативно-технічних стандартів, які не включають політичний вибір.</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B83ADE" w:rsidP="008B76F2">
            <w:pPr>
              <w:pStyle w:val="1"/>
              <w:spacing w:before="0" w:beforeAutospacing="0" w:after="0" w:afterAutospacing="0"/>
              <w:jc w:val="both"/>
              <w:textAlignment w:val="baseline"/>
              <w:rPr>
                <w:lang w:val="uk-UA"/>
              </w:rPr>
            </w:pPr>
            <w:r w:rsidRPr="00C03848">
              <w:rPr>
                <w:lang w:val="uk-UA"/>
              </w:rPr>
              <w:t xml:space="preserve">Комісія повинна прийняти проекти нормативно-технічних стандартів, розроблених </w:t>
            </w:r>
            <w:r w:rsidRPr="00C03848">
              <w:rPr>
                <w:lang w:val="uk-UA" w:eastAsia="uk-UA"/>
              </w:rPr>
              <w:t>ЄНО</w:t>
            </w:r>
            <w:r w:rsidRPr="00C03848">
              <w:rPr>
                <w:lang w:val="uk-UA"/>
              </w:rPr>
              <w:t xml:space="preserve"> відповідно до цієї Директиви за допомогою делегованих актів відповідно до Статті 290 </w:t>
            </w:r>
            <w:r w:rsidRPr="00C03848">
              <w:rPr>
                <w:lang w:val="uk-UA" w:eastAsia="uk-UA"/>
              </w:rPr>
              <w:t>ДФЄС</w:t>
            </w:r>
            <w:r w:rsidRPr="00C03848">
              <w:rPr>
                <w:lang w:val="uk-UA"/>
              </w:rPr>
              <w:t xml:space="preserve"> </w:t>
            </w:r>
            <w:r w:rsidR="00AC3A3E" w:rsidRPr="00C03848">
              <w:rPr>
                <w:lang w:val="uk-UA"/>
              </w:rPr>
              <w:t>і відповідно до Стат</w:t>
            </w:r>
            <w:r w:rsidRPr="00C03848">
              <w:rPr>
                <w:lang w:val="uk-UA"/>
              </w:rPr>
              <w:t>ей</w:t>
            </w:r>
            <w:r w:rsidR="00A65B54" w:rsidRPr="00C03848">
              <w:rPr>
                <w:lang w:val="uk-UA"/>
              </w:rPr>
              <w:t xml:space="preserve"> з 10 по 14 Регламентів </w:t>
            </w:r>
            <w:r w:rsidR="00C07AC9" w:rsidRPr="00C03848">
              <w:rPr>
                <w:lang w:val="uk-UA"/>
              </w:rPr>
              <w:t xml:space="preserve">(EU) No </w:t>
            </w:r>
            <w:r w:rsidR="00A65B54" w:rsidRPr="00C03848">
              <w:rPr>
                <w:lang w:val="uk-UA"/>
              </w:rPr>
              <w:t>1093/2010, (EU) No 1094/2010 та</w:t>
            </w:r>
            <w:r w:rsidR="00C07AC9" w:rsidRPr="00C03848">
              <w:rPr>
                <w:lang w:val="uk-UA"/>
              </w:rPr>
              <w:t xml:space="preserve"> (EU) No 1095/2010.</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D264AD" w:rsidP="008B76F2">
            <w:pPr>
              <w:pStyle w:val="1"/>
              <w:spacing w:before="0" w:beforeAutospacing="0" w:after="0" w:afterAutospacing="0"/>
              <w:jc w:val="both"/>
              <w:textAlignment w:val="baseline"/>
              <w:rPr>
                <w:lang w:val="uk-UA"/>
              </w:rPr>
            </w:pPr>
            <w:r w:rsidRPr="00C03848">
              <w:rPr>
                <w:lang w:val="uk-UA"/>
              </w:rPr>
              <w:t xml:space="preserve">З огляду на досить істотні поправки, які необхідно зробити до </w:t>
            </w:r>
            <w:r w:rsidR="002C54D7" w:rsidRPr="00C03848">
              <w:rPr>
                <w:lang w:val="uk-UA"/>
              </w:rPr>
              <w:t>Директив</w:t>
            </w:r>
            <w:r w:rsidRPr="00C03848">
              <w:rPr>
                <w:lang w:val="uk-UA"/>
              </w:rPr>
              <w:t xml:space="preserve"> 2005/60/EC та</w:t>
            </w:r>
            <w:r w:rsidR="00C07AC9" w:rsidRPr="00C03848">
              <w:rPr>
                <w:lang w:val="uk-UA"/>
              </w:rPr>
              <w:t xml:space="preserve"> 2006/70/EC </w:t>
            </w:r>
            <w:r w:rsidRPr="00C03848">
              <w:rPr>
                <w:lang w:val="uk-UA"/>
              </w:rPr>
              <w:t>в світлі цієї Директиви, вони повинні бути об'єднані і замінені для ясності і послідовності.</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14CEC" w:rsidRPr="00C03848" w:rsidRDefault="00914CEC" w:rsidP="008B76F2">
            <w:pPr>
              <w:pStyle w:val="1"/>
              <w:spacing w:before="0" w:beforeAutospacing="0" w:after="0" w:afterAutospacing="0"/>
              <w:jc w:val="both"/>
              <w:textAlignment w:val="baseline"/>
              <w:rPr>
                <w:lang w:val="uk-UA"/>
              </w:rPr>
            </w:pPr>
            <w:r w:rsidRPr="00C03848">
              <w:rPr>
                <w:lang w:val="uk-UA"/>
              </w:rPr>
              <w:t>Оскільки мета цієї Директиви, а саме захист фінансової системи за допомогою попередження, виявлення і розслідування відмивання грошей і фінансування тероризму, не може бути досягнута в достатній мірі державами-членами, оскільки окремі заходи, що вживаються державами-членами для захисту своїх фінансових систем, можуть виявитися несумісними з функціонуванням внутрішнього ринку та з нормами законодавства і публічної політики Союзу, але можуть, скоріше, через масштаби і наслідки цієї дії, бути краще досягнута на рівні Союзу, Союз може приймати заходи відповідно до принципу субсидіарності, викладеному в Статті 5 Договору про Європейський Союз. Відповідно до принципу пропорційності, як це викладено в цій Статті, ця Директива не виходить за рамки того, що необхідно для досягнення цієї мети.</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(65)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4191" w:rsidRPr="00C03848" w:rsidRDefault="00C6360E" w:rsidP="008B76F2">
            <w:pPr>
              <w:pStyle w:val="1"/>
              <w:spacing w:before="0" w:beforeAutospacing="0" w:after="0" w:afterAutospacing="0"/>
              <w:jc w:val="both"/>
              <w:textAlignment w:val="baseline"/>
              <w:rPr>
                <w:lang w:val="uk-UA"/>
              </w:rPr>
            </w:pPr>
            <w:r w:rsidRPr="00C03848">
              <w:rPr>
                <w:lang w:val="uk-UA"/>
              </w:rPr>
              <w:t>Ця</w:t>
            </w:r>
            <w:r w:rsidR="00C04191" w:rsidRPr="00C03848">
              <w:rPr>
                <w:lang w:val="uk-UA"/>
              </w:rPr>
              <w:t xml:space="preserve"> Директива поважає основні права і дотримується принципів, визнаних Хартією, зокрема право на повагу до приватного і сімейного життя, право на захист персональних даних, свободу вести бізнес, заборона дискримінації, право на ефективний засіб і на справедливий судовий розгляд, презумпцію невинуватості та право на захист.</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(66)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4191" w:rsidRPr="00C03848" w:rsidRDefault="004A1129" w:rsidP="008B76F2">
            <w:pPr>
              <w:pStyle w:val="1"/>
              <w:spacing w:before="0" w:beforeAutospacing="0" w:after="0" w:afterAutospacing="0"/>
              <w:jc w:val="both"/>
              <w:textAlignment w:val="baseline"/>
              <w:rPr>
                <w:lang w:val="uk-UA"/>
              </w:rPr>
            </w:pPr>
            <w:r w:rsidRPr="00C03848">
              <w:rPr>
                <w:lang w:val="uk-UA"/>
              </w:rPr>
              <w:t>Відповідно до Статті 21 Хартії, яка забороняє дискримінацію за будь-якою ознакою, держави-члени повинні гарантувати, що ця Директива буде реалізована стосовно оцінки ризику в контексті належної перевірки клієнтів, без дискримінації.</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(67)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4A1129" w:rsidP="008B76F2">
            <w:pPr>
              <w:pStyle w:val="1"/>
              <w:spacing w:before="0" w:beforeAutospacing="0" w:after="0" w:afterAutospacing="0"/>
              <w:jc w:val="both"/>
              <w:textAlignment w:val="baseline"/>
              <w:rPr>
                <w:lang w:val="uk-UA"/>
              </w:rPr>
            </w:pPr>
            <w:r w:rsidRPr="00C03848">
              <w:rPr>
                <w:lang w:val="uk-UA"/>
              </w:rPr>
              <w:t xml:space="preserve">Відповідно до спільної політичної декларації від 28 вересня 2011 року держав-членів та Комісії </w:t>
            </w:r>
            <w:r w:rsidR="00C22F5D" w:rsidRPr="00C03848">
              <w:rPr>
                <w:lang w:val="uk-UA"/>
              </w:rPr>
              <w:t>про</w:t>
            </w:r>
            <w:r w:rsidRPr="00C03848">
              <w:rPr>
                <w:lang w:val="uk-UA"/>
              </w:rPr>
              <w:t xml:space="preserve"> пояснювальн</w:t>
            </w:r>
            <w:r w:rsidR="00C22F5D" w:rsidRPr="00C03848">
              <w:rPr>
                <w:lang w:val="uk-UA"/>
              </w:rPr>
              <w:t>і</w:t>
            </w:r>
            <w:r w:rsidRPr="00C03848">
              <w:rPr>
                <w:lang w:val="uk-UA"/>
              </w:rPr>
              <w:t xml:space="preserve"> документ</w:t>
            </w:r>
            <w:r w:rsidR="00C22F5D" w:rsidRPr="00C03848">
              <w:rPr>
                <w:lang w:val="uk-UA"/>
              </w:rPr>
              <w:t>и</w:t>
            </w:r>
            <w:hyperlink r:id="rId25" w:anchor="ntr18-L_2015141EN.01007301-E0018" w:history="1">
              <w:r w:rsidR="00F017D9" w:rsidRPr="00C03848">
                <w:rPr>
                  <w:bdr w:val="none" w:sz="0" w:space="0" w:color="auto" w:frame="1"/>
                  <w:lang w:val="uk-UA" w:eastAsia="uk-UA"/>
                </w:rPr>
                <w:t xml:space="preserve"> </w:t>
              </w:r>
              <w:r w:rsidRPr="00C03848">
                <w:rPr>
                  <w:bdr w:val="none" w:sz="0" w:space="0" w:color="auto" w:frame="1"/>
                  <w:lang w:val="uk-UA" w:eastAsia="uk-UA"/>
                </w:rPr>
                <w:t>(</w:t>
              </w:r>
              <w:r w:rsidRPr="00C03848">
                <w:rPr>
                  <w:bdr w:val="none" w:sz="0" w:space="0" w:color="auto" w:frame="1"/>
                  <w:vertAlign w:val="superscript"/>
                  <w:lang w:val="uk-UA" w:eastAsia="uk-UA"/>
                </w:rPr>
                <w:t>18</w:t>
              </w:r>
              <w:r w:rsidRPr="00C03848">
                <w:rPr>
                  <w:bdr w:val="none" w:sz="0" w:space="0" w:color="auto" w:frame="1"/>
                  <w:lang w:val="uk-UA" w:eastAsia="uk-UA"/>
                </w:rPr>
                <w:t>)</w:t>
              </w:r>
            </w:hyperlink>
            <w:r w:rsidR="00F017D9" w:rsidRPr="00C03848">
              <w:rPr>
                <w:lang w:val="uk-UA"/>
              </w:rPr>
              <w:t xml:space="preserve">, держави-члени </w:t>
            </w:r>
            <w:r w:rsidRPr="00C03848">
              <w:rPr>
                <w:lang w:val="uk-UA"/>
              </w:rPr>
              <w:t xml:space="preserve">зобов'язалися супроводжувати, в обґрунтованих випадках, повідомлення про свої заходи транспозиції </w:t>
            </w:r>
            <w:r w:rsidR="00C22F5D" w:rsidRPr="00C03848">
              <w:rPr>
                <w:lang w:val="uk-UA"/>
              </w:rPr>
              <w:t xml:space="preserve">в </w:t>
            </w:r>
            <w:r w:rsidRPr="00C03848">
              <w:rPr>
                <w:lang w:val="uk-UA"/>
              </w:rPr>
              <w:t>одно</w:t>
            </w:r>
            <w:r w:rsidR="00C22F5D" w:rsidRPr="00C03848">
              <w:rPr>
                <w:lang w:val="uk-UA"/>
              </w:rPr>
              <w:t>му або декількох документах</w:t>
            </w:r>
            <w:r w:rsidRPr="00C03848">
              <w:rPr>
                <w:lang w:val="uk-UA"/>
              </w:rPr>
              <w:t>, що пояснюють взаємозв'язок між компонентами Директиви та відповідни</w:t>
            </w:r>
            <w:r w:rsidR="00C22F5D" w:rsidRPr="00C03848">
              <w:rPr>
                <w:lang w:val="uk-UA"/>
              </w:rPr>
              <w:t>ми</w:t>
            </w:r>
            <w:r w:rsidRPr="00C03848">
              <w:rPr>
                <w:lang w:val="uk-UA"/>
              </w:rPr>
              <w:t xml:space="preserve"> частин</w:t>
            </w:r>
            <w:r w:rsidR="00C22F5D" w:rsidRPr="00C03848">
              <w:rPr>
                <w:lang w:val="uk-UA"/>
              </w:rPr>
              <w:t>ами</w:t>
            </w:r>
            <w:r w:rsidRPr="00C03848">
              <w:rPr>
                <w:lang w:val="uk-UA"/>
              </w:rPr>
              <w:t xml:space="preserve"> національних інструментів транспозиції. Стосовно цієї Директиви, законодавець вважає</w:t>
            </w:r>
            <w:r w:rsidR="00C22F5D" w:rsidRPr="00C03848">
              <w:rPr>
                <w:lang w:val="uk-UA"/>
              </w:rPr>
              <w:t xml:space="preserve">, що </w:t>
            </w:r>
            <w:r w:rsidRPr="00C03848">
              <w:rPr>
                <w:lang w:val="uk-UA"/>
              </w:rPr>
              <w:t xml:space="preserve">передача </w:t>
            </w:r>
            <w:r w:rsidR="00C22F5D" w:rsidRPr="00C03848">
              <w:rPr>
                <w:lang w:val="uk-UA"/>
              </w:rPr>
              <w:t>так</w:t>
            </w:r>
            <w:r w:rsidRPr="00C03848">
              <w:rPr>
                <w:lang w:val="uk-UA"/>
              </w:rPr>
              <w:t xml:space="preserve">их документів є справедливою і </w:t>
            </w:r>
            <w:r w:rsidR="00AC3A3E" w:rsidRPr="00C03848">
              <w:rPr>
                <w:lang w:val="uk-UA"/>
              </w:rPr>
              <w:t>обґрунтованою</w:t>
            </w:r>
            <w:r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(68)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971249" w:rsidP="008B76F2">
            <w:pPr>
              <w:pStyle w:val="1"/>
              <w:spacing w:before="0" w:beforeAutospacing="0" w:after="0" w:afterAutospacing="0"/>
              <w:jc w:val="both"/>
              <w:textAlignment w:val="baseline"/>
              <w:rPr>
                <w:lang w:val="uk-UA"/>
              </w:rPr>
            </w:pPr>
            <w:r w:rsidRPr="00C03848">
              <w:rPr>
                <w:lang w:val="uk-UA"/>
              </w:rPr>
              <w:t xml:space="preserve">З Європейським інспектором із захисту даних була проведена консультація відповідно до Статті 28 (2) Регламенту (ЕС) № 45/2001 і висновок фахівця було доставлено 4 липня </w:t>
            </w:r>
            <w:r w:rsidR="00C07AC9" w:rsidRPr="00C03848">
              <w:rPr>
                <w:lang w:val="uk-UA"/>
              </w:rPr>
              <w:t>2013</w:t>
            </w:r>
            <w:r w:rsidRPr="00C03848">
              <w:rPr>
                <w:lang w:val="uk-UA"/>
              </w:rPr>
              <w:t xml:space="preserve"> року</w:t>
            </w:r>
            <w:hyperlink r:id="rId26" w:anchor="ntr19-L_2015141EN.01007301-E0019" w:history="1">
              <w:r w:rsidR="00C07AC9" w:rsidRPr="00C03848">
                <w:rPr>
                  <w:rStyle w:val="Hyperlink"/>
                  <w:color w:val="auto"/>
                  <w:u w:val="none"/>
                  <w:bdr w:val="none" w:sz="0" w:space="0" w:color="auto" w:frame="1"/>
                  <w:lang w:val="uk-UA"/>
                </w:rPr>
                <w:t> (</w:t>
              </w:r>
              <w:r w:rsidR="00C07AC9" w:rsidRPr="00C03848">
                <w:rPr>
                  <w:rStyle w:val="super"/>
                  <w:sz w:val="24"/>
                  <w:szCs w:val="24"/>
                  <w:bdr w:val="none" w:sz="0" w:space="0" w:color="auto" w:frame="1"/>
                  <w:lang w:val="uk-UA"/>
                </w:rPr>
                <w:t>19</w:t>
              </w:r>
              <w:r w:rsidR="00C07AC9" w:rsidRPr="00C03848">
                <w:rPr>
                  <w:rStyle w:val="Hyperlink"/>
                  <w:color w:val="auto"/>
                  <w:u w:val="none"/>
                  <w:bdr w:val="none" w:sz="0" w:space="0" w:color="auto" w:frame="1"/>
                  <w:lang w:val="uk-UA"/>
                </w:rPr>
                <w:t>)</w:t>
              </w:r>
            </w:hyperlink>
            <w:r w:rsidR="00C07AC9" w:rsidRPr="00C03848">
              <w:rPr>
                <w:lang w:val="uk-UA"/>
              </w:rPr>
              <w:t>,</w:t>
            </w:r>
          </w:p>
          <w:p w:rsidR="00A5729D" w:rsidRPr="00C03848" w:rsidRDefault="00A5729D" w:rsidP="008B76F2">
            <w:pPr>
              <w:pStyle w:val="1"/>
              <w:spacing w:before="0" w:beforeAutospacing="0" w:after="0" w:afterAutospacing="0"/>
              <w:jc w:val="both"/>
              <w:textAlignment w:val="baseline"/>
              <w:rPr>
                <w:lang w:val="uk-UA"/>
              </w:rPr>
            </w:pPr>
          </w:p>
        </w:tc>
      </w:tr>
    </w:tbl>
    <w:p w:rsidR="00AA2CED" w:rsidRPr="00C03848" w:rsidRDefault="00AA2CED" w:rsidP="008B76F2">
      <w:pPr>
        <w:spacing w:after="0" w:line="240" w:lineRule="auto"/>
        <w:jc w:val="both"/>
        <w:textAlignment w:val="baseline"/>
        <w:rPr>
          <w:rFonts w:ascii="Times New Roman" w:eastAsia="Times New Roman" w:hAnsi="Times New Roman" w:cs="Times New Roman"/>
          <w:sz w:val="24"/>
          <w:szCs w:val="24"/>
          <w:lang w:val="uk-UA"/>
        </w:rPr>
      </w:pPr>
      <w:r w:rsidRPr="00C03848">
        <w:rPr>
          <w:rFonts w:ascii="Times New Roman" w:eastAsia="Times New Roman" w:hAnsi="Times New Roman" w:cs="Times New Roman"/>
          <w:sz w:val="24"/>
          <w:szCs w:val="24"/>
          <w:lang w:val="uk-UA"/>
        </w:rPr>
        <w:t>ПРИЙНЯЛИ ЦЮ ДИРЕКТИВУ:</w:t>
      </w:r>
    </w:p>
    <w:p w:rsidR="00A5729D" w:rsidRPr="00C03848" w:rsidRDefault="00A5729D" w:rsidP="008B76F2">
      <w:pPr>
        <w:spacing w:after="0" w:line="240" w:lineRule="auto"/>
        <w:jc w:val="both"/>
        <w:textAlignment w:val="baseline"/>
        <w:rPr>
          <w:rFonts w:ascii="Times New Roman" w:eastAsia="Times New Roman" w:hAnsi="Times New Roman" w:cs="Times New Roman"/>
          <w:sz w:val="24"/>
          <w:szCs w:val="24"/>
          <w:lang w:val="uk-UA"/>
        </w:rPr>
      </w:pPr>
    </w:p>
    <w:p w:rsidR="00AA2CED" w:rsidRPr="00C03848" w:rsidRDefault="00AA2CED" w:rsidP="008B76F2">
      <w:pPr>
        <w:pStyle w:val="ti-art"/>
        <w:shd w:val="clear" w:color="auto" w:fill="FFFFFF"/>
        <w:spacing w:before="0" w:beforeAutospacing="0" w:after="0" w:afterAutospacing="0"/>
        <w:jc w:val="center"/>
        <w:textAlignment w:val="baseline"/>
        <w:rPr>
          <w:iCs/>
          <w:lang w:val="uk-UA"/>
        </w:rPr>
      </w:pPr>
      <w:r w:rsidRPr="00C03848">
        <w:rPr>
          <w:iCs/>
          <w:lang w:val="uk-UA"/>
        </w:rPr>
        <w:t>ГЛАВА I</w:t>
      </w:r>
    </w:p>
    <w:p w:rsidR="00AA2CED" w:rsidRPr="00C03848" w:rsidRDefault="00AA2CED" w:rsidP="008B76F2">
      <w:pPr>
        <w:pStyle w:val="ti-art"/>
        <w:shd w:val="clear" w:color="auto" w:fill="FFFFFF"/>
        <w:spacing w:before="0" w:beforeAutospacing="0" w:after="0" w:afterAutospacing="0"/>
        <w:jc w:val="center"/>
        <w:textAlignment w:val="baseline"/>
        <w:rPr>
          <w:iCs/>
          <w:lang w:val="uk-UA"/>
        </w:rPr>
      </w:pPr>
      <w:r w:rsidRPr="00C03848">
        <w:rPr>
          <w:iCs/>
          <w:lang w:val="uk-UA"/>
        </w:rPr>
        <w:t>ЗАГАЛЬНІ ПОЛОЖЕННЯ</w:t>
      </w:r>
    </w:p>
    <w:p w:rsidR="00AA2CED" w:rsidRPr="00C03848" w:rsidRDefault="00AA2CED" w:rsidP="008B76F2">
      <w:pPr>
        <w:pStyle w:val="ti-art"/>
        <w:shd w:val="clear" w:color="auto" w:fill="FFFFFF"/>
        <w:spacing w:before="0" w:beforeAutospacing="0" w:after="0" w:afterAutospacing="0"/>
        <w:jc w:val="center"/>
        <w:textAlignment w:val="baseline"/>
        <w:rPr>
          <w:iCs/>
          <w:lang w:val="uk-UA"/>
        </w:rPr>
      </w:pPr>
      <w:r w:rsidRPr="00C03848">
        <w:rPr>
          <w:iCs/>
          <w:lang w:val="uk-UA"/>
        </w:rPr>
        <w:t>РОЗДІЛ 1</w:t>
      </w:r>
    </w:p>
    <w:p w:rsidR="00AA2CED" w:rsidRPr="00C03848" w:rsidRDefault="00AA2CED" w:rsidP="008B76F2">
      <w:pPr>
        <w:pStyle w:val="ti-art"/>
        <w:shd w:val="clear" w:color="auto" w:fill="FFFFFF"/>
        <w:spacing w:before="0" w:beforeAutospacing="0" w:after="0" w:afterAutospacing="0"/>
        <w:jc w:val="center"/>
        <w:textAlignment w:val="baseline"/>
        <w:rPr>
          <w:iCs/>
          <w:lang w:val="uk-UA"/>
        </w:rPr>
      </w:pPr>
      <w:r w:rsidRPr="00C03848">
        <w:rPr>
          <w:iCs/>
          <w:lang w:val="uk-UA"/>
        </w:rPr>
        <w:t>Предмет, сфера застосування та визначення</w:t>
      </w:r>
    </w:p>
    <w:p w:rsidR="00AA2CED" w:rsidRPr="00C03848" w:rsidRDefault="00AA2CED"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 1</w:t>
      </w:r>
    </w:p>
    <w:p w:rsidR="00AA2CED" w:rsidRPr="00C03848" w:rsidRDefault="00AA2CED" w:rsidP="008B76F2">
      <w:pPr>
        <w:pStyle w:val="1"/>
        <w:shd w:val="clear" w:color="auto" w:fill="FFFFFF"/>
        <w:spacing w:before="0" w:beforeAutospacing="0" w:after="0" w:afterAutospacing="0"/>
        <w:jc w:val="both"/>
        <w:textAlignment w:val="baseline"/>
        <w:rPr>
          <w:lang w:val="uk-UA"/>
        </w:rPr>
      </w:pPr>
      <w:r w:rsidRPr="00C03848">
        <w:rPr>
          <w:lang w:val="uk-UA"/>
        </w:rPr>
        <w:t>1. Дана Директива спрямована на запобігання використанню фінансової системи Союзу з метою відмивання грошей та фінансування тероризму.</w:t>
      </w:r>
    </w:p>
    <w:p w:rsidR="00AA2CED" w:rsidRPr="00C03848" w:rsidRDefault="00AA2CED" w:rsidP="008B76F2">
      <w:pPr>
        <w:pStyle w:val="1"/>
        <w:shd w:val="clear" w:color="auto" w:fill="FFFFFF"/>
        <w:spacing w:before="0" w:beforeAutospacing="0" w:after="0" w:afterAutospacing="0"/>
        <w:jc w:val="both"/>
        <w:textAlignment w:val="baseline"/>
        <w:rPr>
          <w:lang w:val="uk-UA"/>
        </w:rPr>
      </w:pPr>
      <w:r w:rsidRPr="00C03848">
        <w:rPr>
          <w:lang w:val="uk-UA"/>
        </w:rPr>
        <w:lastRenderedPageBreak/>
        <w:t>2. Держави-члени повинні забезпечити заборону відмивання грошей і фінансування тероризму.</w:t>
      </w:r>
    </w:p>
    <w:p w:rsidR="00AA2CED" w:rsidRPr="00C03848" w:rsidRDefault="00AA2CED" w:rsidP="008B76F2">
      <w:pPr>
        <w:pStyle w:val="1"/>
        <w:shd w:val="clear" w:color="auto" w:fill="FFFFFF"/>
        <w:spacing w:before="0" w:beforeAutospacing="0" w:after="0" w:afterAutospacing="0"/>
        <w:jc w:val="both"/>
        <w:textAlignment w:val="baseline"/>
        <w:rPr>
          <w:lang w:val="uk-UA"/>
        </w:rPr>
      </w:pPr>
      <w:r w:rsidRPr="00C03848">
        <w:rPr>
          <w:lang w:val="uk-UA"/>
        </w:rPr>
        <w:t xml:space="preserve">3. Для цілей даної Директиви відмиванням </w:t>
      </w:r>
      <w:r w:rsidR="00F567A7" w:rsidRPr="00C03848">
        <w:rPr>
          <w:lang w:val="uk-UA"/>
        </w:rPr>
        <w:t xml:space="preserve">грошей </w:t>
      </w:r>
      <w:r w:rsidR="00AC3A3E" w:rsidRPr="00C03848">
        <w:rPr>
          <w:lang w:val="uk-UA"/>
        </w:rPr>
        <w:t>повинні вважа</w:t>
      </w:r>
      <w:r w:rsidRPr="00C03848">
        <w:rPr>
          <w:lang w:val="uk-UA"/>
        </w:rPr>
        <w:t xml:space="preserve">тись </w:t>
      </w:r>
      <w:r w:rsidRPr="00C03848">
        <w:rPr>
          <w:lang w:val="uk-UA"/>
        </w:rPr>
        <w:br/>
        <w:t>вчинені умисно такі дії:</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AA2CED" w:rsidRPr="00C03848" w:rsidTr="0093213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AA2CED" w:rsidRPr="00C03848" w:rsidRDefault="00AA2CED"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AA2CED" w:rsidRPr="00C03848" w:rsidRDefault="00B177BA" w:rsidP="00F017D9">
            <w:pPr>
              <w:pStyle w:val="1"/>
              <w:spacing w:before="0" w:beforeAutospacing="0" w:after="0" w:afterAutospacing="0"/>
              <w:jc w:val="both"/>
              <w:textAlignment w:val="baseline"/>
              <w:rPr>
                <w:lang w:val="uk-UA"/>
              </w:rPr>
            </w:pPr>
            <w:r w:rsidRPr="00C03848">
              <w:rPr>
                <w:lang w:val="uk-UA"/>
              </w:rPr>
              <w:t>О</w:t>
            </w:r>
            <w:r w:rsidR="00AA2CED" w:rsidRPr="00C03848">
              <w:rPr>
                <w:lang w:val="uk-UA"/>
              </w:rPr>
              <w:t>бмін</w:t>
            </w:r>
            <w:r w:rsidRPr="00C03848">
              <w:rPr>
                <w:lang w:val="uk-UA"/>
              </w:rPr>
              <w:t xml:space="preserve"> </w:t>
            </w:r>
            <w:r w:rsidR="00AA2CED" w:rsidRPr="00C03848">
              <w:rPr>
                <w:lang w:val="uk-UA"/>
              </w:rPr>
              <w:t>або</w:t>
            </w:r>
            <w:r w:rsidRPr="00C03848">
              <w:rPr>
                <w:lang w:val="uk-UA"/>
              </w:rPr>
              <w:t xml:space="preserve"> </w:t>
            </w:r>
            <w:r w:rsidR="00AA2CED" w:rsidRPr="00C03848">
              <w:rPr>
                <w:lang w:val="uk-UA"/>
              </w:rPr>
              <w:t>пер</w:t>
            </w:r>
            <w:r w:rsidR="00F017D9" w:rsidRPr="00C03848">
              <w:rPr>
                <w:lang w:val="uk-UA"/>
              </w:rPr>
              <w:t xml:space="preserve">едача власності, якщо </w:t>
            </w:r>
            <w:r w:rsidRPr="00C03848">
              <w:rPr>
                <w:lang w:val="uk-UA"/>
              </w:rPr>
              <w:t xml:space="preserve">відомо, </w:t>
            </w:r>
            <w:r w:rsidR="00AA2CED" w:rsidRPr="00C03848">
              <w:rPr>
                <w:lang w:val="uk-UA"/>
              </w:rPr>
              <w:t>що</w:t>
            </w:r>
            <w:r w:rsidRPr="00C03848">
              <w:rPr>
                <w:lang w:val="uk-UA"/>
              </w:rPr>
              <w:t xml:space="preserve"> </w:t>
            </w:r>
            <w:r w:rsidR="00AA2CED" w:rsidRPr="00C03848">
              <w:rPr>
                <w:lang w:val="uk-UA"/>
              </w:rPr>
              <w:t>така</w:t>
            </w:r>
            <w:r w:rsidR="00F017D9" w:rsidRPr="00C03848">
              <w:rPr>
                <w:lang w:val="uk-UA"/>
              </w:rPr>
              <w:t xml:space="preserve"> </w:t>
            </w:r>
            <w:r w:rsidR="00AA2CED" w:rsidRPr="00C03848">
              <w:rPr>
                <w:lang w:val="uk-UA"/>
              </w:rPr>
              <w:t xml:space="preserve">власність виникла в результаті кримінальної діяльності </w:t>
            </w:r>
            <w:r w:rsidRPr="00C03848">
              <w:rPr>
                <w:lang w:val="uk-UA"/>
              </w:rPr>
              <w:t>або в результаті</w:t>
            </w:r>
            <w:r w:rsidR="00AA2CED" w:rsidRPr="00C03848">
              <w:rPr>
                <w:lang w:val="uk-UA"/>
              </w:rPr>
              <w:t xml:space="preserve"> участі в</w:t>
            </w:r>
            <w:r w:rsidRPr="00C03848">
              <w:rPr>
                <w:lang w:val="uk-UA"/>
              </w:rPr>
              <w:t xml:space="preserve"> </w:t>
            </w:r>
            <w:r w:rsidR="00AA2CED" w:rsidRPr="00C03848">
              <w:rPr>
                <w:lang w:val="uk-UA"/>
              </w:rPr>
              <w:t>подібній</w:t>
            </w:r>
            <w:r w:rsidRPr="00C03848">
              <w:rPr>
                <w:lang w:val="uk-UA"/>
              </w:rPr>
              <w:t xml:space="preserve"> </w:t>
            </w:r>
            <w:r w:rsidR="00AA2CED" w:rsidRPr="00C03848">
              <w:rPr>
                <w:lang w:val="uk-UA"/>
              </w:rPr>
              <w:t>діяльності</w:t>
            </w:r>
            <w:r w:rsidRPr="00C03848">
              <w:rPr>
                <w:lang w:val="uk-UA"/>
              </w:rPr>
              <w:t xml:space="preserve"> </w:t>
            </w:r>
            <w:r w:rsidR="00AA2CED" w:rsidRPr="00C03848">
              <w:rPr>
                <w:lang w:val="uk-UA"/>
              </w:rPr>
              <w:t>з</w:t>
            </w:r>
            <w:r w:rsidRPr="00C03848">
              <w:rPr>
                <w:lang w:val="uk-UA"/>
              </w:rPr>
              <w:t xml:space="preserve"> </w:t>
            </w:r>
            <w:r w:rsidR="00AA2CED" w:rsidRPr="00C03848">
              <w:rPr>
                <w:lang w:val="uk-UA"/>
              </w:rPr>
              <w:t>метою</w:t>
            </w:r>
            <w:r w:rsidRPr="00C03848">
              <w:rPr>
                <w:lang w:val="uk-UA"/>
              </w:rPr>
              <w:t xml:space="preserve"> </w:t>
            </w:r>
            <w:r w:rsidR="00AA2CED" w:rsidRPr="00C03848">
              <w:rPr>
                <w:lang w:val="uk-UA"/>
              </w:rPr>
              <w:t>приховування</w:t>
            </w:r>
            <w:r w:rsidRPr="00C03848">
              <w:rPr>
                <w:lang w:val="uk-UA"/>
              </w:rPr>
              <w:t xml:space="preserve"> </w:t>
            </w:r>
            <w:r w:rsidR="00AA2CED" w:rsidRPr="00C03848">
              <w:rPr>
                <w:lang w:val="uk-UA"/>
              </w:rPr>
              <w:t>або</w:t>
            </w:r>
            <w:r w:rsidRPr="00C03848">
              <w:rPr>
                <w:lang w:val="uk-UA"/>
              </w:rPr>
              <w:t xml:space="preserve"> </w:t>
            </w:r>
            <w:r w:rsidR="00AA2CED" w:rsidRPr="00C03848">
              <w:rPr>
                <w:lang w:val="uk-UA"/>
              </w:rPr>
              <w:t>маскування</w:t>
            </w:r>
            <w:r w:rsidRPr="00C03848">
              <w:rPr>
                <w:lang w:val="uk-UA"/>
              </w:rPr>
              <w:t xml:space="preserve"> </w:t>
            </w:r>
            <w:r w:rsidR="00AA2CED" w:rsidRPr="00C03848">
              <w:rPr>
                <w:lang w:val="uk-UA"/>
              </w:rPr>
              <w:t xml:space="preserve">незаконного походження власності </w:t>
            </w:r>
            <w:r w:rsidRPr="00C03848">
              <w:rPr>
                <w:lang w:val="uk-UA"/>
              </w:rPr>
              <w:t>або</w:t>
            </w:r>
            <w:r w:rsidR="00AA2CED" w:rsidRPr="00C03848">
              <w:rPr>
                <w:lang w:val="uk-UA"/>
              </w:rPr>
              <w:t xml:space="preserve"> </w:t>
            </w:r>
            <w:r w:rsidRPr="00C03848">
              <w:rPr>
                <w:lang w:val="uk-UA"/>
              </w:rPr>
              <w:t>з метою надання допомоги</w:t>
            </w:r>
            <w:r w:rsidR="00AA2CED" w:rsidRPr="00C03848">
              <w:rPr>
                <w:lang w:val="uk-UA"/>
              </w:rPr>
              <w:t xml:space="preserve"> будь-якій</w:t>
            </w:r>
            <w:r w:rsidRPr="00C03848">
              <w:rPr>
                <w:lang w:val="uk-UA"/>
              </w:rPr>
              <w:t xml:space="preserve"> </w:t>
            </w:r>
            <w:r w:rsidR="00AA2CED" w:rsidRPr="00C03848">
              <w:rPr>
                <w:lang w:val="uk-UA"/>
              </w:rPr>
              <w:t>особі,</w:t>
            </w:r>
            <w:r w:rsidRPr="00C03848">
              <w:rPr>
                <w:lang w:val="uk-UA"/>
              </w:rPr>
              <w:t xml:space="preserve"> </w:t>
            </w:r>
            <w:r w:rsidR="00AA2CED" w:rsidRPr="00C03848">
              <w:rPr>
                <w:lang w:val="uk-UA"/>
              </w:rPr>
              <w:t>яка</w:t>
            </w:r>
            <w:r w:rsidRPr="00C03848">
              <w:rPr>
                <w:lang w:val="uk-UA"/>
              </w:rPr>
              <w:t xml:space="preserve"> </w:t>
            </w:r>
            <w:r w:rsidR="00AA2CED" w:rsidRPr="00C03848">
              <w:rPr>
                <w:lang w:val="uk-UA"/>
              </w:rPr>
              <w:t>здійснює подібну  діяльність  і  прагне  ухилитися  від</w:t>
            </w:r>
            <w:r w:rsidRPr="00C03848">
              <w:rPr>
                <w:lang w:val="uk-UA"/>
              </w:rPr>
              <w:t xml:space="preserve"> юридичних н</w:t>
            </w:r>
            <w:r w:rsidR="00AA2CED" w:rsidRPr="00C03848">
              <w:rPr>
                <w:lang w:val="uk-UA"/>
              </w:rPr>
              <w:t xml:space="preserve">аслідків своїх дій; </w:t>
            </w:r>
          </w:p>
        </w:tc>
      </w:tr>
    </w:tbl>
    <w:p w:rsidR="00AA2CED" w:rsidRPr="00C03848" w:rsidRDefault="00AA2CED"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AA2CED" w:rsidRPr="00C03848" w:rsidTr="0093213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AA2CED" w:rsidRPr="00C03848" w:rsidRDefault="00AA2CED"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AC2ACB" w:rsidRPr="00C03848" w:rsidRDefault="00AA2CED" w:rsidP="00F017D9">
            <w:pPr>
              <w:pStyle w:val="1"/>
              <w:spacing w:before="0" w:beforeAutospacing="0" w:after="0" w:afterAutospacing="0"/>
              <w:jc w:val="both"/>
              <w:textAlignment w:val="baseline"/>
              <w:rPr>
                <w:lang w:val="uk-UA"/>
              </w:rPr>
            </w:pPr>
            <w:r w:rsidRPr="00C03848">
              <w:rPr>
                <w:lang w:val="uk-UA"/>
              </w:rPr>
              <w:t xml:space="preserve">приховування та маскування справжнього характеру, джерела, місцезнаходження, розміщення, руху, </w:t>
            </w:r>
            <w:r w:rsidR="00AC2ACB" w:rsidRPr="00C03848">
              <w:rPr>
                <w:lang w:val="uk-UA"/>
              </w:rPr>
              <w:t>прав щодо власності чи прав на</w:t>
            </w:r>
            <w:r w:rsidR="00F017D9" w:rsidRPr="00C03848">
              <w:rPr>
                <w:lang w:val="uk-UA"/>
              </w:rPr>
              <w:t xml:space="preserve"> </w:t>
            </w:r>
            <w:r w:rsidR="00AC2ACB" w:rsidRPr="00C03848">
              <w:rPr>
                <w:lang w:val="uk-UA"/>
              </w:rPr>
              <w:t>власність</w:t>
            </w:r>
            <w:r w:rsidRPr="00C03848">
              <w:rPr>
                <w:lang w:val="uk-UA"/>
              </w:rPr>
              <w:t xml:space="preserve">, власності, </w:t>
            </w:r>
            <w:r w:rsidR="00AC2ACB" w:rsidRPr="00C03848">
              <w:rPr>
                <w:lang w:val="uk-UA"/>
              </w:rPr>
              <w:t xml:space="preserve">якщо відомо, </w:t>
            </w:r>
            <w:r w:rsidRPr="00C03848">
              <w:rPr>
                <w:lang w:val="uk-UA"/>
              </w:rPr>
              <w:t>що так</w:t>
            </w:r>
            <w:r w:rsidR="00AC2ACB" w:rsidRPr="00C03848">
              <w:rPr>
                <w:lang w:val="uk-UA"/>
              </w:rPr>
              <w:t>а власність була здобута</w:t>
            </w:r>
            <w:r w:rsidRPr="00C03848">
              <w:rPr>
                <w:lang w:val="uk-UA"/>
              </w:rPr>
              <w:t xml:space="preserve"> в результаті злочинної діяльності, або в результаті участі в </w:t>
            </w:r>
            <w:r w:rsidR="00AC2ACB" w:rsidRPr="00C03848">
              <w:rPr>
                <w:lang w:val="uk-UA"/>
              </w:rPr>
              <w:t>подібн</w:t>
            </w:r>
            <w:r w:rsidRPr="00C03848">
              <w:rPr>
                <w:lang w:val="uk-UA"/>
              </w:rPr>
              <w:t>ій діяльності;</w:t>
            </w:r>
          </w:p>
        </w:tc>
      </w:tr>
    </w:tbl>
    <w:p w:rsidR="00AA2CED" w:rsidRPr="00C03848" w:rsidRDefault="00AA2CED"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AA2CED" w:rsidRPr="00C03848" w:rsidTr="0093213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AA2CED" w:rsidRPr="00C03848" w:rsidRDefault="00AA2CED"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AA2CED" w:rsidRPr="00C03848" w:rsidRDefault="00AA2CED" w:rsidP="008B76F2">
            <w:pPr>
              <w:pStyle w:val="1"/>
              <w:spacing w:before="0" w:beforeAutospacing="0" w:after="0" w:afterAutospacing="0"/>
              <w:jc w:val="both"/>
              <w:textAlignment w:val="baseline"/>
              <w:rPr>
                <w:lang w:val="uk-UA"/>
              </w:rPr>
            </w:pPr>
            <w:r w:rsidRPr="00C03848">
              <w:rPr>
                <w:lang w:val="uk-UA"/>
              </w:rPr>
              <w:t xml:space="preserve">придбання, володіння або використання </w:t>
            </w:r>
            <w:r w:rsidR="00AC3A3E" w:rsidRPr="00C03848">
              <w:rPr>
                <w:lang w:val="uk-UA"/>
              </w:rPr>
              <w:t>власності</w:t>
            </w:r>
            <w:r w:rsidRPr="00C03848">
              <w:rPr>
                <w:lang w:val="uk-UA"/>
              </w:rPr>
              <w:t xml:space="preserve">, </w:t>
            </w:r>
            <w:r w:rsidR="001928F2" w:rsidRPr="00C03848">
              <w:rPr>
                <w:lang w:val="uk-UA"/>
              </w:rPr>
              <w:t>якщо на</w:t>
            </w:r>
            <w:r w:rsidRPr="00C03848">
              <w:rPr>
                <w:lang w:val="uk-UA"/>
              </w:rPr>
              <w:t xml:space="preserve"> момент отримання</w:t>
            </w:r>
            <w:r w:rsidR="001928F2" w:rsidRPr="00C03848">
              <w:rPr>
                <w:lang w:val="uk-UA"/>
              </w:rPr>
              <w:t xml:space="preserve"> було відомо, що</w:t>
            </w:r>
            <w:r w:rsidRPr="00C03848">
              <w:rPr>
                <w:lang w:val="uk-UA"/>
              </w:rPr>
              <w:t xml:space="preserve"> така власність </w:t>
            </w:r>
            <w:r w:rsidR="001928F2" w:rsidRPr="00C03848">
              <w:rPr>
                <w:lang w:val="uk-UA"/>
              </w:rPr>
              <w:t xml:space="preserve">була </w:t>
            </w:r>
            <w:r w:rsidRPr="00C03848">
              <w:rPr>
                <w:lang w:val="uk-UA"/>
              </w:rPr>
              <w:t xml:space="preserve">отримана внаслідок злочинної діяльності або в результаті участі в </w:t>
            </w:r>
            <w:r w:rsidR="001928F2" w:rsidRPr="00C03848">
              <w:rPr>
                <w:lang w:val="uk-UA"/>
              </w:rPr>
              <w:t>подібн</w:t>
            </w:r>
            <w:r w:rsidRPr="00C03848">
              <w:rPr>
                <w:lang w:val="uk-UA"/>
              </w:rPr>
              <w:t>ій діяльності;</w:t>
            </w:r>
          </w:p>
        </w:tc>
      </w:tr>
    </w:tbl>
    <w:p w:rsidR="00AA2CED" w:rsidRPr="00C03848" w:rsidRDefault="00AA2CED"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AA2CED" w:rsidRPr="00C03848" w:rsidTr="0093213B">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AA2CED" w:rsidRPr="00C03848" w:rsidRDefault="00AA2CED" w:rsidP="008B76F2">
            <w:pPr>
              <w:pStyle w:val="1"/>
              <w:spacing w:before="0" w:beforeAutospacing="0" w:after="0" w:afterAutospacing="0"/>
              <w:jc w:val="both"/>
              <w:textAlignment w:val="baseline"/>
              <w:rPr>
                <w:lang w:val="uk-UA"/>
              </w:rPr>
            </w:pPr>
            <w:r w:rsidRPr="00C03848">
              <w:rPr>
                <w:lang w:val="uk-UA"/>
              </w:rPr>
              <w:t>(d)</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AA2CED" w:rsidRPr="00C03848" w:rsidRDefault="00AA2CED" w:rsidP="00F017D9">
            <w:pPr>
              <w:pStyle w:val="1"/>
              <w:spacing w:before="0" w:beforeAutospacing="0" w:after="0" w:afterAutospacing="0"/>
              <w:jc w:val="both"/>
              <w:textAlignment w:val="baseline"/>
              <w:rPr>
                <w:lang w:val="uk-UA"/>
              </w:rPr>
            </w:pPr>
            <w:r w:rsidRPr="00C03848">
              <w:rPr>
                <w:lang w:val="uk-UA"/>
              </w:rPr>
              <w:t xml:space="preserve">участь, </w:t>
            </w:r>
            <w:r w:rsidR="001928F2" w:rsidRPr="00C03848">
              <w:rPr>
                <w:lang w:val="uk-UA"/>
              </w:rPr>
              <w:t>об’єднання з метою здійсне</w:t>
            </w:r>
            <w:r w:rsidRPr="00C03848">
              <w:rPr>
                <w:lang w:val="uk-UA"/>
              </w:rPr>
              <w:t xml:space="preserve">ння, </w:t>
            </w:r>
            <w:r w:rsidR="001928F2" w:rsidRPr="00C03848">
              <w:rPr>
                <w:lang w:val="uk-UA"/>
              </w:rPr>
              <w:t>спроби здійс</w:t>
            </w:r>
            <w:r w:rsidRPr="00C03848">
              <w:rPr>
                <w:lang w:val="uk-UA"/>
              </w:rPr>
              <w:t>нення</w:t>
            </w:r>
            <w:r w:rsidR="001928F2" w:rsidRPr="00C03848">
              <w:rPr>
                <w:lang w:val="uk-UA"/>
              </w:rPr>
              <w:t xml:space="preserve"> і надання допомоги</w:t>
            </w:r>
            <w:r w:rsidRPr="00C03848">
              <w:rPr>
                <w:lang w:val="uk-UA"/>
              </w:rPr>
              <w:t xml:space="preserve">, а також </w:t>
            </w:r>
            <w:r w:rsidR="001928F2" w:rsidRPr="00C03848">
              <w:rPr>
                <w:lang w:val="uk-UA"/>
              </w:rPr>
              <w:t>співучасть, підбурювання, сприяння та</w:t>
            </w:r>
            <w:r w:rsidRPr="00C03848">
              <w:rPr>
                <w:lang w:val="uk-UA"/>
              </w:rPr>
              <w:t xml:space="preserve"> консультування з його </w:t>
            </w:r>
            <w:r w:rsidR="001928F2" w:rsidRPr="00C03848">
              <w:rPr>
                <w:lang w:val="uk-UA"/>
              </w:rPr>
              <w:t>здійсне</w:t>
            </w:r>
            <w:r w:rsidRPr="00C03848">
              <w:rPr>
                <w:lang w:val="uk-UA"/>
              </w:rPr>
              <w:t>ння будь-якої з дій, зазначених у пунктах (a), (b) і (c).</w:t>
            </w:r>
          </w:p>
        </w:tc>
      </w:tr>
    </w:tbl>
    <w:p w:rsidR="00C07AC9" w:rsidRPr="00C03848" w:rsidRDefault="00C07AC9" w:rsidP="008B76F2">
      <w:pPr>
        <w:spacing w:after="0" w:line="240" w:lineRule="auto"/>
        <w:rPr>
          <w:rFonts w:ascii="Times New Roman" w:hAnsi="Times New Roman" w:cs="Times New Roman"/>
          <w:vanish/>
          <w:sz w:val="24"/>
          <w:szCs w:val="24"/>
          <w:lang w:val="uk-UA"/>
        </w:rPr>
      </w:pPr>
    </w:p>
    <w:p w:rsidR="001617A4" w:rsidRPr="00C03848" w:rsidRDefault="00C07AC9" w:rsidP="008B76F2">
      <w:pPr>
        <w:pStyle w:val="1"/>
        <w:shd w:val="clear" w:color="auto" w:fill="FFFFFF"/>
        <w:spacing w:before="0" w:beforeAutospacing="0" w:after="0" w:afterAutospacing="0"/>
        <w:jc w:val="both"/>
        <w:textAlignment w:val="baseline"/>
        <w:rPr>
          <w:lang w:val="uk-UA"/>
        </w:rPr>
      </w:pPr>
      <w:r w:rsidRPr="00C03848">
        <w:rPr>
          <w:lang w:val="uk-UA"/>
        </w:rPr>
        <w:t>4.  </w:t>
      </w:r>
      <w:r w:rsidR="00DA0078" w:rsidRPr="00C03848">
        <w:rPr>
          <w:lang w:val="uk-UA"/>
        </w:rPr>
        <w:t>Відмивання грошей повинно розглядатись як таке, навіть у випадках, в яких діяльність, у результаті здійснення якої створювалась власність</w:t>
      </w:r>
      <w:r w:rsidR="001617A4" w:rsidRPr="00C03848">
        <w:rPr>
          <w:lang w:val="uk-UA"/>
        </w:rPr>
        <w:t xml:space="preserve"> для відмивання</w:t>
      </w:r>
      <w:r w:rsidR="00DA0078" w:rsidRPr="00C03848">
        <w:rPr>
          <w:lang w:val="uk-UA"/>
        </w:rPr>
        <w:t xml:space="preserve">, </w:t>
      </w:r>
      <w:r w:rsidR="001617A4" w:rsidRPr="00C03848">
        <w:rPr>
          <w:lang w:val="uk-UA"/>
        </w:rPr>
        <w:t>проводилась</w:t>
      </w:r>
      <w:r w:rsidR="00DA0078" w:rsidRPr="00C03848">
        <w:rPr>
          <w:lang w:val="uk-UA"/>
        </w:rPr>
        <w:t xml:space="preserve"> на території іншої держави-члена або </w:t>
      </w:r>
      <w:r w:rsidR="001617A4" w:rsidRPr="00C03848">
        <w:rPr>
          <w:lang w:val="uk-UA"/>
        </w:rPr>
        <w:t>на території</w:t>
      </w:r>
      <w:r w:rsidR="00DA0078" w:rsidRPr="00C03848">
        <w:rPr>
          <w:lang w:val="uk-UA"/>
        </w:rPr>
        <w:t xml:space="preserve"> </w:t>
      </w:r>
      <w:r w:rsidR="001617A4" w:rsidRPr="00C03848">
        <w:rPr>
          <w:lang w:val="uk-UA"/>
        </w:rPr>
        <w:t>будь-якої</w:t>
      </w:r>
      <w:r w:rsidR="00DA0078" w:rsidRPr="00C03848">
        <w:rPr>
          <w:lang w:val="uk-UA"/>
        </w:rPr>
        <w:t xml:space="preserve"> трет</w:t>
      </w:r>
      <w:r w:rsidR="001617A4" w:rsidRPr="00C03848">
        <w:rPr>
          <w:lang w:val="uk-UA"/>
        </w:rPr>
        <w:t>ьої</w:t>
      </w:r>
      <w:r w:rsidR="00DA0078" w:rsidRPr="00C03848">
        <w:rPr>
          <w:lang w:val="uk-UA"/>
        </w:rPr>
        <w:t xml:space="preserve"> країн</w:t>
      </w:r>
      <w:r w:rsidR="001617A4" w:rsidRPr="00C03848">
        <w:rPr>
          <w:lang w:val="uk-UA"/>
        </w:rPr>
        <w:t>и</w:t>
      </w:r>
      <w:r w:rsidR="00DA0078" w:rsidRPr="00C03848">
        <w:rPr>
          <w:lang w:val="uk-UA"/>
        </w:rPr>
        <w:t>.</w:t>
      </w:r>
    </w:p>
    <w:p w:rsidR="00C07AC9" w:rsidRPr="00C03848" w:rsidRDefault="00DA0078" w:rsidP="008B76F2">
      <w:pPr>
        <w:pStyle w:val="1"/>
        <w:shd w:val="clear" w:color="auto" w:fill="FFFFFF"/>
        <w:spacing w:before="0" w:beforeAutospacing="0" w:after="0" w:afterAutospacing="0"/>
        <w:jc w:val="both"/>
        <w:textAlignment w:val="baseline"/>
        <w:rPr>
          <w:lang w:val="uk-UA"/>
        </w:rPr>
      </w:pPr>
      <w:r w:rsidRPr="00C03848">
        <w:rPr>
          <w:lang w:val="uk-UA"/>
        </w:rPr>
        <w:t xml:space="preserve">5.   Для цілей </w:t>
      </w:r>
      <w:r w:rsidR="00992242" w:rsidRPr="00C03848">
        <w:rPr>
          <w:lang w:val="uk-UA"/>
        </w:rPr>
        <w:t>дано</w:t>
      </w:r>
      <w:r w:rsidRPr="00C03848">
        <w:rPr>
          <w:lang w:val="uk-UA"/>
        </w:rPr>
        <w:t xml:space="preserve">ї Директиви </w:t>
      </w:r>
      <w:r w:rsidR="00992242" w:rsidRPr="00C03848">
        <w:rPr>
          <w:lang w:val="uk-UA"/>
        </w:rPr>
        <w:t>«фінансування тероризму»</w:t>
      </w:r>
      <w:r w:rsidRPr="00C03848">
        <w:rPr>
          <w:lang w:val="uk-UA"/>
        </w:rPr>
        <w:t xml:space="preserve"> означає надання або зб</w:t>
      </w:r>
      <w:r w:rsidR="00992242" w:rsidRPr="00C03848">
        <w:rPr>
          <w:lang w:val="uk-UA"/>
        </w:rPr>
        <w:t>ирання</w:t>
      </w:r>
      <w:r w:rsidRPr="00C03848">
        <w:rPr>
          <w:lang w:val="uk-UA"/>
        </w:rPr>
        <w:t xml:space="preserve"> коштів</w:t>
      </w:r>
      <w:r w:rsidR="00992242" w:rsidRPr="00C03848">
        <w:rPr>
          <w:lang w:val="uk-UA"/>
        </w:rPr>
        <w:t xml:space="preserve"> будь-яким шляхом</w:t>
      </w:r>
      <w:r w:rsidRPr="00C03848">
        <w:rPr>
          <w:lang w:val="uk-UA"/>
        </w:rPr>
        <w:t xml:space="preserve">, прямо або </w:t>
      </w:r>
      <w:r w:rsidR="00992242" w:rsidRPr="00C03848">
        <w:rPr>
          <w:lang w:val="uk-UA"/>
        </w:rPr>
        <w:t>опосередкова</w:t>
      </w:r>
      <w:r w:rsidRPr="00C03848">
        <w:rPr>
          <w:lang w:val="uk-UA"/>
        </w:rPr>
        <w:t>но,</w:t>
      </w:r>
      <w:r w:rsidR="00F017D9" w:rsidRPr="00C03848">
        <w:rPr>
          <w:lang w:val="uk-UA"/>
        </w:rPr>
        <w:t xml:space="preserve"> </w:t>
      </w:r>
      <w:r w:rsidRPr="00C03848">
        <w:rPr>
          <w:lang w:val="uk-UA"/>
        </w:rPr>
        <w:t xml:space="preserve">з наміром, щоб вони використовувались, або при усвідомленні того, що вони будуть використовуватися в повному обсязі або частково для того, щоб здійснити будь-який із злочинів, за змістом </w:t>
      </w:r>
      <w:r w:rsidR="00AC3A3E" w:rsidRPr="00C03848">
        <w:rPr>
          <w:lang w:val="uk-UA"/>
        </w:rPr>
        <w:t>Статей</w:t>
      </w:r>
      <w:r w:rsidRPr="00C03848">
        <w:rPr>
          <w:lang w:val="uk-UA"/>
        </w:rPr>
        <w:t xml:space="preserve"> </w:t>
      </w:r>
      <w:r w:rsidR="00992242" w:rsidRPr="00C03848">
        <w:rPr>
          <w:lang w:val="uk-UA"/>
        </w:rPr>
        <w:t xml:space="preserve">з </w:t>
      </w:r>
      <w:r w:rsidRPr="00C03848">
        <w:rPr>
          <w:lang w:val="uk-UA"/>
        </w:rPr>
        <w:t xml:space="preserve">1 по 4 із </w:t>
      </w:r>
      <w:r w:rsidR="00992242" w:rsidRPr="00C03848">
        <w:rPr>
          <w:lang w:val="uk-UA"/>
        </w:rPr>
        <w:t>Рамков</w:t>
      </w:r>
      <w:r w:rsidRPr="00C03848">
        <w:rPr>
          <w:lang w:val="uk-UA"/>
        </w:rPr>
        <w:t>ого</w:t>
      </w:r>
      <w:r w:rsidR="00992242" w:rsidRPr="00C03848">
        <w:rPr>
          <w:lang w:val="uk-UA"/>
        </w:rPr>
        <w:t xml:space="preserve"> Р</w:t>
      </w:r>
      <w:r w:rsidRPr="00C03848">
        <w:rPr>
          <w:lang w:val="uk-UA"/>
        </w:rPr>
        <w:t>ішення Ради</w:t>
      </w:r>
      <w:r w:rsidR="00C07AC9" w:rsidRPr="00C03848">
        <w:rPr>
          <w:lang w:val="uk-UA"/>
        </w:rPr>
        <w:t> 2002/475/JHA</w:t>
      </w:r>
      <w:hyperlink r:id="rId27" w:anchor="ntr20-L_2015141EN.01007301-E0020" w:history="1">
        <w:r w:rsidR="00C07AC9" w:rsidRPr="00C03848">
          <w:rPr>
            <w:rStyle w:val="Hyperlink"/>
            <w:color w:val="auto"/>
            <w:u w:val="none"/>
            <w:bdr w:val="none" w:sz="0" w:space="0" w:color="auto" w:frame="1"/>
            <w:lang w:val="uk-UA"/>
          </w:rPr>
          <w:t> (</w:t>
        </w:r>
        <w:r w:rsidR="00C07AC9" w:rsidRPr="00C03848">
          <w:rPr>
            <w:rStyle w:val="super"/>
            <w:sz w:val="24"/>
            <w:szCs w:val="24"/>
            <w:bdr w:val="none" w:sz="0" w:space="0" w:color="auto" w:frame="1"/>
            <w:lang w:val="uk-UA"/>
          </w:rPr>
          <w:t>20</w:t>
        </w:r>
        <w:r w:rsidR="00C07AC9" w:rsidRPr="00C03848">
          <w:rPr>
            <w:rStyle w:val="Hyperlink"/>
            <w:color w:val="auto"/>
            <w:u w:val="none"/>
            <w:bdr w:val="none" w:sz="0" w:space="0" w:color="auto" w:frame="1"/>
            <w:lang w:val="uk-UA"/>
          </w:rPr>
          <w:t>)</w:t>
        </w:r>
      </w:hyperlink>
      <w:r w:rsidR="00C07AC9" w:rsidRPr="00C03848">
        <w:rPr>
          <w:lang w:val="uk-UA"/>
        </w:rPr>
        <w:t>.</w:t>
      </w:r>
    </w:p>
    <w:p w:rsidR="00C07AC9" w:rsidRPr="00C03848" w:rsidRDefault="00C07AC9" w:rsidP="008B76F2">
      <w:pPr>
        <w:pStyle w:val="1"/>
        <w:shd w:val="clear" w:color="auto" w:fill="FFFFFF"/>
        <w:spacing w:before="0" w:beforeAutospacing="0" w:after="0" w:afterAutospacing="0"/>
        <w:jc w:val="both"/>
        <w:textAlignment w:val="baseline"/>
        <w:rPr>
          <w:lang w:val="uk-UA"/>
        </w:rPr>
      </w:pPr>
      <w:r w:rsidRPr="00C03848">
        <w:rPr>
          <w:lang w:val="uk-UA"/>
        </w:rPr>
        <w:t>6.   </w:t>
      </w:r>
      <w:r w:rsidR="00992242" w:rsidRPr="00C03848">
        <w:rPr>
          <w:lang w:val="uk-UA"/>
        </w:rPr>
        <w:t>Знання, намір або мета, необхідні як елемент діяльності, зазначеної у пунктах 3 і 5, можуть бути наслідком об'єктивних обставин, що ґрунтуються на фактах.</w:t>
      </w:r>
    </w:p>
    <w:p w:rsidR="00F017D9" w:rsidRPr="00C03848" w:rsidRDefault="00F017D9"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2</w:t>
      </w:r>
    </w:p>
    <w:p w:rsidR="00F017D9" w:rsidRPr="00C03848" w:rsidRDefault="00F017D9" w:rsidP="008B76F2">
      <w:pPr>
        <w:pStyle w:val="ti-art"/>
        <w:shd w:val="clear" w:color="auto" w:fill="FFFFFF"/>
        <w:spacing w:before="0" w:beforeAutospacing="0" w:after="0" w:afterAutospacing="0"/>
        <w:jc w:val="center"/>
        <w:textAlignment w:val="baseline"/>
        <w:rPr>
          <w:iCs/>
          <w:lang w:val="uk-UA"/>
        </w:rPr>
      </w:pPr>
    </w:p>
    <w:p w:rsidR="00C07AC9" w:rsidRPr="00C03848" w:rsidRDefault="00C07AC9" w:rsidP="008B76F2">
      <w:pPr>
        <w:pStyle w:val="1"/>
        <w:shd w:val="clear" w:color="auto" w:fill="FFFFFF"/>
        <w:spacing w:before="0" w:beforeAutospacing="0" w:after="0" w:afterAutospacing="0"/>
        <w:jc w:val="both"/>
        <w:textAlignment w:val="baseline"/>
        <w:rPr>
          <w:lang w:val="uk-UA"/>
        </w:rPr>
      </w:pPr>
      <w:r w:rsidRPr="00C03848">
        <w:rPr>
          <w:lang w:val="uk-UA"/>
        </w:rPr>
        <w:t>1.   </w:t>
      </w:r>
      <w:r w:rsidR="00992242" w:rsidRPr="00C03848">
        <w:rPr>
          <w:lang w:val="uk-UA"/>
        </w:rPr>
        <w:t>Положення даної</w:t>
      </w:r>
      <w:r w:rsidRPr="00C03848">
        <w:rPr>
          <w:lang w:val="uk-UA"/>
        </w:rPr>
        <w:t xml:space="preserve"> </w:t>
      </w:r>
      <w:r w:rsidR="002C54D7" w:rsidRPr="00C03848">
        <w:rPr>
          <w:lang w:val="uk-UA"/>
        </w:rPr>
        <w:t>Директив</w:t>
      </w:r>
      <w:r w:rsidR="00992242" w:rsidRPr="00C03848">
        <w:rPr>
          <w:lang w:val="uk-UA"/>
        </w:rPr>
        <w:t>и повинні застосовуватись до наступних зобов'язаних суб'єктів:</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36"/>
        <w:gridCol w:w="8024"/>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992242" w:rsidP="008B76F2">
            <w:pPr>
              <w:pStyle w:val="1"/>
              <w:spacing w:before="0" w:beforeAutospacing="0" w:after="0" w:afterAutospacing="0"/>
              <w:jc w:val="both"/>
              <w:textAlignment w:val="baseline"/>
              <w:rPr>
                <w:lang w:val="uk-UA"/>
              </w:rPr>
            </w:pPr>
            <w:r w:rsidRPr="00C03848">
              <w:rPr>
                <w:lang w:val="uk-UA"/>
              </w:rPr>
              <w:t>кредитні установи</w:t>
            </w:r>
            <w:r w:rsidR="00C07AC9" w:rsidRPr="00C03848">
              <w:rPr>
                <w:lang w:val="uk-UA"/>
              </w:rPr>
              <w:t>;</w:t>
            </w:r>
          </w:p>
        </w:tc>
      </w:tr>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F56765" w:rsidP="008B76F2">
            <w:pPr>
              <w:pStyle w:val="1"/>
              <w:spacing w:before="0" w:beforeAutospacing="0" w:after="0" w:afterAutospacing="0"/>
              <w:jc w:val="both"/>
              <w:textAlignment w:val="baseline"/>
              <w:rPr>
                <w:lang w:val="uk-UA"/>
              </w:rPr>
            </w:pPr>
            <w:r w:rsidRPr="00C03848">
              <w:rPr>
                <w:lang w:val="uk-UA"/>
              </w:rPr>
              <w:t>фінансові установи</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F56765" w:rsidP="008B76F2">
            <w:pPr>
              <w:pStyle w:val="1"/>
              <w:spacing w:before="0" w:beforeAutospacing="0" w:after="0" w:afterAutospacing="0"/>
              <w:jc w:val="both"/>
              <w:textAlignment w:val="baseline"/>
              <w:rPr>
                <w:lang w:val="uk-UA"/>
              </w:rPr>
            </w:pPr>
            <w:r w:rsidRPr="00C03848">
              <w:rPr>
                <w:lang w:val="uk-UA"/>
              </w:rPr>
              <w:t>наступн</w:t>
            </w:r>
            <w:r w:rsidR="003B5D46" w:rsidRPr="00C03848">
              <w:rPr>
                <w:lang w:val="uk-UA"/>
              </w:rPr>
              <w:t>і</w:t>
            </w:r>
            <w:r w:rsidRPr="00C03848">
              <w:rPr>
                <w:lang w:val="uk-UA"/>
              </w:rPr>
              <w:t xml:space="preserve"> </w:t>
            </w:r>
            <w:r w:rsidR="003B5D46" w:rsidRPr="00C03848">
              <w:rPr>
                <w:iCs/>
                <w:bdr w:val="none" w:sz="0" w:space="0" w:color="auto" w:frame="1"/>
                <w:lang w:val="uk-UA"/>
              </w:rPr>
              <w:t xml:space="preserve">фізичні </w:t>
            </w:r>
            <w:r w:rsidRPr="00C03848">
              <w:rPr>
                <w:iCs/>
                <w:bdr w:val="none" w:sz="0" w:space="0" w:color="auto" w:frame="1"/>
                <w:lang w:val="uk-UA"/>
              </w:rPr>
              <w:t>або</w:t>
            </w:r>
            <w:r w:rsidR="003B5D46" w:rsidRPr="00C03848">
              <w:rPr>
                <w:iCs/>
                <w:bdr w:val="none" w:sz="0" w:space="0" w:color="auto" w:frame="1"/>
                <w:lang w:val="uk-UA"/>
              </w:rPr>
              <w:t xml:space="preserve"> </w:t>
            </w:r>
            <w:r w:rsidRPr="00C03848">
              <w:rPr>
                <w:iCs/>
                <w:bdr w:val="none" w:sz="0" w:space="0" w:color="auto" w:frame="1"/>
                <w:lang w:val="uk-UA"/>
              </w:rPr>
              <w:t>юридичн</w:t>
            </w:r>
            <w:r w:rsidR="003B5D46" w:rsidRPr="00C03848">
              <w:rPr>
                <w:iCs/>
                <w:bdr w:val="none" w:sz="0" w:space="0" w:color="auto" w:frame="1"/>
                <w:lang w:val="uk-UA"/>
              </w:rPr>
              <w:t>і</w:t>
            </w:r>
            <w:r w:rsidRPr="00C03848">
              <w:rPr>
                <w:iCs/>
                <w:bdr w:val="none" w:sz="0" w:space="0" w:color="auto" w:frame="1"/>
                <w:lang w:val="uk-UA"/>
              </w:rPr>
              <w:t xml:space="preserve"> ос</w:t>
            </w:r>
            <w:r w:rsidR="003B5D46" w:rsidRPr="00C03848">
              <w:rPr>
                <w:iCs/>
                <w:bdr w:val="none" w:sz="0" w:space="0" w:color="auto" w:frame="1"/>
                <w:lang w:val="uk-UA"/>
              </w:rPr>
              <w:t>о</w:t>
            </w:r>
            <w:r w:rsidRPr="00C03848">
              <w:rPr>
                <w:iCs/>
                <w:bdr w:val="none" w:sz="0" w:space="0" w:color="auto" w:frame="1"/>
                <w:lang w:val="uk-UA"/>
              </w:rPr>
              <w:t>б</w:t>
            </w:r>
            <w:r w:rsidR="003B5D46" w:rsidRPr="00C03848">
              <w:rPr>
                <w:iCs/>
                <w:bdr w:val="none" w:sz="0" w:space="0" w:color="auto" w:frame="1"/>
                <w:lang w:val="uk-UA"/>
              </w:rPr>
              <w:t>и</w:t>
            </w:r>
            <w:r w:rsidRPr="00C03848">
              <w:rPr>
                <w:iCs/>
                <w:bdr w:val="none" w:sz="0" w:space="0" w:color="auto" w:frame="1"/>
                <w:lang w:val="uk-UA"/>
              </w:rPr>
              <w:t>,</w:t>
            </w:r>
            <w:r w:rsidR="003B5D46" w:rsidRPr="00C03848">
              <w:rPr>
                <w:iCs/>
                <w:bdr w:val="none" w:sz="0" w:space="0" w:color="auto" w:frame="1"/>
                <w:lang w:val="uk-UA"/>
              </w:rPr>
              <w:t xml:space="preserve"> </w:t>
            </w:r>
            <w:r w:rsidRPr="00C03848">
              <w:rPr>
                <w:iCs/>
                <w:bdr w:val="none" w:sz="0" w:space="0" w:color="auto" w:frame="1"/>
                <w:lang w:val="uk-UA"/>
              </w:rPr>
              <w:t>які</w:t>
            </w:r>
            <w:r w:rsidR="003B5D46" w:rsidRPr="00C03848">
              <w:rPr>
                <w:iCs/>
                <w:bdr w:val="none" w:sz="0" w:space="0" w:color="auto" w:frame="1"/>
                <w:lang w:val="uk-UA"/>
              </w:rPr>
              <w:t xml:space="preserve"> </w:t>
            </w:r>
            <w:r w:rsidRPr="00C03848">
              <w:rPr>
                <w:iCs/>
                <w:bdr w:val="none" w:sz="0" w:space="0" w:color="auto" w:frame="1"/>
                <w:lang w:val="uk-UA"/>
              </w:rPr>
              <w:t>займаються своєю діяльністю на професійній основі</w:t>
            </w:r>
            <w:r w:rsidR="00971249" w:rsidRPr="00C03848">
              <w:rPr>
                <w:iCs/>
                <w:bdr w:val="none" w:sz="0" w:space="0" w:color="auto" w:frame="1"/>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8"/>
              <w:gridCol w:w="8476"/>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971249" w:rsidP="008B76F2">
                  <w:pPr>
                    <w:pStyle w:val="1"/>
                    <w:spacing w:before="0" w:beforeAutospacing="0" w:after="0" w:afterAutospacing="0"/>
                    <w:jc w:val="both"/>
                    <w:textAlignment w:val="baseline"/>
                    <w:rPr>
                      <w:lang w:val="uk-UA"/>
                    </w:rPr>
                  </w:pPr>
                  <w:r w:rsidRPr="00C03848">
                    <w:rPr>
                      <w:iCs/>
                      <w:bdr w:val="none" w:sz="0" w:space="0" w:color="auto" w:frame="1"/>
                      <w:lang w:val="uk-UA"/>
                    </w:rPr>
                    <w:t>аудиторів, зовнішніх бухгалтерів та податкових консультантів;</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69"/>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71249" w:rsidRPr="00C03848" w:rsidRDefault="00971249" w:rsidP="008B76F2">
                  <w:pPr>
                    <w:pStyle w:val="1"/>
                    <w:spacing w:before="0" w:beforeAutospacing="0" w:after="0" w:afterAutospacing="0"/>
                    <w:jc w:val="both"/>
                    <w:textAlignment w:val="baseline"/>
                    <w:rPr>
                      <w:lang w:val="uk-UA"/>
                    </w:rPr>
                  </w:pPr>
                  <w:r w:rsidRPr="00C03848">
                    <w:rPr>
                      <w:iCs/>
                      <w:bdr w:val="none" w:sz="0" w:space="0" w:color="auto" w:frame="1"/>
                      <w:lang w:val="uk-UA"/>
                    </w:rPr>
                    <w:t xml:space="preserve">нотаріусів та інших незалежних професійних юристів, якщо вони беруть участь, діючи від імені та для клієнта, у будь-якій фінансовій трансакції або операції з нерухомістю, або надаючи допомогу з планування чи  здійснення трансакцій (операцій) для клієнта, що стосується: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5"/>
                    <w:gridCol w:w="8073"/>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9839E7" w:rsidP="008B76F2">
                        <w:pPr>
                          <w:pStyle w:val="1"/>
                          <w:spacing w:before="0" w:beforeAutospacing="0" w:after="0" w:afterAutospacing="0"/>
                          <w:jc w:val="both"/>
                          <w:textAlignment w:val="baseline"/>
                          <w:rPr>
                            <w:lang w:val="uk-UA"/>
                          </w:rPr>
                        </w:pPr>
                        <w:r w:rsidRPr="00C03848">
                          <w:rPr>
                            <w:lang w:val="uk-UA"/>
                          </w:rPr>
                          <w:t>купівлі та продажу нерухомого майна або господарюючих суб'єктів;</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049"/>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9839E7" w:rsidP="008B76F2">
                        <w:pPr>
                          <w:pStyle w:val="1"/>
                          <w:spacing w:before="0" w:beforeAutospacing="0" w:after="0" w:afterAutospacing="0"/>
                          <w:jc w:val="both"/>
                          <w:textAlignment w:val="baseline"/>
                          <w:rPr>
                            <w:lang w:val="uk-UA"/>
                          </w:rPr>
                        </w:pPr>
                        <w:r w:rsidRPr="00C03848">
                          <w:rPr>
                            <w:lang w:val="uk-UA"/>
                          </w:rPr>
                          <w:t>управління грошовими коштами, цінними паперами або іншими активами клієнта;</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7983"/>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9839E7" w:rsidP="008B76F2">
                        <w:pPr>
                          <w:pStyle w:val="1"/>
                          <w:spacing w:before="0" w:beforeAutospacing="0" w:after="0" w:afterAutospacing="0"/>
                          <w:jc w:val="both"/>
                          <w:textAlignment w:val="baseline"/>
                          <w:rPr>
                            <w:lang w:val="uk-UA"/>
                          </w:rPr>
                        </w:pPr>
                        <w:r w:rsidRPr="00C03848">
                          <w:rPr>
                            <w:lang w:val="uk-UA"/>
                          </w:rPr>
                          <w:t>відкриття або управління банківськими, ощадними (депозитними) рахунками або рахунками у цінних паперах;</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7996"/>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lastRenderedPageBreak/>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53AE3" w:rsidRPr="00C03848" w:rsidRDefault="00F017D9" w:rsidP="008B76F2">
                        <w:pPr>
                          <w:pStyle w:val="1"/>
                          <w:spacing w:before="0" w:beforeAutospacing="0" w:after="0" w:afterAutospacing="0"/>
                          <w:jc w:val="both"/>
                          <w:textAlignment w:val="baseline"/>
                          <w:rPr>
                            <w:lang w:val="uk-UA"/>
                          </w:rPr>
                        </w:pPr>
                        <w:r w:rsidRPr="00C03848">
                          <w:rPr>
                            <w:lang w:val="uk-UA"/>
                          </w:rPr>
                          <w:t>організації</w:t>
                        </w:r>
                        <w:r w:rsidR="009839E7" w:rsidRPr="00C03848">
                          <w:rPr>
                            <w:lang w:val="uk-UA"/>
                          </w:rPr>
                          <w:t xml:space="preserve"> внесків, необхідних для створення, функціонування або управління компаній;</w:t>
                        </w:r>
                      </w:p>
                    </w:tc>
                  </w:tr>
                </w:tbl>
                <w:p w:rsidR="00C07AC9" w:rsidRPr="00C03848" w:rsidRDefault="00C07AC9" w:rsidP="008B76F2">
                  <w:pPr>
                    <w:spacing w:after="0" w:line="240" w:lineRule="auto"/>
                    <w:rPr>
                      <w:rFonts w:ascii="Times New Roman" w:hAnsi="Times New Roman" w:cs="Times New Roman"/>
                      <w:sz w:val="24"/>
                      <w:szCs w:val="24"/>
                      <w:lang w:val="uk-UA"/>
                    </w:rPr>
                  </w:pPr>
                </w:p>
              </w:tc>
            </w:tr>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9839E7" w:rsidP="008B76F2">
                  <w:pPr>
                    <w:pStyle w:val="1"/>
                    <w:spacing w:before="0" w:beforeAutospacing="0" w:after="0" w:afterAutospacing="0"/>
                    <w:jc w:val="both"/>
                    <w:textAlignment w:val="baseline"/>
                    <w:rPr>
                      <w:lang w:val="uk-UA"/>
                    </w:rPr>
                  </w:pPr>
                  <w:r w:rsidRPr="00C03848">
                    <w:rPr>
                      <w:lang w:val="uk-UA"/>
                    </w:rPr>
                    <w:t>постачальники послуг трастам або компаніям, що  не охоплюються пунктами (а) або (b);</w:t>
                  </w:r>
                </w:p>
              </w:tc>
            </w:tr>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9839E7" w:rsidP="008B76F2">
                  <w:pPr>
                    <w:pStyle w:val="1"/>
                    <w:spacing w:before="0" w:beforeAutospacing="0" w:after="0" w:afterAutospacing="0"/>
                    <w:jc w:val="both"/>
                    <w:textAlignment w:val="baseline"/>
                    <w:rPr>
                      <w:lang w:val="uk-UA"/>
                    </w:rPr>
                  </w:pPr>
                  <w:r w:rsidRPr="00C03848">
                    <w:rPr>
                      <w:lang w:val="uk-UA"/>
                    </w:rPr>
                    <w:t>агентів з нерухомості;</w:t>
                  </w:r>
                </w:p>
              </w:tc>
            </w:tr>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862E5D" w:rsidP="008B76F2">
                  <w:pPr>
                    <w:pStyle w:val="1"/>
                    <w:spacing w:before="0" w:beforeAutospacing="0" w:after="0" w:afterAutospacing="0"/>
                    <w:jc w:val="both"/>
                    <w:textAlignment w:val="baseline"/>
                    <w:rPr>
                      <w:lang w:val="uk-UA"/>
                    </w:rPr>
                  </w:pPr>
                  <w:r w:rsidRPr="00C03848">
                    <w:rPr>
                      <w:lang w:val="uk-UA"/>
                    </w:rPr>
                    <w:t>інших осіб, які торгують товарами в тій мірі, що платежі, проведені або отримані готівкою в розмірі 10000 євро або більше, незалежно чи транзакція проводиться в рамках однієї операції або декількох операцій, які здаються пов'язаними між собою;</w:t>
                  </w:r>
                </w:p>
              </w:tc>
            </w:tr>
            <w:tr w:rsidR="00862E5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(f)</w:t>
                  </w:r>
                  <w:r w:rsidR="00862E5D" w:rsidRPr="00C03848">
                    <w:rPr>
                      <w:lang w:val="uk-UA"/>
                    </w:rPr>
                    <w:t xml:space="preserve">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862E5D" w:rsidP="008B76F2">
                  <w:pPr>
                    <w:pStyle w:val="1"/>
                    <w:spacing w:before="0" w:beforeAutospacing="0" w:after="0" w:afterAutospacing="0"/>
                    <w:jc w:val="both"/>
                    <w:textAlignment w:val="baseline"/>
                    <w:rPr>
                      <w:lang w:val="uk-UA"/>
                    </w:rPr>
                  </w:pPr>
                  <w:r w:rsidRPr="00C03848">
                    <w:rPr>
                      <w:lang w:val="uk-UA"/>
                    </w:rPr>
                    <w:t>постачальників послуг у сфері азартних ігор</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sz w:val="24"/>
                <w:szCs w:val="24"/>
                <w:lang w:val="uk-UA"/>
              </w:rPr>
            </w:pPr>
          </w:p>
        </w:tc>
      </w:tr>
    </w:tbl>
    <w:p w:rsidR="00553AE3" w:rsidRPr="00C03848" w:rsidRDefault="00553AE3" w:rsidP="008B76F2">
      <w:pPr>
        <w:pStyle w:val="1"/>
        <w:shd w:val="clear" w:color="auto" w:fill="FFFFFF"/>
        <w:spacing w:before="0" w:beforeAutospacing="0" w:after="0" w:afterAutospacing="0"/>
        <w:jc w:val="both"/>
        <w:textAlignment w:val="baseline"/>
        <w:rPr>
          <w:lang w:val="uk-UA"/>
        </w:rPr>
      </w:pPr>
      <w:r w:rsidRPr="00C03848">
        <w:rPr>
          <w:lang w:val="uk-UA"/>
        </w:rPr>
        <w:lastRenderedPageBreak/>
        <w:t>2.   За винятком казино, і після проведення відповідної оцінки ризику, держави-члени можуть прийняти рішення про вилучення, в повному обсязі або частково, постачальників певних азартних послуг від національних положень, які транспортують цю Директиву, на основі доведеного низького ризику, пов'язаного із характером та, у доречних випадках, масштабом операцій таких послуг.</w:t>
      </w:r>
    </w:p>
    <w:p w:rsidR="00553AE3" w:rsidRPr="00C03848" w:rsidRDefault="00553AE3" w:rsidP="008B76F2">
      <w:pPr>
        <w:pStyle w:val="1"/>
        <w:shd w:val="clear" w:color="auto" w:fill="FFFFFF"/>
        <w:spacing w:before="0" w:beforeAutospacing="0" w:after="0" w:afterAutospacing="0"/>
        <w:jc w:val="both"/>
        <w:textAlignment w:val="baseline"/>
        <w:rPr>
          <w:lang w:val="uk-UA"/>
        </w:rPr>
      </w:pPr>
      <w:r w:rsidRPr="00C03848">
        <w:rPr>
          <w:lang w:val="uk-UA"/>
        </w:rPr>
        <w:t>Серед чинників, які враховуються у їх оцінках ризику, держави-члени повинні оцінити ступінь уразливості відповідних транзакцій, в тому числі по відношенню до використовуваних способів оплати.</w:t>
      </w:r>
    </w:p>
    <w:p w:rsidR="00553AE3" w:rsidRPr="00C03848" w:rsidRDefault="00553AE3" w:rsidP="008B76F2">
      <w:pPr>
        <w:pStyle w:val="1"/>
        <w:shd w:val="clear" w:color="auto" w:fill="FFFFFF"/>
        <w:spacing w:before="0" w:beforeAutospacing="0" w:after="0" w:afterAutospacing="0"/>
        <w:jc w:val="both"/>
        <w:textAlignment w:val="baseline"/>
        <w:rPr>
          <w:lang w:val="uk-UA"/>
        </w:rPr>
      </w:pPr>
      <w:r w:rsidRPr="00C03848">
        <w:rPr>
          <w:lang w:val="uk-UA"/>
        </w:rPr>
        <w:t>У своїх оцінках ризику держави-члени повинні вказати, як вони прийняли до уваги будь-які відповідні висновки, представлен</w:t>
      </w:r>
      <w:r w:rsidR="00F349C6" w:rsidRPr="00C03848">
        <w:rPr>
          <w:lang w:val="uk-UA"/>
        </w:rPr>
        <w:t>і</w:t>
      </w:r>
      <w:r w:rsidRPr="00C03848">
        <w:rPr>
          <w:lang w:val="uk-UA"/>
        </w:rPr>
        <w:t xml:space="preserve"> у звітах, випущених Комісією відповідно до Статті 6.</w:t>
      </w:r>
    </w:p>
    <w:p w:rsidR="00553AE3" w:rsidRPr="00C03848" w:rsidRDefault="00553AE3" w:rsidP="008B76F2">
      <w:pPr>
        <w:pStyle w:val="1"/>
        <w:shd w:val="clear" w:color="auto" w:fill="FFFFFF"/>
        <w:spacing w:before="0" w:beforeAutospacing="0" w:after="0" w:afterAutospacing="0"/>
        <w:jc w:val="both"/>
        <w:textAlignment w:val="baseline"/>
        <w:rPr>
          <w:lang w:val="uk-UA"/>
        </w:rPr>
      </w:pPr>
      <w:r w:rsidRPr="00C03848">
        <w:rPr>
          <w:lang w:val="uk-UA"/>
        </w:rPr>
        <w:t>Будь-яке рішення, прийняте державою-членом відповідно до першого підпункту</w:t>
      </w:r>
      <w:r w:rsidR="003E07D1" w:rsidRPr="00C03848">
        <w:rPr>
          <w:lang w:val="uk-UA"/>
        </w:rPr>
        <w:t>, повинно бути повідомлене</w:t>
      </w:r>
      <w:r w:rsidRPr="00C03848">
        <w:rPr>
          <w:lang w:val="uk-UA"/>
        </w:rPr>
        <w:t xml:space="preserve"> Комісії, разом з обґрунтуванням на основі конкретної оцінки ризику. Комісія </w:t>
      </w:r>
      <w:r w:rsidR="003E07D1" w:rsidRPr="00C03848">
        <w:rPr>
          <w:lang w:val="uk-UA"/>
        </w:rPr>
        <w:t xml:space="preserve">повинна </w:t>
      </w:r>
      <w:r w:rsidRPr="00C03848">
        <w:rPr>
          <w:lang w:val="uk-UA"/>
        </w:rPr>
        <w:t>повідом</w:t>
      </w:r>
      <w:r w:rsidR="003E07D1" w:rsidRPr="00C03848">
        <w:rPr>
          <w:lang w:val="uk-UA"/>
        </w:rPr>
        <w:t>ити про</w:t>
      </w:r>
      <w:r w:rsidRPr="00C03848">
        <w:rPr>
          <w:lang w:val="uk-UA"/>
        </w:rPr>
        <w:t xml:space="preserve"> </w:t>
      </w:r>
      <w:r w:rsidR="003E07D1" w:rsidRPr="00C03848">
        <w:rPr>
          <w:lang w:val="uk-UA"/>
        </w:rPr>
        <w:t>т</w:t>
      </w:r>
      <w:r w:rsidRPr="00C03848">
        <w:rPr>
          <w:lang w:val="uk-UA"/>
        </w:rPr>
        <w:t>е рішення іншим держав</w:t>
      </w:r>
      <w:r w:rsidR="003E07D1" w:rsidRPr="00C03848">
        <w:rPr>
          <w:lang w:val="uk-UA"/>
        </w:rPr>
        <w:t>ам</w:t>
      </w:r>
      <w:r w:rsidRPr="00C03848">
        <w:rPr>
          <w:lang w:val="uk-UA"/>
        </w:rPr>
        <w:t>-членам.</w:t>
      </w:r>
    </w:p>
    <w:p w:rsidR="006B7476" w:rsidRPr="00C03848" w:rsidRDefault="006B7476" w:rsidP="008B76F2">
      <w:pPr>
        <w:pStyle w:val="1"/>
        <w:shd w:val="clear" w:color="auto" w:fill="FFFFFF"/>
        <w:spacing w:before="0" w:beforeAutospacing="0" w:after="0" w:afterAutospacing="0"/>
        <w:jc w:val="both"/>
        <w:textAlignment w:val="baseline"/>
        <w:rPr>
          <w:lang w:val="uk-UA"/>
        </w:rPr>
      </w:pPr>
      <w:r w:rsidRPr="00C03848">
        <w:rPr>
          <w:lang w:val="uk-UA"/>
        </w:rPr>
        <w:t>3. Держави-члени можуть прийняти рішення, що особи, які беруть участь у фінансовій діяльності на випадковій або дуже обмеженій основі у випадках, в яких є невеликий ризик відмивання грошей або фінансування тероризму, не підпадають під дію цієї Директиви за умови виконання всіх наступних критеріїв: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518"/>
        <w:gridCol w:w="8942"/>
      </w:tblGrid>
      <w:tr w:rsidR="006B7476" w:rsidRPr="00C03848" w:rsidTr="006B747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B7476" w:rsidRPr="00C03848" w:rsidRDefault="006B7476" w:rsidP="008B76F2">
            <w:pPr>
              <w:pStyle w:val="1"/>
              <w:spacing w:before="0" w:beforeAutospacing="0" w:after="0" w:afterAutospacing="0"/>
              <w:jc w:val="both"/>
              <w:textAlignment w:val="baseline"/>
              <w:rPr>
                <w:lang w:val="uk-UA" w:eastAsia="uk-UA"/>
              </w:rPr>
            </w:pPr>
            <w:r w:rsidRPr="00C03848">
              <w:rPr>
                <w:lang w:val="uk-UA" w:eastAsia="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B7476" w:rsidRPr="00C03848" w:rsidRDefault="006B7476" w:rsidP="008B76F2">
            <w:pPr>
              <w:pStyle w:val="1"/>
              <w:spacing w:before="0" w:beforeAutospacing="0" w:after="0" w:afterAutospacing="0"/>
              <w:jc w:val="both"/>
              <w:textAlignment w:val="baseline"/>
              <w:rPr>
                <w:lang w:val="uk-UA" w:eastAsia="uk-UA"/>
              </w:rPr>
            </w:pPr>
            <w:r w:rsidRPr="00C03848">
              <w:rPr>
                <w:lang w:val="uk-UA" w:eastAsia="uk-UA"/>
              </w:rPr>
              <w:t>фінансова діяльність обмежується в абсолютному вираженні;</w:t>
            </w:r>
          </w:p>
        </w:tc>
      </w:tr>
    </w:tbl>
    <w:p w:rsidR="006B7476" w:rsidRPr="00C03848" w:rsidRDefault="006B7476"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608"/>
        <w:gridCol w:w="8852"/>
      </w:tblGrid>
      <w:tr w:rsidR="006B7476" w:rsidRPr="00C03848" w:rsidTr="006B747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B7476" w:rsidRPr="00C03848" w:rsidRDefault="006B7476" w:rsidP="008B76F2">
            <w:pPr>
              <w:pStyle w:val="1"/>
              <w:spacing w:before="0" w:beforeAutospacing="0" w:after="0" w:afterAutospacing="0"/>
              <w:jc w:val="both"/>
              <w:textAlignment w:val="baseline"/>
              <w:rPr>
                <w:lang w:val="uk-UA" w:eastAsia="uk-UA"/>
              </w:rPr>
            </w:pPr>
            <w:r w:rsidRPr="00C03848">
              <w:rPr>
                <w:lang w:val="uk-UA" w:eastAsia="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B7476" w:rsidRPr="00C03848" w:rsidRDefault="006B7476" w:rsidP="008B76F2">
            <w:pPr>
              <w:pStyle w:val="1"/>
              <w:spacing w:before="0" w:beforeAutospacing="0" w:after="0" w:afterAutospacing="0"/>
              <w:jc w:val="both"/>
              <w:textAlignment w:val="baseline"/>
              <w:rPr>
                <w:lang w:val="uk-UA" w:eastAsia="uk-UA"/>
              </w:rPr>
            </w:pPr>
            <w:r w:rsidRPr="00C03848">
              <w:rPr>
                <w:lang w:val="uk-UA" w:eastAsia="uk-UA"/>
              </w:rPr>
              <w:t>фінансова діяльність обмежена на  основі транзакцій;</w:t>
            </w:r>
          </w:p>
        </w:tc>
      </w:tr>
    </w:tbl>
    <w:p w:rsidR="006B7476" w:rsidRPr="00C03848" w:rsidRDefault="006B7476"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541"/>
        <w:gridCol w:w="8919"/>
      </w:tblGrid>
      <w:tr w:rsidR="006B7476" w:rsidRPr="00C03848" w:rsidTr="006B747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B7476" w:rsidRPr="00C03848" w:rsidRDefault="006B7476" w:rsidP="008B76F2">
            <w:pPr>
              <w:pStyle w:val="1"/>
              <w:spacing w:before="0" w:beforeAutospacing="0" w:after="0" w:afterAutospacing="0"/>
              <w:jc w:val="both"/>
              <w:textAlignment w:val="baseline"/>
              <w:rPr>
                <w:lang w:val="uk-UA" w:eastAsia="uk-UA"/>
              </w:rPr>
            </w:pPr>
            <w:r w:rsidRPr="00C03848">
              <w:rPr>
                <w:lang w:val="uk-UA" w:eastAsia="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B7476" w:rsidRPr="00C03848" w:rsidRDefault="006B7476" w:rsidP="008B76F2">
            <w:pPr>
              <w:pStyle w:val="1"/>
              <w:spacing w:before="0" w:beforeAutospacing="0" w:after="0" w:afterAutospacing="0"/>
              <w:jc w:val="both"/>
              <w:textAlignment w:val="baseline"/>
              <w:rPr>
                <w:lang w:val="uk-UA" w:eastAsia="uk-UA"/>
              </w:rPr>
            </w:pPr>
            <w:r w:rsidRPr="00C03848">
              <w:rPr>
                <w:lang w:val="uk-UA" w:eastAsia="uk-UA"/>
              </w:rPr>
              <w:t>фінансова діяльність не є основною діяльністю таких осіб;</w:t>
            </w:r>
          </w:p>
        </w:tc>
      </w:tr>
    </w:tbl>
    <w:p w:rsidR="006B7476" w:rsidRPr="00C03848" w:rsidRDefault="006B7476"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6B7476" w:rsidRPr="00C03848" w:rsidTr="006B747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B7476" w:rsidRPr="00C03848" w:rsidRDefault="006B7476" w:rsidP="008B76F2">
            <w:pPr>
              <w:pStyle w:val="1"/>
              <w:spacing w:before="0" w:beforeAutospacing="0" w:after="0" w:afterAutospacing="0"/>
              <w:jc w:val="both"/>
              <w:textAlignment w:val="baseline"/>
              <w:rPr>
                <w:lang w:val="uk-UA" w:eastAsia="uk-UA"/>
              </w:rPr>
            </w:pPr>
            <w:r w:rsidRPr="00C03848">
              <w:rPr>
                <w:lang w:val="uk-UA" w:eastAsia="uk-UA"/>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B7476" w:rsidRPr="00C03848" w:rsidRDefault="006B7476" w:rsidP="008B76F2">
            <w:pPr>
              <w:pStyle w:val="1"/>
              <w:spacing w:before="0" w:beforeAutospacing="0" w:after="0" w:afterAutospacing="0"/>
              <w:jc w:val="both"/>
              <w:textAlignment w:val="baseline"/>
              <w:rPr>
                <w:lang w:val="uk-UA" w:eastAsia="uk-UA"/>
              </w:rPr>
            </w:pPr>
            <w:r w:rsidRPr="00C03848">
              <w:rPr>
                <w:lang w:val="uk-UA" w:eastAsia="uk-UA"/>
              </w:rPr>
              <w:t>фінансова діяльність є допоміжною і безпосередньо пов'язана з основною діяльністю таких осіб;</w:t>
            </w:r>
          </w:p>
        </w:tc>
      </w:tr>
    </w:tbl>
    <w:p w:rsidR="006B7476" w:rsidRPr="00C03848" w:rsidRDefault="006B7476"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6B7476" w:rsidRPr="00C03848" w:rsidTr="006B747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B7476" w:rsidRPr="00C03848" w:rsidRDefault="006B7476" w:rsidP="008B76F2">
            <w:pPr>
              <w:pStyle w:val="1"/>
              <w:spacing w:before="0" w:beforeAutospacing="0" w:after="0" w:afterAutospacing="0"/>
              <w:jc w:val="both"/>
              <w:textAlignment w:val="baseline"/>
              <w:rPr>
                <w:lang w:val="uk-UA" w:eastAsia="uk-UA"/>
              </w:rPr>
            </w:pPr>
            <w:r w:rsidRPr="00C03848">
              <w:rPr>
                <w:lang w:val="uk-UA" w:eastAsia="uk-UA"/>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B7476" w:rsidRPr="00C03848" w:rsidRDefault="006B7476" w:rsidP="008B76F2">
            <w:pPr>
              <w:pStyle w:val="1"/>
              <w:spacing w:before="0" w:beforeAutospacing="0" w:after="0" w:afterAutospacing="0"/>
              <w:jc w:val="both"/>
              <w:textAlignment w:val="baseline"/>
              <w:rPr>
                <w:lang w:val="uk-UA" w:eastAsia="uk-UA"/>
              </w:rPr>
            </w:pPr>
            <w:r w:rsidRPr="00C03848">
              <w:rPr>
                <w:lang w:val="uk-UA" w:eastAsia="uk-UA"/>
              </w:rPr>
              <w:t>основна діяльність таких осіб не є діяльністю, яка зазначена у пунктах з (а) по (d) або підпункті (f) пункту 1 (3);</w:t>
            </w:r>
          </w:p>
        </w:tc>
      </w:tr>
    </w:tbl>
    <w:p w:rsidR="006B7476" w:rsidRPr="00C03848" w:rsidRDefault="006B7476"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45"/>
        <w:gridCol w:w="9115"/>
      </w:tblGrid>
      <w:tr w:rsidR="006B7476" w:rsidRPr="00C03848" w:rsidTr="006B747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B7476" w:rsidRPr="00C03848" w:rsidRDefault="006B7476" w:rsidP="008B76F2">
            <w:pPr>
              <w:pStyle w:val="1"/>
              <w:spacing w:before="0" w:beforeAutospacing="0" w:after="0" w:afterAutospacing="0"/>
              <w:jc w:val="both"/>
              <w:textAlignment w:val="baseline"/>
              <w:rPr>
                <w:lang w:val="uk-UA" w:eastAsia="uk-UA"/>
              </w:rPr>
            </w:pPr>
            <w:r w:rsidRPr="00C03848">
              <w:rPr>
                <w:lang w:val="uk-UA" w:eastAsia="uk-UA"/>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B7476" w:rsidRPr="00C03848" w:rsidRDefault="006B7476" w:rsidP="008B76F2">
            <w:pPr>
              <w:pStyle w:val="1"/>
              <w:spacing w:before="0" w:beforeAutospacing="0" w:after="0" w:afterAutospacing="0"/>
              <w:jc w:val="both"/>
              <w:textAlignment w:val="baseline"/>
              <w:rPr>
                <w:lang w:val="uk-UA" w:eastAsia="uk-UA"/>
              </w:rPr>
            </w:pPr>
            <w:r w:rsidRPr="00C03848">
              <w:rPr>
                <w:lang w:val="uk-UA" w:eastAsia="uk-UA"/>
              </w:rPr>
              <w:t>фінансова діяльність надається тільки для клієнтів основної діяльності таких осіб і, як правило, не пропонуються публіці.</w:t>
            </w:r>
          </w:p>
        </w:tc>
      </w:tr>
    </w:tbl>
    <w:p w:rsidR="006B7476" w:rsidRPr="00C03848" w:rsidRDefault="006B7476" w:rsidP="008B76F2">
      <w:pPr>
        <w:pStyle w:val="1"/>
        <w:shd w:val="clear" w:color="auto" w:fill="FFFFFF"/>
        <w:spacing w:before="0" w:beforeAutospacing="0" w:after="0" w:afterAutospacing="0"/>
        <w:jc w:val="both"/>
        <w:textAlignment w:val="baseline"/>
        <w:rPr>
          <w:lang w:val="uk-UA"/>
        </w:rPr>
      </w:pPr>
      <w:r w:rsidRPr="00C03848">
        <w:rPr>
          <w:lang w:val="uk-UA"/>
        </w:rPr>
        <w:t xml:space="preserve">Перший підпункт не повинен поширюватись на осіб, які беруть участь у діяльності у сфері грошових переказів, як визначено в пункті (13) Статті 4 Директиви 2007/64/ЕС Європейського Парламенту та Ради </w:t>
      </w:r>
      <w:hyperlink r:id="rId28" w:anchor="ntr21-L_2015141EN.01007301-E0021" w:history="1">
        <w:r w:rsidRPr="00C03848">
          <w:rPr>
            <w:rStyle w:val="Hyperlink"/>
            <w:color w:val="auto"/>
            <w:bdr w:val="none" w:sz="0" w:space="0" w:color="auto" w:frame="1"/>
            <w:lang w:val="uk-UA"/>
          </w:rPr>
          <w:t> (</w:t>
        </w:r>
        <w:r w:rsidRPr="00C03848">
          <w:rPr>
            <w:rStyle w:val="super"/>
            <w:sz w:val="24"/>
            <w:szCs w:val="24"/>
            <w:bdr w:val="none" w:sz="0" w:space="0" w:color="auto" w:frame="1"/>
            <w:lang w:val="uk-UA"/>
          </w:rPr>
          <w:t>21</w:t>
        </w:r>
        <w:r w:rsidRPr="00C03848">
          <w:rPr>
            <w:rStyle w:val="Hyperlink"/>
            <w:color w:val="auto"/>
            <w:bdr w:val="none" w:sz="0" w:space="0" w:color="auto" w:frame="1"/>
            <w:lang w:val="uk-UA"/>
          </w:rPr>
          <w:t>)</w:t>
        </w:r>
      </w:hyperlink>
      <w:r w:rsidRPr="00C03848">
        <w:rPr>
          <w:lang w:val="uk-UA"/>
        </w:rPr>
        <w:t xml:space="preserve"> .</w:t>
      </w:r>
    </w:p>
    <w:p w:rsidR="00C07AC9" w:rsidRPr="00C03848" w:rsidRDefault="00C07AC9" w:rsidP="00F349C6">
      <w:pPr>
        <w:pStyle w:val="1"/>
        <w:shd w:val="clear" w:color="auto" w:fill="FFFFFF"/>
        <w:spacing w:before="0" w:beforeAutospacing="0" w:after="0" w:afterAutospacing="0"/>
        <w:jc w:val="both"/>
        <w:textAlignment w:val="baseline"/>
        <w:rPr>
          <w:vanish/>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p w:rsidR="006B7476" w:rsidRPr="00C03848" w:rsidRDefault="006B7476" w:rsidP="008B76F2">
      <w:pPr>
        <w:pStyle w:val="1"/>
        <w:shd w:val="clear" w:color="auto" w:fill="FFFFFF"/>
        <w:spacing w:before="0" w:beforeAutospacing="0" w:after="0" w:afterAutospacing="0"/>
        <w:jc w:val="both"/>
        <w:textAlignment w:val="baseline"/>
        <w:rPr>
          <w:lang w:val="uk-UA"/>
        </w:rPr>
      </w:pPr>
      <w:r w:rsidRPr="00C03848">
        <w:rPr>
          <w:lang w:val="uk-UA"/>
        </w:rPr>
        <w:t xml:space="preserve">4. Для цілей </w:t>
      </w:r>
      <w:r w:rsidR="00DA04EC" w:rsidRPr="00C03848">
        <w:rPr>
          <w:lang w:val="uk-UA"/>
        </w:rPr>
        <w:t>під</w:t>
      </w:r>
      <w:r w:rsidRPr="00C03848">
        <w:rPr>
          <w:lang w:val="uk-UA"/>
        </w:rPr>
        <w:t>пункту (а) п</w:t>
      </w:r>
      <w:r w:rsidR="00DA04EC" w:rsidRPr="00C03848">
        <w:rPr>
          <w:lang w:val="uk-UA"/>
        </w:rPr>
        <w:t>ункт</w:t>
      </w:r>
      <w:r w:rsidRPr="00C03848">
        <w:rPr>
          <w:lang w:val="uk-UA"/>
        </w:rPr>
        <w:t>у 3, держави-члени повинні вимагати, щоб загальний об</w:t>
      </w:r>
      <w:r w:rsidR="00DA04EC" w:rsidRPr="00C03848">
        <w:rPr>
          <w:lang w:val="uk-UA"/>
        </w:rPr>
        <w:t>орот</w:t>
      </w:r>
      <w:r w:rsidRPr="00C03848">
        <w:rPr>
          <w:lang w:val="uk-UA"/>
        </w:rPr>
        <w:t xml:space="preserve"> фінансової діяльності не перевищував </w:t>
      </w:r>
      <w:r w:rsidR="00DA04EC" w:rsidRPr="00C03848">
        <w:rPr>
          <w:lang w:val="uk-UA"/>
        </w:rPr>
        <w:t>граничну величину</w:t>
      </w:r>
      <w:r w:rsidRPr="00C03848">
        <w:rPr>
          <w:lang w:val="uk-UA"/>
        </w:rPr>
        <w:t>, як</w:t>
      </w:r>
      <w:r w:rsidR="00DA04EC" w:rsidRPr="00C03848">
        <w:rPr>
          <w:lang w:val="uk-UA"/>
        </w:rPr>
        <w:t xml:space="preserve">а </w:t>
      </w:r>
      <w:r w:rsidRPr="00C03848">
        <w:rPr>
          <w:lang w:val="uk-UA"/>
        </w:rPr>
        <w:t>повинн</w:t>
      </w:r>
      <w:r w:rsidR="00DA04EC" w:rsidRPr="00C03848">
        <w:rPr>
          <w:lang w:val="uk-UA"/>
        </w:rPr>
        <w:t>а</w:t>
      </w:r>
      <w:r w:rsidRPr="00C03848">
        <w:rPr>
          <w:lang w:val="uk-UA"/>
        </w:rPr>
        <w:t xml:space="preserve"> бути досить низьк</w:t>
      </w:r>
      <w:r w:rsidR="00DA04EC" w:rsidRPr="00C03848">
        <w:rPr>
          <w:lang w:val="uk-UA"/>
        </w:rPr>
        <w:t>ою</w:t>
      </w:r>
      <w:r w:rsidRPr="00C03848">
        <w:rPr>
          <w:lang w:val="uk-UA"/>
        </w:rPr>
        <w:t xml:space="preserve">. </w:t>
      </w:r>
      <w:r w:rsidR="00DA04EC" w:rsidRPr="00C03848">
        <w:rPr>
          <w:lang w:val="uk-UA"/>
        </w:rPr>
        <w:t xml:space="preserve">Зазначена гранична величина повинна бути </w:t>
      </w:r>
      <w:r w:rsidRPr="00C03848">
        <w:rPr>
          <w:lang w:val="uk-UA"/>
        </w:rPr>
        <w:t>встановл</w:t>
      </w:r>
      <w:r w:rsidR="00DA04EC" w:rsidRPr="00C03848">
        <w:rPr>
          <w:lang w:val="uk-UA"/>
        </w:rPr>
        <w:t>ена</w:t>
      </w:r>
      <w:r w:rsidRPr="00C03848">
        <w:rPr>
          <w:lang w:val="uk-UA"/>
        </w:rPr>
        <w:t xml:space="preserve"> на національному рівні в залежності від типу фінансової діяльності.</w:t>
      </w:r>
    </w:p>
    <w:p w:rsidR="006B7476" w:rsidRPr="00C03848" w:rsidRDefault="006B7476" w:rsidP="008B76F2">
      <w:pPr>
        <w:pStyle w:val="1"/>
        <w:shd w:val="clear" w:color="auto" w:fill="FFFFFF"/>
        <w:spacing w:before="0" w:beforeAutospacing="0" w:after="0" w:afterAutospacing="0"/>
        <w:jc w:val="both"/>
        <w:textAlignment w:val="baseline"/>
        <w:rPr>
          <w:lang w:val="uk-UA"/>
        </w:rPr>
      </w:pPr>
      <w:r w:rsidRPr="00C03848">
        <w:rPr>
          <w:lang w:val="uk-UA"/>
        </w:rPr>
        <w:t xml:space="preserve">5. Для цілей </w:t>
      </w:r>
      <w:r w:rsidR="00DA04EC" w:rsidRPr="00C03848">
        <w:rPr>
          <w:lang w:val="uk-UA"/>
        </w:rPr>
        <w:t>під</w:t>
      </w:r>
      <w:r w:rsidRPr="00C03848">
        <w:rPr>
          <w:lang w:val="uk-UA"/>
        </w:rPr>
        <w:t>пункту (b) п</w:t>
      </w:r>
      <w:r w:rsidR="00DA04EC" w:rsidRPr="00C03848">
        <w:rPr>
          <w:lang w:val="uk-UA"/>
        </w:rPr>
        <w:t>ункт</w:t>
      </w:r>
      <w:r w:rsidRPr="00C03848">
        <w:rPr>
          <w:lang w:val="uk-UA"/>
        </w:rPr>
        <w:t>у 3, держави-члени повинні застосовувати максимальн</w:t>
      </w:r>
      <w:r w:rsidR="00DA04EC" w:rsidRPr="00C03848">
        <w:rPr>
          <w:lang w:val="uk-UA"/>
        </w:rPr>
        <w:t>у граничну величину</w:t>
      </w:r>
      <w:r w:rsidRPr="00C03848">
        <w:rPr>
          <w:lang w:val="uk-UA"/>
        </w:rPr>
        <w:t xml:space="preserve"> </w:t>
      </w:r>
      <w:r w:rsidR="00DA04EC" w:rsidRPr="00C03848">
        <w:rPr>
          <w:lang w:val="uk-UA"/>
        </w:rPr>
        <w:t>на</w:t>
      </w:r>
      <w:r w:rsidRPr="00C03848">
        <w:rPr>
          <w:lang w:val="uk-UA"/>
        </w:rPr>
        <w:t xml:space="preserve"> кожного клієнта і на кожну транзакцію, незалежно від того чи транзакція здійснюється в рамках однієї операції чи декількох операцій, які</w:t>
      </w:r>
      <w:r w:rsidR="00DA04EC" w:rsidRPr="00C03848">
        <w:rPr>
          <w:lang w:val="uk-UA"/>
        </w:rPr>
        <w:t xml:space="preserve"> </w:t>
      </w:r>
      <w:r w:rsidRPr="00C03848">
        <w:rPr>
          <w:lang w:val="uk-UA"/>
        </w:rPr>
        <w:t xml:space="preserve">є пов'язаними. </w:t>
      </w:r>
      <w:r w:rsidR="00DA04EC" w:rsidRPr="00C03848">
        <w:rPr>
          <w:lang w:val="uk-UA"/>
        </w:rPr>
        <w:t xml:space="preserve">Зазначена максимальна гранична величина повинна </w:t>
      </w:r>
      <w:r w:rsidRPr="00C03848">
        <w:rPr>
          <w:lang w:val="uk-UA"/>
        </w:rPr>
        <w:t xml:space="preserve">встановлюватися на національному </w:t>
      </w:r>
      <w:r w:rsidRPr="00C03848">
        <w:rPr>
          <w:lang w:val="uk-UA"/>
        </w:rPr>
        <w:lastRenderedPageBreak/>
        <w:t>рівні, в залежності ві</w:t>
      </w:r>
      <w:r w:rsidR="00DA04EC" w:rsidRPr="00C03848">
        <w:rPr>
          <w:lang w:val="uk-UA"/>
        </w:rPr>
        <w:t>д типу фінансової діяльності. Во</w:t>
      </w:r>
      <w:r w:rsidRPr="00C03848">
        <w:rPr>
          <w:lang w:val="uk-UA"/>
        </w:rPr>
        <w:t>н</w:t>
      </w:r>
      <w:r w:rsidR="00DA04EC" w:rsidRPr="00C03848">
        <w:rPr>
          <w:lang w:val="uk-UA"/>
        </w:rPr>
        <w:t>а повинна</w:t>
      </w:r>
      <w:r w:rsidRPr="00C03848">
        <w:rPr>
          <w:lang w:val="uk-UA"/>
        </w:rPr>
        <w:t xml:space="preserve"> бути досить низьк</w:t>
      </w:r>
      <w:r w:rsidR="00DA04EC" w:rsidRPr="00C03848">
        <w:rPr>
          <w:lang w:val="uk-UA"/>
        </w:rPr>
        <w:t>ою</w:t>
      </w:r>
      <w:r w:rsidRPr="00C03848">
        <w:rPr>
          <w:lang w:val="uk-UA"/>
        </w:rPr>
        <w:t xml:space="preserve"> для того, щоб забезпе</w:t>
      </w:r>
      <w:r w:rsidR="00DA04EC" w:rsidRPr="00C03848">
        <w:rPr>
          <w:lang w:val="uk-UA"/>
        </w:rPr>
        <w:t>чити, що види транзакцій, про які йде мова</w:t>
      </w:r>
      <w:r w:rsidRPr="00C03848">
        <w:rPr>
          <w:lang w:val="uk-UA"/>
        </w:rPr>
        <w:t>,</w:t>
      </w:r>
      <w:r w:rsidR="00DA04EC" w:rsidRPr="00C03848">
        <w:rPr>
          <w:lang w:val="uk-UA"/>
        </w:rPr>
        <w:t xml:space="preserve"> є непрактичним та неефективним методом</w:t>
      </w:r>
      <w:r w:rsidRPr="00C03848">
        <w:rPr>
          <w:lang w:val="uk-UA"/>
        </w:rPr>
        <w:t xml:space="preserve"> в процесі відмивання грошей або фінансування тероризму, і не повинн</w:t>
      </w:r>
      <w:r w:rsidR="00DA04EC" w:rsidRPr="00C03848">
        <w:rPr>
          <w:lang w:val="uk-UA"/>
        </w:rPr>
        <w:t>а</w:t>
      </w:r>
      <w:r w:rsidRPr="00C03848">
        <w:rPr>
          <w:lang w:val="uk-UA"/>
        </w:rPr>
        <w:t xml:space="preserve"> перевищувати 1 000 євро.</w:t>
      </w:r>
    </w:p>
    <w:p w:rsidR="00AD1D58" w:rsidRPr="00C03848" w:rsidRDefault="00AD1D58" w:rsidP="008B76F2">
      <w:pPr>
        <w:pStyle w:val="1"/>
        <w:shd w:val="clear" w:color="auto" w:fill="FFFFFF"/>
        <w:spacing w:before="0" w:beforeAutospacing="0" w:after="0" w:afterAutospacing="0"/>
        <w:jc w:val="both"/>
        <w:textAlignment w:val="baseline"/>
        <w:rPr>
          <w:lang w:val="uk-UA"/>
        </w:rPr>
      </w:pPr>
      <w:r w:rsidRPr="00C03848">
        <w:rPr>
          <w:lang w:val="uk-UA"/>
        </w:rPr>
        <w:t>6. Для цілей підпункту (с) пункту 3, держави-члени повинні вимагати, щоб об</w:t>
      </w:r>
      <w:r w:rsidR="00300805" w:rsidRPr="00C03848">
        <w:rPr>
          <w:lang w:val="uk-UA"/>
        </w:rPr>
        <w:t>орот</w:t>
      </w:r>
      <w:r w:rsidRPr="00C03848">
        <w:rPr>
          <w:lang w:val="uk-UA"/>
        </w:rPr>
        <w:t xml:space="preserve"> фінансової діяльності, не перевищував 5% від загального обороту </w:t>
      </w:r>
      <w:r w:rsidR="00300805" w:rsidRPr="00C03848">
        <w:rPr>
          <w:lang w:val="uk-UA"/>
        </w:rPr>
        <w:t xml:space="preserve">відповідної </w:t>
      </w:r>
      <w:r w:rsidRPr="00C03848">
        <w:rPr>
          <w:lang w:val="uk-UA"/>
        </w:rPr>
        <w:t>фізичної або юридичної особи.</w:t>
      </w:r>
    </w:p>
    <w:p w:rsidR="00AD1D58" w:rsidRPr="00C03848" w:rsidRDefault="00AD1D58" w:rsidP="008B76F2">
      <w:pPr>
        <w:pStyle w:val="1"/>
        <w:shd w:val="clear" w:color="auto" w:fill="FFFFFF"/>
        <w:spacing w:before="0" w:beforeAutospacing="0" w:after="0" w:afterAutospacing="0"/>
        <w:jc w:val="both"/>
        <w:textAlignment w:val="baseline"/>
        <w:rPr>
          <w:lang w:val="uk-UA"/>
        </w:rPr>
      </w:pPr>
      <w:r w:rsidRPr="00C03848">
        <w:rPr>
          <w:lang w:val="uk-UA"/>
        </w:rPr>
        <w:t xml:space="preserve">7. </w:t>
      </w:r>
      <w:r w:rsidR="00300805" w:rsidRPr="00C03848">
        <w:rPr>
          <w:lang w:val="uk-UA"/>
        </w:rPr>
        <w:t>У процесі здійснення</w:t>
      </w:r>
      <w:r w:rsidRPr="00C03848">
        <w:rPr>
          <w:lang w:val="uk-UA"/>
        </w:rPr>
        <w:t xml:space="preserve"> оцін</w:t>
      </w:r>
      <w:r w:rsidR="00300805" w:rsidRPr="00C03848">
        <w:rPr>
          <w:lang w:val="uk-UA"/>
        </w:rPr>
        <w:t xml:space="preserve">ювання </w:t>
      </w:r>
      <w:r w:rsidRPr="00C03848">
        <w:rPr>
          <w:lang w:val="uk-UA"/>
        </w:rPr>
        <w:t xml:space="preserve">ризику відмивання грошей або фінансування тероризму для цілей цієї Статті, держави-члени повинні приділяти особливу увагу будь-якій фінансової діяльності, яка, як вважається, надзвичайно </w:t>
      </w:r>
      <w:r w:rsidR="00300805" w:rsidRPr="00C03848">
        <w:rPr>
          <w:lang w:val="uk-UA"/>
        </w:rPr>
        <w:t>ймовірною</w:t>
      </w:r>
      <w:r w:rsidRPr="00C03848">
        <w:rPr>
          <w:lang w:val="uk-UA"/>
        </w:rPr>
        <w:t xml:space="preserve"> за сво</w:t>
      </w:r>
      <w:r w:rsidR="00300805" w:rsidRPr="00C03848">
        <w:rPr>
          <w:lang w:val="uk-UA"/>
        </w:rPr>
        <w:t>їм характером</w:t>
      </w:r>
      <w:r w:rsidRPr="00C03848">
        <w:rPr>
          <w:lang w:val="uk-UA"/>
        </w:rPr>
        <w:t>, бути  використаною або зловживаною з метою відмивання грошей або фінансування терори</w:t>
      </w:r>
      <w:r w:rsidR="00300805" w:rsidRPr="00C03848">
        <w:rPr>
          <w:lang w:val="uk-UA"/>
        </w:rPr>
        <w:t>зму</w:t>
      </w:r>
      <w:r w:rsidRPr="00C03848">
        <w:rPr>
          <w:lang w:val="uk-UA"/>
        </w:rPr>
        <w:t>.</w:t>
      </w:r>
    </w:p>
    <w:p w:rsidR="00424313" w:rsidRPr="00C03848" w:rsidRDefault="00424313" w:rsidP="008B76F2">
      <w:pPr>
        <w:pStyle w:val="1"/>
        <w:shd w:val="clear" w:color="auto" w:fill="FFFFFF"/>
        <w:spacing w:before="0" w:beforeAutospacing="0" w:after="0" w:afterAutospacing="0"/>
        <w:jc w:val="both"/>
        <w:textAlignment w:val="baseline"/>
        <w:rPr>
          <w:lang w:val="uk-UA"/>
        </w:rPr>
      </w:pPr>
      <w:r w:rsidRPr="00C03848">
        <w:rPr>
          <w:lang w:val="uk-UA"/>
        </w:rPr>
        <w:t>8.    Рішення, прийняті державами-членами відповідно до пункту 3, повинні  вказувати причини, на яких вони засновані. Держави-члени можуть прийняти рішення про припинення таких рішень, якщо відбулися зміни обставин. Вони повинні повідомляти про такі рішення Комісії. Комісія повинна повідомляти про такі рішення  іншим державам-членам.</w:t>
      </w:r>
    </w:p>
    <w:p w:rsidR="00424313" w:rsidRPr="00C03848" w:rsidRDefault="00424313" w:rsidP="008B76F2">
      <w:pPr>
        <w:pStyle w:val="1"/>
        <w:shd w:val="clear" w:color="auto" w:fill="FFFFFF"/>
        <w:spacing w:before="0" w:beforeAutospacing="0" w:after="0" w:afterAutospacing="0"/>
        <w:jc w:val="both"/>
        <w:textAlignment w:val="baseline"/>
        <w:rPr>
          <w:lang w:val="uk-UA"/>
        </w:rPr>
      </w:pPr>
      <w:r w:rsidRPr="00C03848">
        <w:rPr>
          <w:lang w:val="uk-UA"/>
        </w:rPr>
        <w:t>9.   Держави-члени повинні встановити на засновані на ризику моніторингові механізми або вжити інші відповідні заходи для забезпечення таких умов, щоб виключенням, наданим рішеннями відповідно до цієї Статті, не зловживали.</w:t>
      </w:r>
    </w:p>
    <w:p w:rsidR="00424313" w:rsidRPr="00C03848" w:rsidRDefault="00424313" w:rsidP="008B76F2">
      <w:pPr>
        <w:pStyle w:val="ti-art"/>
        <w:shd w:val="clear" w:color="auto" w:fill="FFFFFF"/>
        <w:spacing w:before="0" w:beforeAutospacing="0" w:after="0" w:afterAutospacing="0"/>
        <w:jc w:val="center"/>
        <w:textAlignment w:val="baseline"/>
        <w:rPr>
          <w:iCs/>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3</w:t>
      </w:r>
    </w:p>
    <w:p w:rsidR="009F12EA" w:rsidRPr="00C03848" w:rsidRDefault="009F12EA" w:rsidP="008B76F2">
      <w:pPr>
        <w:pStyle w:val="1"/>
        <w:shd w:val="clear" w:color="auto" w:fill="FFFFFF"/>
        <w:spacing w:before="0" w:beforeAutospacing="0" w:after="0" w:afterAutospacing="0"/>
        <w:jc w:val="both"/>
        <w:textAlignment w:val="baseline"/>
        <w:rPr>
          <w:lang w:val="uk-UA"/>
        </w:rPr>
      </w:pPr>
      <w:r w:rsidRPr="00C03848">
        <w:rPr>
          <w:lang w:val="uk-UA"/>
        </w:rPr>
        <w:t>Для цілей даної Директиви застосовуються наступні визначення:</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951F38" w:rsidRPr="00C03848" w:rsidTr="00951F3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51F38" w:rsidRPr="00C03848" w:rsidRDefault="00951F38" w:rsidP="008B76F2">
            <w:pPr>
              <w:pStyle w:val="1"/>
              <w:spacing w:before="0" w:beforeAutospacing="0" w:after="0" w:afterAutospacing="0"/>
              <w:jc w:val="both"/>
              <w:textAlignment w:val="baseline"/>
              <w:rPr>
                <w:lang w:val="uk-UA"/>
              </w:rPr>
            </w:pPr>
            <w:bookmarkStart w:id="4" w:name="o91"/>
            <w:bookmarkEnd w:id="4"/>
            <w:r w:rsidRPr="00C03848">
              <w:rPr>
                <w:lang w:val="uk-UA"/>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F0CBA" w:rsidRPr="00C03848" w:rsidRDefault="00951F38" w:rsidP="008B76F2">
            <w:pPr>
              <w:pStyle w:val="1"/>
              <w:spacing w:before="0" w:beforeAutospacing="0" w:after="0" w:afterAutospacing="0"/>
              <w:jc w:val="both"/>
              <w:textAlignment w:val="baseline"/>
              <w:rPr>
                <w:lang w:val="uk-UA"/>
              </w:rPr>
            </w:pPr>
            <w:r w:rsidRPr="00C03848">
              <w:rPr>
                <w:lang w:val="uk-UA"/>
              </w:rPr>
              <w:t xml:space="preserve">"кредитна установа" означає кредитну установу, як визначено в пункті (1) Статті 4 (1) Регламенту (EU) № 575/2013 Європейського Парламенту та Ради </w:t>
            </w:r>
            <w:hyperlink r:id="rId29" w:anchor="ntr22-L_2015141EN.01007301-E0022" w:history="1">
              <w:r w:rsidRPr="00C03848">
                <w:rPr>
                  <w:rStyle w:val="Hyperlink"/>
                  <w:color w:val="auto"/>
                  <w:lang w:val="uk-UA"/>
                </w:rPr>
                <w:t> (22)</w:t>
              </w:r>
            </w:hyperlink>
            <w:r w:rsidR="00AC3A3E" w:rsidRPr="00C03848">
              <w:rPr>
                <w:lang w:val="uk-UA"/>
              </w:rPr>
              <w:t>, включаючи її філії</w:t>
            </w:r>
            <w:r w:rsidRPr="00C03848">
              <w:rPr>
                <w:lang w:val="uk-UA"/>
              </w:rPr>
              <w:t>, як визначено в пункті (17) з Статті 4 (1) зазначеного Регламенту, розташованих в Союзі, незалежно чи  знаходиться їх головний офіс в Союзі або в третій країні;</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1F0CBA" w:rsidP="008B76F2">
            <w:pPr>
              <w:pStyle w:val="1"/>
              <w:spacing w:before="0" w:beforeAutospacing="0" w:after="0" w:afterAutospacing="0"/>
              <w:jc w:val="both"/>
              <w:textAlignment w:val="baseline"/>
              <w:rPr>
                <w:lang w:val="uk-UA"/>
              </w:rPr>
            </w:pPr>
            <w:r w:rsidRPr="00C03848">
              <w:rPr>
                <w:lang w:val="uk-UA"/>
              </w:rPr>
              <w:t>"фінансова установа" означає:</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1F0CBA" w:rsidP="008B76F2">
                  <w:pPr>
                    <w:pStyle w:val="1"/>
                    <w:spacing w:before="0" w:beforeAutospacing="0" w:after="0" w:afterAutospacing="0"/>
                    <w:jc w:val="both"/>
                    <w:textAlignment w:val="baseline"/>
                    <w:rPr>
                      <w:lang w:val="uk-UA"/>
                    </w:rPr>
                  </w:pPr>
                  <w:r w:rsidRPr="00C03848">
                    <w:rPr>
                      <w:lang w:val="uk-UA"/>
                    </w:rPr>
                    <w:t xml:space="preserve">інше підприємство, ніж кредитна установа, яке здійснює один або більше видів діяльності, перелічених у пунктах з (2) по (12), (14) і (15) Додатка I Регламенту 2013/36/EU Європейського Парламенту та Ради </w:t>
                  </w:r>
                  <w:hyperlink r:id="rId30" w:anchor="ntr23-L_2015141EN.01007301-E0023" w:history="1">
                    <w:r w:rsidRPr="00C03848">
                      <w:rPr>
                        <w:rStyle w:val="Hyperlink"/>
                        <w:color w:val="auto"/>
                        <w:bdr w:val="none" w:sz="0" w:space="0" w:color="auto" w:frame="1"/>
                        <w:lang w:val="uk-UA"/>
                      </w:rPr>
                      <w:t> (</w:t>
                    </w:r>
                    <w:r w:rsidRPr="00C03848">
                      <w:rPr>
                        <w:rStyle w:val="super"/>
                        <w:sz w:val="24"/>
                        <w:szCs w:val="24"/>
                        <w:bdr w:val="none" w:sz="0" w:space="0" w:color="auto" w:frame="1"/>
                        <w:lang w:val="uk-UA"/>
                      </w:rPr>
                      <w:t>23</w:t>
                    </w:r>
                    <w:r w:rsidRPr="00C03848">
                      <w:rPr>
                        <w:rStyle w:val="Hyperlink"/>
                        <w:color w:val="auto"/>
                        <w:bdr w:val="none" w:sz="0" w:space="0" w:color="auto" w:frame="1"/>
                        <w:lang w:val="uk-UA"/>
                      </w:rPr>
                      <w:t>)</w:t>
                    </w:r>
                  </w:hyperlink>
                  <w:r w:rsidRPr="00C03848">
                    <w:rPr>
                      <w:lang w:val="uk-UA"/>
                    </w:rPr>
                    <w:t xml:space="preserve">, у тому числі діяльності пунктів обміну валют (обмінні пункти); </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69"/>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F0CBA" w:rsidRPr="00C03848" w:rsidRDefault="001F0CBA" w:rsidP="008B76F2">
                  <w:pPr>
                    <w:pStyle w:val="1"/>
                    <w:spacing w:before="0" w:beforeAutospacing="0" w:after="0" w:afterAutospacing="0"/>
                    <w:jc w:val="both"/>
                    <w:textAlignment w:val="baseline"/>
                    <w:rPr>
                      <w:lang w:val="uk-UA"/>
                    </w:rPr>
                  </w:pPr>
                  <w:r w:rsidRPr="00C03848">
                    <w:rPr>
                      <w:lang w:val="uk-UA"/>
                    </w:rPr>
                    <w:t xml:space="preserve">страхова організація, як визначено в пункті (1) Статті 13 </w:t>
                  </w:r>
                  <w:r w:rsidR="000D76AB" w:rsidRPr="00C03848">
                    <w:rPr>
                      <w:lang w:val="uk-UA"/>
                    </w:rPr>
                    <w:t>Директиви</w:t>
                  </w:r>
                  <w:r w:rsidRPr="00C03848">
                    <w:rPr>
                      <w:lang w:val="uk-UA"/>
                    </w:rPr>
                    <w:t xml:space="preserve"> 2009/138/EC Європейського Парламенту та Ради</w:t>
                  </w:r>
                  <w:hyperlink r:id="rId31" w:anchor="ntr24-L_2015141EN.01007301-E0024" w:history="1">
                    <w:r w:rsidRPr="00C03848">
                      <w:rPr>
                        <w:rStyle w:val="Hyperlink"/>
                        <w:color w:val="auto"/>
                        <w:u w:val="none"/>
                        <w:bdr w:val="none" w:sz="0" w:space="0" w:color="auto" w:frame="1"/>
                        <w:lang w:val="uk-UA"/>
                      </w:rPr>
                      <w:t> (</w:t>
                    </w:r>
                    <w:r w:rsidRPr="00C03848">
                      <w:rPr>
                        <w:rStyle w:val="super"/>
                        <w:sz w:val="24"/>
                        <w:szCs w:val="24"/>
                        <w:bdr w:val="none" w:sz="0" w:space="0" w:color="auto" w:frame="1"/>
                        <w:lang w:val="uk-UA"/>
                      </w:rPr>
                      <w:t>24</w:t>
                    </w:r>
                    <w:r w:rsidRPr="00C03848">
                      <w:rPr>
                        <w:rStyle w:val="Hyperlink"/>
                        <w:color w:val="auto"/>
                        <w:u w:val="none"/>
                        <w:bdr w:val="none" w:sz="0" w:space="0" w:color="auto" w:frame="1"/>
                        <w:lang w:val="uk-UA"/>
                      </w:rPr>
                      <w:t>)</w:t>
                    </w:r>
                  </w:hyperlink>
                  <w:r w:rsidRPr="00C03848">
                    <w:rPr>
                      <w:rStyle w:val="Hyperlink"/>
                      <w:color w:val="auto"/>
                      <w:u w:val="none"/>
                      <w:bdr w:val="none" w:sz="0" w:space="0" w:color="auto" w:frame="1"/>
                      <w:lang w:val="uk-UA"/>
                    </w:rPr>
                    <w:t>, настільки, на</w:t>
                  </w:r>
                  <w:r w:rsidRPr="00C03848">
                    <w:rPr>
                      <w:lang w:val="uk-UA"/>
                    </w:rPr>
                    <w:t>скільки вона здійснює діяльність зі страхування життя, які охоплюються</w:t>
                  </w:r>
                  <w:r w:rsidR="000D76AB" w:rsidRPr="00C03848">
                    <w:rPr>
                      <w:lang w:val="uk-UA"/>
                    </w:rPr>
                    <w:t xml:space="preserve"> положеннями</w:t>
                  </w:r>
                  <w:r w:rsidRPr="00C03848">
                    <w:rPr>
                      <w:lang w:val="uk-UA"/>
                    </w:rPr>
                    <w:t xml:space="preserve"> </w:t>
                  </w:r>
                  <w:r w:rsidR="000D76AB" w:rsidRPr="00C03848">
                    <w:rPr>
                      <w:lang w:val="uk-UA"/>
                    </w:rPr>
                    <w:t>зазначеної Директиви</w:t>
                  </w:r>
                  <w:r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D76AB" w:rsidRPr="00C03848" w:rsidRDefault="000D76AB" w:rsidP="008B76F2">
                  <w:pPr>
                    <w:pStyle w:val="1"/>
                    <w:spacing w:before="0" w:beforeAutospacing="0" w:after="0" w:afterAutospacing="0"/>
                    <w:jc w:val="both"/>
                    <w:textAlignment w:val="baseline"/>
                    <w:rPr>
                      <w:lang w:val="uk-UA"/>
                    </w:rPr>
                  </w:pPr>
                  <w:r w:rsidRPr="00C03848">
                    <w:rPr>
                      <w:lang w:val="uk-UA"/>
                    </w:rPr>
                    <w:t xml:space="preserve">інвестиційна фірма, як визначено в пункті (1) Стаття 4 (1) Директиви 2004/39/ЕС Європейського Парламенту та Ради </w:t>
                  </w:r>
                  <w:hyperlink r:id="rId32" w:anchor="ntr25-L_2015141EN.01007301-E0025" w:history="1">
                    <w:r w:rsidRPr="00C03848">
                      <w:rPr>
                        <w:rStyle w:val="Hyperlink"/>
                        <w:color w:val="auto"/>
                        <w:bdr w:val="none" w:sz="0" w:space="0" w:color="auto" w:frame="1"/>
                        <w:lang w:val="uk-UA"/>
                      </w:rPr>
                      <w:t> (</w:t>
                    </w:r>
                    <w:r w:rsidRPr="00C03848">
                      <w:rPr>
                        <w:rStyle w:val="super"/>
                        <w:sz w:val="24"/>
                        <w:szCs w:val="24"/>
                        <w:bdr w:val="none" w:sz="0" w:space="0" w:color="auto" w:frame="1"/>
                        <w:lang w:val="uk-UA"/>
                      </w:rPr>
                      <w:t>25</w:t>
                    </w:r>
                    <w:r w:rsidRPr="00C03848">
                      <w:rPr>
                        <w:rStyle w:val="Hyperlink"/>
                        <w:color w:val="auto"/>
                        <w:bdr w:val="none" w:sz="0" w:space="0" w:color="auto" w:frame="1"/>
                        <w:lang w:val="uk-UA"/>
                      </w:rPr>
                      <w:t>)</w:t>
                    </w:r>
                  </w:hyperlink>
                  <w:r w:rsidRPr="00C03848">
                    <w:rPr>
                      <w:lang w:val="uk-UA"/>
                    </w:rPr>
                    <w:t xml:space="preserve"> ;</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4"/>
              <w:gridCol w:w="8500"/>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D76AB" w:rsidRPr="00C03848" w:rsidRDefault="000D76AB" w:rsidP="008B76F2">
                  <w:pPr>
                    <w:pStyle w:val="1"/>
                    <w:spacing w:before="0" w:beforeAutospacing="0" w:after="0" w:afterAutospacing="0"/>
                    <w:jc w:val="both"/>
                    <w:textAlignment w:val="baseline"/>
                    <w:rPr>
                      <w:lang w:val="uk-UA"/>
                    </w:rPr>
                  </w:pPr>
                  <w:r w:rsidRPr="00C03848">
                    <w:rPr>
                      <w:lang w:val="uk-UA"/>
                    </w:rPr>
                    <w:t>колективне інвестиційне підприємство, яке  продає свої паї або акції;</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C54A7" w:rsidRPr="00C03848" w:rsidRDefault="00BC54A7" w:rsidP="008B76F2">
                  <w:pPr>
                    <w:pStyle w:val="1"/>
                    <w:spacing w:before="0" w:beforeAutospacing="0" w:after="0" w:afterAutospacing="0"/>
                    <w:jc w:val="both"/>
                    <w:textAlignment w:val="baseline"/>
                    <w:rPr>
                      <w:lang w:val="uk-UA"/>
                    </w:rPr>
                  </w:pPr>
                  <w:r w:rsidRPr="00C03848">
                    <w:rPr>
                      <w:lang w:val="uk-UA"/>
                    </w:rPr>
                    <w:t xml:space="preserve">страховий посередник, як визначено в пункті (5) Статті 2 Директиви 2002/92/ЕС Європейського Парламенту та Ради </w:t>
                  </w:r>
                  <w:hyperlink r:id="rId33" w:anchor="ntr26-L_2015141EN.01007301-E0026" w:history="1">
                    <w:r w:rsidRPr="00C03848">
                      <w:rPr>
                        <w:rStyle w:val="Hyperlink"/>
                        <w:color w:val="auto"/>
                        <w:bdr w:val="none" w:sz="0" w:space="0" w:color="auto" w:frame="1"/>
                        <w:lang w:val="uk-UA"/>
                      </w:rPr>
                      <w:t> (</w:t>
                    </w:r>
                    <w:r w:rsidRPr="00C03848">
                      <w:rPr>
                        <w:rStyle w:val="super"/>
                        <w:sz w:val="24"/>
                        <w:szCs w:val="24"/>
                        <w:bdr w:val="none" w:sz="0" w:space="0" w:color="auto" w:frame="1"/>
                        <w:lang w:val="uk-UA"/>
                      </w:rPr>
                      <w:t>26</w:t>
                    </w:r>
                    <w:r w:rsidRPr="00C03848">
                      <w:rPr>
                        <w:rStyle w:val="Hyperlink"/>
                        <w:color w:val="auto"/>
                        <w:bdr w:val="none" w:sz="0" w:space="0" w:color="auto" w:frame="1"/>
                        <w:lang w:val="uk-UA"/>
                      </w:rPr>
                      <w:t>)</w:t>
                    </w:r>
                  </w:hyperlink>
                  <w:r w:rsidRPr="00C03848">
                    <w:rPr>
                      <w:lang w:val="uk-UA"/>
                    </w:rPr>
                    <w:t xml:space="preserve"> у випадку, в якому він діє відносно страхування життя та інших інвестиційних послуг, за винятком пов'язаного страхового посередн</w:t>
                  </w:r>
                  <w:r w:rsidR="008C5FB6" w:rsidRPr="00C03848">
                    <w:rPr>
                      <w:lang w:val="uk-UA"/>
                    </w:rPr>
                    <w:t>ика, як визначено в пункті (7) т</w:t>
                  </w:r>
                  <w:r w:rsidRPr="00C03848">
                    <w:rPr>
                      <w:lang w:val="uk-UA"/>
                    </w:rPr>
                    <w:t>ієї Статті;</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609"/>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C5FB6" w:rsidRPr="00C03848" w:rsidRDefault="008C5FB6" w:rsidP="008B76F2">
                  <w:pPr>
                    <w:pStyle w:val="1"/>
                    <w:spacing w:before="0" w:beforeAutospacing="0" w:after="0" w:afterAutospacing="0"/>
                    <w:jc w:val="both"/>
                    <w:textAlignment w:val="baseline"/>
                    <w:rPr>
                      <w:lang w:val="uk-UA"/>
                    </w:rPr>
                  </w:pPr>
                  <w:r w:rsidRPr="00C03848">
                    <w:rPr>
                      <w:lang w:val="uk-UA"/>
                    </w:rPr>
                    <w:t>філії, якщо вони знаходяться в Союзі, фінансових установ, зазначених в пунктах з (а) по (е), незалежно чи знаходиться їх головний офіс в державі-члені або в третій країні;</w:t>
                  </w:r>
                </w:p>
              </w:tc>
            </w:tr>
          </w:tbl>
          <w:p w:rsidR="00C07AC9" w:rsidRPr="00C03848" w:rsidRDefault="00C07AC9" w:rsidP="008B76F2">
            <w:pPr>
              <w:spacing w:after="0" w:line="240" w:lineRule="auto"/>
              <w:rPr>
                <w:rFonts w:ascii="Times New Roman" w:hAnsi="Times New Roman" w:cs="Times New Roman"/>
                <w:sz w:val="24"/>
                <w:szCs w:val="24"/>
                <w:lang w:val="uk-UA"/>
              </w:rPr>
            </w:pP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2113A1" w:rsidP="008B76F2">
            <w:pPr>
              <w:pStyle w:val="1"/>
              <w:spacing w:before="0" w:beforeAutospacing="0" w:after="0" w:afterAutospacing="0"/>
              <w:jc w:val="both"/>
              <w:textAlignment w:val="baseline"/>
              <w:rPr>
                <w:lang w:val="uk-UA"/>
              </w:rPr>
            </w:pPr>
            <w:r w:rsidRPr="00C03848">
              <w:rPr>
                <w:lang w:val="uk-UA"/>
              </w:rPr>
              <w:t xml:space="preserve">"власність" означає будь-які активи, матеріальні або нематеріальні, рухомі або нерухомі, відчутні або невідчутні, а також юридичні документи або інструменти у будь-якій формі, включаючи електронну або цифрову, що засвідчують право або </w:t>
            </w:r>
            <w:r w:rsidRPr="00C03848">
              <w:rPr>
                <w:lang w:val="uk-UA"/>
              </w:rPr>
              <w:lastRenderedPageBreak/>
              <w:t>інтерес до таких активів;</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AB3ACC" w:rsidP="008B76F2">
            <w:pPr>
              <w:pStyle w:val="1"/>
              <w:spacing w:before="0" w:beforeAutospacing="0" w:after="0" w:afterAutospacing="0"/>
              <w:jc w:val="both"/>
              <w:textAlignment w:val="baseline"/>
              <w:rPr>
                <w:lang w:val="uk-UA"/>
              </w:rPr>
            </w:pPr>
            <w:r w:rsidRPr="00C03848">
              <w:rPr>
                <w:lang w:val="uk-UA"/>
              </w:rPr>
              <w:t>"кримінальна діяльність" означає будь-який вид кримінальної участі у вчиненні наступних серйозних злочинів: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1"/>
              <w:gridCol w:w="8533"/>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AB3ACC" w:rsidP="008B76F2">
                  <w:pPr>
                    <w:pStyle w:val="1"/>
                    <w:spacing w:before="0" w:beforeAutospacing="0" w:after="0" w:afterAutospacing="0"/>
                    <w:jc w:val="both"/>
                    <w:textAlignment w:val="baseline"/>
                    <w:rPr>
                      <w:lang w:val="uk-UA"/>
                    </w:rPr>
                  </w:pPr>
                  <w:r w:rsidRPr="00C03848">
                    <w:rPr>
                      <w:lang w:val="uk-UA"/>
                    </w:rPr>
                    <w:t xml:space="preserve">дії, викладені в Статтях з 1 по 4 із Структурного Рішення </w:t>
                  </w:r>
                  <w:r w:rsidR="00C07AC9" w:rsidRPr="00C03848">
                    <w:rPr>
                      <w:lang w:val="uk-UA"/>
                    </w:rPr>
                    <w:t>2002/475/JHA;</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69"/>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AB3ACC" w:rsidP="008B76F2">
                  <w:pPr>
                    <w:pStyle w:val="1"/>
                    <w:spacing w:before="0" w:beforeAutospacing="0" w:after="0" w:afterAutospacing="0"/>
                    <w:jc w:val="both"/>
                    <w:textAlignment w:val="baseline"/>
                    <w:rPr>
                      <w:lang w:val="uk-UA"/>
                    </w:rPr>
                  </w:pPr>
                  <w:r w:rsidRPr="00C03848">
                    <w:rPr>
                      <w:lang w:val="uk-UA"/>
                    </w:rPr>
                    <w:t xml:space="preserve">будь-який </w:t>
                  </w:r>
                  <w:r w:rsidR="00D81445" w:rsidRPr="00C03848">
                    <w:rPr>
                      <w:lang w:val="uk-UA"/>
                    </w:rPr>
                    <w:t>і</w:t>
                  </w:r>
                  <w:r w:rsidRPr="00C03848">
                    <w:rPr>
                      <w:lang w:val="uk-UA"/>
                    </w:rPr>
                    <w:t>з злочинів, зазначених у Статті 3 (1) (а) Конвенції Організації Об'єднаних Націй 1988 року про боротьбу проти незаконного обігу наркотичних засобів і психотропних речовин;</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084CB9" w:rsidP="008B76F2">
                  <w:pPr>
                    <w:pStyle w:val="1"/>
                    <w:spacing w:before="0" w:beforeAutospacing="0" w:after="0" w:afterAutospacing="0"/>
                    <w:jc w:val="both"/>
                    <w:textAlignment w:val="baseline"/>
                    <w:rPr>
                      <w:lang w:val="uk-UA"/>
                    </w:rPr>
                  </w:pPr>
                  <w:r w:rsidRPr="00C03848">
                    <w:rPr>
                      <w:lang w:val="uk-UA"/>
                    </w:rPr>
                    <w:t xml:space="preserve">діяльності  злочинних організацій, як визначено в Статті 1 документу Ради «Спільні дії» </w:t>
                  </w:r>
                  <w:r w:rsidR="00C07AC9" w:rsidRPr="00C03848">
                    <w:rPr>
                      <w:lang w:val="uk-UA"/>
                    </w:rPr>
                    <w:t>98/733/JHA</w:t>
                  </w:r>
                  <w:hyperlink r:id="rId34" w:anchor="ntr27-L_2015141EN.01007301-E0027" w:history="1">
                    <w:r w:rsidR="00C07AC9" w:rsidRPr="00C03848">
                      <w:rPr>
                        <w:rStyle w:val="Hyperlink"/>
                        <w:color w:val="auto"/>
                        <w:u w:val="none"/>
                        <w:bdr w:val="none" w:sz="0" w:space="0" w:color="auto" w:frame="1"/>
                        <w:lang w:val="uk-UA"/>
                      </w:rPr>
                      <w:t> (</w:t>
                    </w:r>
                    <w:r w:rsidR="00C07AC9" w:rsidRPr="00C03848">
                      <w:rPr>
                        <w:rStyle w:val="super"/>
                        <w:sz w:val="24"/>
                        <w:szCs w:val="24"/>
                        <w:bdr w:val="none" w:sz="0" w:space="0" w:color="auto" w:frame="1"/>
                        <w:lang w:val="uk-UA"/>
                      </w:rPr>
                      <w:t>27</w:t>
                    </w:r>
                    <w:r w:rsidR="00C07AC9" w:rsidRPr="00C03848">
                      <w:rPr>
                        <w:rStyle w:val="Hyperlink"/>
                        <w:color w:val="auto"/>
                        <w:u w:val="none"/>
                        <w:bdr w:val="none" w:sz="0" w:space="0" w:color="auto" w:frame="1"/>
                        <w:lang w:val="uk-UA"/>
                      </w:rPr>
                      <w:t>)</w:t>
                    </w:r>
                  </w:hyperlink>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69"/>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84CB9" w:rsidRPr="00C03848" w:rsidRDefault="00084CB9" w:rsidP="00D81445">
                  <w:pPr>
                    <w:pStyle w:val="1"/>
                    <w:spacing w:before="0" w:beforeAutospacing="0" w:after="0" w:afterAutospacing="0"/>
                    <w:jc w:val="both"/>
                    <w:textAlignment w:val="baseline"/>
                    <w:rPr>
                      <w:lang w:val="uk-UA"/>
                    </w:rPr>
                  </w:pPr>
                  <w:r w:rsidRPr="00C03848">
                    <w:rPr>
                      <w:lang w:val="uk-UA"/>
                    </w:rPr>
                    <w:t>шахрайство, що  впливає на фінансові інтереси Союзу, де воно принаймні є серйозним, як це визначено в Статті 1 (1) та Статті 2 (1) Конвенції про захист фінансових інтересів Європейських Співтовариств</w:t>
                  </w:r>
                  <w:hyperlink r:id="rId35" w:anchor="ntr28-L_2015141EN.01007301-E0028" w:history="1">
                    <w:r w:rsidRPr="00C03848">
                      <w:rPr>
                        <w:rStyle w:val="Hyperlink"/>
                        <w:color w:val="auto"/>
                        <w:u w:val="none"/>
                        <w:bdr w:val="none" w:sz="0" w:space="0" w:color="auto" w:frame="1"/>
                        <w:lang w:val="uk-UA"/>
                      </w:rPr>
                      <w:t> (</w:t>
                    </w:r>
                    <w:r w:rsidRPr="00C03848">
                      <w:rPr>
                        <w:rStyle w:val="super"/>
                        <w:sz w:val="24"/>
                        <w:szCs w:val="24"/>
                        <w:bdr w:val="none" w:sz="0" w:space="0" w:color="auto" w:frame="1"/>
                        <w:lang w:val="uk-UA"/>
                      </w:rPr>
                      <w:t>28</w:t>
                    </w:r>
                    <w:r w:rsidRPr="00C03848">
                      <w:rPr>
                        <w:rStyle w:val="Hyperlink"/>
                        <w:color w:val="auto"/>
                        <w:u w:val="none"/>
                        <w:bdr w:val="none" w:sz="0" w:space="0" w:color="auto" w:frame="1"/>
                        <w:lang w:val="uk-UA"/>
                      </w:rPr>
                      <w:t>)</w:t>
                    </w:r>
                  </w:hyperlink>
                  <w:r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4059"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5"/>
              <w:gridCol w:w="6714"/>
            </w:tblGrid>
            <w:tr w:rsidR="00C07AC9" w:rsidRPr="00C03848" w:rsidTr="00084CB9">
              <w:tc>
                <w:tcPr>
                  <w:tcW w:w="382"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AB3ACC" w:rsidP="008B76F2">
                  <w:pPr>
                    <w:pStyle w:val="1"/>
                    <w:spacing w:before="0" w:beforeAutospacing="0" w:after="0" w:afterAutospacing="0"/>
                    <w:textAlignment w:val="baseline"/>
                    <w:rPr>
                      <w:lang w:val="uk-UA"/>
                    </w:rPr>
                  </w:pPr>
                  <w:r w:rsidRPr="00C03848">
                    <w:rPr>
                      <w:lang w:val="uk-UA"/>
                    </w:rPr>
                    <w:t>корупція</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609"/>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B4130" w:rsidP="008B76F2">
                  <w:pPr>
                    <w:pStyle w:val="1"/>
                    <w:spacing w:before="0" w:beforeAutospacing="0" w:after="0" w:afterAutospacing="0"/>
                    <w:jc w:val="both"/>
                    <w:textAlignment w:val="baseline"/>
                    <w:rPr>
                      <w:lang w:val="uk-UA"/>
                    </w:rPr>
                  </w:pPr>
                  <w:r w:rsidRPr="00C03848">
                    <w:rPr>
                      <w:lang w:val="uk-UA"/>
                    </w:rPr>
                    <w:t xml:space="preserve">усі правопорушення, в тому числі податкові злочини, пов'язані з прямими податками і непрямими податками і, як це визначено в національному законодавстві держав-членів, </w:t>
                  </w:r>
                  <w:r w:rsidR="00A15EF6" w:rsidRPr="00C03848">
                    <w:rPr>
                      <w:lang w:val="uk-UA"/>
                    </w:rPr>
                    <w:t xml:space="preserve">за </w:t>
                  </w:r>
                  <w:r w:rsidRPr="00C03848">
                    <w:rPr>
                      <w:lang w:val="uk-UA"/>
                    </w:rPr>
                    <w:t xml:space="preserve">які </w:t>
                  </w:r>
                  <w:r w:rsidR="00A15EF6" w:rsidRPr="00C03848">
                    <w:rPr>
                      <w:lang w:val="uk-UA"/>
                    </w:rPr>
                    <w:t>встановлює</w:t>
                  </w:r>
                  <w:r w:rsidRPr="00C03848">
                    <w:rPr>
                      <w:lang w:val="uk-UA"/>
                    </w:rPr>
                    <w:t xml:space="preserve">ться </w:t>
                  </w:r>
                  <w:r w:rsidR="00A15EF6" w:rsidRPr="00C03848">
                    <w:rPr>
                      <w:lang w:val="uk-UA"/>
                    </w:rPr>
                    <w:t>відповідальність у вигляді позбавлення волі або затримання на максимальний строк</w:t>
                  </w:r>
                  <w:r w:rsidRPr="00C03848">
                    <w:rPr>
                      <w:lang w:val="uk-UA"/>
                    </w:rPr>
                    <w:t xml:space="preserve"> більш ніж один рік, або, </w:t>
                  </w:r>
                  <w:r w:rsidR="00A15EF6" w:rsidRPr="00C03848">
                    <w:rPr>
                      <w:lang w:val="uk-UA"/>
                    </w:rPr>
                    <w:t>для тих</w:t>
                  </w:r>
                  <w:r w:rsidRPr="00C03848">
                    <w:rPr>
                      <w:lang w:val="uk-UA"/>
                    </w:rPr>
                    <w:t xml:space="preserve"> держав-членів, які мають мінімальний поріг для</w:t>
                  </w:r>
                  <w:r w:rsidR="00A15EF6" w:rsidRPr="00C03848">
                    <w:rPr>
                      <w:lang w:val="uk-UA"/>
                    </w:rPr>
                    <w:t xml:space="preserve"> правопорушень</w:t>
                  </w:r>
                  <w:r w:rsidRPr="00C03848">
                    <w:rPr>
                      <w:lang w:val="uk-UA"/>
                    </w:rPr>
                    <w:t xml:space="preserve"> </w:t>
                  </w:r>
                  <w:r w:rsidR="00A15EF6" w:rsidRPr="00C03848">
                    <w:rPr>
                      <w:lang w:val="uk-UA"/>
                    </w:rPr>
                    <w:t>відповідно до своїх юридичних систем, всі правопорушення, за які встановлюється відповідальність у вигляді позбавлення волі або затримання на мінімальний строк більш як шість місяців;</w:t>
                  </w:r>
                </w:p>
              </w:tc>
            </w:tr>
          </w:tbl>
          <w:p w:rsidR="00C07AC9" w:rsidRPr="00C03848" w:rsidRDefault="00C07AC9" w:rsidP="008B76F2">
            <w:pPr>
              <w:spacing w:after="0" w:line="240" w:lineRule="auto"/>
              <w:rPr>
                <w:rFonts w:ascii="Times New Roman" w:hAnsi="Times New Roman" w:cs="Times New Roman"/>
                <w:sz w:val="24"/>
                <w:szCs w:val="24"/>
                <w:lang w:val="uk-UA"/>
              </w:rPr>
            </w:pP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346C1" w:rsidRPr="00C03848" w:rsidRDefault="00D346C1" w:rsidP="008B76F2">
            <w:pPr>
              <w:pStyle w:val="1"/>
              <w:spacing w:before="0" w:beforeAutospacing="0" w:after="0" w:afterAutospacing="0"/>
              <w:jc w:val="both"/>
              <w:textAlignment w:val="baseline"/>
              <w:rPr>
                <w:lang w:val="uk-UA"/>
              </w:rPr>
            </w:pPr>
            <w:r w:rsidRPr="00C03848">
              <w:rPr>
                <w:lang w:val="uk-UA"/>
              </w:rPr>
              <w:t xml:space="preserve">"саморегулюючий орган" означає орган, який представляє членів професії і має роль у їх регулюванні при виконанні певних </w:t>
            </w:r>
            <w:r w:rsidR="00796AD7" w:rsidRPr="00C03848">
              <w:rPr>
                <w:lang w:val="uk-UA"/>
              </w:rPr>
              <w:t>типів наглядових</w:t>
            </w:r>
            <w:r w:rsidRPr="00C03848">
              <w:rPr>
                <w:lang w:val="uk-UA"/>
              </w:rPr>
              <w:t xml:space="preserve"> і </w:t>
            </w:r>
            <w:r w:rsidR="00796AD7" w:rsidRPr="00C03848">
              <w:rPr>
                <w:lang w:val="uk-UA"/>
              </w:rPr>
              <w:t>моніторингових функцій</w:t>
            </w:r>
            <w:r w:rsidRPr="00C03848">
              <w:rPr>
                <w:lang w:val="uk-UA"/>
              </w:rPr>
              <w:t xml:space="preserve"> та у забезпеченні дотримання правил, що відносяться до них;</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796AD7" w:rsidP="008B76F2">
            <w:pPr>
              <w:pStyle w:val="1"/>
              <w:spacing w:before="0" w:beforeAutospacing="0" w:after="0" w:afterAutospacing="0"/>
              <w:jc w:val="both"/>
              <w:textAlignment w:val="baseline"/>
              <w:rPr>
                <w:lang w:val="uk-UA"/>
              </w:rPr>
            </w:pPr>
            <w:r w:rsidRPr="00C03848">
              <w:rPr>
                <w:lang w:val="uk-UA"/>
              </w:rPr>
              <w:t>«бенефіціар</w:t>
            </w:r>
            <w:r w:rsidR="00D81445" w:rsidRPr="00C03848">
              <w:rPr>
                <w:lang w:val="uk-UA"/>
              </w:rPr>
              <w:t>ний власник</w:t>
            </w:r>
            <w:r w:rsidRPr="00C03848">
              <w:rPr>
                <w:lang w:val="uk-UA"/>
              </w:rPr>
              <w:t>»</w:t>
            </w:r>
            <w:r w:rsidR="00C07AC9" w:rsidRPr="00C03848">
              <w:rPr>
                <w:lang w:val="uk-UA"/>
              </w:rPr>
              <w:t xml:space="preserve"> </w:t>
            </w:r>
            <w:r w:rsidR="004E2FE9" w:rsidRPr="00C03848">
              <w:rPr>
                <w:lang w:val="uk-UA"/>
              </w:rPr>
              <w:t>означає будь-яку фізичну особу (осіб), яка в кінцевому рахунку, володіє або контролює клієнта та / або фізичну особу (осіб), від імені якої здійснюється угода або діяльність і включає в себе принаймні:</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4E2FE9" w:rsidP="008B76F2">
                  <w:pPr>
                    <w:pStyle w:val="1"/>
                    <w:spacing w:before="0" w:beforeAutospacing="0" w:after="0" w:afterAutospacing="0"/>
                    <w:jc w:val="both"/>
                    <w:textAlignment w:val="baseline"/>
                    <w:rPr>
                      <w:lang w:val="uk-UA"/>
                    </w:rPr>
                  </w:pPr>
                  <w:r w:rsidRPr="00C03848">
                    <w:rPr>
                      <w:lang w:val="uk-UA"/>
                    </w:rPr>
                    <w:t>у разі юридичних осіб:</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129"/>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E2FE9" w:rsidRPr="00C03848" w:rsidRDefault="004E2FE9" w:rsidP="008B76F2">
                        <w:pPr>
                          <w:pStyle w:val="1"/>
                          <w:spacing w:before="0" w:beforeAutospacing="0" w:after="0" w:afterAutospacing="0"/>
                          <w:jc w:val="both"/>
                          <w:textAlignment w:val="baseline"/>
                          <w:rPr>
                            <w:lang w:val="uk-UA"/>
                          </w:rPr>
                        </w:pPr>
                        <w:r w:rsidRPr="00C03848">
                          <w:rPr>
                            <w:lang w:val="uk-UA"/>
                          </w:rPr>
                          <w:t xml:space="preserve">фізична особа (особи), яка в кінцевому рахунку, володіє або контролює юридичну особу шляхом прямого або непрямого володіння достатнім процентом акцій, або прав голосу або </w:t>
                        </w:r>
                        <w:r w:rsidR="000A3739" w:rsidRPr="00C03848">
                          <w:rPr>
                            <w:lang w:val="uk-UA"/>
                          </w:rPr>
                          <w:t>частки участі в капіталі</w:t>
                        </w:r>
                        <w:r w:rsidRPr="00C03848">
                          <w:rPr>
                            <w:lang w:val="uk-UA"/>
                          </w:rPr>
                          <w:t xml:space="preserve"> в цій  юридичній особі, </w:t>
                        </w:r>
                        <w:r w:rsidR="000A3739" w:rsidRPr="00C03848">
                          <w:rPr>
                            <w:lang w:val="uk-UA"/>
                          </w:rPr>
                          <w:t>включаючи через володіння</w:t>
                        </w:r>
                        <w:r w:rsidRPr="00C03848">
                          <w:rPr>
                            <w:lang w:val="uk-UA"/>
                          </w:rPr>
                          <w:t xml:space="preserve"> акці</w:t>
                        </w:r>
                        <w:r w:rsidR="000A3739" w:rsidRPr="00C03848">
                          <w:rPr>
                            <w:lang w:val="uk-UA"/>
                          </w:rPr>
                          <w:t>ями</w:t>
                        </w:r>
                        <w:r w:rsidRPr="00C03848">
                          <w:rPr>
                            <w:lang w:val="uk-UA"/>
                          </w:rPr>
                          <w:t xml:space="preserve"> на пред'явника, або через </w:t>
                        </w:r>
                        <w:r w:rsidR="000A3739" w:rsidRPr="00C03848">
                          <w:rPr>
                            <w:lang w:val="uk-UA"/>
                          </w:rPr>
                          <w:t>контроль над</w:t>
                        </w:r>
                        <w:r w:rsidRPr="00C03848">
                          <w:rPr>
                            <w:lang w:val="uk-UA"/>
                          </w:rPr>
                          <w:t xml:space="preserve"> іншими засобами, </w:t>
                        </w:r>
                        <w:r w:rsidR="000A3739" w:rsidRPr="00C03848">
                          <w:rPr>
                            <w:lang w:val="uk-UA"/>
                          </w:rPr>
                          <w:t>або на відміну від</w:t>
                        </w:r>
                        <w:r w:rsidRPr="00C03848">
                          <w:rPr>
                            <w:lang w:val="uk-UA"/>
                          </w:rPr>
                          <w:t xml:space="preserve"> компанії</w:t>
                        </w:r>
                        <w:r w:rsidR="000A3739" w:rsidRPr="00C03848">
                          <w:rPr>
                            <w:lang w:val="uk-UA"/>
                          </w:rPr>
                          <w:t>,</w:t>
                        </w:r>
                        <w:r w:rsidRPr="00C03848">
                          <w:rPr>
                            <w:lang w:val="uk-UA"/>
                          </w:rPr>
                          <w:t xml:space="preserve"> представленої  на регульованому ринку, </w:t>
                        </w:r>
                        <w:r w:rsidR="000A3739" w:rsidRPr="00C03848">
                          <w:rPr>
                            <w:lang w:val="uk-UA"/>
                          </w:rPr>
                          <w:t>що</w:t>
                        </w:r>
                        <w:r w:rsidRPr="00C03848">
                          <w:rPr>
                            <w:lang w:val="uk-UA"/>
                          </w:rPr>
                          <w:t xml:space="preserve"> під</w:t>
                        </w:r>
                        <w:r w:rsidR="000A3739" w:rsidRPr="00C03848">
                          <w:rPr>
                            <w:lang w:val="uk-UA"/>
                          </w:rPr>
                          <w:t>пад</w:t>
                        </w:r>
                        <w:r w:rsidRPr="00C03848">
                          <w:rPr>
                            <w:lang w:val="uk-UA"/>
                          </w:rPr>
                          <w:t xml:space="preserve">ає </w:t>
                        </w:r>
                        <w:r w:rsidR="000A3739" w:rsidRPr="00C03848">
                          <w:rPr>
                            <w:lang w:val="uk-UA"/>
                          </w:rPr>
                          <w:t>під вимоги публікації фінансової звітності</w:t>
                        </w:r>
                        <w:r w:rsidRPr="00C03848">
                          <w:rPr>
                            <w:lang w:val="uk-UA"/>
                          </w:rPr>
                          <w:t xml:space="preserve"> </w:t>
                        </w:r>
                        <w:r w:rsidR="000A3739" w:rsidRPr="00C03848">
                          <w:rPr>
                            <w:lang w:val="uk-UA"/>
                          </w:rPr>
                          <w:t>відповідно до</w:t>
                        </w:r>
                        <w:r w:rsidRPr="00C03848">
                          <w:rPr>
                            <w:lang w:val="uk-UA"/>
                          </w:rPr>
                          <w:t xml:space="preserve"> законодавст</w:t>
                        </w:r>
                        <w:r w:rsidR="00AC3A3E" w:rsidRPr="00C03848">
                          <w:rPr>
                            <w:lang w:val="uk-UA"/>
                          </w:rPr>
                          <w:t>в</w:t>
                        </w:r>
                        <w:r w:rsidR="000A3739" w:rsidRPr="00C03848">
                          <w:rPr>
                            <w:lang w:val="uk-UA"/>
                          </w:rPr>
                          <w:t>а</w:t>
                        </w:r>
                        <w:r w:rsidRPr="00C03848">
                          <w:rPr>
                            <w:lang w:val="uk-UA"/>
                          </w:rPr>
                          <w:t xml:space="preserve"> Союзу або під</w:t>
                        </w:r>
                        <w:r w:rsidR="000A3739" w:rsidRPr="00C03848">
                          <w:rPr>
                            <w:lang w:val="uk-UA"/>
                          </w:rPr>
                          <w:t>падають під вимоги</w:t>
                        </w:r>
                        <w:r w:rsidRPr="00C03848">
                          <w:rPr>
                            <w:lang w:val="uk-UA"/>
                          </w:rPr>
                          <w:t xml:space="preserve"> еквівалентни</w:t>
                        </w:r>
                        <w:r w:rsidR="000A3739" w:rsidRPr="00C03848">
                          <w:rPr>
                            <w:lang w:val="uk-UA"/>
                          </w:rPr>
                          <w:t>х</w:t>
                        </w:r>
                        <w:r w:rsidRPr="00C03848">
                          <w:rPr>
                            <w:lang w:val="uk-UA"/>
                          </w:rPr>
                          <w:t xml:space="preserve"> міжнародни</w:t>
                        </w:r>
                        <w:r w:rsidR="000A3739" w:rsidRPr="00C03848">
                          <w:rPr>
                            <w:lang w:val="uk-UA"/>
                          </w:rPr>
                          <w:t>х</w:t>
                        </w:r>
                        <w:r w:rsidRPr="00C03848">
                          <w:rPr>
                            <w:lang w:val="uk-UA"/>
                          </w:rPr>
                          <w:t xml:space="preserve"> стандарт</w:t>
                        </w:r>
                        <w:r w:rsidR="000A3739" w:rsidRPr="00C03848">
                          <w:rPr>
                            <w:lang w:val="uk-UA"/>
                          </w:rPr>
                          <w:t>ів</w:t>
                        </w:r>
                        <w:r w:rsidRPr="00C03848">
                          <w:rPr>
                            <w:lang w:val="uk-UA"/>
                          </w:rPr>
                          <w:t xml:space="preserve">, які забезпечують достатній рівень прозорості інформації </w:t>
                        </w:r>
                        <w:r w:rsidR="000A3739" w:rsidRPr="00C03848">
                          <w:rPr>
                            <w:lang w:val="uk-UA"/>
                          </w:rPr>
                          <w:t xml:space="preserve">про </w:t>
                        </w:r>
                        <w:r w:rsidRPr="00C03848">
                          <w:rPr>
                            <w:lang w:val="uk-UA"/>
                          </w:rPr>
                          <w:t>в</w:t>
                        </w:r>
                        <w:r w:rsidR="000A3739" w:rsidRPr="00C03848">
                          <w:rPr>
                            <w:lang w:val="uk-UA"/>
                          </w:rPr>
                          <w:t>олодіння</w:t>
                        </w:r>
                        <w:r w:rsidRPr="00C03848">
                          <w:rPr>
                            <w:lang w:val="uk-UA"/>
                          </w:rPr>
                          <w:t>.</w:t>
                        </w:r>
                      </w:p>
                      <w:p w:rsidR="00C07AC9" w:rsidRPr="00C03848" w:rsidRDefault="00A93940" w:rsidP="008B76F2">
                        <w:pPr>
                          <w:pStyle w:val="1"/>
                          <w:spacing w:before="0" w:beforeAutospacing="0" w:after="0" w:afterAutospacing="0"/>
                          <w:jc w:val="both"/>
                          <w:textAlignment w:val="baseline"/>
                          <w:rPr>
                            <w:lang w:val="uk-UA"/>
                          </w:rPr>
                        </w:pPr>
                        <w:r w:rsidRPr="00C03848">
                          <w:rPr>
                            <w:lang w:val="uk-UA"/>
                          </w:rPr>
                          <w:t xml:space="preserve">Володіння 25% </w:t>
                        </w:r>
                        <w:r w:rsidR="00E72EBB" w:rsidRPr="00C03848">
                          <w:rPr>
                            <w:lang w:val="uk-UA"/>
                          </w:rPr>
                          <w:t xml:space="preserve">акцій </w:t>
                        </w:r>
                        <w:r w:rsidRPr="00C03848">
                          <w:rPr>
                            <w:lang w:val="uk-UA"/>
                          </w:rPr>
                          <w:t>плюс однією акцією або частк</w:t>
                        </w:r>
                        <w:r w:rsidR="00E72EBB" w:rsidRPr="00C03848">
                          <w:rPr>
                            <w:lang w:val="uk-UA"/>
                          </w:rPr>
                          <w:t>ою</w:t>
                        </w:r>
                        <w:r w:rsidRPr="00C03848">
                          <w:rPr>
                            <w:lang w:val="uk-UA"/>
                          </w:rPr>
                          <w:t xml:space="preserve"> участі в капіталі клієнта більш ніж 25%, які належать фізичній особі, буде ознакою прямого володіння. </w:t>
                        </w:r>
                        <w:r w:rsidR="00E72EBB" w:rsidRPr="00C03848">
                          <w:rPr>
                            <w:lang w:val="uk-UA"/>
                          </w:rPr>
                          <w:t>Володіння 25% акцій плюс однією акцією або часткою участі в капіталі клієнта більш ніж 25%, які належать юридичній</w:t>
                        </w:r>
                        <w:r w:rsidRPr="00C03848">
                          <w:rPr>
                            <w:lang w:val="uk-UA"/>
                          </w:rPr>
                          <w:t xml:space="preserve"> особ</w:t>
                        </w:r>
                        <w:r w:rsidR="00E72EBB" w:rsidRPr="00C03848">
                          <w:rPr>
                            <w:lang w:val="uk-UA"/>
                          </w:rPr>
                          <w:t>і</w:t>
                        </w:r>
                        <w:r w:rsidRPr="00C03848">
                          <w:rPr>
                            <w:lang w:val="uk-UA"/>
                          </w:rPr>
                          <w:t xml:space="preserve">, яка </w:t>
                        </w:r>
                        <w:r w:rsidR="00E72EBB" w:rsidRPr="00C03848">
                          <w:rPr>
                            <w:lang w:val="uk-UA"/>
                          </w:rPr>
                          <w:t>контролюється фізичною</w:t>
                        </w:r>
                        <w:r w:rsidRPr="00C03848">
                          <w:rPr>
                            <w:lang w:val="uk-UA"/>
                          </w:rPr>
                          <w:t xml:space="preserve"> особ</w:t>
                        </w:r>
                        <w:r w:rsidR="00E72EBB" w:rsidRPr="00C03848">
                          <w:rPr>
                            <w:lang w:val="uk-UA"/>
                          </w:rPr>
                          <w:t>ою (осо</w:t>
                        </w:r>
                        <w:r w:rsidRPr="00C03848">
                          <w:rPr>
                            <w:lang w:val="uk-UA"/>
                          </w:rPr>
                          <w:t>б</w:t>
                        </w:r>
                        <w:r w:rsidR="00E72EBB" w:rsidRPr="00C03848">
                          <w:rPr>
                            <w:lang w:val="uk-UA"/>
                          </w:rPr>
                          <w:t>ами</w:t>
                        </w:r>
                        <w:r w:rsidRPr="00C03848">
                          <w:rPr>
                            <w:lang w:val="uk-UA"/>
                          </w:rPr>
                          <w:t xml:space="preserve">), або </w:t>
                        </w:r>
                        <w:r w:rsidR="00E72EBB" w:rsidRPr="00C03848">
                          <w:rPr>
                            <w:lang w:val="uk-UA"/>
                          </w:rPr>
                          <w:t>контролюється</w:t>
                        </w:r>
                        <w:r w:rsidRPr="00C03848">
                          <w:rPr>
                            <w:lang w:val="uk-UA"/>
                          </w:rPr>
                          <w:t xml:space="preserve"> декілько</w:t>
                        </w:r>
                        <w:r w:rsidR="00E72EBB" w:rsidRPr="00C03848">
                          <w:rPr>
                            <w:lang w:val="uk-UA"/>
                          </w:rPr>
                          <w:t>ма</w:t>
                        </w:r>
                        <w:r w:rsidRPr="00C03848">
                          <w:rPr>
                            <w:lang w:val="uk-UA"/>
                          </w:rPr>
                          <w:t xml:space="preserve"> юридични</w:t>
                        </w:r>
                        <w:r w:rsidR="00E72EBB" w:rsidRPr="00C03848">
                          <w:rPr>
                            <w:lang w:val="uk-UA"/>
                          </w:rPr>
                          <w:t>ми</w:t>
                        </w:r>
                        <w:r w:rsidRPr="00C03848">
                          <w:rPr>
                            <w:lang w:val="uk-UA"/>
                          </w:rPr>
                          <w:t xml:space="preserve"> ос</w:t>
                        </w:r>
                        <w:r w:rsidR="00E72EBB" w:rsidRPr="00C03848">
                          <w:rPr>
                            <w:lang w:val="uk-UA"/>
                          </w:rPr>
                          <w:t>о</w:t>
                        </w:r>
                        <w:r w:rsidRPr="00C03848">
                          <w:rPr>
                            <w:lang w:val="uk-UA"/>
                          </w:rPr>
                          <w:t>б</w:t>
                        </w:r>
                        <w:r w:rsidR="00E72EBB" w:rsidRPr="00C03848">
                          <w:rPr>
                            <w:lang w:val="uk-UA"/>
                          </w:rPr>
                          <w:t>ами</w:t>
                        </w:r>
                        <w:r w:rsidRPr="00C03848">
                          <w:rPr>
                            <w:lang w:val="uk-UA"/>
                          </w:rPr>
                          <w:t xml:space="preserve">, які знаходяться під контролем тієї ж фізичної особи (осіб), </w:t>
                        </w:r>
                        <w:r w:rsidR="00E72EBB" w:rsidRPr="00C03848">
                          <w:rPr>
                            <w:lang w:val="uk-UA"/>
                          </w:rPr>
                          <w:t>є</w:t>
                        </w:r>
                        <w:r w:rsidRPr="00C03848">
                          <w:rPr>
                            <w:lang w:val="uk-UA"/>
                          </w:rPr>
                          <w:t xml:space="preserve"> ознакою непрямого володіння. Це застосовується без обмеження прав держав-членів, для вирішення</w:t>
                        </w:r>
                        <w:r w:rsidR="00E72EBB" w:rsidRPr="00C03848">
                          <w:rPr>
                            <w:lang w:val="uk-UA"/>
                          </w:rPr>
                          <w:t>, що нижч</w:t>
                        </w:r>
                        <w:r w:rsidRPr="00C03848">
                          <w:rPr>
                            <w:lang w:val="uk-UA"/>
                          </w:rPr>
                          <w:t xml:space="preserve">ий відсоток може бути ознакою права власності або контролю. </w:t>
                        </w:r>
                        <w:r w:rsidR="00E72EBB" w:rsidRPr="00C03848">
                          <w:rPr>
                            <w:lang w:val="uk-UA"/>
                          </w:rPr>
                          <w:t>Контроль через інші</w:t>
                        </w:r>
                        <w:r w:rsidRPr="00C03848">
                          <w:rPr>
                            <w:lang w:val="uk-UA"/>
                          </w:rPr>
                          <w:t xml:space="preserve"> засоб</w:t>
                        </w:r>
                        <w:r w:rsidR="00E72EBB" w:rsidRPr="00C03848">
                          <w:rPr>
                            <w:lang w:val="uk-UA"/>
                          </w:rPr>
                          <w:t>и</w:t>
                        </w:r>
                        <w:r w:rsidRPr="00C03848">
                          <w:rPr>
                            <w:lang w:val="uk-UA"/>
                          </w:rPr>
                          <w:t xml:space="preserve"> може бути визначен</w:t>
                        </w:r>
                        <w:r w:rsidR="00E72EBB" w:rsidRPr="00C03848">
                          <w:rPr>
                            <w:lang w:val="uk-UA"/>
                          </w:rPr>
                          <w:t>ий</w:t>
                        </w:r>
                        <w:r w:rsidRPr="00C03848">
                          <w:rPr>
                            <w:lang w:val="uk-UA"/>
                          </w:rPr>
                          <w:t>, зокрема, відповідно до критеріїв</w:t>
                        </w:r>
                        <w:r w:rsidR="00E72EBB" w:rsidRPr="00C03848">
                          <w:rPr>
                            <w:lang w:val="uk-UA"/>
                          </w:rPr>
                          <w:t>,  представлених</w:t>
                        </w:r>
                        <w:r w:rsidRPr="00C03848">
                          <w:rPr>
                            <w:lang w:val="uk-UA"/>
                          </w:rPr>
                          <w:t xml:space="preserve"> в Статті 22</w:t>
                        </w:r>
                        <w:r w:rsidR="00E72EBB" w:rsidRPr="00C03848">
                          <w:rPr>
                            <w:lang w:val="uk-UA"/>
                          </w:rPr>
                          <w:t xml:space="preserve"> з</w:t>
                        </w:r>
                        <w:r w:rsidRPr="00C03848">
                          <w:rPr>
                            <w:lang w:val="uk-UA"/>
                          </w:rPr>
                          <w:t xml:space="preserve"> (1) </w:t>
                        </w:r>
                        <w:r w:rsidR="00E72EBB" w:rsidRPr="00C03848">
                          <w:rPr>
                            <w:lang w:val="uk-UA"/>
                          </w:rPr>
                          <w:t>по</w:t>
                        </w:r>
                        <w:r w:rsidRPr="00C03848">
                          <w:rPr>
                            <w:lang w:val="uk-UA"/>
                          </w:rPr>
                          <w:t xml:space="preserve"> (5)</w:t>
                        </w:r>
                        <w:r w:rsidR="00E72EBB" w:rsidRPr="00C03848">
                          <w:rPr>
                            <w:lang w:val="uk-UA"/>
                          </w:rPr>
                          <w:t xml:space="preserve"> п.</w:t>
                        </w:r>
                        <w:r w:rsidRPr="00C03848">
                          <w:rPr>
                            <w:lang w:val="uk-UA"/>
                          </w:rPr>
                          <w:t xml:space="preserve"> Директиви 2013/34/</w:t>
                        </w:r>
                        <w:r w:rsidR="00E72EBB" w:rsidRPr="00C03848">
                          <w:rPr>
                            <w:lang w:val="uk-UA"/>
                          </w:rPr>
                          <w:t>EU</w:t>
                        </w:r>
                        <w:r w:rsidRPr="00C03848">
                          <w:rPr>
                            <w:lang w:val="uk-UA"/>
                          </w:rPr>
                          <w:t xml:space="preserve">  Європейського Парламенту та Ради </w:t>
                        </w:r>
                        <w:hyperlink r:id="rId36" w:anchor="ntr29-L_2015141EN.01007301-E0029" w:history="1">
                          <w:r w:rsidRPr="00C03848">
                            <w:rPr>
                              <w:rStyle w:val="Hyperlink"/>
                              <w:color w:val="auto"/>
                              <w:u w:val="none"/>
                              <w:bdr w:val="none" w:sz="0" w:space="0" w:color="auto" w:frame="1"/>
                              <w:lang w:val="uk-UA"/>
                            </w:rPr>
                            <w:t> (</w:t>
                          </w:r>
                          <w:r w:rsidRPr="00C03848">
                            <w:rPr>
                              <w:rStyle w:val="super"/>
                              <w:sz w:val="24"/>
                              <w:szCs w:val="24"/>
                              <w:bdr w:val="none" w:sz="0" w:space="0" w:color="auto" w:frame="1"/>
                              <w:lang w:val="uk-UA"/>
                            </w:rPr>
                            <w:t>29</w:t>
                          </w:r>
                          <w:r w:rsidRPr="00C03848">
                            <w:rPr>
                              <w:rStyle w:val="Hyperlink"/>
                              <w:color w:val="auto"/>
                              <w:u w:val="none"/>
                              <w:bdr w:val="none" w:sz="0" w:space="0" w:color="auto" w:frame="1"/>
                              <w:lang w:val="uk-UA"/>
                            </w:rPr>
                            <w:t>)</w:t>
                          </w:r>
                        </w:hyperlink>
                        <w:r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062"/>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lastRenderedPageBreak/>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E72EBB" w:rsidRPr="00C03848" w:rsidRDefault="00E72EBB" w:rsidP="008B76F2">
                        <w:pPr>
                          <w:pStyle w:val="1"/>
                          <w:spacing w:before="0" w:beforeAutospacing="0" w:after="0" w:afterAutospacing="0"/>
                          <w:jc w:val="both"/>
                          <w:textAlignment w:val="baseline"/>
                          <w:rPr>
                            <w:lang w:val="uk-UA"/>
                          </w:rPr>
                        </w:pPr>
                        <w:r w:rsidRPr="00C03848">
                          <w:rPr>
                            <w:lang w:val="uk-UA"/>
                          </w:rPr>
                          <w:t xml:space="preserve">якщо після вичерпання всіх можливих засобів і за умови, що немає ніяких підстав для підозр, не визначається жодна особа (особи) згідно пункту (i), або якщо є сумніви, що визначена особа (особи) є </w:t>
                        </w:r>
                        <w:r w:rsidR="00D4260E" w:rsidRPr="00C03848">
                          <w:rPr>
                            <w:lang w:val="uk-UA"/>
                          </w:rPr>
                          <w:t>бенефіціар</w:t>
                        </w:r>
                        <w:r w:rsidRPr="00C03848">
                          <w:rPr>
                            <w:lang w:val="uk-UA"/>
                          </w:rPr>
                          <w:t xml:space="preserve">ом (ами), фізична особа (особи), яка </w:t>
                        </w:r>
                        <w:r w:rsidR="00D4260E" w:rsidRPr="00C03848">
                          <w:rPr>
                            <w:lang w:val="uk-UA"/>
                          </w:rPr>
                          <w:t>є</w:t>
                        </w:r>
                        <w:r w:rsidRPr="00C03848">
                          <w:rPr>
                            <w:lang w:val="uk-UA"/>
                          </w:rPr>
                          <w:t xml:space="preserve"> </w:t>
                        </w:r>
                        <w:r w:rsidR="00D4260E" w:rsidRPr="00C03848">
                          <w:rPr>
                            <w:lang w:val="uk-UA"/>
                          </w:rPr>
                          <w:t>вищою посадовою особою (особами)</w:t>
                        </w:r>
                        <w:r w:rsidRPr="00C03848">
                          <w:rPr>
                            <w:lang w:val="uk-UA"/>
                          </w:rPr>
                          <w:t xml:space="preserve">, зобов'язані особи повинні вести облік дій, зроблених для того, щоб виявляти бенефіціарне володіння, передбачене </w:t>
                        </w:r>
                        <w:r w:rsidR="00D4260E" w:rsidRPr="00C03848">
                          <w:rPr>
                            <w:lang w:val="uk-UA"/>
                          </w:rPr>
                          <w:t>під</w:t>
                        </w:r>
                        <w:r w:rsidRPr="00C03848">
                          <w:rPr>
                            <w:lang w:val="uk-UA"/>
                          </w:rPr>
                          <w:t>пунктом (i) і цього п</w:t>
                        </w:r>
                        <w:r w:rsidR="00D4260E" w:rsidRPr="00C03848">
                          <w:rPr>
                            <w:lang w:val="uk-UA"/>
                          </w:rPr>
                          <w:t>ункт</w:t>
                        </w:r>
                        <w:r w:rsidRPr="00C03848">
                          <w:rPr>
                            <w:lang w:val="uk-UA"/>
                          </w:rPr>
                          <w:t>у;</w:t>
                        </w:r>
                      </w:p>
                    </w:tc>
                  </w:tr>
                </w:tbl>
                <w:p w:rsidR="00C07AC9" w:rsidRPr="00C03848" w:rsidRDefault="00C07AC9" w:rsidP="008B76F2">
                  <w:pPr>
                    <w:spacing w:after="0" w:line="240" w:lineRule="auto"/>
                    <w:rPr>
                      <w:rFonts w:ascii="Times New Roman" w:hAnsi="Times New Roman" w:cs="Times New Roman"/>
                      <w:sz w:val="24"/>
                      <w:szCs w:val="24"/>
                      <w:lang w:val="uk-UA"/>
                    </w:rPr>
                  </w:pP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69"/>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E72EBB" w:rsidP="008B76F2">
                  <w:pPr>
                    <w:pStyle w:val="1"/>
                    <w:spacing w:before="0" w:beforeAutospacing="0" w:after="0" w:afterAutospacing="0"/>
                    <w:jc w:val="both"/>
                    <w:textAlignment w:val="baseline"/>
                    <w:rPr>
                      <w:lang w:val="uk-UA"/>
                    </w:rPr>
                  </w:pPr>
                  <w:r w:rsidRPr="00C03848">
                    <w:rPr>
                      <w:lang w:val="uk-UA"/>
                    </w:rPr>
                    <w:t>у разі трастів</w:t>
                  </w:r>
                  <w:r w:rsidR="00C07AC9" w:rsidRPr="00C03848">
                    <w:rPr>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13"/>
                    <w:gridCol w:w="6635"/>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A236FE" w:rsidP="008B76F2">
                        <w:pPr>
                          <w:pStyle w:val="1"/>
                          <w:spacing w:before="0" w:beforeAutospacing="0" w:after="0" w:afterAutospacing="0"/>
                          <w:jc w:val="both"/>
                          <w:textAlignment w:val="baseline"/>
                          <w:rPr>
                            <w:lang w:val="uk-UA"/>
                          </w:rPr>
                        </w:pPr>
                        <w:r w:rsidRPr="00C03848">
                          <w:rPr>
                            <w:lang w:val="uk-UA"/>
                          </w:rPr>
                          <w:t>засновник</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40"/>
                    <w:gridCol w:w="7208"/>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A236FE" w:rsidP="008B76F2">
                        <w:pPr>
                          <w:pStyle w:val="1"/>
                          <w:spacing w:before="0" w:beforeAutospacing="0" w:after="0" w:afterAutospacing="0"/>
                          <w:jc w:val="both"/>
                          <w:textAlignment w:val="baseline"/>
                          <w:rPr>
                            <w:lang w:val="uk-UA"/>
                          </w:rPr>
                        </w:pPr>
                        <w:r w:rsidRPr="00C03848">
                          <w:rPr>
                            <w:lang w:val="uk-UA"/>
                          </w:rPr>
                          <w:t>довірчий власник (и)</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63"/>
                    <w:gridCol w:w="7285"/>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A236FE" w:rsidP="008B76F2">
                        <w:pPr>
                          <w:pStyle w:val="1"/>
                          <w:spacing w:before="0" w:beforeAutospacing="0" w:after="0" w:afterAutospacing="0"/>
                          <w:jc w:val="both"/>
                          <w:textAlignment w:val="baseline"/>
                          <w:rPr>
                            <w:lang w:val="uk-UA"/>
                          </w:rPr>
                        </w:pPr>
                        <w:r w:rsidRPr="00C03848">
                          <w:rPr>
                            <w:lang w:val="uk-UA"/>
                          </w:rPr>
                          <w:t>піклувальник, за наявності</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7996"/>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FC3429" w:rsidP="008B76F2">
                        <w:pPr>
                          <w:pStyle w:val="1"/>
                          <w:spacing w:before="0" w:beforeAutospacing="0" w:after="0" w:afterAutospacing="0"/>
                          <w:jc w:val="both"/>
                          <w:textAlignment w:val="baseline"/>
                          <w:rPr>
                            <w:lang w:val="uk-UA"/>
                          </w:rPr>
                        </w:pPr>
                        <w:r w:rsidRPr="00C03848">
                          <w:rPr>
                            <w:lang w:val="uk-UA"/>
                          </w:rPr>
                          <w:t>бенефіціари</w:t>
                        </w:r>
                        <w:r w:rsidR="00C07AC9" w:rsidRPr="00C03848">
                          <w:rPr>
                            <w:lang w:val="uk-UA"/>
                          </w:rPr>
                          <w:t>,</w:t>
                        </w:r>
                        <w:r w:rsidRPr="00C03848">
                          <w:rPr>
                            <w:lang w:val="uk-UA"/>
                          </w:rPr>
                          <w:t xml:space="preserve"> або у випадках, в яких особи, </w:t>
                        </w:r>
                        <w:r w:rsidR="000C3E10" w:rsidRPr="00C03848">
                          <w:rPr>
                            <w:lang w:val="uk-UA"/>
                          </w:rPr>
                          <w:t>які отримують вигоду від юридичного механізму або суб’єкти ще повинні бути ідентифіковані, клас осіб, у чиїх основних інтересах правовий механізм створюється або функціонує;</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063"/>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6335B" w:rsidP="008B76F2">
                        <w:pPr>
                          <w:pStyle w:val="1"/>
                          <w:spacing w:before="0" w:beforeAutospacing="0" w:after="0" w:afterAutospacing="0"/>
                          <w:jc w:val="both"/>
                          <w:textAlignment w:val="baseline"/>
                          <w:rPr>
                            <w:lang w:val="uk-UA"/>
                          </w:rPr>
                        </w:pPr>
                        <w:r w:rsidRPr="00C03848">
                          <w:rPr>
                            <w:lang w:val="uk-UA"/>
                          </w:rPr>
                          <w:t>будь-яка інша фізична особа, яка здійснює кінцевий контроль над трастом шляхом прямого або непрямого володіння або за допомогою інших засобів;</w:t>
                        </w:r>
                      </w:p>
                    </w:tc>
                  </w:tr>
                </w:tbl>
                <w:p w:rsidR="00C07AC9" w:rsidRPr="00C03848" w:rsidRDefault="00C07AC9" w:rsidP="008B76F2">
                  <w:pPr>
                    <w:spacing w:after="0" w:line="240" w:lineRule="auto"/>
                    <w:rPr>
                      <w:rFonts w:ascii="Times New Roman" w:hAnsi="Times New Roman" w:cs="Times New Roman"/>
                      <w:sz w:val="24"/>
                      <w:szCs w:val="24"/>
                      <w:lang w:val="uk-UA"/>
                    </w:rPr>
                  </w:pP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DA5321" w:rsidP="008B76F2">
                  <w:pPr>
                    <w:pStyle w:val="1"/>
                    <w:spacing w:before="0" w:beforeAutospacing="0" w:after="0" w:afterAutospacing="0"/>
                    <w:jc w:val="both"/>
                    <w:textAlignment w:val="baseline"/>
                    <w:rPr>
                      <w:lang w:val="uk-UA"/>
                    </w:rPr>
                  </w:pPr>
                  <w:r w:rsidRPr="00C03848">
                    <w:rPr>
                      <w:lang w:val="uk-UA"/>
                    </w:rPr>
                    <w:t xml:space="preserve">у разі юридичних осіб, таких як фонди, і юридичні організації аналогічні трастам, </w:t>
                  </w:r>
                  <w:r w:rsidR="008925EA" w:rsidRPr="00C03848">
                    <w:rPr>
                      <w:lang w:val="uk-UA"/>
                    </w:rPr>
                    <w:t xml:space="preserve">фізична особа </w:t>
                  </w:r>
                  <w:r w:rsidRPr="00C03848">
                    <w:rPr>
                      <w:lang w:val="uk-UA"/>
                    </w:rPr>
                    <w:t xml:space="preserve">(и), які зберігають </w:t>
                  </w:r>
                  <w:r w:rsidR="00AC3A3E" w:rsidRPr="00C03848">
                    <w:rPr>
                      <w:lang w:val="uk-UA"/>
                    </w:rPr>
                    <w:t>контроль еквівалентних або схожи</w:t>
                  </w:r>
                  <w:r w:rsidRPr="00C03848">
                    <w:rPr>
                      <w:lang w:val="uk-UA"/>
                    </w:rPr>
                    <w:t>х позицій згаданих в пункті (b);</w:t>
                  </w:r>
                </w:p>
              </w:tc>
            </w:tr>
          </w:tbl>
          <w:p w:rsidR="00C07AC9" w:rsidRPr="00C03848" w:rsidRDefault="00C07AC9" w:rsidP="008B76F2">
            <w:pPr>
              <w:spacing w:after="0" w:line="240" w:lineRule="auto"/>
              <w:rPr>
                <w:rFonts w:ascii="Times New Roman" w:hAnsi="Times New Roman" w:cs="Times New Roman"/>
                <w:sz w:val="24"/>
                <w:szCs w:val="24"/>
                <w:lang w:val="uk-UA"/>
              </w:rPr>
            </w:pP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D81445">
        <w:trPr>
          <w:trHeight w:val="4576"/>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DD7E06" w:rsidP="008B76F2">
            <w:pPr>
              <w:pStyle w:val="1"/>
              <w:spacing w:before="0" w:beforeAutospacing="0" w:after="0" w:afterAutospacing="0"/>
              <w:jc w:val="both"/>
              <w:textAlignment w:val="baseline"/>
              <w:rPr>
                <w:lang w:val="uk-UA"/>
              </w:rPr>
            </w:pPr>
            <w:r w:rsidRPr="00C03848">
              <w:rPr>
                <w:iCs/>
                <w:bdr w:val="none" w:sz="0" w:space="0" w:color="auto" w:frame="1"/>
                <w:lang w:val="uk-UA"/>
              </w:rPr>
              <w:t xml:space="preserve">"особи, які надають послуги компаніям та трастам" </w:t>
            </w:r>
            <w:r w:rsidRPr="00C03848">
              <w:rPr>
                <w:lang w:val="uk-UA"/>
              </w:rPr>
              <w:t>означає будь-яку особу, яка, за допомогою його бізнесу, надає будь-яку з наступних послуг третім сторонам:</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4"/>
              <w:gridCol w:w="8320"/>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DD7E06" w:rsidP="008B76F2">
                  <w:pPr>
                    <w:pStyle w:val="1"/>
                    <w:spacing w:before="0" w:beforeAutospacing="0" w:after="0" w:afterAutospacing="0"/>
                    <w:jc w:val="both"/>
                    <w:textAlignment w:val="baseline"/>
                    <w:rPr>
                      <w:lang w:val="uk-UA"/>
                    </w:rPr>
                  </w:pPr>
                  <w:r w:rsidRPr="00C03848">
                    <w:rPr>
                      <w:lang w:val="uk-UA"/>
                    </w:rPr>
                    <w:t>створюють компанії або інші юридичні особи</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69"/>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D7E06" w:rsidRPr="00C03848" w:rsidRDefault="00AC3A3E" w:rsidP="008B76F2">
                  <w:pPr>
                    <w:pStyle w:val="1"/>
                    <w:spacing w:before="0" w:beforeAutospacing="0" w:after="0" w:afterAutospacing="0"/>
                    <w:jc w:val="both"/>
                    <w:textAlignment w:val="baseline"/>
                    <w:rPr>
                      <w:lang w:val="uk-UA"/>
                    </w:rPr>
                  </w:pPr>
                  <w:r w:rsidRPr="00C03848">
                    <w:rPr>
                      <w:lang w:val="uk-UA"/>
                    </w:rPr>
                    <w:t>діють</w:t>
                  </w:r>
                  <w:r w:rsidR="00DD7E06" w:rsidRPr="00C03848">
                    <w:rPr>
                      <w:lang w:val="uk-UA"/>
                    </w:rPr>
                    <w:t xml:space="preserve"> в якості або організовують для іншої особи діяльність в якості директора або секретаря компанії, партнера в товаристві, або на аналогічній посаді у відношенні до інших юридичних осіб;</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264A1" w:rsidRPr="00C03848" w:rsidRDefault="005264A1" w:rsidP="008B76F2">
                  <w:pPr>
                    <w:pStyle w:val="1"/>
                    <w:spacing w:before="0" w:beforeAutospacing="0" w:after="0" w:afterAutospacing="0"/>
                    <w:jc w:val="both"/>
                    <w:textAlignment w:val="baseline"/>
                    <w:rPr>
                      <w:lang w:val="uk-UA"/>
                    </w:rPr>
                  </w:pPr>
                  <w:r w:rsidRPr="00C03848">
                    <w:rPr>
                      <w:iCs/>
                      <w:bdr w:val="none" w:sz="0" w:space="0" w:color="auto" w:frame="1"/>
                      <w:lang w:val="uk-UA"/>
                    </w:rPr>
                    <w:t>забезпечує зареєстрований офіс, офіційну адресу, кореспондентську чи адміністративну адресу та інші пов'язані з цим послуги для компанії, товариства або іншої юридичної організації або юридичної особи;</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69"/>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264A1" w:rsidRPr="00C03848" w:rsidRDefault="005264A1" w:rsidP="008B76F2">
                  <w:pPr>
                    <w:pStyle w:val="1"/>
                    <w:spacing w:before="0" w:beforeAutospacing="0" w:after="0" w:afterAutospacing="0"/>
                    <w:jc w:val="both"/>
                    <w:textAlignment w:val="baseline"/>
                    <w:rPr>
                      <w:lang w:val="uk-UA"/>
                    </w:rPr>
                  </w:pPr>
                  <w:r w:rsidRPr="00C03848">
                    <w:rPr>
                      <w:iCs/>
                      <w:bdr w:val="none" w:sz="0" w:space="0" w:color="auto" w:frame="1"/>
                      <w:lang w:val="uk-UA"/>
                    </w:rPr>
                    <w:t>діє або організовує для іншої особи діяльність в якості довіреної  особи довірчої власності (трасту) або іншої подібної юридичної організації;</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8171B" w:rsidRPr="00C03848" w:rsidRDefault="00D81445" w:rsidP="00D81445">
                  <w:pPr>
                    <w:pStyle w:val="1"/>
                    <w:spacing w:before="0" w:beforeAutospacing="0" w:after="0" w:afterAutospacing="0"/>
                    <w:jc w:val="both"/>
                    <w:textAlignment w:val="baseline"/>
                    <w:rPr>
                      <w:lang w:val="uk-UA"/>
                    </w:rPr>
                  </w:pPr>
                  <w:r w:rsidRPr="00C03848">
                    <w:rPr>
                      <w:iCs/>
                      <w:bdr w:val="none" w:sz="0" w:space="0" w:color="auto" w:frame="1"/>
                      <w:lang w:val="uk-UA"/>
                    </w:rPr>
                    <w:t xml:space="preserve">діє або організовує для іншої </w:t>
                  </w:r>
                  <w:r w:rsidR="0098171B" w:rsidRPr="00C03848">
                    <w:rPr>
                      <w:iCs/>
                      <w:bdr w:val="none" w:sz="0" w:space="0" w:color="auto" w:frame="1"/>
                      <w:lang w:val="uk-UA"/>
                    </w:rPr>
                    <w:t>особи діяльність в якості</w:t>
                  </w:r>
                  <w:r w:rsidRPr="00C03848">
                    <w:rPr>
                      <w:iCs/>
                      <w:bdr w:val="none" w:sz="0" w:space="0" w:color="auto" w:frame="1"/>
                      <w:lang w:val="uk-UA"/>
                    </w:rPr>
                    <w:t xml:space="preserve"> </w:t>
                  </w:r>
                  <w:r w:rsidR="0098171B" w:rsidRPr="00C03848">
                    <w:rPr>
                      <w:iCs/>
                      <w:bdr w:val="none" w:sz="0" w:space="0" w:color="auto" w:frame="1"/>
                      <w:lang w:val="uk-UA"/>
                    </w:rPr>
                    <w:t>номінального акціонера замість  іншої  особи  на  відміну  від</w:t>
                  </w:r>
                  <w:r w:rsidRPr="00C03848">
                    <w:rPr>
                      <w:iCs/>
                      <w:bdr w:val="none" w:sz="0" w:space="0" w:color="auto" w:frame="1"/>
                      <w:lang w:val="uk-UA"/>
                    </w:rPr>
                    <w:t xml:space="preserve"> </w:t>
                  </w:r>
                  <w:r w:rsidR="0098171B" w:rsidRPr="00C03848">
                    <w:rPr>
                      <w:iCs/>
                      <w:bdr w:val="none" w:sz="0" w:space="0" w:color="auto" w:frame="1"/>
                      <w:lang w:val="uk-UA"/>
                    </w:rPr>
                    <w:t>компанії,  яка здійснює регламентовану торгівлю,  що підпадає  під</w:t>
                  </w:r>
                  <w:r w:rsidRPr="00C03848">
                    <w:rPr>
                      <w:iCs/>
                      <w:bdr w:val="none" w:sz="0" w:space="0" w:color="auto" w:frame="1"/>
                      <w:lang w:val="uk-UA"/>
                    </w:rPr>
                    <w:t xml:space="preserve"> </w:t>
                  </w:r>
                  <w:r w:rsidR="0098171B" w:rsidRPr="00C03848">
                    <w:rPr>
                      <w:iCs/>
                      <w:bdr w:val="none" w:sz="0" w:space="0" w:color="auto" w:frame="1"/>
                      <w:lang w:val="uk-UA"/>
                    </w:rPr>
                    <w:t>вимоги публікації фінансової звітнос</w:t>
                  </w:r>
                  <w:r w:rsidRPr="00C03848">
                    <w:rPr>
                      <w:iCs/>
                      <w:bdr w:val="none" w:sz="0" w:space="0" w:color="auto" w:frame="1"/>
                      <w:lang w:val="uk-UA"/>
                    </w:rPr>
                    <w:t xml:space="preserve">ті відповідно до законодавства </w:t>
                  </w:r>
                  <w:r w:rsidR="0098171B" w:rsidRPr="00C03848">
                    <w:rPr>
                      <w:iCs/>
                      <w:bdr w:val="none" w:sz="0" w:space="0" w:color="auto" w:frame="1"/>
                      <w:lang w:val="uk-UA"/>
                    </w:rPr>
                    <w:t>Співтовариства або під вимоги еквівалентних міжнародних</w:t>
                  </w:r>
                  <w:r w:rsidRPr="00C03848">
                    <w:rPr>
                      <w:iCs/>
                      <w:bdr w:val="none" w:sz="0" w:space="0" w:color="auto" w:frame="1"/>
                      <w:lang w:val="uk-UA"/>
                    </w:rPr>
                    <w:t xml:space="preserve"> </w:t>
                  </w:r>
                  <w:r w:rsidR="0098171B" w:rsidRPr="00C03848">
                    <w:rPr>
                      <w:iCs/>
                      <w:bdr w:val="none" w:sz="0" w:space="0" w:color="auto" w:frame="1"/>
                      <w:lang w:val="uk-UA"/>
                    </w:rPr>
                    <w:t>стандартів;</w:t>
                  </w:r>
                </w:p>
              </w:tc>
            </w:tr>
          </w:tbl>
          <w:p w:rsidR="00C07AC9" w:rsidRPr="00C03848" w:rsidRDefault="00C07AC9" w:rsidP="008B76F2">
            <w:pPr>
              <w:spacing w:after="0" w:line="240" w:lineRule="auto"/>
              <w:rPr>
                <w:rFonts w:ascii="Times New Roman" w:hAnsi="Times New Roman" w:cs="Times New Roman"/>
                <w:sz w:val="24"/>
                <w:szCs w:val="24"/>
                <w:lang w:val="uk-UA"/>
              </w:rPr>
            </w:pPr>
          </w:p>
        </w:tc>
      </w:tr>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B1F5F" w:rsidRPr="00C03848" w:rsidRDefault="00FB1F5F" w:rsidP="008B76F2">
            <w:pPr>
              <w:pStyle w:val="1"/>
              <w:spacing w:before="0" w:beforeAutospacing="0" w:after="0" w:afterAutospacing="0"/>
              <w:jc w:val="both"/>
              <w:textAlignment w:val="baseline"/>
              <w:rPr>
                <w:lang w:val="uk-UA"/>
              </w:rPr>
            </w:pPr>
            <w:r w:rsidRPr="00C03848">
              <w:rPr>
                <w:lang w:val="uk-UA"/>
              </w:rPr>
              <w:t>"кореспондентський зв'язок" означає:</w:t>
            </w:r>
          </w:p>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8582"/>
            </w:tblGrid>
            <w:tr w:rsidR="00FB1F5F" w:rsidRPr="00C03848" w:rsidTr="00A2165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FB1F5F" w:rsidRPr="00C03848" w:rsidRDefault="00FB1F5F"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FB1F5F" w:rsidRPr="00C03848" w:rsidRDefault="00FB1F5F" w:rsidP="008B76F2">
                  <w:pPr>
                    <w:pStyle w:val="1"/>
                    <w:spacing w:before="0" w:beforeAutospacing="0" w:after="0" w:afterAutospacing="0"/>
                    <w:jc w:val="both"/>
                    <w:textAlignment w:val="baseline"/>
                    <w:rPr>
                      <w:lang w:val="uk-UA"/>
                    </w:rPr>
                  </w:pPr>
                  <w:r w:rsidRPr="00C03848">
                    <w:rPr>
                      <w:lang w:val="uk-UA"/>
                    </w:rPr>
                    <w:t>надання банківських послуг одним банком, як кореспондента, іншому банку, як респонденту, включаючи надання поточного або іншого пасивного рахунку та пов'язаних з ними послуг, таких як управління грошовими коштами, міжнародні перекази коштів, кліринг чеків, транзитних рах</w:t>
                  </w:r>
                  <w:r w:rsidR="00B05491" w:rsidRPr="00C03848">
                    <w:rPr>
                      <w:lang w:val="uk-UA"/>
                    </w:rPr>
                    <w:t>унків та послуги обміну валюти</w:t>
                  </w:r>
                  <w:r w:rsidRPr="00C03848">
                    <w:rPr>
                      <w:lang w:val="uk-UA"/>
                    </w:rPr>
                    <w:t>;</w:t>
                  </w:r>
                </w:p>
              </w:tc>
            </w:tr>
          </w:tbl>
          <w:p w:rsidR="00FB1F5F" w:rsidRPr="00C03848" w:rsidRDefault="00FB1F5F"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8569"/>
            </w:tblGrid>
            <w:tr w:rsidR="00FB1F5F" w:rsidRPr="00C03848" w:rsidTr="00A2165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FB1F5F" w:rsidRPr="00C03848" w:rsidRDefault="00FB1F5F"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FB1F5F" w:rsidRPr="00C03848" w:rsidRDefault="00FB1F5F" w:rsidP="008B76F2">
                  <w:pPr>
                    <w:pStyle w:val="1"/>
                    <w:spacing w:before="0" w:beforeAutospacing="0" w:after="0" w:afterAutospacing="0"/>
                    <w:jc w:val="both"/>
                    <w:textAlignment w:val="baseline"/>
                    <w:rPr>
                      <w:lang w:val="uk-UA"/>
                    </w:rPr>
                  </w:pPr>
                  <w:r w:rsidRPr="00C03848">
                    <w:rPr>
                      <w:lang w:val="uk-UA"/>
                    </w:rPr>
                    <w:t xml:space="preserve">відносини </w:t>
                  </w:r>
                  <w:r w:rsidR="00B05491" w:rsidRPr="00C03848">
                    <w:rPr>
                      <w:lang w:val="uk-UA"/>
                    </w:rPr>
                    <w:t>між</w:t>
                  </w:r>
                  <w:r w:rsidRPr="00C03848">
                    <w:rPr>
                      <w:lang w:val="uk-UA"/>
                    </w:rPr>
                    <w:t xml:space="preserve"> кредитни</w:t>
                  </w:r>
                  <w:r w:rsidR="00B05491" w:rsidRPr="00C03848">
                    <w:rPr>
                      <w:lang w:val="uk-UA"/>
                    </w:rPr>
                    <w:t>ми</w:t>
                  </w:r>
                  <w:r w:rsidRPr="00C03848">
                    <w:rPr>
                      <w:lang w:val="uk-UA"/>
                    </w:rPr>
                    <w:t xml:space="preserve"> установ</w:t>
                  </w:r>
                  <w:r w:rsidR="00B05491" w:rsidRPr="00C03848">
                    <w:rPr>
                      <w:lang w:val="uk-UA"/>
                    </w:rPr>
                    <w:t>ами та фінансовими</w:t>
                  </w:r>
                  <w:r w:rsidRPr="00C03848">
                    <w:rPr>
                      <w:lang w:val="uk-UA"/>
                    </w:rPr>
                    <w:t xml:space="preserve"> установ</w:t>
                  </w:r>
                  <w:r w:rsidR="00B05491" w:rsidRPr="00C03848">
                    <w:rPr>
                      <w:lang w:val="uk-UA"/>
                    </w:rPr>
                    <w:t>ами</w:t>
                  </w:r>
                  <w:r w:rsidRPr="00C03848">
                    <w:rPr>
                      <w:lang w:val="uk-UA"/>
                    </w:rPr>
                    <w:t xml:space="preserve">, включаючи ті, </w:t>
                  </w:r>
                  <w:r w:rsidR="00B05491" w:rsidRPr="00C03848">
                    <w:rPr>
                      <w:lang w:val="uk-UA"/>
                    </w:rPr>
                    <w:t>в  яких</w:t>
                  </w:r>
                  <w:r w:rsidRPr="00C03848">
                    <w:rPr>
                      <w:lang w:val="uk-UA"/>
                    </w:rPr>
                    <w:t xml:space="preserve"> подібні послуги надаються</w:t>
                  </w:r>
                  <w:r w:rsidR="00B05491" w:rsidRPr="00C03848">
                    <w:rPr>
                      <w:lang w:val="uk-UA"/>
                    </w:rPr>
                    <w:t xml:space="preserve"> </w:t>
                  </w:r>
                  <w:r w:rsidRPr="00C03848">
                    <w:rPr>
                      <w:lang w:val="uk-UA"/>
                    </w:rPr>
                    <w:t xml:space="preserve">кореспондентською установою </w:t>
                  </w:r>
                  <w:r w:rsidR="00B05491" w:rsidRPr="00C03848">
                    <w:rPr>
                      <w:lang w:val="uk-UA"/>
                    </w:rPr>
                    <w:t>установі-респонденту</w:t>
                  </w:r>
                  <w:r w:rsidRPr="00C03848">
                    <w:rPr>
                      <w:lang w:val="uk-UA"/>
                    </w:rPr>
                    <w:t xml:space="preserve">, </w:t>
                  </w:r>
                  <w:r w:rsidR="00B05491" w:rsidRPr="00C03848">
                    <w:rPr>
                      <w:lang w:val="uk-UA"/>
                    </w:rPr>
                    <w:t>включаючи</w:t>
                  </w:r>
                  <w:r w:rsidRPr="00C03848">
                    <w:rPr>
                      <w:lang w:val="uk-UA"/>
                    </w:rPr>
                    <w:t xml:space="preserve"> </w:t>
                  </w:r>
                  <w:r w:rsidR="00B05491" w:rsidRPr="00C03848">
                    <w:rPr>
                      <w:lang w:val="uk-UA"/>
                    </w:rPr>
                    <w:t>т</w:t>
                  </w:r>
                  <w:r w:rsidRPr="00C03848">
                    <w:rPr>
                      <w:lang w:val="uk-UA"/>
                    </w:rPr>
                    <w:t xml:space="preserve">і відносини, </w:t>
                  </w:r>
                  <w:r w:rsidR="00B05491" w:rsidRPr="00C03848">
                    <w:rPr>
                      <w:lang w:val="uk-UA"/>
                    </w:rPr>
                    <w:t>які створені</w:t>
                  </w:r>
                  <w:r w:rsidRPr="00C03848">
                    <w:rPr>
                      <w:lang w:val="uk-UA"/>
                    </w:rPr>
                    <w:t xml:space="preserve"> для операцій з цінними паперами або переказами грошових коштів;</w:t>
                  </w:r>
                </w:p>
              </w:tc>
            </w:tr>
          </w:tbl>
          <w:p w:rsidR="00C07AC9" w:rsidRPr="00C03848" w:rsidRDefault="00C07AC9" w:rsidP="008B76F2">
            <w:pPr>
              <w:spacing w:after="0" w:line="240" w:lineRule="auto"/>
              <w:rPr>
                <w:rFonts w:ascii="Times New Roman" w:hAnsi="Times New Roman" w:cs="Times New Roman"/>
                <w:sz w:val="24"/>
                <w:szCs w:val="24"/>
                <w:lang w:val="uk-UA"/>
              </w:rPr>
            </w:pP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5"/>
        <w:gridCol w:w="907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8E6E7A" w:rsidP="008B76F2">
            <w:pPr>
              <w:pStyle w:val="1"/>
              <w:spacing w:before="0" w:beforeAutospacing="0" w:after="0" w:afterAutospacing="0"/>
              <w:jc w:val="both"/>
              <w:textAlignment w:val="baseline"/>
              <w:rPr>
                <w:lang w:val="uk-UA"/>
              </w:rPr>
            </w:pPr>
            <w:r w:rsidRPr="00C03848">
              <w:rPr>
                <w:lang w:val="uk-UA"/>
              </w:rPr>
              <w:t>«політичний діяч» означає фізичну особу, якій надано або надавалось виконання значних державних функцій, та охоплює наступне:</w:t>
            </w:r>
          </w:p>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94"/>
              <w:gridCol w:w="8560"/>
            </w:tblGrid>
            <w:tr w:rsidR="008E6E7A" w:rsidRPr="00C03848" w:rsidTr="00A2165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t>глави держави, глави урядів, міністри та заступники міністрів або помічники;</w:t>
                  </w:r>
                </w:p>
              </w:tc>
            </w:tr>
          </w:tbl>
          <w:p w:rsidR="008E6E7A" w:rsidRPr="00C03848" w:rsidRDefault="008E6E7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539"/>
              <w:gridCol w:w="8415"/>
            </w:tblGrid>
            <w:tr w:rsidR="008E6E7A" w:rsidRPr="00C03848" w:rsidTr="00A2165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t>члени парламенту або аналогічних законодавчих органів;</w:t>
                  </w:r>
                </w:p>
              </w:tc>
            </w:tr>
          </w:tbl>
          <w:p w:rsidR="008E6E7A" w:rsidRPr="00C03848" w:rsidRDefault="008E6E7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661"/>
              <w:gridCol w:w="8293"/>
            </w:tblGrid>
            <w:tr w:rsidR="008E6E7A" w:rsidRPr="00C03848" w:rsidTr="00A21654">
              <w:tc>
                <w:tcPr>
                  <w:tcW w:w="369"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t>(c)</w:t>
                  </w:r>
                </w:p>
              </w:tc>
              <w:tc>
                <w:tcPr>
                  <w:tcW w:w="4631"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t>члени керівних органів політичних партій;</w:t>
                  </w:r>
                </w:p>
              </w:tc>
            </w:tr>
          </w:tbl>
          <w:p w:rsidR="008E6E7A" w:rsidRPr="00C03848" w:rsidRDefault="008E6E7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8569"/>
            </w:tblGrid>
            <w:tr w:rsidR="008E6E7A" w:rsidRPr="00C03848" w:rsidTr="00A2165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t>члени верховних судів, конституційних судів або інших судових органів високого рівня, рішення яких не підлягають оскарженню, крім як у виняткових обставинах;</w:t>
                  </w:r>
                </w:p>
              </w:tc>
            </w:tr>
          </w:tbl>
          <w:p w:rsidR="008E6E7A" w:rsidRPr="00C03848" w:rsidRDefault="008E6E7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556"/>
              <w:gridCol w:w="8398"/>
            </w:tblGrid>
            <w:tr w:rsidR="008E6E7A" w:rsidRPr="00C03848" w:rsidTr="00A2165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t>члени р</w:t>
                  </w:r>
                  <w:r w:rsidR="00381B9B" w:rsidRPr="00C03848">
                    <w:rPr>
                      <w:lang w:val="uk-UA"/>
                    </w:rPr>
                    <w:t xml:space="preserve">ахункової палати </w:t>
                  </w:r>
                  <w:r w:rsidRPr="00C03848">
                    <w:rPr>
                      <w:lang w:val="uk-UA"/>
                    </w:rPr>
                    <w:t>або рад центральних банків;</w:t>
                  </w:r>
                </w:p>
              </w:tc>
            </w:tr>
          </w:tbl>
          <w:p w:rsidR="008E6E7A" w:rsidRPr="00C03848" w:rsidRDefault="008E6E7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6"/>
              <w:gridCol w:w="8568"/>
            </w:tblGrid>
            <w:tr w:rsidR="008E6E7A" w:rsidRPr="00C03848" w:rsidTr="00A2165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t>посли, повірені у справах та високопоставлені офіцери у збройних силах;</w:t>
                  </w:r>
                </w:p>
              </w:tc>
            </w:tr>
          </w:tbl>
          <w:p w:rsidR="008E6E7A" w:rsidRPr="00C03848" w:rsidRDefault="008E6E7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8569"/>
            </w:tblGrid>
            <w:tr w:rsidR="008E6E7A" w:rsidRPr="00C03848" w:rsidTr="00A2165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t>члени адміністративних, управлінських або наглядових органів державних підприємств;</w:t>
                  </w:r>
                </w:p>
              </w:tc>
            </w:tr>
          </w:tbl>
          <w:p w:rsidR="008E6E7A" w:rsidRPr="00C03848" w:rsidRDefault="008E6E7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8569"/>
            </w:tblGrid>
            <w:tr w:rsidR="008E6E7A" w:rsidRPr="00C03848" w:rsidTr="00A2165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8E6E7A" w:rsidRPr="00C03848" w:rsidRDefault="008E6E7A" w:rsidP="008B76F2">
                  <w:pPr>
                    <w:pStyle w:val="1"/>
                    <w:spacing w:before="0" w:beforeAutospacing="0" w:after="0" w:afterAutospacing="0"/>
                    <w:jc w:val="both"/>
                    <w:textAlignment w:val="baseline"/>
                    <w:rPr>
                      <w:lang w:val="uk-UA"/>
                    </w:rPr>
                  </w:pPr>
                  <w:r w:rsidRPr="00C03848">
                    <w:rPr>
                      <w:lang w:val="uk-UA"/>
                    </w:rPr>
                    <w:t xml:space="preserve">директори, заступники директорів та члени правління або </w:t>
                  </w:r>
                  <w:r w:rsidR="00381B9B" w:rsidRPr="00C03848">
                    <w:rPr>
                      <w:lang w:val="uk-UA"/>
                    </w:rPr>
                    <w:t>міжнародних організацій</w:t>
                  </w:r>
                  <w:r w:rsidRPr="00C03848">
                    <w:rPr>
                      <w:lang w:val="uk-UA"/>
                    </w:rPr>
                    <w:t xml:space="preserve"> з еквівалентними функціями.</w:t>
                  </w:r>
                </w:p>
              </w:tc>
            </w:tr>
          </w:tbl>
          <w:p w:rsidR="0026350A" w:rsidRPr="00C03848" w:rsidRDefault="0026350A" w:rsidP="008B76F2">
            <w:pPr>
              <w:pStyle w:val="1"/>
              <w:spacing w:before="0" w:beforeAutospacing="0" w:after="0" w:afterAutospacing="0"/>
              <w:jc w:val="both"/>
              <w:textAlignment w:val="baseline"/>
              <w:rPr>
                <w:lang w:val="uk-UA"/>
              </w:rPr>
            </w:pPr>
            <w:r w:rsidRPr="00C03848">
              <w:rPr>
                <w:lang w:val="uk-UA"/>
              </w:rPr>
              <w:t>Не слід розуміти жодну публічну функцію, зазначену у пунктах з (а) по (h), що вона охоплює посадових осіб середньої ланки або тих, що охоплюють, нижчу ланку;</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956C5C" w:rsidP="008B76F2">
            <w:pPr>
              <w:pStyle w:val="1"/>
              <w:spacing w:before="0" w:beforeAutospacing="0" w:after="0" w:afterAutospacing="0"/>
              <w:jc w:val="both"/>
              <w:textAlignment w:val="baseline"/>
              <w:rPr>
                <w:lang w:val="uk-UA"/>
              </w:rPr>
            </w:pPr>
            <w:r w:rsidRPr="00C03848">
              <w:rPr>
                <w:lang w:val="uk-UA"/>
              </w:rPr>
              <w:t>«члени сім’ї»</w:t>
            </w:r>
            <w:r w:rsidR="00C07AC9" w:rsidRPr="00C03848">
              <w:rPr>
                <w:lang w:val="uk-UA"/>
              </w:rPr>
              <w:t xml:space="preserve"> </w:t>
            </w:r>
            <w:r w:rsidRPr="00C03848">
              <w:rPr>
                <w:lang w:val="uk-UA"/>
              </w:rPr>
              <w:t>охоплюють наступне</w:t>
            </w:r>
            <w:r w:rsidR="00C07AC9" w:rsidRPr="00C03848">
              <w:rPr>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462"/>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FD339A" w:rsidP="008B76F2">
                  <w:pPr>
                    <w:pStyle w:val="1"/>
                    <w:spacing w:before="0" w:beforeAutospacing="0" w:after="0" w:afterAutospacing="0"/>
                    <w:jc w:val="both"/>
                    <w:textAlignment w:val="baseline"/>
                    <w:rPr>
                      <w:lang w:val="uk-UA"/>
                    </w:rPr>
                  </w:pPr>
                  <w:r w:rsidRPr="00C03848">
                    <w:rPr>
                      <w:lang w:val="uk-UA"/>
                    </w:rPr>
                    <w:t>чоловік (дружина) або особа,</w:t>
                  </w:r>
                  <w:r w:rsidR="001C56DE" w:rsidRPr="00C03848">
                    <w:rPr>
                      <w:lang w:val="uk-UA"/>
                    </w:rPr>
                    <w:t xml:space="preserve"> яка </w:t>
                  </w:r>
                  <w:r w:rsidRPr="00C03848">
                    <w:rPr>
                      <w:lang w:val="uk-UA"/>
                    </w:rPr>
                    <w:t xml:space="preserve">вважається еквівалентною </w:t>
                  </w:r>
                  <w:r w:rsidR="001C56DE" w:rsidRPr="00C03848">
                    <w:rPr>
                      <w:lang w:val="uk-UA"/>
                    </w:rPr>
                    <w:t xml:space="preserve">за статусом </w:t>
                  </w:r>
                  <w:r w:rsidRPr="00C03848">
                    <w:rPr>
                      <w:lang w:val="uk-UA"/>
                    </w:rPr>
                    <w:t>до чоловіка (дружини), політичного діяча;</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449"/>
            </w:tblGrid>
            <w:tr w:rsidR="00C07AC9"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1C56DE" w:rsidP="008B76F2">
                  <w:pPr>
                    <w:pStyle w:val="1"/>
                    <w:spacing w:before="0" w:beforeAutospacing="0" w:after="0" w:afterAutospacing="0"/>
                    <w:jc w:val="both"/>
                    <w:textAlignment w:val="baseline"/>
                    <w:rPr>
                      <w:lang w:val="uk-UA"/>
                    </w:rPr>
                  </w:pPr>
                  <w:r w:rsidRPr="00C03848">
                    <w:rPr>
                      <w:lang w:val="uk-UA"/>
                    </w:rPr>
                    <w:t>діти та їхні чоловіки (дружини) або особи, які вважаються еквівалентними за статусом до чоловіка (дружини), політичного діяча</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49"/>
              <w:gridCol w:w="7785"/>
            </w:tblGrid>
            <w:tr w:rsidR="00C07AC9" w:rsidRPr="00C03848" w:rsidTr="004544D3">
              <w:trPr>
                <w:trHeight w:val="53"/>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D339A" w:rsidRPr="00C03848" w:rsidRDefault="00FD339A" w:rsidP="004544D3">
                  <w:pPr>
                    <w:pStyle w:val="1"/>
                    <w:spacing w:before="0" w:beforeAutospacing="0" w:after="0" w:afterAutospacing="0"/>
                    <w:jc w:val="both"/>
                    <w:textAlignment w:val="baseline"/>
                    <w:rPr>
                      <w:lang w:val="uk-UA"/>
                    </w:rPr>
                  </w:pPr>
                  <w:r w:rsidRPr="00C03848">
                    <w:rPr>
                      <w:lang w:val="uk-UA"/>
                    </w:rPr>
                    <w:t>батьки політичного діяча</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sz w:val="24"/>
                <w:szCs w:val="24"/>
                <w:lang w:val="uk-UA"/>
              </w:rPr>
            </w:pP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BE2455" w:rsidP="008B76F2">
            <w:pPr>
              <w:pStyle w:val="1"/>
              <w:spacing w:before="0" w:beforeAutospacing="0" w:after="0" w:afterAutospacing="0"/>
              <w:jc w:val="both"/>
              <w:textAlignment w:val="baseline"/>
              <w:rPr>
                <w:lang w:val="uk-UA"/>
              </w:rPr>
            </w:pPr>
            <w:r w:rsidRPr="00C03848">
              <w:rPr>
                <w:lang w:val="uk-UA"/>
              </w:rPr>
              <w:t xml:space="preserve">«близькі </w:t>
            </w:r>
            <w:r w:rsidR="004F5CB6" w:rsidRPr="00C03848">
              <w:rPr>
                <w:lang w:val="uk-UA"/>
              </w:rPr>
              <w:t>партнер</w:t>
            </w:r>
            <w:r w:rsidRPr="00C03848">
              <w:rPr>
                <w:lang w:val="uk-UA"/>
              </w:rPr>
              <w:t>и» означає</w:t>
            </w:r>
            <w:r w:rsidR="00C07AC9" w:rsidRPr="00C03848">
              <w:rPr>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96"/>
              <w:gridCol w:w="8438"/>
            </w:tblGrid>
            <w:tr w:rsidR="004F5CB6" w:rsidRPr="00C03848" w:rsidTr="00A2165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4F5CB6" w:rsidRPr="00C03848" w:rsidRDefault="004F5CB6" w:rsidP="008B76F2">
                  <w:pPr>
                    <w:pStyle w:val="1"/>
                    <w:spacing w:before="0" w:beforeAutospacing="0" w:after="0" w:afterAutospacing="0"/>
                    <w:jc w:val="both"/>
                    <w:textAlignment w:val="baseline"/>
                    <w:rPr>
                      <w:lang w:val="uk-UA"/>
                    </w:rPr>
                  </w:pPr>
                  <w:r w:rsidRPr="00C03848">
                    <w:rPr>
                      <w:lang w:val="uk-UA"/>
                    </w:rPr>
                    <w:t xml:space="preserve"> (a)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4F5CB6" w:rsidRPr="00C03848" w:rsidRDefault="004F5CB6" w:rsidP="008B76F2">
                  <w:pPr>
                    <w:pStyle w:val="1"/>
                    <w:spacing w:before="0" w:beforeAutospacing="0" w:after="0" w:afterAutospacing="0"/>
                    <w:jc w:val="both"/>
                    <w:textAlignment w:val="baseline"/>
                    <w:rPr>
                      <w:lang w:val="uk-UA"/>
                    </w:rPr>
                  </w:pPr>
                  <w:r w:rsidRPr="00C03848">
                    <w:rPr>
                      <w:lang w:val="uk-UA"/>
                    </w:rPr>
                    <w:t xml:space="preserve">фізичні особи, які, як відомо, мають спільну </w:t>
                  </w:r>
                  <w:r w:rsidR="00AF7A61" w:rsidRPr="00C03848">
                    <w:rPr>
                      <w:lang w:val="uk-UA"/>
                    </w:rPr>
                    <w:t>бенефіціар</w:t>
                  </w:r>
                  <w:r w:rsidRPr="00C03848">
                    <w:rPr>
                      <w:lang w:val="uk-UA"/>
                    </w:rPr>
                    <w:t>ну власність у юридичних особах або юридичних організаціях, або будь-які інші близькі ділові відносини з політичним діячем;</w:t>
                  </w:r>
                </w:p>
              </w:tc>
            </w:tr>
          </w:tbl>
          <w:p w:rsidR="004F5CB6" w:rsidRPr="00C03848" w:rsidRDefault="004F5CB6"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8449"/>
            </w:tblGrid>
            <w:tr w:rsidR="004F5CB6" w:rsidRPr="00C03848" w:rsidTr="00A2165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4F5CB6" w:rsidRPr="00C03848" w:rsidRDefault="004F5CB6"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4F5CB6" w:rsidRPr="00C03848" w:rsidRDefault="004F5CB6" w:rsidP="008B76F2">
                  <w:pPr>
                    <w:pStyle w:val="1"/>
                    <w:spacing w:before="0" w:beforeAutospacing="0" w:after="0" w:afterAutospacing="0"/>
                    <w:jc w:val="both"/>
                    <w:textAlignment w:val="baseline"/>
                    <w:rPr>
                      <w:lang w:val="uk-UA"/>
                    </w:rPr>
                  </w:pPr>
                  <w:r w:rsidRPr="00C03848">
                    <w:rPr>
                      <w:lang w:val="uk-UA"/>
                    </w:rPr>
                    <w:t>фізичні особи, які мають єдину бенефіціарну власність у юридичній особі або юридичній організації, яка, як відомо, була створена де-факто на користь політичного діяча.</w:t>
                  </w:r>
                </w:p>
              </w:tc>
            </w:tr>
          </w:tbl>
          <w:p w:rsidR="00C07AC9" w:rsidRPr="00C03848" w:rsidRDefault="00C07AC9" w:rsidP="008B76F2">
            <w:pPr>
              <w:spacing w:after="0" w:line="240" w:lineRule="auto"/>
              <w:rPr>
                <w:rFonts w:ascii="Times New Roman" w:hAnsi="Times New Roman" w:cs="Times New Roman"/>
                <w:sz w:val="24"/>
                <w:szCs w:val="24"/>
                <w:lang w:val="uk-UA"/>
              </w:rPr>
            </w:pP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4F5CB6" w:rsidP="00AC3A3E">
            <w:pPr>
              <w:pStyle w:val="1"/>
              <w:spacing w:before="0" w:beforeAutospacing="0" w:after="0" w:afterAutospacing="0"/>
              <w:jc w:val="both"/>
              <w:textAlignment w:val="baseline"/>
              <w:rPr>
                <w:lang w:val="uk-UA"/>
              </w:rPr>
            </w:pPr>
            <w:r w:rsidRPr="00C03848">
              <w:rPr>
                <w:lang w:val="uk-UA"/>
              </w:rPr>
              <w:t>«вище керівництво» означає п</w:t>
            </w:r>
            <w:r w:rsidR="008B5E1F" w:rsidRPr="00C03848">
              <w:rPr>
                <w:lang w:val="uk-UA"/>
              </w:rPr>
              <w:t xml:space="preserve">осадову особу або співробітника, який володіє </w:t>
            </w:r>
            <w:r w:rsidRPr="00C03848">
              <w:rPr>
                <w:lang w:val="uk-UA"/>
              </w:rPr>
              <w:t>достатнім</w:t>
            </w:r>
            <w:r w:rsidR="008B5E1F" w:rsidRPr="00C03848">
              <w:rPr>
                <w:lang w:val="uk-UA"/>
              </w:rPr>
              <w:t>и</w:t>
            </w:r>
            <w:r w:rsidRPr="00C03848">
              <w:rPr>
                <w:lang w:val="uk-UA"/>
              </w:rPr>
              <w:t xml:space="preserve"> знаннями </w:t>
            </w:r>
            <w:r w:rsidR="00AC3A3E" w:rsidRPr="00C03848">
              <w:rPr>
                <w:lang w:val="uk-UA"/>
              </w:rPr>
              <w:t xml:space="preserve">про </w:t>
            </w:r>
            <w:r w:rsidR="008860E3" w:rsidRPr="00C03848">
              <w:rPr>
                <w:lang w:val="uk-UA"/>
              </w:rPr>
              <w:t>підвержен</w:t>
            </w:r>
            <w:r w:rsidR="00AC3A3E" w:rsidRPr="00C03848">
              <w:rPr>
                <w:lang w:val="uk-UA"/>
              </w:rPr>
              <w:t>ість</w:t>
            </w:r>
            <w:r w:rsidR="008860E3" w:rsidRPr="00C03848">
              <w:rPr>
                <w:lang w:val="uk-UA"/>
              </w:rPr>
              <w:t xml:space="preserve"> уст</w:t>
            </w:r>
            <w:r w:rsidR="008B5E1F" w:rsidRPr="00C03848">
              <w:rPr>
                <w:lang w:val="uk-UA"/>
              </w:rPr>
              <w:t xml:space="preserve">анови ризику </w:t>
            </w:r>
            <w:r w:rsidRPr="00C03848">
              <w:rPr>
                <w:lang w:val="uk-UA"/>
              </w:rPr>
              <w:t xml:space="preserve">відмивання грошей та фінансування </w:t>
            </w:r>
            <w:r w:rsidR="008860E3" w:rsidRPr="00C03848">
              <w:rPr>
                <w:lang w:val="uk-UA"/>
              </w:rPr>
              <w:t>тероризм</w:t>
            </w:r>
            <w:r w:rsidRPr="00C03848">
              <w:rPr>
                <w:lang w:val="uk-UA"/>
              </w:rPr>
              <w:t>у</w:t>
            </w:r>
            <w:r w:rsidR="008860E3" w:rsidRPr="00C03848">
              <w:rPr>
                <w:lang w:val="uk-UA"/>
              </w:rPr>
              <w:t>,</w:t>
            </w:r>
            <w:r w:rsidRPr="00C03848">
              <w:rPr>
                <w:lang w:val="uk-UA"/>
              </w:rPr>
              <w:t xml:space="preserve"> </w:t>
            </w:r>
            <w:r w:rsidR="008860E3" w:rsidRPr="00C03848">
              <w:rPr>
                <w:lang w:val="uk-UA"/>
              </w:rPr>
              <w:t xml:space="preserve">та займає </w:t>
            </w:r>
            <w:r w:rsidRPr="00C03848">
              <w:rPr>
                <w:lang w:val="uk-UA"/>
              </w:rPr>
              <w:t>достатньо</w:t>
            </w:r>
            <w:r w:rsidR="008860E3" w:rsidRPr="00C03848">
              <w:rPr>
                <w:lang w:val="uk-UA"/>
              </w:rPr>
              <w:t xml:space="preserve"> високий рівень посади</w:t>
            </w:r>
            <w:r w:rsidRPr="00C03848">
              <w:rPr>
                <w:lang w:val="uk-UA"/>
              </w:rPr>
              <w:t xml:space="preserve">, щоб приймати рішення, </w:t>
            </w:r>
            <w:r w:rsidR="008860E3" w:rsidRPr="00C03848">
              <w:rPr>
                <w:lang w:val="uk-UA"/>
              </w:rPr>
              <w:t xml:space="preserve">які </w:t>
            </w:r>
            <w:r w:rsidRPr="00C03848">
              <w:rPr>
                <w:lang w:val="uk-UA"/>
              </w:rPr>
              <w:t>впливаю</w:t>
            </w:r>
            <w:r w:rsidR="008860E3" w:rsidRPr="00C03848">
              <w:rPr>
                <w:lang w:val="uk-UA"/>
              </w:rPr>
              <w:t>ть на його схильні</w:t>
            </w:r>
            <w:r w:rsidRPr="00C03848">
              <w:rPr>
                <w:lang w:val="uk-UA"/>
              </w:rPr>
              <w:t>сть до ризику, і не по</w:t>
            </w:r>
            <w:r w:rsidR="008860E3" w:rsidRPr="00C03848">
              <w:rPr>
                <w:lang w:val="uk-UA"/>
              </w:rPr>
              <w:t>винен</w:t>
            </w:r>
            <w:r w:rsidRPr="00C03848">
              <w:rPr>
                <w:lang w:val="uk-UA"/>
              </w:rPr>
              <w:t>, у всіх випадках, бути членом ради директорів;</w:t>
            </w:r>
          </w:p>
        </w:tc>
      </w:tr>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0691D" w:rsidRPr="00C03848" w:rsidRDefault="00CB5ED1" w:rsidP="008B76F2">
            <w:pPr>
              <w:pStyle w:val="1"/>
              <w:spacing w:before="0" w:beforeAutospacing="0" w:after="0" w:afterAutospacing="0"/>
              <w:jc w:val="both"/>
              <w:textAlignment w:val="baseline"/>
              <w:rPr>
                <w:lang w:val="uk-UA"/>
              </w:rPr>
            </w:pPr>
            <w:r w:rsidRPr="00C03848">
              <w:rPr>
                <w:lang w:val="uk-UA"/>
              </w:rPr>
              <w:t>"ділові відносини" означають ділові, професійні або комерційні відносини, що пов'язані з професійною діяльністю зобов'язаної особи, та які, як очікується, на момент створення контакту характеризуються  тривалістю;</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B5ED1" w:rsidP="008B76F2">
            <w:pPr>
              <w:pStyle w:val="1"/>
              <w:spacing w:before="0" w:beforeAutospacing="0" w:after="0" w:afterAutospacing="0"/>
              <w:jc w:val="both"/>
              <w:textAlignment w:val="baseline"/>
              <w:rPr>
                <w:lang w:val="uk-UA"/>
              </w:rPr>
            </w:pPr>
            <w:r w:rsidRPr="00C03848">
              <w:rPr>
                <w:lang w:val="uk-UA"/>
              </w:rPr>
              <w:t xml:space="preserve">«послуги в сфері азартних ігор» </w:t>
            </w:r>
            <w:r w:rsidR="00231E31" w:rsidRPr="00C03848">
              <w:rPr>
                <w:lang w:val="uk-UA"/>
              </w:rPr>
              <w:t>означають послугу, яка включає укладання парі на ставку з грошовою вартістю в азартних іграх, у тому числі з елементом здібності, такі як лотереї, ігри в казино, ігри в покер і угоду, укладену на парі, які надаються у фізичному місці, або із використанням засобів на відстані, за допомогою електронних засобів або будь-яких інших технологій для полегшення спілкування, і за індивідуальним запитом реципієнта послуг;</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231E31" w:rsidP="008B76F2">
            <w:pPr>
              <w:pStyle w:val="1"/>
              <w:spacing w:before="0" w:beforeAutospacing="0" w:after="0" w:afterAutospacing="0"/>
              <w:jc w:val="both"/>
              <w:textAlignment w:val="baseline"/>
              <w:rPr>
                <w:lang w:val="uk-UA"/>
              </w:rPr>
            </w:pPr>
            <w:r w:rsidRPr="00C03848">
              <w:rPr>
                <w:lang w:val="uk-UA"/>
              </w:rPr>
              <w:t xml:space="preserve">«група» означає групу підприємств, яка складається з материнської компанії, її дочірніх компаній, і компаній, в яких материнська компанія або її дочірні компанії приймають участь, а також підприємств, пов'язаних один з одним відносинами за змістом Статті 22 Директиви </w:t>
            </w:r>
            <w:r w:rsidR="00C07AC9" w:rsidRPr="00C03848">
              <w:rPr>
                <w:lang w:val="uk-UA"/>
              </w:rPr>
              <w:t>2013/34/EU;</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231E31" w:rsidP="008B76F2">
            <w:pPr>
              <w:pStyle w:val="1"/>
              <w:spacing w:before="0" w:beforeAutospacing="0" w:after="0" w:afterAutospacing="0"/>
              <w:jc w:val="both"/>
              <w:textAlignment w:val="baseline"/>
              <w:rPr>
                <w:lang w:val="uk-UA"/>
              </w:rPr>
            </w:pPr>
            <w:r w:rsidRPr="00C03848">
              <w:rPr>
                <w:lang w:val="uk-UA"/>
              </w:rPr>
              <w:t xml:space="preserve">«електронні гроші» означають електронні гроші, як визначено в пункті (2) Статті 2 </w:t>
            </w:r>
            <w:r w:rsidR="00C07AC9" w:rsidRPr="00C03848">
              <w:rPr>
                <w:lang w:val="uk-UA"/>
              </w:rPr>
              <w:t>2009/110/EC;</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5"/>
        <w:gridCol w:w="8955"/>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lastRenderedPageBreak/>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B1F5F" w:rsidRPr="00C03848" w:rsidRDefault="00604A9C" w:rsidP="008B76F2">
            <w:pPr>
              <w:pStyle w:val="1"/>
              <w:spacing w:before="0" w:beforeAutospacing="0" w:after="0" w:afterAutospacing="0"/>
              <w:jc w:val="both"/>
              <w:textAlignment w:val="baseline"/>
              <w:rPr>
                <w:lang w:val="uk-UA"/>
              </w:rPr>
            </w:pPr>
            <w:r w:rsidRPr="00C03848">
              <w:rPr>
                <w:lang w:val="uk-UA"/>
              </w:rPr>
              <w:t>«</w:t>
            </w:r>
            <w:r w:rsidRPr="00C03848">
              <w:rPr>
                <w:rStyle w:val="Emphasis"/>
                <w:i w:val="0"/>
                <w:shd w:val="clear" w:color="auto" w:fill="FFFFFF"/>
                <w:lang w:val="uk-UA"/>
              </w:rPr>
              <w:t>банк-оболонка»</w:t>
            </w:r>
            <w:r w:rsidRPr="00C03848">
              <w:rPr>
                <w:lang w:val="uk-UA"/>
              </w:rPr>
              <w:t xml:space="preserve"> означає кредитну установу або фінансову установу, або установу, яка здійснює діяльність, еквівалентну тій, яка здійснюється кредитними установами та фінансовими установами,  включеними до юрисдикції, в якій він не має фізичної присутності, включаючи багатозначний центр управління, а також, який не є філією регульованої фінансової групи. </w:t>
            </w:r>
          </w:p>
          <w:p w:rsidR="00604A9C" w:rsidRPr="00C03848" w:rsidRDefault="00604A9C" w:rsidP="008B76F2">
            <w:pPr>
              <w:pStyle w:val="1"/>
              <w:spacing w:before="0" w:beforeAutospacing="0" w:after="0" w:afterAutospacing="0"/>
              <w:jc w:val="both"/>
              <w:textAlignment w:val="baseline"/>
              <w:rPr>
                <w:lang w:val="uk-UA"/>
              </w:rPr>
            </w:pPr>
          </w:p>
        </w:tc>
      </w:tr>
    </w:tbl>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4</w:t>
      </w:r>
    </w:p>
    <w:p w:rsidR="00FB1F5F" w:rsidRPr="00C03848" w:rsidRDefault="00FB1F5F" w:rsidP="008B76F2">
      <w:pPr>
        <w:pStyle w:val="ti-art"/>
        <w:shd w:val="clear" w:color="auto" w:fill="FFFFFF"/>
        <w:spacing w:before="0" w:beforeAutospacing="0" w:after="0" w:afterAutospacing="0"/>
        <w:jc w:val="center"/>
        <w:textAlignment w:val="baseline"/>
        <w:rPr>
          <w:iCs/>
          <w:lang w:val="uk-UA"/>
        </w:rPr>
      </w:pPr>
    </w:p>
    <w:p w:rsidR="00870FF0" w:rsidRPr="00C03848" w:rsidRDefault="00870FF0"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відповідно до підходу, заснованого на ризиках, забезпечити, що сфера дії цієї Директиви поширюється в цілому або частково на професії та категорії підприємств, інших, ніж зобов'язані особи, зазначені у Статті 2 (1), які беруть участь у діяльності, що, особливо ймовірно, будуть використовуватися в цілях відмивання грошей або фінансування тероризму.</w:t>
      </w:r>
    </w:p>
    <w:p w:rsidR="00870FF0" w:rsidRPr="00C03848" w:rsidRDefault="00870FF0" w:rsidP="008B76F2">
      <w:pPr>
        <w:pStyle w:val="1"/>
        <w:shd w:val="clear" w:color="auto" w:fill="FFFFFF"/>
        <w:spacing w:before="0" w:beforeAutospacing="0" w:after="0" w:afterAutospacing="0"/>
        <w:jc w:val="both"/>
        <w:textAlignment w:val="baseline"/>
        <w:rPr>
          <w:lang w:val="uk-UA"/>
        </w:rPr>
      </w:pPr>
      <w:r w:rsidRPr="00C03848">
        <w:rPr>
          <w:lang w:val="uk-UA"/>
        </w:rPr>
        <w:t>2.   У випадку, якщо держава-член розширює сферу дії цієї Директиви до професій або до категорій підприємств інших, ніж ті, що зазначені в Статті 2 (1), вона повинена повідомити про це Комісію.</w:t>
      </w:r>
    </w:p>
    <w:p w:rsidR="00870FF0" w:rsidRPr="00C03848" w:rsidRDefault="00870FF0"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5</w:t>
      </w:r>
    </w:p>
    <w:p w:rsidR="00C87A93" w:rsidRPr="00C03848" w:rsidRDefault="00C87A93" w:rsidP="008B76F2">
      <w:pPr>
        <w:pStyle w:val="ti-art"/>
        <w:shd w:val="clear" w:color="auto" w:fill="FFFFFF"/>
        <w:spacing w:before="0" w:beforeAutospacing="0" w:after="0" w:afterAutospacing="0"/>
        <w:jc w:val="center"/>
        <w:textAlignment w:val="baseline"/>
        <w:rPr>
          <w:iCs/>
          <w:lang w:val="uk-UA"/>
        </w:rPr>
      </w:pPr>
    </w:p>
    <w:p w:rsidR="00C87A93" w:rsidRPr="00C03848" w:rsidRDefault="00C87A93" w:rsidP="008B76F2">
      <w:pPr>
        <w:pStyle w:val="1"/>
        <w:shd w:val="clear" w:color="auto" w:fill="FFFFFF"/>
        <w:spacing w:before="0" w:beforeAutospacing="0" w:after="0" w:afterAutospacing="0"/>
        <w:jc w:val="both"/>
        <w:textAlignment w:val="baseline"/>
        <w:rPr>
          <w:lang w:val="uk-UA"/>
        </w:rPr>
      </w:pPr>
      <w:r w:rsidRPr="00C03848">
        <w:rPr>
          <w:lang w:val="uk-UA"/>
        </w:rPr>
        <w:t>Держави-члени можуть прийняти або зберегти в силі більш строгі положення в сфері, що охоплена цією Директивою для запобігання відмивання грошей і фінансування тероризму в межах закон</w:t>
      </w:r>
      <w:r w:rsidR="00A5729D" w:rsidRPr="00C03848">
        <w:rPr>
          <w:lang w:val="uk-UA"/>
        </w:rPr>
        <w:t>одавства</w:t>
      </w:r>
      <w:r w:rsidRPr="00C03848">
        <w:rPr>
          <w:lang w:val="uk-UA"/>
        </w:rPr>
        <w:t xml:space="preserve"> Союзу.</w:t>
      </w:r>
    </w:p>
    <w:p w:rsidR="00C87A93" w:rsidRPr="00C03848" w:rsidRDefault="00C87A93" w:rsidP="008B76F2">
      <w:pPr>
        <w:pStyle w:val="1"/>
        <w:shd w:val="clear" w:color="auto" w:fill="FFFFFF"/>
        <w:spacing w:before="0" w:beforeAutospacing="0" w:after="0" w:afterAutospacing="0"/>
        <w:jc w:val="both"/>
        <w:textAlignment w:val="baseline"/>
        <w:rPr>
          <w:lang w:val="uk-UA"/>
        </w:rPr>
      </w:pPr>
    </w:p>
    <w:p w:rsidR="00C07AC9" w:rsidRPr="00C03848" w:rsidRDefault="00A5729D" w:rsidP="008B76F2">
      <w:pPr>
        <w:pStyle w:val="ti-section-1"/>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РОЗДІЛ</w:t>
      </w:r>
      <w:r w:rsidR="00C07AC9" w:rsidRPr="00C03848">
        <w:rPr>
          <w:rStyle w:val="italic"/>
          <w:bCs/>
          <w:iCs/>
          <w:bdr w:val="none" w:sz="0" w:space="0" w:color="auto" w:frame="1"/>
          <w:lang w:val="uk-UA"/>
        </w:rPr>
        <w:t xml:space="preserve"> 2</w:t>
      </w:r>
    </w:p>
    <w:p w:rsidR="00C07AC9" w:rsidRPr="00C03848" w:rsidRDefault="00025F24" w:rsidP="008B76F2">
      <w:pPr>
        <w:pStyle w:val="ti-section-2"/>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Оцінювання ризику</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6</w:t>
      </w:r>
    </w:p>
    <w:p w:rsidR="00025F24" w:rsidRPr="00C03848" w:rsidRDefault="00025F24" w:rsidP="008B76F2">
      <w:pPr>
        <w:pStyle w:val="ti-art"/>
        <w:shd w:val="clear" w:color="auto" w:fill="FFFFFF"/>
        <w:spacing w:before="0" w:beforeAutospacing="0" w:after="0" w:afterAutospacing="0"/>
        <w:jc w:val="center"/>
        <w:textAlignment w:val="baseline"/>
        <w:rPr>
          <w:iCs/>
          <w:lang w:val="uk-UA"/>
        </w:rPr>
      </w:pPr>
    </w:p>
    <w:p w:rsidR="006B111A" w:rsidRPr="00C03848" w:rsidRDefault="006B111A" w:rsidP="008B76F2">
      <w:pPr>
        <w:pStyle w:val="1"/>
        <w:shd w:val="clear" w:color="auto" w:fill="FFFFFF"/>
        <w:spacing w:before="0" w:beforeAutospacing="0" w:after="0" w:afterAutospacing="0"/>
        <w:jc w:val="both"/>
        <w:textAlignment w:val="baseline"/>
        <w:rPr>
          <w:lang w:val="uk-UA"/>
        </w:rPr>
      </w:pPr>
      <w:r w:rsidRPr="00C03848">
        <w:rPr>
          <w:lang w:val="uk-UA"/>
        </w:rPr>
        <w:t>1.   Комісія повинна провести оцінювання ризиків відмивання грошей і фінансування тероризму, що впливають на внутрішній ринок і мають відношення до міжнародної діяльності.</w:t>
      </w:r>
    </w:p>
    <w:p w:rsidR="006B111A" w:rsidRPr="00C03848" w:rsidRDefault="006B111A" w:rsidP="008B76F2">
      <w:pPr>
        <w:pStyle w:val="1"/>
        <w:shd w:val="clear" w:color="auto" w:fill="FFFFFF"/>
        <w:spacing w:before="0" w:beforeAutospacing="0" w:after="0" w:afterAutospacing="0"/>
        <w:jc w:val="both"/>
        <w:textAlignment w:val="baseline"/>
        <w:rPr>
          <w:lang w:val="uk-UA"/>
        </w:rPr>
      </w:pPr>
      <w:r w:rsidRPr="00C03848">
        <w:rPr>
          <w:lang w:val="uk-UA"/>
        </w:rPr>
        <w:t>Для досягнення цієї мети Комісія до 26 червня 2017 року повинна скласти звіт, який ідентифікує, аналізує та оцінює ті ризики на рівні Союзу. Після цього Комісія повинна оновляти свій звіт кожні два роки або частіше, якщо це необхідно.</w:t>
      </w:r>
    </w:p>
    <w:p w:rsidR="00C10ADD" w:rsidRPr="00C03848" w:rsidRDefault="00C07AC9" w:rsidP="008B76F2">
      <w:pPr>
        <w:pStyle w:val="1"/>
        <w:shd w:val="clear" w:color="auto" w:fill="FFFFFF"/>
        <w:spacing w:before="0" w:beforeAutospacing="0" w:after="0" w:afterAutospacing="0"/>
        <w:jc w:val="both"/>
        <w:textAlignment w:val="baseline"/>
        <w:rPr>
          <w:lang w:val="uk-UA"/>
        </w:rPr>
      </w:pPr>
      <w:r w:rsidRPr="00C03848">
        <w:rPr>
          <w:lang w:val="uk-UA"/>
        </w:rPr>
        <w:t>2.   </w:t>
      </w:r>
      <w:r w:rsidR="00C10ADD" w:rsidRPr="00C03848">
        <w:rPr>
          <w:lang w:val="uk-UA"/>
        </w:rPr>
        <w:t>Звіт, зазначен</w:t>
      </w:r>
      <w:r w:rsidR="000B53F3" w:rsidRPr="00C03848">
        <w:rPr>
          <w:lang w:val="uk-UA"/>
        </w:rPr>
        <w:t>ий</w:t>
      </w:r>
      <w:r w:rsidR="00C10ADD" w:rsidRPr="00C03848">
        <w:rPr>
          <w:lang w:val="uk-UA"/>
        </w:rPr>
        <w:t xml:space="preserve"> в п</w:t>
      </w:r>
      <w:r w:rsidR="000B53F3" w:rsidRPr="00C03848">
        <w:rPr>
          <w:lang w:val="uk-UA"/>
        </w:rPr>
        <w:t>ункт</w:t>
      </w:r>
      <w:r w:rsidR="00C10ADD" w:rsidRPr="00C03848">
        <w:rPr>
          <w:lang w:val="uk-UA"/>
        </w:rPr>
        <w:t>і 1, повин</w:t>
      </w:r>
      <w:r w:rsidR="000B53F3" w:rsidRPr="00C03848">
        <w:rPr>
          <w:lang w:val="uk-UA"/>
        </w:rPr>
        <w:t>ен</w:t>
      </w:r>
      <w:r w:rsidR="00C10ADD" w:rsidRPr="00C03848">
        <w:rPr>
          <w:lang w:val="uk-UA"/>
        </w:rPr>
        <w:t xml:space="preserve"> охоплювати принаймні наступне: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485"/>
        <w:gridCol w:w="8975"/>
      </w:tblGrid>
      <w:tr w:rsidR="00C10ADD" w:rsidRPr="00C03848" w:rsidTr="00A21654">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C10ADD" w:rsidRPr="00C03848" w:rsidRDefault="00C10ADD"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C10ADD" w:rsidRPr="00C03848" w:rsidRDefault="00C10ADD" w:rsidP="008B76F2">
            <w:pPr>
              <w:pStyle w:val="1"/>
              <w:spacing w:before="0" w:beforeAutospacing="0" w:after="0" w:afterAutospacing="0"/>
              <w:jc w:val="both"/>
              <w:textAlignment w:val="baseline"/>
              <w:rPr>
                <w:lang w:val="uk-UA"/>
              </w:rPr>
            </w:pPr>
            <w:r w:rsidRPr="00C03848">
              <w:rPr>
                <w:lang w:val="uk-UA"/>
              </w:rPr>
              <w:t>області внутрішнього ринку, які піддаються найбільшому ризику;</w:t>
            </w:r>
          </w:p>
        </w:tc>
      </w:tr>
    </w:tbl>
    <w:p w:rsidR="00C10ADD" w:rsidRPr="00C03848" w:rsidRDefault="00C10ADD"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643"/>
        <w:gridCol w:w="8817"/>
      </w:tblGrid>
      <w:tr w:rsidR="00C10ADD" w:rsidRPr="00C03848" w:rsidTr="00A21654">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C10ADD" w:rsidRPr="00C03848" w:rsidRDefault="00C10ADD"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C10ADD" w:rsidRPr="00C03848" w:rsidRDefault="00C10ADD" w:rsidP="008B76F2">
            <w:pPr>
              <w:pStyle w:val="1"/>
              <w:spacing w:before="0" w:beforeAutospacing="0" w:after="0" w:afterAutospacing="0"/>
              <w:jc w:val="both"/>
              <w:textAlignment w:val="baseline"/>
              <w:rPr>
                <w:lang w:val="uk-UA"/>
              </w:rPr>
            </w:pPr>
            <w:r w:rsidRPr="00C03848">
              <w:rPr>
                <w:lang w:val="uk-UA"/>
              </w:rPr>
              <w:t>ризики, пов'язані з кожним відповідним сектором;</w:t>
            </w:r>
          </w:p>
        </w:tc>
      </w:tr>
    </w:tbl>
    <w:p w:rsidR="00C10ADD" w:rsidRPr="00C03848" w:rsidRDefault="00C10ADD"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C10ADD" w:rsidRPr="00C03848" w:rsidTr="00A21654">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C10ADD" w:rsidRPr="00C03848" w:rsidRDefault="00C10ADD"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C10ADD" w:rsidRPr="00C03848" w:rsidRDefault="00C10ADD" w:rsidP="008B76F2">
            <w:pPr>
              <w:pStyle w:val="1"/>
              <w:spacing w:before="0" w:beforeAutospacing="0" w:after="0" w:afterAutospacing="0"/>
              <w:jc w:val="both"/>
              <w:textAlignment w:val="baseline"/>
              <w:rPr>
                <w:lang w:val="uk-UA"/>
              </w:rPr>
            </w:pPr>
            <w:r w:rsidRPr="00C03848">
              <w:rPr>
                <w:lang w:val="uk-UA"/>
              </w:rPr>
              <w:t>найбільш поширені засоби, які  використовуються злочинцями, для відмивання незаконних доходів.</w:t>
            </w:r>
          </w:p>
        </w:tc>
      </w:tr>
    </w:tbl>
    <w:p w:rsidR="00AE0887" w:rsidRPr="00C03848" w:rsidRDefault="00AE0887" w:rsidP="008B76F2">
      <w:pPr>
        <w:pStyle w:val="1"/>
        <w:shd w:val="clear" w:color="auto" w:fill="FFFFFF"/>
        <w:spacing w:before="0" w:beforeAutospacing="0" w:after="0" w:afterAutospacing="0"/>
        <w:jc w:val="both"/>
        <w:textAlignment w:val="baseline"/>
        <w:rPr>
          <w:lang w:val="uk-UA"/>
        </w:rPr>
      </w:pPr>
      <w:r w:rsidRPr="00C03848">
        <w:rPr>
          <w:lang w:val="uk-UA"/>
        </w:rPr>
        <w:t xml:space="preserve">3.    Комісія </w:t>
      </w:r>
      <w:r w:rsidR="00A50E52" w:rsidRPr="00C03848">
        <w:rPr>
          <w:lang w:val="uk-UA"/>
        </w:rPr>
        <w:t xml:space="preserve">повинна </w:t>
      </w:r>
      <w:r w:rsidRPr="00C03848">
        <w:rPr>
          <w:lang w:val="uk-UA"/>
        </w:rPr>
        <w:t xml:space="preserve">підготовити звіт, який зазначений в пункті 1, для використання державам-членам і зобов'язаними особами для того, щоб допомогти їм визначити, зрозуміти, управляти </w:t>
      </w:r>
      <w:r w:rsidR="00B331F4" w:rsidRPr="00C03848">
        <w:rPr>
          <w:lang w:val="uk-UA"/>
        </w:rPr>
        <w:t>та змен</w:t>
      </w:r>
      <w:r w:rsidRPr="00C03848">
        <w:rPr>
          <w:lang w:val="uk-UA"/>
        </w:rPr>
        <w:t xml:space="preserve">шити ризик відмивання грошей і фінансування тероризму, а також дозволити іншим зацікавленим сторонам, у тому числі національним законодавцям, Європейському Парламенту, </w:t>
      </w:r>
      <w:r w:rsidR="00B331F4" w:rsidRPr="00C03848">
        <w:rPr>
          <w:lang w:val="uk-UA"/>
        </w:rPr>
        <w:t>ЄНО</w:t>
      </w:r>
      <w:r w:rsidRPr="00C03848">
        <w:rPr>
          <w:lang w:val="uk-UA"/>
        </w:rPr>
        <w:t xml:space="preserve">, і представникам </w:t>
      </w:r>
      <w:r w:rsidR="00B331F4" w:rsidRPr="00C03848">
        <w:rPr>
          <w:lang w:val="uk-UA"/>
        </w:rPr>
        <w:t>FIU</w:t>
      </w:r>
      <w:r w:rsidRPr="00C03848">
        <w:rPr>
          <w:lang w:val="uk-UA"/>
        </w:rPr>
        <w:t>, краще зрозуміти ризики.</w:t>
      </w:r>
    </w:p>
    <w:p w:rsidR="00AE0887" w:rsidRPr="00C03848" w:rsidRDefault="00AE0887" w:rsidP="008B76F2">
      <w:pPr>
        <w:pStyle w:val="1"/>
        <w:shd w:val="clear" w:color="auto" w:fill="FFFFFF"/>
        <w:spacing w:before="0" w:beforeAutospacing="0" w:after="0" w:afterAutospacing="0"/>
        <w:jc w:val="both"/>
        <w:textAlignment w:val="baseline"/>
        <w:rPr>
          <w:lang w:val="uk-UA"/>
        </w:rPr>
      </w:pPr>
      <w:r w:rsidRPr="00C03848">
        <w:rPr>
          <w:lang w:val="uk-UA"/>
        </w:rPr>
        <w:t>4.    Комісія повинна надавати рекомендації державам-членам про заходи, що підходять для вирішення виявлених ризиків. У випадку, якщо держави-члени вирішують не застосовувати будь-які рекомендації для с</w:t>
      </w:r>
      <w:r w:rsidR="00B331F4" w:rsidRPr="00C03848">
        <w:rPr>
          <w:lang w:val="uk-UA"/>
        </w:rPr>
        <w:t>воїх національних режимів БВГ/</w:t>
      </w:r>
      <w:r w:rsidRPr="00C03848">
        <w:rPr>
          <w:lang w:val="uk-UA"/>
        </w:rPr>
        <w:t>ПФТ, вони повинні повідомити Комісію та надати обґрунтування для прийняття такого рішення.</w:t>
      </w:r>
    </w:p>
    <w:p w:rsidR="00B331F4" w:rsidRPr="00C03848" w:rsidRDefault="00815007" w:rsidP="008B76F2">
      <w:pPr>
        <w:pStyle w:val="1"/>
        <w:shd w:val="clear" w:color="auto" w:fill="FFFFFF"/>
        <w:spacing w:before="0" w:beforeAutospacing="0" w:after="0" w:afterAutospacing="0"/>
        <w:jc w:val="both"/>
        <w:textAlignment w:val="baseline"/>
        <w:rPr>
          <w:lang w:val="uk-UA"/>
        </w:rPr>
      </w:pPr>
      <w:r w:rsidRPr="00C03848">
        <w:rPr>
          <w:lang w:val="uk-UA"/>
        </w:rPr>
        <w:t>5.   </w:t>
      </w:r>
      <w:r w:rsidR="00B331F4" w:rsidRPr="00C03848">
        <w:rPr>
          <w:lang w:val="uk-UA"/>
        </w:rPr>
        <w:t xml:space="preserve">До 26 грудня 2016 року ЄНО </w:t>
      </w:r>
      <w:r w:rsidR="002708DA" w:rsidRPr="00C03848">
        <w:rPr>
          <w:lang w:val="uk-UA"/>
        </w:rPr>
        <w:t>через Об'єднаний комітет, повин</w:t>
      </w:r>
      <w:r w:rsidR="00B331F4" w:rsidRPr="00C03848">
        <w:rPr>
          <w:lang w:val="uk-UA"/>
        </w:rPr>
        <w:t>н</w:t>
      </w:r>
      <w:r w:rsidR="002708DA" w:rsidRPr="00C03848">
        <w:rPr>
          <w:lang w:val="uk-UA"/>
        </w:rPr>
        <w:t>і</w:t>
      </w:r>
      <w:r w:rsidR="00B331F4" w:rsidRPr="00C03848">
        <w:rPr>
          <w:lang w:val="uk-UA"/>
        </w:rPr>
        <w:t xml:space="preserve"> видати висновок про ризики відмивання грошей і фінансування тероризму, які </w:t>
      </w:r>
      <w:r w:rsidR="00D04A37" w:rsidRPr="00C03848">
        <w:rPr>
          <w:lang w:val="uk-UA"/>
        </w:rPr>
        <w:t>вплива</w:t>
      </w:r>
      <w:r w:rsidR="00B331F4" w:rsidRPr="00C03848">
        <w:rPr>
          <w:lang w:val="uk-UA"/>
        </w:rPr>
        <w:t xml:space="preserve">ють </w:t>
      </w:r>
      <w:r w:rsidR="00D04A37" w:rsidRPr="00C03848">
        <w:rPr>
          <w:lang w:val="uk-UA"/>
        </w:rPr>
        <w:t xml:space="preserve">на </w:t>
      </w:r>
      <w:r w:rsidR="00B331F4" w:rsidRPr="00C03848">
        <w:rPr>
          <w:lang w:val="uk-UA"/>
        </w:rPr>
        <w:t>фінансовий сектор (далі «</w:t>
      </w:r>
      <w:r w:rsidR="00D04A37" w:rsidRPr="00C03848">
        <w:rPr>
          <w:lang w:val="uk-UA"/>
        </w:rPr>
        <w:t>спіль</w:t>
      </w:r>
      <w:r w:rsidR="00B331F4" w:rsidRPr="00C03848">
        <w:rPr>
          <w:lang w:val="uk-UA"/>
        </w:rPr>
        <w:t xml:space="preserve">ний </w:t>
      </w:r>
      <w:r w:rsidR="00D04A37" w:rsidRPr="00C03848">
        <w:rPr>
          <w:lang w:val="uk-UA"/>
        </w:rPr>
        <w:t>висновок</w:t>
      </w:r>
      <w:r w:rsidR="00B331F4" w:rsidRPr="00C03848">
        <w:rPr>
          <w:lang w:val="uk-UA"/>
        </w:rPr>
        <w:t>») Союзу. Після цього ЄНО, через Об'єднаний комітет, повинн</w:t>
      </w:r>
      <w:r w:rsidR="00D04A37" w:rsidRPr="00C03848">
        <w:rPr>
          <w:lang w:val="uk-UA"/>
        </w:rPr>
        <w:t>і</w:t>
      </w:r>
      <w:r w:rsidR="00B331F4" w:rsidRPr="00C03848">
        <w:rPr>
          <w:lang w:val="uk-UA"/>
        </w:rPr>
        <w:t xml:space="preserve"> видавати </w:t>
      </w:r>
      <w:r w:rsidR="00D04A37" w:rsidRPr="00C03848">
        <w:rPr>
          <w:lang w:val="uk-UA"/>
        </w:rPr>
        <w:t>висновок</w:t>
      </w:r>
      <w:r w:rsidR="00B331F4" w:rsidRPr="00C03848">
        <w:rPr>
          <w:lang w:val="uk-UA"/>
        </w:rPr>
        <w:t xml:space="preserve"> кожні два роки.</w:t>
      </w:r>
    </w:p>
    <w:p w:rsidR="000B13D2" w:rsidRPr="00C03848" w:rsidRDefault="00790F5B" w:rsidP="008B76F2">
      <w:pPr>
        <w:pStyle w:val="1"/>
        <w:shd w:val="clear" w:color="auto" w:fill="FFFFFF"/>
        <w:spacing w:before="0" w:beforeAutospacing="0" w:after="0" w:afterAutospacing="0"/>
        <w:jc w:val="both"/>
        <w:textAlignment w:val="baseline"/>
        <w:rPr>
          <w:lang w:val="uk-UA"/>
        </w:rPr>
      </w:pPr>
      <w:r w:rsidRPr="00C03848">
        <w:rPr>
          <w:lang w:val="uk-UA"/>
        </w:rPr>
        <w:lastRenderedPageBreak/>
        <w:t xml:space="preserve">6. </w:t>
      </w:r>
      <w:r w:rsidR="000B13D2" w:rsidRPr="00C03848">
        <w:rPr>
          <w:lang w:val="uk-UA"/>
        </w:rPr>
        <w:t>У процесі здійснення оцінки, зазначеної в пункті 1, Комісія повинна організувати роботу на рівні Союзу, повинна брати до уваги спільні висновки, згадані в п</w:t>
      </w:r>
      <w:r w:rsidRPr="00C03848">
        <w:rPr>
          <w:lang w:val="uk-UA"/>
        </w:rPr>
        <w:t>ункт</w:t>
      </w:r>
      <w:r w:rsidR="000B13D2" w:rsidRPr="00C03848">
        <w:rPr>
          <w:lang w:val="uk-UA"/>
        </w:rPr>
        <w:t xml:space="preserve">і 5, і повинна залучати експертів держав-членів в </w:t>
      </w:r>
      <w:r w:rsidRPr="00C03848">
        <w:rPr>
          <w:lang w:val="uk-UA"/>
        </w:rPr>
        <w:t>сфер</w:t>
      </w:r>
      <w:r w:rsidR="000B13D2" w:rsidRPr="00C03848">
        <w:rPr>
          <w:lang w:val="uk-UA"/>
        </w:rPr>
        <w:t xml:space="preserve">і БВГ/ПФТ, представників FIU та інших органів </w:t>
      </w:r>
      <w:r w:rsidRPr="00C03848">
        <w:rPr>
          <w:lang w:val="uk-UA"/>
        </w:rPr>
        <w:t>на рівні Союзу</w:t>
      </w:r>
      <w:r w:rsidR="000B13D2" w:rsidRPr="00C03848">
        <w:rPr>
          <w:lang w:val="uk-UA"/>
        </w:rPr>
        <w:t xml:space="preserve">, </w:t>
      </w:r>
      <w:r w:rsidRPr="00C03848">
        <w:rPr>
          <w:lang w:val="uk-UA"/>
        </w:rPr>
        <w:t>за</w:t>
      </w:r>
      <w:r w:rsidR="000B13D2" w:rsidRPr="00C03848">
        <w:rPr>
          <w:lang w:val="uk-UA"/>
        </w:rPr>
        <w:t xml:space="preserve"> необхідно</w:t>
      </w:r>
      <w:r w:rsidRPr="00C03848">
        <w:rPr>
          <w:lang w:val="uk-UA"/>
        </w:rPr>
        <w:t>сті</w:t>
      </w:r>
      <w:r w:rsidR="000B13D2" w:rsidRPr="00C03848">
        <w:rPr>
          <w:lang w:val="uk-UA"/>
        </w:rPr>
        <w:t xml:space="preserve">. Комісія повинна зробити доступними спільні </w:t>
      </w:r>
      <w:r w:rsidRPr="00C03848">
        <w:rPr>
          <w:lang w:val="uk-UA"/>
        </w:rPr>
        <w:t>висновк</w:t>
      </w:r>
      <w:r w:rsidR="000B13D2" w:rsidRPr="00C03848">
        <w:rPr>
          <w:lang w:val="uk-UA"/>
        </w:rPr>
        <w:t>и для держав-членів і зобов'язаних осіб з метою надання їм допомоги в ідентифікації, управлінні та зниженні ризиків відмивання грошей і фінансування тероризму.</w:t>
      </w:r>
    </w:p>
    <w:p w:rsidR="00D23A85" w:rsidRPr="00C03848" w:rsidRDefault="00D23A85" w:rsidP="008B76F2">
      <w:pPr>
        <w:pStyle w:val="1"/>
        <w:shd w:val="clear" w:color="auto" w:fill="FFFFFF"/>
        <w:spacing w:before="0" w:beforeAutospacing="0" w:after="0" w:afterAutospacing="0"/>
        <w:jc w:val="both"/>
        <w:textAlignment w:val="baseline"/>
        <w:rPr>
          <w:lang w:val="uk-UA"/>
        </w:rPr>
      </w:pPr>
      <w:r w:rsidRPr="00C03848">
        <w:rPr>
          <w:lang w:val="uk-UA"/>
        </w:rPr>
        <w:t>7.  Кожні два роки або у разі необхідності, частіше Комісія повинна представити звіт Європейському Парламенту та Раді про отримання результатів, що випливають з оцінки ризику та дій, зроблених на основі цих висновків.</w:t>
      </w:r>
    </w:p>
    <w:p w:rsidR="00D23A85" w:rsidRPr="00C03848" w:rsidRDefault="00D23A85"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7</w:t>
      </w:r>
    </w:p>
    <w:p w:rsidR="00D23A85" w:rsidRPr="00C03848" w:rsidRDefault="00D23A85" w:rsidP="008B76F2">
      <w:pPr>
        <w:pStyle w:val="ti-art"/>
        <w:shd w:val="clear" w:color="auto" w:fill="FFFFFF"/>
        <w:spacing w:before="0" w:beforeAutospacing="0" w:after="0" w:afterAutospacing="0"/>
        <w:jc w:val="center"/>
        <w:textAlignment w:val="baseline"/>
        <w:rPr>
          <w:iCs/>
          <w:lang w:val="uk-UA"/>
        </w:rPr>
      </w:pPr>
    </w:p>
    <w:p w:rsidR="00C64643" w:rsidRPr="00C03848" w:rsidRDefault="00C64643" w:rsidP="008B76F2">
      <w:pPr>
        <w:pStyle w:val="1"/>
        <w:shd w:val="clear" w:color="auto" w:fill="FFFFFF"/>
        <w:spacing w:before="0" w:beforeAutospacing="0" w:after="0" w:afterAutospacing="0"/>
        <w:jc w:val="both"/>
        <w:textAlignment w:val="baseline"/>
        <w:rPr>
          <w:lang w:val="uk-UA"/>
        </w:rPr>
      </w:pPr>
      <w:r w:rsidRPr="00C03848">
        <w:rPr>
          <w:lang w:val="uk-UA"/>
        </w:rPr>
        <w:t xml:space="preserve">1.   Кожна держава-член повинна вживати належні заходи з метою ідентифікації, оцінювання, розуміння та зменшення ризиків відмивання </w:t>
      </w:r>
      <w:r w:rsidR="00F567A7" w:rsidRPr="00C03848">
        <w:rPr>
          <w:lang w:val="uk-UA"/>
        </w:rPr>
        <w:t>грошей</w:t>
      </w:r>
      <w:r w:rsidRPr="00C03848">
        <w:rPr>
          <w:lang w:val="uk-UA"/>
        </w:rPr>
        <w:t xml:space="preserve"> та фінансування тероризму, які впливають на неї, а також на будь-які проблеми в сфері захисту інформації в цьому відношенні. Вона повинна оновлювати зазначену оцінку ризику.</w:t>
      </w:r>
    </w:p>
    <w:p w:rsidR="00C64643" w:rsidRPr="00C03848" w:rsidRDefault="00C64643" w:rsidP="008B76F2">
      <w:pPr>
        <w:pStyle w:val="1"/>
        <w:shd w:val="clear" w:color="auto" w:fill="FFFFFF"/>
        <w:spacing w:before="0" w:beforeAutospacing="0" w:after="0" w:afterAutospacing="0"/>
        <w:jc w:val="both"/>
        <w:textAlignment w:val="baseline"/>
        <w:rPr>
          <w:lang w:val="uk-UA"/>
        </w:rPr>
      </w:pPr>
      <w:r w:rsidRPr="00C03848">
        <w:rPr>
          <w:lang w:val="uk-UA"/>
        </w:rPr>
        <w:t>2.    Кожна держава-член повинна призначити орган або створити механізм, за до</w:t>
      </w:r>
      <w:r w:rsidR="00AC3A3E" w:rsidRPr="00C03848">
        <w:rPr>
          <w:lang w:val="uk-UA"/>
        </w:rPr>
        <w:t>помогою якого буде здійснюватися</w:t>
      </w:r>
      <w:r w:rsidRPr="00C03848">
        <w:rPr>
          <w:lang w:val="uk-UA"/>
        </w:rPr>
        <w:t xml:space="preserve"> координація національних заходів у відповідь на ризики, зазначені у пункті 1. Ідентичність цього органу або опис механізму повинні бути повідомлені Комісії, ЄНО та іншим державам-членам.</w:t>
      </w:r>
    </w:p>
    <w:p w:rsidR="00F567A7" w:rsidRPr="00C03848" w:rsidRDefault="00F567A7" w:rsidP="008B76F2">
      <w:pPr>
        <w:pStyle w:val="1"/>
        <w:shd w:val="clear" w:color="auto" w:fill="FFFFFF"/>
        <w:spacing w:before="0" w:beforeAutospacing="0" w:after="0" w:afterAutospacing="0"/>
        <w:jc w:val="both"/>
        <w:textAlignment w:val="baseline"/>
        <w:rPr>
          <w:lang w:val="uk-UA"/>
        </w:rPr>
      </w:pPr>
      <w:r w:rsidRPr="00C03848">
        <w:rPr>
          <w:lang w:val="uk-UA"/>
        </w:rPr>
        <w:t xml:space="preserve">3.    При проведенні </w:t>
      </w:r>
      <w:r w:rsidR="00AC3A3E" w:rsidRPr="00C03848">
        <w:rPr>
          <w:lang w:val="uk-UA"/>
        </w:rPr>
        <w:t>оцінювання</w:t>
      </w:r>
      <w:r w:rsidRPr="00C03848">
        <w:rPr>
          <w:lang w:val="uk-UA"/>
        </w:rPr>
        <w:t xml:space="preserve"> ризиків, зазначених у пункті 1 цієї Статті, держави-члени повинні використовувати отримані висновки зі звіту, який зазначений у Статті 6 (1).</w:t>
      </w:r>
    </w:p>
    <w:p w:rsidR="00F567A7" w:rsidRPr="00C03848" w:rsidRDefault="00F567A7" w:rsidP="008B76F2">
      <w:pPr>
        <w:pStyle w:val="1"/>
        <w:shd w:val="clear" w:color="auto" w:fill="FFFFFF"/>
        <w:spacing w:before="0" w:beforeAutospacing="0" w:after="0" w:afterAutospacing="0"/>
        <w:jc w:val="both"/>
        <w:textAlignment w:val="baseline"/>
        <w:rPr>
          <w:lang w:val="uk-UA"/>
        </w:rPr>
      </w:pPr>
      <w:r w:rsidRPr="00C03848">
        <w:rPr>
          <w:lang w:val="uk-UA"/>
        </w:rPr>
        <w:t>4.    Стосовно оцінки ризику, яка зазначена в пункті 1, кожна держава-член повинна: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F567A7" w:rsidRPr="00C03848" w:rsidTr="00F567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567A7" w:rsidRPr="00C03848" w:rsidRDefault="00F567A7"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567A7" w:rsidRPr="00C03848" w:rsidRDefault="00F567A7" w:rsidP="008B76F2">
            <w:pPr>
              <w:pStyle w:val="1"/>
              <w:spacing w:before="0" w:beforeAutospacing="0" w:after="0" w:afterAutospacing="0"/>
              <w:jc w:val="both"/>
              <w:textAlignment w:val="baseline"/>
              <w:rPr>
                <w:lang w:val="uk-UA"/>
              </w:rPr>
            </w:pPr>
            <w:r w:rsidRPr="00C03848">
              <w:rPr>
                <w:lang w:val="uk-UA"/>
              </w:rPr>
              <w:t>використовувати її з метою удосконалення свого режиму БВГ/ПФТ, зокрема, шляхом виявлення будь-яких сфер, в яких зобов'язані суб'єкти повинні застосовувати посилені заходи і, при необхідності, із зазначенням заходів, які необхідно вжити;</w:t>
            </w:r>
          </w:p>
        </w:tc>
      </w:tr>
    </w:tbl>
    <w:p w:rsidR="00F567A7" w:rsidRPr="00C03848" w:rsidRDefault="00F567A7"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F567A7" w:rsidRPr="00C03848" w:rsidTr="00F567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567A7" w:rsidRPr="00C03848" w:rsidRDefault="00F567A7"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567A7" w:rsidRPr="00C03848" w:rsidRDefault="00F567A7" w:rsidP="008B76F2">
            <w:pPr>
              <w:pStyle w:val="1"/>
              <w:spacing w:before="0" w:beforeAutospacing="0" w:after="0" w:afterAutospacing="0"/>
              <w:jc w:val="both"/>
              <w:textAlignment w:val="baseline"/>
              <w:rPr>
                <w:lang w:val="uk-UA"/>
              </w:rPr>
            </w:pPr>
            <w:r w:rsidRPr="00C03848">
              <w:rPr>
                <w:lang w:val="uk-UA"/>
              </w:rPr>
              <w:t>визначити, у доречних випадках, сектори або сфери меншого або більшого ризику відмивання грошей і фінансування тероризму;</w:t>
            </w:r>
          </w:p>
        </w:tc>
      </w:tr>
    </w:tbl>
    <w:p w:rsidR="00F567A7" w:rsidRPr="00C03848" w:rsidRDefault="00F567A7"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F567A7" w:rsidRPr="00C03848" w:rsidTr="00F567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567A7" w:rsidRPr="00C03848" w:rsidRDefault="00F567A7"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567A7" w:rsidRPr="00C03848" w:rsidRDefault="00F567A7" w:rsidP="008B76F2">
            <w:pPr>
              <w:pStyle w:val="1"/>
              <w:spacing w:before="0" w:beforeAutospacing="0" w:after="0" w:afterAutospacing="0"/>
              <w:jc w:val="both"/>
              <w:textAlignment w:val="baseline"/>
              <w:rPr>
                <w:lang w:val="uk-UA"/>
              </w:rPr>
            </w:pPr>
            <w:r w:rsidRPr="00C03848">
              <w:rPr>
                <w:lang w:val="uk-UA"/>
              </w:rPr>
              <w:t>використовувати його для надання допомоги у розподілі та пріоритизації ресурсів по боротьбі з відмиванням грошей і фінансуванням тероризму;</w:t>
            </w:r>
          </w:p>
        </w:tc>
      </w:tr>
    </w:tbl>
    <w:p w:rsidR="00F567A7" w:rsidRPr="00C03848" w:rsidRDefault="00F567A7"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F567A7" w:rsidRPr="00C03848" w:rsidTr="00F567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567A7" w:rsidRPr="00C03848" w:rsidRDefault="00F567A7" w:rsidP="008B76F2">
            <w:pPr>
              <w:pStyle w:val="1"/>
              <w:spacing w:before="0" w:beforeAutospacing="0" w:after="0" w:afterAutospacing="0"/>
              <w:jc w:val="both"/>
              <w:textAlignment w:val="baseline"/>
              <w:rPr>
                <w:lang w:val="uk-UA"/>
              </w:rPr>
            </w:pPr>
            <w:r w:rsidRPr="00C03848">
              <w:rPr>
                <w:lang w:val="uk-UA"/>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567A7" w:rsidRPr="00C03848" w:rsidRDefault="00F567A7" w:rsidP="008B76F2">
            <w:pPr>
              <w:pStyle w:val="1"/>
              <w:spacing w:before="0" w:beforeAutospacing="0" w:after="0" w:afterAutospacing="0"/>
              <w:jc w:val="both"/>
              <w:textAlignment w:val="baseline"/>
              <w:rPr>
                <w:lang w:val="uk-UA"/>
              </w:rPr>
            </w:pPr>
            <w:r w:rsidRPr="00C03848">
              <w:rPr>
                <w:lang w:val="uk-UA"/>
              </w:rPr>
              <w:t>використовувати її з метою забезпечення, що відповідні правила розроблені для кожного сектора чи сфери, у відповідності з ризиками відмивання грошей та фінансування тероризму;</w:t>
            </w:r>
          </w:p>
        </w:tc>
      </w:tr>
    </w:tbl>
    <w:p w:rsidR="00F567A7" w:rsidRPr="00C03848" w:rsidRDefault="00F567A7"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F567A7" w:rsidRPr="00C03848" w:rsidTr="00F567A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567A7" w:rsidRPr="00C03848" w:rsidRDefault="00F567A7" w:rsidP="008B76F2">
            <w:pPr>
              <w:pStyle w:val="1"/>
              <w:spacing w:before="0" w:beforeAutospacing="0" w:after="0" w:afterAutospacing="0"/>
              <w:jc w:val="both"/>
              <w:textAlignment w:val="baseline"/>
              <w:rPr>
                <w:lang w:val="uk-UA"/>
              </w:rPr>
            </w:pPr>
            <w:r w:rsidRPr="00C03848">
              <w:rPr>
                <w:lang w:val="uk-UA"/>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567A7" w:rsidRPr="00C03848" w:rsidRDefault="00B87B18" w:rsidP="008B76F2">
            <w:pPr>
              <w:pStyle w:val="1"/>
              <w:spacing w:before="0" w:beforeAutospacing="0" w:after="0" w:afterAutospacing="0"/>
              <w:jc w:val="both"/>
              <w:textAlignment w:val="baseline"/>
              <w:rPr>
                <w:lang w:val="uk-UA"/>
              </w:rPr>
            </w:pPr>
            <w:r w:rsidRPr="00C03848">
              <w:rPr>
                <w:lang w:val="uk-UA"/>
              </w:rPr>
              <w:t xml:space="preserve">оперативно </w:t>
            </w:r>
            <w:r w:rsidR="00F567A7" w:rsidRPr="00C03848">
              <w:rPr>
                <w:lang w:val="uk-UA"/>
              </w:rPr>
              <w:t>надати відповідну інформацію зобов'язаним особам для полегшення проведення їх власних оцінок ризику відмивання грошей і фінансування тероризму.</w:t>
            </w:r>
          </w:p>
        </w:tc>
      </w:tr>
    </w:tbl>
    <w:p w:rsidR="00F567A7" w:rsidRPr="00C03848" w:rsidRDefault="00F567A7" w:rsidP="008B76F2">
      <w:pPr>
        <w:pStyle w:val="1"/>
        <w:shd w:val="clear" w:color="auto" w:fill="FFFFFF"/>
        <w:spacing w:before="0" w:beforeAutospacing="0" w:after="0" w:afterAutospacing="0"/>
        <w:jc w:val="both"/>
        <w:textAlignment w:val="baseline"/>
        <w:rPr>
          <w:lang w:val="uk-UA"/>
        </w:rPr>
      </w:pPr>
      <w:r w:rsidRPr="00C03848">
        <w:rPr>
          <w:lang w:val="uk-UA"/>
        </w:rPr>
        <w:t>5.    Держави-члени повинні надавати результати своїх оцінок ризику Комісії, ЄНО та іншим державам-членам.</w:t>
      </w:r>
    </w:p>
    <w:p w:rsidR="00F567A7" w:rsidRPr="00C03848" w:rsidRDefault="00F567A7" w:rsidP="008B76F2">
      <w:pPr>
        <w:pStyle w:val="1"/>
        <w:shd w:val="clear" w:color="auto" w:fill="FFFFFF"/>
        <w:spacing w:before="0" w:beforeAutospacing="0" w:after="0" w:afterAutospacing="0"/>
        <w:jc w:val="both"/>
        <w:textAlignment w:val="baseline"/>
        <w:rPr>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8</w:t>
      </w:r>
    </w:p>
    <w:p w:rsidR="002819A2" w:rsidRPr="00C03848" w:rsidRDefault="002819A2" w:rsidP="008B76F2">
      <w:pPr>
        <w:pStyle w:val="ti-art"/>
        <w:shd w:val="clear" w:color="auto" w:fill="FFFFFF"/>
        <w:spacing w:before="0" w:beforeAutospacing="0" w:after="0" w:afterAutospacing="0"/>
        <w:jc w:val="center"/>
        <w:textAlignment w:val="baseline"/>
        <w:rPr>
          <w:iCs/>
          <w:lang w:val="uk-UA"/>
        </w:rPr>
      </w:pPr>
    </w:p>
    <w:p w:rsidR="00160C64" w:rsidRPr="00C03848" w:rsidRDefault="00160C64"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забезпечити, що зобов'язані суб'єкти вживають належних заходів для виявлення та оцінки ризиків відмивання грошей і фінансування тероризму, з урахуванням факторів ризику, включаючи ті, які відносяться до їх клієнтів, країн або географічних районів, продуктів, послуг, транзакцій або каналів доставки. Зазначені заходи повинні бути пропорційними характеру і розміру зобов'язаних осіб.</w:t>
      </w:r>
    </w:p>
    <w:p w:rsidR="00160C64" w:rsidRPr="00C03848" w:rsidRDefault="00160C64" w:rsidP="008B76F2">
      <w:pPr>
        <w:pStyle w:val="1"/>
        <w:shd w:val="clear" w:color="auto" w:fill="FFFFFF"/>
        <w:spacing w:before="0" w:beforeAutospacing="0" w:after="0" w:afterAutospacing="0"/>
        <w:jc w:val="both"/>
        <w:textAlignment w:val="baseline"/>
        <w:rPr>
          <w:lang w:val="uk-UA"/>
        </w:rPr>
      </w:pPr>
      <w:r w:rsidRPr="00C03848">
        <w:rPr>
          <w:lang w:val="uk-UA"/>
        </w:rPr>
        <w:t>2.    Оцінки ризику, які зазначені у пункті 1, повинні бути задокументовані, постійно оновленими і доступними для відповідних компетентних органів та саморегул</w:t>
      </w:r>
      <w:r w:rsidR="002708DA" w:rsidRPr="00C03848">
        <w:rPr>
          <w:lang w:val="uk-UA"/>
        </w:rPr>
        <w:t>ьо</w:t>
      </w:r>
      <w:r w:rsidRPr="00C03848">
        <w:rPr>
          <w:lang w:val="uk-UA"/>
        </w:rPr>
        <w:t>в</w:t>
      </w:r>
      <w:r w:rsidR="002708DA" w:rsidRPr="00C03848">
        <w:rPr>
          <w:lang w:val="uk-UA"/>
        </w:rPr>
        <w:t xml:space="preserve">аних органів. </w:t>
      </w:r>
      <w:r w:rsidRPr="00C03848">
        <w:rPr>
          <w:lang w:val="uk-UA"/>
        </w:rPr>
        <w:t>Компетентні органи можуть прийняти рішення, що індивідуальні задокументовані оцінки ризику не вимагаються, якщо конкретні ризики, властиві сектору ясні і зрозумілі.</w:t>
      </w:r>
    </w:p>
    <w:p w:rsidR="00E553A9" w:rsidRPr="00C03848" w:rsidRDefault="00E553A9" w:rsidP="008B76F2">
      <w:pPr>
        <w:pStyle w:val="1"/>
        <w:shd w:val="clear" w:color="auto" w:fill="FFFFFF"/>
        <w:spacing w:before="0" w:beforeAutospacing="0" w:after="0" w:afterAutospacing="0"/>
        <w:jc w:val="both"/>
        <w:textAlignment w:val="baseline"/>
        <w:rPr>
          <w:lang w:val="uk-UA"/>
        </w:rPr>
      </w:pPr>
      <w:r w:rsidRPr="00C03848">
        <w:rPr>
          <w:lang w:val="uk-UA"/>
        </w:rPr>
        <w:lastRenderedPageBreak/>
        <w:t>3.    Держави-члени повинні забезпечити, що зобов'язані суб'єкти здійснюють політику, контроль і мають процедури для мінімізації та ефективного управління ризиками в сфері відмивання коштів та фінансування тероризму, визначених на рівні Союзу, держави-члена і зобов'язаної особи. Зазначені політика, контроль та процедури повинні бути пропорційними характеру і розміру зобов'язаної особи.</w:t>
      </w:r>
    </w:p>
    <w:p w:rsidR="00E553A9" w:rsidRPr="00C03848" w:rsidRDefault="00E553A9" w:rsidP="008B76F2">
      <w:pPr>
        <w:pStyle w:val="1"/>
        <w:shd w:val="clear" w:color="auto" w:fill="FFFFFF"/>
        <w:spacing w:before="0" w:beforeAutospacing="0" w:after="0" w:afterAutospacing="0"/>
        <w:jc w:val="both"/>
        <w:textAlignment w:val="baseline"/>
        <w:rPr>
          <w:lang w:val="uk-UA"/>
        </w:rPr>
      </w:pPr>
      <w:r w:rsidRPr="00C03848">
        <w:rPr>
          <w:lang w:val="uk-UA"/>
        </w:rPr>
        <w:t xml:space="preserve">4.   </w:t>
      </w:r>
      <w:r w:rsidR="0060258E" w:rsidRPr="00C03848">
        <w:rPr>
          <w:lang w:val="uk-UA"/>
        </w:rPr>
        <w:t>Політика, контроль та процедури</w:t>
      </w:r>
      <w:r w:rsidRPr="00C03848">
        <w:rPr>
          <w:lang w:val="uk-UA"/>
        </w:rPr>
        <w:t xml:space="preserve">, </w:t>
      </w:r>
      <w:r w:rsidR="0060258E" w:rsidRPr="00C03848">
        <w:rPr>
          <w:lang w:val="uk-UA"/>
        </w:rPr>
        <w:t xml:space="preserve">які </w:t>
      </w:r>
      <w:r w:rsidRPr="00C03848">
        <w:rPr>
          <w:lang w:val="uk-UA"/>
        </w:rPr>
        <w:t>з</w:t>
      </w:r>
      <w:r w:rsidR="0060258E" w:rsidRPr="00C03848">
        <w:rPr>
          <w:lang w:val="uk-UA"/>
        </w:rPr>
        <w:t>азначе</w:t>
      </w:r>
      <w:r w:rsidRPr="00C03848">
        <w:rPr>
          <w:lang w:val="uk-UA"/>
        </w:rPr>
        <w:t>ні в пункті 3</w:t>
      </w:r>
      <w:r w:rsidR="0060258E" w:rsidRPr="00C03848">
        <w:rPr>
          <w:lang w:val="uk-UA"/>
        </w:rPr>
        <w:t xml:space="preserve"> повинні</w:t>
      </w:r>
      <w:r w:rsidRPr="00C03848">
        <w:rPr>
          <w:lang w:val="uk-UA"/>
        </w:rPr>
        <w:t xml:space="preserve"> включа</w:t>
      </w:r>
      <w:r w:rsidR="0060258E" w:rsidRPr="00C03848">
        <w:rPr>
          <w:lang w:val="uk-UA"/>
        </w:rPr>
        <w:t>ти</w:t>
      </w:r>
      <w:r w:rsidRPr="00C03848">
        <w:rPr>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E553A9" w:rsidRPr="00C03848" w:rsidTr="00E553A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553A9" w:rsidRPr="00C03848" w:rsidRDefault="00E553A9"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553A9" w:rsidRPr="00C03848" w:rsidRDefault="00E553A9" w:rsidP="008B76F2">
            <w:pPr>
              <w:pStyle w:val="1"/>
              <w:spacing w:before="0" w:beforeAutospacing="0" w:after="0" w:afterAutospacing="0"/>
              <w:jc w:val="both"/>
              <w:textAlignment w:val="baseline"/>
              <w:rPr>
                <w:lang w:val="uk-UA"/>
              </w:rPr>
            </w:pPr>
            <w:r w:rsidRPr="00C03848">
              <w:rPr>
                <w:lang w:val="uk-UA"/>
              </w:rPr>
              <w:t>роз</w:t>
            </w:r>
            <w:r w:rsidR="0060258E" w:rsidRPr="00C03848">
              <w:rPr>
                <w:lang w:val="uk-UA"/>
              </w:rPr>
              <w:t>роблення</w:t>
            </w:r>
            <w:r w:rsidRPr="00C03848">
              <w:rPr>
                <w:lang w:val="uk-UA"/>
              </w:rPr>
              <w:t xml:space="preserve"> внутрішньої політики, </w:t>
            </w:r>
            <w:r w:rsidR="0060258E" w:rsidRPr="00C03848">
              <w:rPr>
                <w:lang w:val="uk-UA"/>
              </w:rPr>
              <w:t>контролю та</w:t>
            </w:r>
            <w:r w:rsidRPr="00C03848">
              <w:rPr>
                <w:lang w:val="uk-UA"/>
              </w:rPr>
              <w:t xml:space="preserve"> процедур, у тому числі </w:t>
            </w:r>
            <w:r w:rsidR="0060258E" w:rsidRPr="00C03848">
              <w:rPr>
                <w:lang w:val="uk-UA"/>
              </w:rPr>
              <w:t xml:space="preserve">практику розроблення </w:t>
            </w:r>
            <w:r w:rsidRPr="00C03848">
              <w:rPr>
                <w:lang w:val="uk-UA"/>
              </w:rPr>
              <w:t>модел</w:t>
            </w:r>
            <w:r w:rsidR="0060258E" w:rsidRPr="00C03848">
              <w:rPr>
                <w:lang w:val="uk-UA"/>
              </w:rPr>
              <w:t>ей управління ризиком</w:t>
            </w:r>
            <w:r w:rsidRPr="00C03848">
              <w:rPr>
                <w:lang w:val="uk-UA"/>
              </w:rPr>
              <w:t xml:space="preserve">, </w:t>
            </w:r>
            <w:r w:rsidR="0060258E" w:rsidRPr="00C03848">
              <w:rPr>
                <w:lang w:val="uk-UA"/>
              </w:rPr>
              <w:t xml:space="preserve">належної перевірки </w:t>
            </w:r>
            <w:r w:rsidRPr="00C03848">
              <w:rPr>
                <w:lang w:val="uk-UA"/>
              </w:rPr>
              <w:t xml:space="preserve">клієнтів, звітності, ведення обліку, внутрішнього контролю, управління відповідністю в тому числі, у </w:t>
            </w:r>
            <w:r w:rsidR="005F6FFF" w:rsidRPr="00C03848">
              <w:rPr>
                <w:lang w:val="uk-UA"/>
              </w:rPr>
              <w:t>доціль</w:t>
            </w:r>
            <w:r w:rsidRPr="00C03848">
              <w:rPr>
                <w:lang w:val="uk-UA"/>
              </w:rPr>
              <w:t xml:space="preserve">них випадках щодо розміру і характеру бізнесу, призначення </w:t>
            </w:r>
            <w:r w:rsidR="005F6FFF" w:rsidRPr="00C03848">
              <w:rPr>
                <w:lang w:val="uk-UA"/>
              </w:rPr>
              <w:t xml:space="preserve">спеціаліста у сфері нагляду за відповідністю та перевірки працюючих </w:t>
            </w:r>
            <w:r w:rsidRPr="00C03848">
              <w:rPr>
                <w:lang w:val="uk-UA"/>
              </w:rPr>
              <w:t>працівників;</w:t>
            </w:r>
          </w:p>
        </w:tc>
      </w:tr>
    </w:tbl>
    <w:p w:rsidR="00E553A9" w:rsidRPr="00C03848" w:rsidRDefault="00E553A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E553A9" w:rsidRPr="00C03848" w:rsidTr="00E553A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553A9" w:rsidRPr="00C03848" w:rsidRDefault="00E553A9"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553A9" w:rsidRPr="00C03848" w:rsidRDefault="005F6FFF" w:rsidP="008B76F2">
            <w:pPr>
              <w:pStyle w:val="1"/>
              <w:spacing w:before="0" w:beforeAutospacing="0" w:after="0" w:afterAutospacing="0"/>
              <w:jc w:val="both"/>
              <w:textAlignment w:val="baseline"/>
              <w:rPr>
                <w:lang w:val="uk-UA"/>
              </w:rPr>
            </w:pPr>
            <w:r w:rsidRPr="00C03848">
              <w:rPr>
                <w:lang w:val="uk-UA"/>
              </w:rPr>
              <w:t>у</w:t>
            </w:r>
            <w:r w:rsidR="00E553A9" w:rsidRPr="00C03848">
              <w:rPr>
                <w:lang w:val="uk-UA"/>
              </w:rPr>
              <w:t xml:space="preserve"> доречн</w:t>
            </w:r>
            <w:r w:rsidRPr="00C03848">
              <w:rPr>
                <w:lang w:val="uk-UA"/>
              </w:rPr>
              <w:t>их випадках</w:t>
            </w:r>
            <w:r w:rsidR="00E553A9" w:rsidRPr="00C03848">
              <w:rPr>
                <w:lang w:val="uk-UA"/>
              </w:rPr>
              <w:t xml:space="preserve"> </w:t>
            </w:r>
            <w:r w:rsidRPr="00C03848">
              <w:rPr>
                <w:lang w:val="uk-UA"/>
              </w:rPr>
              <w:t>стосовн</w:t>
            </w:r>
            <w:r w:rsidR="00E553A9" w:rsidRPr="00C03848">
              <w:rPr>
                <w:lang w:val="uk-UA"/>
              </w:rPr>
              <w:t>о розміру і характеру бізнесу, функцію незалежного аудиту, щоб перевірити внутрішні політик</w:t>
            </w:r>
            <w:r w:rsidRPr="00C03848">
              <w:rPr>
                <w:lang w:val="uk-UA"/>
              </w:rPr>
              <w:t>у</w:t>
            </w:r>
            <w:r w:rsidR="00E553A9" w:rsidRPr="00C03848">
              <w:rPr>
                <w:lang w:val="uk-UA"/>
              </w:rPr>
              <w:t xml:space="preserve">, </w:t>
            </w:r>
            <w:r w:rsidRPr="00C03848">
              <w:rPr>
                <w:lang w:val="uk-UA"/>
              </w:rPr>
              <w:t>контроль</w:t>
            </w:r>
            <w:r w:rsidR="00E553A9" w:rsidRPr="00C03848">
              <w:rPr>
                <w:lang w:val="uk-UA"/>
              </w:rPr>
              <w:t xml:space="preserve"> і процедури, з</w:t>
            </w:r>
            <w:r w:rsidRPr="00C03848">
              <w:rPr>
                <w:lang w:val="uk-UA"/>
              </w:rPr>
              <w:t>азначе</w:t>
            </w:r>
            <w:r w:rsidR="00E553A9" w:rsidRPr="00C03848">
              <w:rPr>
                <w:lang w:val="uk-UA"/>
              </w:rPr>
              <w:t>ні в пункті (а).</w:t>
            </w:r>
          </w:p>
        </w:tc>
      </w:tr>
    </w:tbl>
    <w:p w:rsidR="00E553A9" w:rsidRPr="00C03848" w:rsidRDefault="00E553A9" w:rsidP="008B76F2">
      <w:pPr>
        <w:pStyle w:val="1"/>
        <w:shd w:val="clear" w:color="auto" w:fill="FFFFFF"/>
        <w:spacing w:before="0" w:beforeAutospacing="0" w:after="0" w:afterAutospacing="0"/>
        <w:jc w:val="both"/>
        <w:textAlignment w:val="baseline"/>
        <w:rPr>
          <w:lang w:val="uk-UA"/>
        </w:rPr>
      </w:pPr>
      <w:r w:rsidRPr="00C03848">
        <w:rPr>
          <w:lang w:val="uk-UA"/>
        </w:rPr>
        <w:t xml:space="preserve">5.    Держави-члени повинні вимагати від зобов'язаних осіб отримання  схвалення від їх вищого керівництва політики, </w:t>
      </w:r>
      <w:r w:rsidR="005F6FFF" w:rsidRPr="00C03848">
        <w:rPr>
          <w:lang w:val="uk-UA"/>
        </w:rPr>
        <w:t>контролю</w:t>
      </w:r>
      <w:r w:rsidRPr="00C03848">
        <w:rPr>
          <w:lang w:val="uk-UA"/>
        </w:rPr>
        <w:t xml:space="preserve"> і процедур, які вони </w:t>
      </w:r>
      <w:r w:rsidR="005F6FFF" w:rsidRPr="00C03848">
        <w:rPr>
          <w:lang w:val="uk-UA"/>
        </w:rPr>
        <w:t>використовують</w:t>
      </w:r>
      <w:r w:rsidRPr="00C03848">
        <w:rPr>
          <w:lang w:val="uk-UA"/>
        </w:rPr>
        <w:t>, і</w:t>
      </w:r>
      <w:r w:rsidR="005F6FFF" w:rsidRPr="00C03848">
        <w:rPr>
          <w:lang w:val="uk-UA"/>
        </w:rPr>
        <w:t xml:space="preserve"> здійснювати </w:t>
      </w:r>
      <w:r w:rsidRPr="00C03848">
        <w:rPr>
          <w:lang w:val="uk-UA"/>
        </w:rPr>
        <w:t>монітори</w:t>
      </w:r>
      <w:r w:rsidR="005F6FFF" w:rsidRPr="00C03848">
        <w:rPr>
          <w:lang w:val="uk-UA"/>
        </w:rPr>
        <w:t>нг</w:t>
      </w:r>
      <w:r w:rsidRPr="00C03848">
        <w:rPr>
          <w:lang w:val="uk-UA"/>
        </w:rPr>
        <w:t xml:space="preserve"> та </w:t>
      </w:r>
      <w:r w:rsidR="005F6FFF" w:rsidRPr="00C03848">
        <w:rPr>
          <w:lang w:val="uk-UA"/>
        </w:rPr>
        <w:t>удосконал</w:t>
      </w:r>
      <w:r w:rsidRPr="00C03848">
        <w:rPr>
          <w:lang w:val="uk-UA"/>
        </w:rPr>
        <w:t>ювати заходи, що вживаються у відповідних випадках.</w:t>
      </w:r>
    </w:p>
    <w:p w:rsidR="00C07AC9" w:rsidRPr="00C03848" w:rsidRDefault="00C07AC9" w:rsidP="008B76F2">
      <w:pPr>
        <w:spacing w:after="0" w:line="240" w:lineRule="auto"/>
        <w:rPr>
          <w:rFonts w:ascii="Times New Roman" w:hAnsi="Times New Roman" w:cs="Times New Roman"/>
          <w:vanish/>
          <w:sz w:val="24"/>
          <w:szCs w:val="24"/>
          <w:lang w:val="uk-UA"/>
        </w:rPr>
      </w:pPr>
    </w:p>
    <w:p w:rsidR="00E553A9" w:rsidRPr="00C03848" w:rsidRDefault="00E553A9" w:rsidP="008B76F2">
      <w:pPr>
        <w:pStyle w:val="ti-section-1"/>
        <w:shd w:val="clear" w:color="auto" w:fill="FFFFFF"/>
        <w:spacing w:before="0" w:beforeAutospacing="0" w:after="0" w:afterAutospacing="0"/>
        <w:jc w:val="center"/>
        <w:textAlignment w:val="baseline"/>
        <w:rPr>
          <w:rStyle w:val="italic"/>
          <w:bCs/>
          <w:iCs/>
          <w:bdr w:val="none" w:sz="0" w:space="0" w:color="auto" w:frame="1"/>
          <w:lang w:val="uk-UA"/>
        </w:rPr>
      </w:pPr>
    </w:p>
    <w:p w:rsidR="00C07AC9" w:rsidRPr="00C03848" w:rsidRDefault="00A5729D" w:rsidP="008B76F2">
      <w:pPr>
        <w:pStyle w:val="ti-section-1"/>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РОЗДІЛ</w:t>
      </w:r>
      <w:r w:rsidR="00C07AC9" w:rsidRPr="00C03848">
        <w:rPr>
          <w:rStyle w:val="italic"/>
          <w:bCs/>
          <w:iCs/>
          <w:bdr w:val="none" w:sz="0" w:space="0" w:color="auto" w:frame="1"/>
          <w:lang w:val="uk-UA"/>
        </w:rPr>
        <w:t xml:space="preserve"> 3</w:t>
      </w:r>
    </w:p>
    <w:p w:rsidR="00C07AC9" w:rsidRPr="00C03848" w:rsidRDefault="005F6FFF" w:rsidP="008B76F2">
      <w:pPr>
        <w:pStyle w:val="ti-section-2"/>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Політика третьої країни</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9</w:t>
      </w:r>
    </w:p>
    <w:p w:rsidR="005F6FFF" w:rsidRPr="00C03848" w:rsidRDefault="005F6FFF" w:rsidP="008B76F2">
      <w:pPr>
        <w:pStyle w:val="ti-art"/>
        <w:shd w:val="clear" w:color="auto" w:fill="FFFFFF"/>
        <w:spacing w:before="0" w:beforeAutospacing="0" w:after="0" w:afterAutospacing="0"/>
        <w:jc w:val="center"/>
        <w:textAlignment w:val="baseline"/>
        <w:rPr>
          <w:iCs/>
          <w:lang w:val="uk-UA"/>
        </w:rPr>
      </w:pPr>
    </w:p>
    <w:p w:rsidR="00AF0B2C" w:rsidRPr="00C03848" w:rsidRDefault="00AF0B2C" w:rsidP="008B76F2">
      <w:pPr>
        <w:pStyle w:val="1"/>
        <w:shd w:val="clear" w:color="auto" w:fill="FFFFFF"/>
        <w:spacing w:before="0" w:beforeAutospacing="0" w:after="0" w:afterAutospacing="0"/>
        <w:jc w:val="both"/>
        <w:textAlignment w:val="baseline"/>
        <w:rPr>
          <w:lang w:val="uk-UA"/>
        </w:rPr>
      </w:pPr>
      <w:r w:rsidRPr="00C03848">
        <w:rPr>
          <w:lang w:val="uk-UA"/>
        </w:rPr>
        <w:t>1.    Юрисдикції третіх країн, які мають стратегічні недоліки в їх національних режимах в сфері БВГ/ПФТ, що становлять серйозну загрозу для фінансової системи Союзу («треті країни, які характеризуються високим ризиком»), повинні бути визначені для того, щоб захистити належне функціонування внутрішнього ринку.</w:t>
      </w:r>
    </w:p>
    <w:p w:rsidR="00DF02B3" w:rsidRPr="00C03848" w:rsidRDefault="00AF0B2C" w:rsidP="008B76F2">
      <w:pPr>
        <w:pStyle w:val="1"/>
        <w:shd w:val="clear" w:color="auto" w:fill="FFFFFF"/>
        <w:spacing w:before="0" w:beforeAutospacing="0" w:after="0" w:afterAutospacing="0"/>
        <w:jc w:val="both"/>
        <w:textAlignment w:val="baseline"/>
        <w:rPr>
          <w:lang w:val="uk-UA"/>
        </w:rPr>
      </w:pPr>
      <w:r w:rsidRPr="00C03848">
        <w:rPr>
          <w:lang w:val="uk-UA"/>
        </w:rPr>
        <w:t xml:space="preserve">2.   Комісія повинна бути </w:t>
      </w:r>
      <w:r w:rsidR="00DF02B3" w:rsidRPr="00C03848">
        <w:rPr>
          <w:lang w:val="uk-UA"/>
        </w:rPr>
        <w:t>уповноважена</w:t>
      </w:r>
      <w:r w:rsidRPr="00C03848">
        <w:rPr>
          <w:lang w:val="uk-UA"/>
        </w:rPr>
        <w:t xml:space="preserve"> приймати делеговані акти відповідно до Статті 64 з метою виявлення третіх країн</w:t>
      </w:r>
      <w:r w:rsidR="00AC3A3E" w:rsidRPr="00C03848">
        <w:rPr>
          <w:lang w:val="uk-UA"/>
        </w:rPr>
        <w:t xml:space="preserve">, які </w:t>
      </w:r>
      <w:r w:rsidR="00DF02B3" w:rsidRPr="00C03848">
        <w:rPr>
          <w:lang w:val="uk-UA"/>
        </w:rPr>
        <w:t>характеризуються</w:t>
      </w:r>
      <w:r w:rsidRPr="00C03848">
        <w:rPr>
          <w:lang w:val="uk-UA"/>
        </w:rPr>
        <w:t xml:space="preserve"> висок</w:t>
      </w:r>
      <w:r w:rsidR="00DF02B3" w:rsidRPr="00C03848">
        <w:rPr>
          <w:lang w:val="uk-UA"/>
        </w:rPr>
        <w:t>им</w:t>
      </w:r>
      <w:r w:rsidRPr="00C03848">
        <w:rPr>
          <w:lang w:val="uk-UA"/>
        </w:rPr>
        <w:t xml:space="preserve"> ризик</w:t>
      </w:r>
      <w:r w:rsidR="00DF02B3" w:rsidRPr="00C03848">
        <w:rPr>
          <w:lang w:val="uk-UA"/>
        </w:rPr>
        <w:t>ом</w:t>
      </w:r>
      <w:r w:rsidRPr="00C03848">
        <w:rPr>
          <w:lang w:val="uk-UA"/>
        </w:rPr>
        <w:t xml:space="preserve">, беручи до уваги стратегічні недоліки, зокрема, </w:t>
      </w:r>
      <w:r w:rsidR="00244EFA" w:rsidRPr="00C03848">
        <w:rPr>
          <w:lang w:val="uk-UA"/>
        </w:rPr>
        <w:t>стосовн</w:t>
      </w:r>
      <w:r w:rsidRPr="00C03848">
        <w:rPr>
          <w:lang w:val="uk-UA"/>
        </w:rPr>
        <w:t>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522"/>
        <w:gridCol w:w="8938"/>
      </w:tblGrid>
      <w:tr w:rsidR="00C04F23" w:rsidRPr="00C03848" w:rsidTr="00C04F23">
        <w:tc>
          <w:tcPr>
            <w:tcW w:w="276"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4F23" w:rsidRPr="00C03848" w:rsidRDefault="00C04F23" w:rsidP="008B76F2">
            <w:pPr>
              <w:pStyle w:val="1"/>
              <w:spacing w:before="0" w:beforeAutospacing="0" w:after="0" w:afterAutospacing="0"/>
              <w:jc w:val="both"/>
              <w:textAlignment w:val="baseline"/>
              <w:rPr>
                <w:lang w:val="uk-UA"/>
              </w:rPr>
            </w:pPr>
            <w:r w:rsidRPr="00C03848">
              <w:rPr>
                <w:lang w:val="uk-UA"/>
              </w:rPr>
              <w:t xml:space="preserve"> (a)</w:t>
            </w:r>
          </w:p>
        </w:tc>
        <w:tc>
          <w:tcPr>
            <w:tcW w:w="4724"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C04F23" w:rsidRPr="00C03848" w:rsidRDefault="00C04F23" w:rsidP="008B76F2">
            <w:pPr>
              <w:pStyle w:val="1"/>
              <w:spacing w:before="0" w:beforeAutospacing="0" w:after="0" w:afterAutospacing="0"/>
              <w:jc w:val="both"/>
              <w:textAlignment w:val="baseline"/>
              <w:rPr>
                <w:lang w:val="uk-UA"/>
              </w:rPr>
            </w:pPr>
            <w:r w:rsidRPr="00C03848">
              <w:rPr>
                <w:lang w:val="uk-UA"/>
              </w:rPr>
              <w:t>правової та інституційної структури БВГ/ПФТ третьої країни, зокрема: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435"/>
              <w:gridCol w:w="8382"/>
            </w:tblGrid>
            <w:tr w:rsidR="00C04F23"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4F23" w:rsidRPr="00C03848" w:rsidRDefault="00C04F23" w:rsidP="008B76F2">
                  <w:pPr>
                    <w:pStyle w:val="1"/>
                    <w:spacing w:before="0" w:beforeAutospacing="0" w:after="0" w:afterAutospacing="0"/>
                    <w:jc w:val="both"/>
                    <w:textAlignment w:val="baseline"/>
                    <w:rPr>
                      <w:lang w:val="uk-UA"/>
                    </w:rPr>
                  </w:pPr>
                  <w:r w:rsidRPr="00C03848">
                    <w:rPr>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4F23" w:rsidRPr="00C03848" w:rsidRDefault="00C04F23" w:rsidP="008B76F2">
                  <w:pPr>
                    <w:pStyle w:val="1"/>
                    <w:spacing w:before="0" w:beforeAutospacing="0" w:after="0" w:afterAutospacing="0"/>
                    <w:jc w:val="both"/>
                    <w:textAlignment w:val="baseline"/>
                    <w:rPr>
                      <w:lang w:val="uk-UA"/>
                    </w:rPr>
                  </w:pPr>
                  <w:r w:rsidRPr="00C03848">
                    <w:rPr>
                      <w:lang w:val="uk-UA"/>
                    </w:rPr>
                    <w:t>криміналізації відмивання грошей і фінансування тероризму;</w:t>
                  </w:r>
                </w:p>
              </w:tc>
            </w:tr>
          </w:tbl>
          <w:p w:rsidR="00C04F23" w:rsidRPr="00C03848" w:rsidRDefault="00C04F23" w:rsidP="008B76F2">
            <w:pPr>
              <w:spacing w:after="0" w:line="240" w:lineRule="auto"/>
              <w:rPr>
                <w:rFonts w:ascii="Times New Roman" w:hAnsi="Times New Roman" w:cs="Times New Roman"/>
                <w:vanish/>
                <w:sz w:val="24"/>
                <w:szCs w:val="24"/>
                <w:lang w:val="uk-UA" w:eastAsia="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595"/>
              <w:gridCol w:w="8222"/>
            </w:tblGrid>
            <w:tr w:rsidR="00C04F23"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4F23" w:rsidRPr="00C03848" w:rsidRDefault="00C04F23" w:rsidP="008B76F2">
                  <w:pPr>
                    <w:pStyle w:val="1"/>
                    <w:spacing w:before="0" w:beforeAutospacing="0" w:after="0" w:afterAutospacing="0"/>
                    <w:jc w:val="both"/>
                    <w:textAlignment w:val="baseline"/>
                    <w:rPr>
                      <w:lang w:val="uk-UA"/>
                    </w:rPr>
                  </w:pPr>
                  <w:r w:rsidRPr="00C03848">
                    <w:rPr>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4F23" w:rsidRPr="00C03848" w:rsidRDefault="00C04F23" w:rsidP="008B76F2">
                  <w:pPr>
                    <w:pStyle w:val="1"/>
                    <w:spacing w:before="0" w:beforeAutospacing="0" w:after="0" w:afterAutospacing="0"/>
                    <w:jc w:val="both"/>
                    <w:textAlignment w:val="baseline"/>
                    <w:rPr>
                      <w:lang w:val="uk-UA"/>
                    </w:rPr>
                  </w:pPr>
                  <w:r w:rsidRPr="00C03848">
                    <w:rPr>
                      <w:lang w:val="uk-UA"/>
                    </w:rPr>
                    <w:t>заходів, що стосуються належної перевірки клієнтів;</w:t>
                  </w:r>
                </w:p>
              </w:tc>
            </w:tr>
          </w:tbl>
          <w:p w:rsidR="00C04F23" w:rsidRPr="00C03848" w:rsidRDefault="00C04F23" w:rsidP="008B76F2">
            <w:pPr>
              <w:spacing w:after="0" w:line="240" w:lineRule="auto"/>
              <w:rPr>
                <w:rFonts w:ascii="Times New Roman" w:hAnsi="Times New Roman" w:cs="Times New Roman"/>
                <w:vanish/>
                <w:sz w:val="24"/>
                <w:szCs w:val="24"/>
                <w:lang w:val="uk-UA" w:eastAsia="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1092"/>
              <w:gridCol w:w="7725"/>
            </w:tblGrid>
            <w:tr w:rsidR="00C04F23"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4F23" w:rsidRPr="00C03848" w:rsidRDefault="00C04F23" w:rsidP="008B76F2">
                  <w:pPr>
                    <w:pStyle w:val="1"/>
                    <w:spacing w:before="0" w:beforeAutospacing="0" w:after="0" w:afterAutospacing="0"/>
                    <w:jc w:val="both"/>
                    <w:textAlignment w:val="baseline"/>
                    <w:rPr>
                      <w:lang w:val="uk-UA"/>
                    </w:rPr>
                  </w:pPr>
                  <w:r w:rsidRPr="00C03848">
                    <w:rPr>
                      <w:lang w:val="uk-UA"/>
                    </w:rPr>
                    <w:t xml:space="preserve">(iii)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4F23" w:rsidRPr="00C03848" w:rsidRDefault="00C04F23" w:rsidP="008B76F2">
                  <w:pPr>
                    <w:pStyle w:val="1"/>
                    <w:spacing w:before="0" w:beforeAutospacing="0" w:after="0" w:afterAutospacing="0"/>
                    <w:jc w:val="both"/>
                    <w:textAlignment w:val="baseline"/>
                    <w:rPr>
                      <w:lang w:val="uk-UA"/>
                    </w:rPr>
                  </w:pPr>
                  <w:r w:rsidRPr="00C03848">
                    <w:rPr>
                      <w:lang w:val="uk-UA"/>
                    </w:rPr>
                    <w:t>вимог, що стосуються обліку; і</w:t>
                  </w:r>
                </w:p>
              </w:tc>
            </w:tr>
          </w:tbl>
          <w:p w:rsidR="00C04F23" w:rsidRPr="00C03848" w:rsidRDefault="00C04F23" w:rsidP="008B76F2">
            <w:pPr>
              <w:spacing w:after="0" w:line="240" w:lineRule="auto"/>
              <w:rPr>
                <w:rFonts w:ascii="Times New Roman" w:hAnsi="Times New Roman" w:cs="Times New Roman"/>
                <w:vanish/>
                <w:sz w:val="24"/>
                <w:szCs w:val="24"/>
                <w:lang w:val="uk-UA" w:eastAsia="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796"/>
              <w:gridCol w:w="8021"/>
            </w:tblGrid>
            <w:tr w:rsidR="00C04F23"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4F23" w:rsidRPr="00C03848" w:rsidRDefault="00C04F23" w:rsidP="008B76F2">
                  <w:pPr>
                    <w:pStyle w:val="1"/>
                    <w:spacing w:before="0" w:beforeAutospacing="0" w:after="0" w:afterAutospacing="0"/>
                    <w:jc w:val="both"/>
                    <w:textAlignment w:val="baseline"/>
                    <w:rPr>
                      <w:lang w:val="uk-UA"/>
                    </w:rPr>
                  </w:pPr>
                  <w:r w:rsidRPr="00C03848">
                    <w:rPr>
                      <w:lang w:val="uk-UA"/>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04F23" w:rsidRPr="00C03848" w:rsidRDefault="00C04F23" w:rsidP="008B76F2">
                  <w:pPr>
                    <w:pStyle w:val="1"/>
                    <w:spacing w:before="0" w:beforeAutospacing="0" w:after="0" w:afterAutospacing="0"/>
                    <w:jc w:val="both"/>
                    <w:textAlignment w:val="baseline"/>
                    <w:rPr>
                      <w:lang w:val="uk-UA"/>
                    </w:rPr>
                  </w:pPr>
                  <w:r w:rsidRPr="00C03848">
                    <w:rPr>
                      <w:lang w:val="uk-UA"/>
                    </w:rPr>
                    <w:t>вимог повідомлення про підозрілі операції;</w:t>
                  </w:r>
                </w:p>
              </w:tc>
            </w:tr>
          </w:tbl>
          <w:p w:rsidR="00C04F23" w:rsidRPr="00C03848" w:rsidRDefault="00C04F23" w:rsidP="008B76F2">
            <w:pPr>
              <w:spacing w:after="0" w:line="240" w:lineRule="auto"/>
              <w:rPr>
                <w:rFonts w:ascii="Times New Roman" w:hAnsi="Times New Roman" w:cs="Times New Roman"/>
                <w:sz w:val="24"/>
                <w:szCs w:val="24"/>
                <w:lang w:val="uk-UA" w:eastAsia="uk-UA"/>
              </w:rPr>
            </w:pPr>
          </w:p>
        </w:tc>
      </w:tr>
    </w:tbl>
    <w:p w:rsidR="00C04F23" w:rsidRPr="00C03848" w:rsidRDefault="00C04F23"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C04F23" w:rsidRPr="00C03848" w:rsidTr="00C04F2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4F23" w:rsidRPr="00C03848" w:rsidRDefault="00C04F23"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4F23" w:rsidRPr="00C03848" w:rsidRDefault="00AC3A3E" w:rsidP="008B76F2">
            <w:pPr>
              <w:pStyle w:val="1"/>
              <w:spacing w:before="0" w:beforeAutospacing="0" w:after="0" w:afterAutospacing="0"/>
              <w:jc w:val="both"/>
              <w:textAlignment w:val="baseline"/>
              <w:rPr>
                <w:lang w:val="uk-UA"/>
              </w:rPr>
            </w:pPr>
            <w:r w:rsidRPr="00C03848">
              <w:rPr>
                <w:lang w:val="uk-UA"/>
              </w:rPr>
              <w:t>повноважень</w:t>
            </w:r>
            <w:r w:rsidR="00C04F23" w:rsidRPr="00C03848">
              <w:rPr>
                <w:lang w:val="uk-UA"/>
              </w:rPr>
              <w:t xml:space="preserve"> і процедур компетентних органів третьої країни з метою боротьби з відмиванням грошей і фінансуванням тероризму;</w:t>
            </w:r>
          </w:p>
        </w:tc>
      </w:tr>
    </w:tbl>
    <w:p w:rsidR="00C04F23" w:rsidRPr="00C03848" w:rsidRDefault="00C04F23"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C04F23" w:rsidRPr="00C03848" w:rsidTr="00C04F2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4F23" w:rsidRPr="00C03848" w:rsidRDefault="00C04F23"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4F23" w:rsidRPr="00C03848" w:rsidRDefault="00C04F23" w:rsidP="00AC3A3E">
            <w:pPr>
              <w:pStyle w:val="1"/>
              <w:spacing w:before="0" w:beforeAutospacing="0" w:after="0" w:afterAutospacing="0"/>
              <w:jc w:val="both"/>
              <w:textAlignment w:val="baseline"/>
              <w:rPr>
                <w:lang w:val="uk-UA"/>
              </w:rPr>
            </w:pPr>
            <w:r w:rsidRPr="00C03848">
              <w:rPr>
                <w:lang w:val="uk-UA"/>
              </w:rPr>
              <w:t>ефективн</w:t>
            </w:r>
            <w:r w:rsidR="00AC3A3E" w:rsidRPr="00C03848">
              <w:rPr>
                <w:lang w:val="uk-UA"/>
              </w:rPr>
              <w:t>о</w:t>
            </w:r>
            <w:r w:rsidRPr="00C03848">
              <w:rPr>
                <w:lang w:val="uk-UA"/>
              </w:rPr>
              <w:t>сті системи БВГ/ПФТ у вирішенні проблеми відмивання грошей або фінансування тероризму третьої країни.</w:t>
            </w:r>
          </w:p>
        </w:tc>
      </w:tr>
    </w:tbl>
    <w:p w:rsidR="00F74004" w:rsidRPr="00C03848" w:rsidRDefault="00F74004" w:rsidP="008B76F2">
      <w:pPr>
        <w:pStyle w:val="1"/>
        <w:shd w:val="clear" w:color="auto" w:fill="FFFFFF"/>
        <w:spacing w:before="0" w:beforeAutospacing="0" w:after="0" w:afterAutospacing="0"/>
        <w:jc w:val="both"/>
        <w:textAlignment w:val="baseline"/>
        <w:rPr>
          <w:lang w:val="uk-UA"/>
        </w:rPr>
      </w:pPr>
      <w:r w:rsidRPr="00C03848">
        <w:rPr>
          <w:lang w:val="uk-UA"/>
        </w:rPr>
        <w:t>3.    Делеговані акти, зазначені в пункті 2, повинні бути прийняті протягом одного місяця після виявлення стратегічних недоліків, зазначених у цьому пункті.</w:t>
      </w:r>
    </w:p>
    <w:p w:rsidR="00F74004" w:rsidRPr="00C03848" w:rsidRDefault="00F74004" w:rsidP="008B76F2">
      <w:pPr>
        <w:pStyle w:val="1"/>
        <w:shd w:val="clear" w:color="auto" w:fill="FFFFFF"/>
        <w:spacing w:before="0" w:beforeAutospacing="0" w:after="0" w:afterAutospacing="0"/>
        <w:jc w:val="both"/>
        <w:textAlignment w:val="baseline"/>
        <w:rPr>
          <w:lang w:val="uk-UA"/>
        </w:rPr>
      </w:pPr>
      <w:r w:rsidRPr="00C03848">
        <w:rPr>
          <w:lang w:val="uk-UA"/>
        </w:rPr>
        <w:t>4.    Комісія повинна прийняти до уваги, у відповідних випадках, при складанні делегованих актів, зазначених в пункті 2, результати відповідних аналізів, оцінювання або звітів, складених міжнародними організаціями та розробниками стандартів, що володіють компетенцією в сфері запобігання відмиванню грошей та боротьби з фінансуванням тероризму, по відношенню до ризиків, пов'язаних з окремими третіми країнами.</w:t>
      </w:r>
    </w:p>
    <w:p w:rsidR="00AF0B2C" w:rsidRPr="00C03848" w:rsidRDefault="00AF0B2C" w:rsidP="008B76F2">
      <w:pPr>
        <w:pStyle w:val="1"/>
        <w:shd w:val="clear" w:color="auto" w:fill="FFFFFF"/>
        <w:spacing w:before="0" w:beforeAutospacing="0" w:after="0" w:afterAutospacing="0"/>
        <w:jc w:val="both"/>
        <w:textAlignment w:val="baseline"/>
        <w:rPr>
          <w:lang w:val="uk-UA"/>
        </w:rPr>
      </w:pPr>
    </w:p>
    <w:p w:rsidR="00F74004" w:rsidRPr="00C03848" w:rsidRDefault="00F74004" w:rsidP="008B76F2">
      <w:pPr>
        <w:pStyle w:val="1"/>
        <w:shd w:val="clear" w:color="auto" w:fill="FFFFFF"/>
        <w:spacing w:before="0" w:beforeAutospacing="0" w:after="0" w:afterAutospacing="0"/>
        <w:jc w:val="both"/>
        <w:textAlignment w:val="baseline"/>
        <w:rPr>
          <w:lang w:val="uk-UA"/>
        </w:rPr>
      </w:pPr>
    </w:p>
    <w:p w:rsidR="00C07AC9" w:rsidRPr="00C03848" w:rsidRDefault="00B272FB" w:rsidP="008B76F2">
      <w:pPr>
        <w:pStyle w:val="ti-section-1"/>
        <w:shd w:val="clear" w:color="auto" w:fill="FFFFFF"/>
        <w:spacing w:before="0" w:beforeAutospacing="0" w:after="0" w:afterAutospacing="0"/>
        <w:jc w:val="center"/>
        <w:textAlignment w:val="baseline"/>
        <w:rPr>
          <w:bCs/>
          <w:lang w:val="uk-UA"/>
        </w:rPr>
      </w:pPr>
      <w:r w:rsidRPr="00C03848">
        <w:rPr>
          <w:bCs/>
          <w:lang w:val="uk-UA"/>
        </w:rPr>
        <w:t>ГЛАВА</w:t>
      </w:r>
      <w:r w:rsidR="00C07AC9" w:rsidRPr="00C03848">
        <w:rPr>
          <w:bCs/>
          <w:lang w:val="uk-UA"/>
        </w:rPr>
        <w:t xml:space="preserve"> II</w:t>
      </w:r>
    </w:p>
    <w:p w:rsidR="00D45C84" w:rsidRPr="00C03848" w:rsidRDefault="00D45C84" w:rsidP="008B76F2">
      <w:pPr>
        <w:pStyle w:val="ti-section-2"/>
        <w:shd w:val="clear" w:color="auto" w:fill="FFFFFF"/>
        <w:spacing w:before="0" w:beforeAutospacing="0" w:after="0" w:afterAutospacing="0"/>
        <w:jc w:val="center"/>
        <w:textAlignment w:val="baseline"/>
        <w:rPr>
          <w:bCs/>
          <w:lang w:val="uk-UA"/>
        </w:rPr>
      </w:pPr>
      <w:r w:rsidRPr="00C03848">
        <w:rPr>
          <w:bCs/>
          <w:lang w:val="uk-UA"/>
        </w:rPr>
        <w:lastRenderedPageBreak/>
        <w:t>НАЛЕЖНА ПЕРЕВІРКА КЛІЄНТІВ</w:t>
      </w:r>
    </w:p>
    <w:p w:rsidR="00C07AC9" w:rsidRPr="00C03848" w:rsidRDefault="00A5729D" w:rsidP="008B76F2">
      <w:pPr>
        <w:pStyle w:val="ti-section-1"/>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РОЗДІЛ</w:t>
      </w:r>
      <w:r w:rsidR="00C07AC9" w:rsidRPr="00C03848">
        <w:rPr>
          <w:rStyle w:val="italic"/>
          <w:bCs/>
          <w:iCs/>
          <w:bdr w:val="none" w:sz="0" w:space="0" w:color="auto" w:frame="1"/>
          <w:lang w:val="uk-UA"/>
        </w:rPr>
        <w:t xml:space="preserve"> 1</w:t>
      </w:r>
    </w:p>
    <w:p w:rsidR="00C07AC9" w:rsidRPr="00C03848" w:rsidRDefault="00D45C84" w:rsidP="008B76F2">
      <w:pPr>
        <w:pStyle w:val="ti-section-2"/>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Загальні положення</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10</w:t>
      </w:r>
    </w:p>
    <w:p w:rsidR="00B272FB" w:rsidRPr="00C03848" w:rsidRDefault="00B272FB" w:rsidP="008B76F2">
      <w:pPr>
        <w:pStyle w:val="ti-art"/>
        <w:shd w:val="clear" w:color="auto" w:fill="FFFFFF"/>
        <w:spacing w:before="0" w:beforeAutospacing="0" w:after="0" w:afterAutospacing="0"/>
        <w:jc w:val="center"/>
        <w:textAlignment w:val="baseline"/>
        <w:rPr>
          <w:iCs/>
          <w:lang w:val="uk-UA"/>
        </w:rPr>
      </w:pPr>
    </w:p>
    <w:p w:rsidR="00956D4B" w:rsidRPr="00C03848" w:rsidRDefault="00956D4B" w:rsidP="008B76F2">
      <w:pPr>
        <w:pStyle w:val="1"/>
        <w:shd w:val="clear" w:color="auto" w:fill="FFFFFF"/>
        <w:spacing w:before="0" w:beforeAutospacing="0" w:after="0" w:afterAutospacing="0"/>
        <w:jc w:val="both"/>
        <w:textAlignment w:val="baseline"/>
        <w:rPr>
          <w:lang w:val="uk-UA"/>
        </w:rPr>
      </w:pPr>
      <w:r w:rsidRPr="00C03848">
        <w:rPr>
          <w:lang w:val="uk-UA"/>
        </w:rPr>
        <w:t xml:space="preserve">1.   Держави-члени повинні заборонити їх кредитним і фінансовим установам вести анонімні рахунки або анонімні банківські розрахункові книжки. Держави-члени, в будь-якому випадку, повинні вимагати, щоб власники та бенефіціари існуючих анонімних рахунків або анонімних банківських </w:t>
      </w:r>
      <w:r w:rsidR="0029174C" w:rsidRPr="00C03848">
        <w:rPr>
          <w:lang w:val="uk-UA"/>
        </w:rPr>
        <w:t xml:space="preserve">розрахункових </w:t>
      </w:r>
      <w:r w:rsidRPr="00C03848">
        <w:rPr>
          <w:lang w:val="uk-UA"/>
        </w:rPr>
        <w:t xml:space="preserve">книжок підлягали проходженню </w:t>
      </w:r>
      <w:r w:rsidR="0029174C" w:rsidRPr="00C03848">
        <w:rPr>
          <w:lang w:val="uk-UA"/>
        </w:rPr>
        <w:t xml:space="preserve">процедури </w:t>
      </w:r>
      <w:r w:rsidRPr="00C03848">
        <w:rPr>
          <w:lang w:val="uk-UA"/>
        </w:rPr>
        <w:t xml:space="preserve">належної перевірки клієнтів якнайшвидше, і в будь-якому випадку, перш ніж такі рахунки або </w:t>
      </w:r>
      <w:r w:rsidR="0029174C" w:rsidRPr="00C03848">
        <w:rPr>
          <w:lang w:val="uk-UA"/>
        </w:rPr>
        <w:t>банківські розрахункові книжки</w:t>
      </w:r>
      <w:r w:rsidRPr="00C03848">
        <w:rPr>
          <w:lang w:val="uk-UA"/>
        </w:rPr>
        <w:t xml:space="preserve"> будуть використ</w:t>
      </w:r>
      <w:r w:rsidR="0029174C" w:rsidRPr="00C03848">
        <w:rPr>
          <w:lang w:val="uk-UA"/>
        </w:rPr>
        <w:t>ані</w:t>
      </w:r>
      <w:r w:rsidRPr="00C03848">
        <w:rPr>
          <w:lang w:val="uk-UA"/>
        </w:rPr>
        <w:t xml:space="preserve"> в будь-як</w:t>
      </w:r>
      <w:r w:rsidR="0029174C" w:rsidRPr="00C03848">
        <w:rPr>
          <w:lang w:val="uk-UA"/>
        </w:rPr>
        <w:t>ий спосіб</w:t>
      </w:r>
      <w:r w:rsidRPr="00C03848">
        <w:rPr>
          <w:lang w:val="uk-UA"/>
        </w:rPr>
        <w:t>.</w:t>
      </w:r>
    </w:p>
    <w:p w:rsidR="00956D4B" w:rsidRPr="00C03848" w:rsidRDefault="00956D4B" w:rsidP="008B76F2">
      <w:pPr>
        <w:pStyle w:val="1"/>
        <w:shd w:val="clear" w:color="auto" w:fill="FFFFFF"/>
        <w:spacing w:before="0" w:beforeAutospacing="0" w:after="0" w:afterAutospacing="0"/>
        <w:jc w:val="both"/>
        <w:textAlignment w:val="baseline"/>
        <w:rPr>
          <w:lang w:val="uk-UA"/>
        </w:rPr>
      </w:pPr>
      <w:r w:rsidRPr="00C03848">
        <w:rPr>
          <w:lang w:val="uk-UA"/>
        </w:rPr>
        <w:t xml:space="preserve">2.   Держави-члени повинні вживати заходи </w:t>
      </w:r>
      <w:r w:rsidR="0029174C" w:rsidRPr="00C03848">
        <w:rPr>
          <w:lang w:val="uk-UA"/>
        </w:rPr>
        <w:t>з метою</w:t>
      </w:r>
      <w:r w:rsidRPr="00C03848">
        <w:rPr>
          <w:lang w:val="uk-UA"/>
        </w:rPr>
        <w:t xml:space="preserve"> запобігання неправомірного використання акцій на пред'явника і </w:t>
      </w:r>
      <w:r w:rsidR="00AC3A3E" w:rsidRPr="00C03848">
        <w:rPr>
          <w:lang w:val="uk-UA"/>
        </w:rPr>
        <w:t>варіантів</w:t>
      </w:r>
      <w:r w:rsidRPr="00C03848">
        <w:rPr>
          <w:lang w:val="uk-UA"/>
        </w:rPr>
        <w:t xml:space="preserve"> на пред'явника.</w:t>
      </w:r>
    </w:p>
    <w:p w:rsidR="00956D4B" w:rsidRPr="00C03848" w:rsidRDefault="00956D4B"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11</w:t>
      </w:r>
    </w:p>
    <w:p w:rsidR="00956D4B" w:rsidRPr="00C03848" w:rsidRDefault="00956D4B" w:rsidP="008B76F2">
      <w:pPr>
        <w:pStyle w:val="ti-art"/>
        <w:shd w:val="clear" w:color="auto" w:fill="FFFFFF"/>
        <w:spacing w:before="0" w:beforeAutospacing="0" w:after="0" w:afterAutospacing="0"/>
        <w:jc w:val="center"/>
        <w:textAlignment w:val="baseline"/>
        <w:rPr>
          <w:iCs/>
          <w:lang w:val="uk-UA"/>
        </w:rPr>
      </w:pPr>
    </w:p>
    <w:p w:rsidR="00B71688" w:rsidRPr="00C03848" w:rsidRDefault="00B71688" w:rsidP="008B76F2">
      <w:pPr>
        <w:pStyle w:val="1"/>
        <w:shd w:val="clear" w:color="auto" w:fill="FFFFFF"/>
        <w:spacing w:before="0" w:beforeAutospacing="0" w:after="0" w:afterAutospacing="0"/>
        <w:jc w:val="both"/>
        <w:textAlignment w:val="baseline"/>
        <w:rPr>
          <w:lang w:val="uk-UA"/>
        </w:rPr>
      </w:pPr>
      <w:r w:rsidRPr="00C03848">
        <w:rPr>
          <w:lang w:val="uk-UA"/>
        </w:rPr>
        <w:t>Держави-члени повинні забезпечити, щоб зобов'язані особи застосовували заходи належної перевірки клієнтів у наступних випадках:</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848"/>
        <w:gridCol w:w="8612"/>
      </w:tblGrid>
      <w:tr w:rsidR="00B71688" w:rsidRPr="00C03848" w:rsidTr="00B7168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71688" w:rsidRPr="00C03848" w:rsidRDefault="00B71688"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71688" w:rsidRPr="00C03848" w:rsidRDefault="00B71688" w:rsidP="008B76F2">
            <w:pPr>
              <w:pStyle w:val="1"/>
              <w:spacing w:before="0" w:beforeAutospacing="0" w:after="0" w:afterAutospacing="0"/>
              <w:jc w:val="both"/>
              <w:textAlignment w:val="baseline"/>
              <w:rPr>
                <w:lang w:val="uk-UA"/>
              </w:rPr>
            </w:pPr>
            <w:r w:rsidRPr="00C03848">
              <w:rPr>
                <w:lang w:val="uk-UA"/>
              </w:rPr>
              <w:t>при встановленні ділових відносин;</w:t>
            </w:r>
          </w:p>
        </w:tc>
      </w:tr>
    </w:tbl>
    <w:p w:rsidR="00B71688" w:rsidRPr="00C03848" w:rsidRDefault="00B71688" w:rsidP="008B76F2">
      <w:pPr>
        <w:spacing w:after="0" w:line="240" w:lineRule="auto"/>
        <w:rPr>
          <w:rFonts w:ascii="Times New Roman" w:hAnsi="Times New Roman" w:cs="Times New Roman"/>
          <w:vanish/>
          <w:sz w:val="24"/>
          <w:szCs w:val="24"/>
          <w:lang w:val="uk-UA"/>
        </w:rPr>
      </w:pPr>
    </w:p>
    <w:tbl>
      <w:tblPr>
        <w:tblW w:w="5177"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410"/>
      </w:tblGrid>
      <w:tr w:rsidR="00B71688" w:rsidRPr="00C03848" w:rsidTr="000438A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71688" w:rsidRPr="00C03848" w:rsidRDefault="00B71688"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B71688" w:rsidRPr="00C03848" w:rsidRDefault="00B71688" w:rsidP="008B76F2">
            <w:pPr>
              <w:pStyle w:val="1"/>
              <w:spacing w:before="0" w:beforeAutospacing="0" w:after="0" w:afterAutospacing="0"/>
              <w:jc w:val="both"/>
              <w:textAlignment w:val="baseline"/>
              <w:rPr>
                <w:lang w:val="uk-UA"/>
              </w:rPr>
            </w:pPr>
            <w:r w:rsidRPr="00C03848">
              <w:rPr>
                <w:lang w:val="uk-UA"/>
              </w:rPr>
              <w:t xml:space="preserve"> при проведенні випадкової транзакції такої, що: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6"/>
              <w:gridCol w:w="8903"/>
            </w:tblGrid>
            <w:tr w:rsidR="00B71688"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71688" w:rsidRPr="00C03848" w:rsidRDefault="00B71688" w:rsidP="008B76F2">
                  <w:pPr>
                    <w:pStyle w:val="1"/>
                    <w:spacing w:before="0" w:beforeAutospacing="0" w:after="0" w:afterAutospacing="0"/>
                    <w:jc w:val="both"/>
                    <w:textAlignment w:val="baseline"/>
                    <w:rPr>
                      <w:lang w:val="uk-UA"/>
                    </w:rPr>
                  </w:pPr>
                  <w:r w:rsidRPr="00C03848">
                    <w:rPr>
                      <w:lang w:val="uk-UA"/>
                    </w:rPr>
                    <w:t>(i)</w:t>
                  </w:r>
                </w:p>
              </w:tc>
              <w:tc>
                <w:tcPr>
                  <w:tcW w:w="4792" w:type="pct"/>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71688" w:rsidRPr="00C03848" w:rsidRDefault="00B71688" w:rsidP="008B76F2">
                  <w:pPr>
                    <w:pStyle w:val="1"/>
                    <w:spacing w:before="0" w:beforeAutospacing="0" w:after="0" w:afterAutospacing="0"/>
                    <w:jc w:val="both"/>
                    <w:textAlignment w:val="baseline"/>
                    <w:rPr>
                      <w:lang w:val="uk-UA"/>
                    </w:rPr>
                  </w:pPr>
                  <w:r w:rsidRPr="00C03848">
                    <w:rPr>
                      <w:lang w:val="uk-UA"/>
                    </w:rPr>
                    <w:t>загальна сума становить 15000 євро або більше, незалежно від того чи транзакція проводиться в рамках однієї операції або декількох операцій, які видаються пов'язаними між собою; або</w:t>
                  </w:r>
                </w:p>
              </w:tc>
            </w:tr>
          </w:tbl>
          <w:p w:rsidR="00B71688" w:rsidRPr="00C03848" w:rsidRDefault="00B71688" w:rsidP="008B76F2">
            <w:pPr>
              <w:spacing w:after="0" w:line="240" w:lineRule="auto"/>
              <w:rPr>
                <w:rFonts w:ascii="Times New Roman" w:hAnsi="Times New Roman" w:cs="Times New Roman"/>
                <w:vanish/>
                <w:sz w:val="24"/>
                <w:szCs w:val="24"/>
                <w:lang w:val="uk-UA" w:eastAsia="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99"/>
              <w:gridCol w:w="8890"/>
            </w:tblGrid>
            <w:tr w:rsidR="00B71688"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71688" w:rsidRPr="00C03848" w:rsidRDefault="00B71688" w:rsidP="008B76F2">
                  <w:pPr>
                    <w:pStyle w:val="1"/>
                    <w:spacing w:before="0" w:beforeAutospacing="0" w:after="0" w:afterAutospacing="0"/>
                    <w:jc w:val="both"/>
                    <w:textAlignment w:val="baseline"/>
                    <w:rPr>
                      <w:lang w:val="uk-UA"/>
                    </w:rPr>
                  </w:pPr>
                  <w:r w:rsidRPr="00C03848">
                    <w:rPr>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71688" w:rsidRPr="00C03848" w:rsidRDefault="002D7074" w:rsidP="008B76F2">
                  <w:pPr>
                    <w:pStyle w:val="1"/>
                    <w:spacing w:before="0" w:beforeAutospacing="0" w:after="0" w:afterAutospacing="0"/>
                    <w:jc w:val="both"/>
                    <w:textAlignment w:val="baseline"/>
                    <w:rPr>
                      <w:lang w:val="uk-UA"/>
                    </w:rPr>
                  </w:pPr>
                  <w:r w:rsidRPr="00C03848">
                    <w:rPr>
                      <w:lang w:val="uk-UA"/>
                    </w:rPr>
                    <w:t>здійснюється</w:t>
                  </w:r>
                  <w:r w:rsidR="00B71688" w:rsidRPr="00C03848">
                    <w:rPr>
                      <w:lang w:val="uk-UA"/>
                    </w:rPr>
                    <w:t xml:space="preserve"> переказ коштів, як визначено в пункті (9) Статті 3 Регламенту (</w:t>
                  </w:r>
                  <w:r w:rsidRPr="00C03848">
                    <w:rPr>
                      <w:lang w:val="uk-UA"/>
                    </w:rPr>
                    <w:t>EU</w:t>
                  </w:r>
                  <w:r w:rsidR="00B71688" w:rsidRPr="00C03848">
                    <w:rPr>
                      <w:lang w:val="uk-UA"/>
                    </w:rPr>
                    <w:t xml:space="preserve">) 2015/847 Європейського Парламенту та Ради  </w:t>
                  </w:r>
                  <w:hyperlink r:id="rId37" w:anchor="ntr30-L_2015141EN.01007301-E0030" w:history="1">
                    <w:r w:rsidR="00B71688" w:rsidRPr="00C03848">
                      <w:rPr>
                        <w:rStyle w:val="Hyperlink"/>
                        <w:color w:val="auto"/>
                        <w:bdr w:val="none" w:sz="0" w:space="0" w:color="auto" w:frame="1"/>
                        <w:lang w:val="uk-UA"/>
                      </w:rPr>
                      <w:t> (</w:t>
                    </w:r>
                    <w:r w:rsidR="00B71688" w:rsidRPr="00C03848">
                      <w:rPr>
                        <w:rStyle w:val="super"/>
                        <w:sz w:val="24"/>
                        <w:szCs w:val="24"/>
                        <w:bdr w:val="none" w:sz="0" w:space="0" w:color="auto" w:frame="1"/>
                        <w:lang w:val="uk-UA"/>
                      </w:rPr>
                      <w:t>30</w:t>
                    </w:r>
                    <w:r w:rsidR="00B71688" w:rsidRPr="00C03848">
                      <w:rPr>
                        <w:rStyle w:val="Hyperlink"/>
                        <w:color w:val="auto"/>
                        <w:bdr w:val="none" w:sz="0" w:space="0" w:color="auto" w:frame="1"/>
                        <w:lang w:val="uk-UA"/>
                      </w:rPr>
                      <w:t>)</w:t>
                    </w:r>
                  </w:hyperlink>
                  <w:r w:rsidR="00B71688" w:rsidRPr="00C03848">
                    <w:rPr>
                      <w:lang w:val="uk-UA"/>
                    </w:rPr>
                    <w:t>, що перевищує 1000 євро;</w:t>
                  </w:r>
                </w:p>
              </w:tc>
            </w:tr>
          </w:tbl>
          <w:p w:rsidR="00B71688" w:rsidRPr="00C03848" w:rsidRDefault="00B71688" w:rsidP="008B76F2">
            <w:pPr>
              <w:spacing w:after="0" w:line="240" w:lineRule="auto"/>
              <w:rPr>
                <w:rFonts w:ascii="Times New Roman" w:hAnsi="Times New Roman" w:cs="Times New Roman"/>
                <w:sz w:val="24"/>
                <w:szCs w:val="24"/>
                <w:lang w:val="uk-UA" w:eastAsia="uk-UA"/>
              </w:rPr>
            </w:pPr>
          </w:p>
        </w:tc>
      </w:tr>
      <w:tr w:rsidR="000438AA" w:rsidRPr="00C03848" w:rsidTr="000438A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438AA" w:rsidRPr="00C03848" w:rsidRDefault="000438AA"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438AA" w:rsidRPr="00C03848" w:rsidRDefault="000438AA" w:rsidP="008B76F2">
            <w:pPr>
              <w:pStyle w:val="1"/>
              <w:spacing w:before="0" w:beforeAutospacing="0" w:after="0" w:afterAutospacing="0"/>
              <w:jc w:val="both"/>
              <w:textAlignment w:val="baseline"/>
              <w:rPr>
                <w:lang w:val="uk-UA"/>
              </w:rPr>
            </w:pPr>
            <w:r w:rsidRPr="00C03848">
              <w:rPr>
                <w:lang w:val="uk-UA"/>
              </w:rPr>
              <w:t>у випадку осіб, які торгують товарами, при проведенні разових операцій готівкою на суму 10000 євро або більше, незалежно від того чи транзакція проводиться в рамках однієї операції або декількох операцій, які видаються пов'язаними між собою;</w:t>
            </w:r>
          </w:p>
        </w:tc>
      </w:tr>
    </w:tbl>
    <w:p w:rsidR="000438AA" w:rsidRPr="00C03848" w:rsidRDefault="000438A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0438AA" w:rsidRPr="00C03848" w:rsidTr="000438A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438AA" w:rsidRPr="00C03848" w:rsidRDefault="000438AA" w:rsidP="008B76F2">
            <w:pPr>
              <w:pStyle w:val="1"/>
              <w:spacing w:before="0" w:beforeAutospacing="0" w:after="0" w:afterAutospacing="0"/>
              <w:jc w:val="both"/>
              <w:textAlignment w:val="baseline"/>
              <w:rPr>
                <w:lang w:val="uk-UA"/>
              </w:rPr>
            </w:pPr>
            <w:r w:rsidRPr="00C03848">
              <w:rPr>
                <w:lang w:val="uk-UA"/>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438AA" w:rsidRPr="00C03848" w:rsidRDefault="000438AA" w:rsidP="008B76F2">
            <w:pPr>
              <w:pStyle w:val="1"/>
              <w:spacing w:before="0" w:beforeAutospacing="0" w:after="0" w:afterAutospacing="0"/>
              <w:jc w:val="both"/>
              <w:textAlignment w:val="baseline"/>
              <w:rPr>
                <w:lang w:val="uk-UA"/>
              </w:rPr>
            </w:pPr>
            <w:r w:rsidRPr="00C03848">
              <w:rPr>
                <w:lang w:val="uk-UA"/>
              </w:rPr>
              <w:t>для постачальників послуг у сфері азартних ігор на зборі виграшів, на укладанні парі на ставку або двох зазначених дій, коли при проведенні транзакцій  на суму 2000 євро або більше, транзакція здійснюється чи в рамках однієї операції або декількох операцій, які видаються пов'язаними між собою;</w:t>
            </w:r>
          </w:p>
        </w:tc>
      </w:tr>
    </w:tbl>
    <w:p w:rsidR="000438AA" w:rsidRPr="00C03848" w:rsidRDefault="000438A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0438AA" w:rsidRPr="00C03848" w:rsidTr="000438A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438AA" w:rsidRPr="00C03848" w:rsidRDefault="000438AA" w:rsidP="008B76F2">
            <w:pPr>
              <w:pStyle w:val="1"/>
              <w:spacing w:before="0" w:beforeAutospacing="0" w:after="0" w:afterAutospacing="0"/>
              <w:jc w:val="both"/>
              <w:textAlignment w:val="baseline"/>
              <w:rPr>
                <w:lang w:val="uk-UA"/>
              </w:rPr>
            </w:pPr>
            <w:r w:rsidRPr="00C03848">
              <w:rPr>
                <w:lang w:val="uk-UA"/>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438AA" w:rsidRPr="00C03848" w:rsidRDefault="000438AA" w:rsidP="008B76F2">
            <w:pPr>
              <w:pStyle w:val="1"/>
              <w:spacing w:before="0" w:beforeAutospacing="0" w:after="0" w:afterAutospacing="0"/>
              <w:jc w:val="both"/>
              <w:textAlignment w:val="baseline"/>
              <w:rPr>
                <w:lang w:val="uk-UA"/>
              </w:rPr>
            </w:pPr>
            <w:r w:rsidRPr="00C03848">
              <w:rPr>
                <w:lang w:val="uk-UA"/>
              </w:rPr>
              <w:t>коли є підозра у відмиванні грошей або фінансуванні тероризму, незалежно від будь-якого часткового обмеження, винятку або граничної величини;</w:t>
            </w:r>
          </w:p>
        </w:tc>
      </w:tr>
    </w:tbl>
    <w:p w:rsidR="000438AA" w:rsidRPr="00C03848" w:rsidRDefault="000438A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45"/>
        <w:gridCol w:w="9115"/>
      </w:tblGrid>
      <w:tr w:rsidR="000438AA" w:rsidRPr="00C03848" w:rsidTr="000438A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438AA" w:rsidRPr="00C03848" w:rsidRDefault="000438AA" w:rsidP="008B76F2">
            <w:pPr>
              <w:pStyle w:val="1"/>
              <w:spacing w:before="0" w:beforeAutospacing="0" w:after="0" w:afterAutospacing="0"/>
              <w:jc w:val="both"/>
              <w:textAlignment w:val="baseline"/>
              <w:rPr>
                <w:lang w:val="uk-UA"/>
              </w:rPr>
            </w:pPr>
            <w:r w:rsidRPr="00C03848">
              <w:rPr>
                <w:lang w:val="uk-UA"/>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0438AA" w:rsidRPr="00C03848" w:rsidRDefault="000438AA" w:rsidP="008B76F2">
            <w:pPr>
              <w:pStyle w:val="1"/>
              <w:spacing w:before="0" w:beforeAutospacing="0" w:after="0" w:afterAutospacing="0"/>
              <w:jc w:val="both"/>
              <w:textAlignment w:val="baseline"/>
              <w:rPr>
                <w:lang w:val="uk-UA"/>
              </w:rPr>
            </w:pPr>
            <w:r w:rsidRPr="00C03848">
              <w:rPr>
                <w:lang w:val="uk-UA"/>
              </w:rPr>
              <w:t>коли існують сумніви щодо правдивості або відповідності раніше отримани</w:t>
            </w:r>
            <w:r w:rsidR="0003349C" w:rsidRPr="00C03848">
              <w:rPr>
                <w:lang w:val="uk-UA"/>
              </w:rPr>
              <w:t>х ідентифікаційних даних клієнтів</w:t>
            </w:r>
            <w:r w:rsidRPr="00C03848">
              <w:rPr>
                <w:lang w:val="uk-UA"/>
              </w:rPr>
              <w:t>.</w:t>
            </w:r>
          </w:p>
          <w:p w:rsidR="000438AA" w:rsidRPr="00C03848" w:rsidRDefault="000438AA" w:rsidP="008B76F2">
            <w:pPr>
              <w:pStyle w:val="1"/>
              <w:spacing w:before="0" w:beforeAutospacing="0" w:after="0" w:afterAutospacing="0"/>
              <w:jc w:val="both"/>
              <w:textAlignment w:val="baseline"/>
              <w:rPr>
                <w:lang w:val="uk-UA"/>
              </w:rPr>
            </w:pPr>
          </w:p>
        </w:tc>
      </w:tr>
    </w:tbl>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12</w:t>
      </w:r>
    </w:p>
    <w:p w:rsidR="00956D4B" w:rsidRPr="00C03848" w:rsidRDefault="00956D4B" w:rsidP="008B76F2">
      <w:pPr>
        <w:pStyle w:val="ti-art"/>
        <w:shd w:val="clear" w:color="auto" w:fill="FFFFFF"/>
        <w:spacing w:before="0" w:beforeAutospacing="0" w:after="0" w:afterAutospacing="0"/>
        <w:jc w:val="center"/>
        <w:textAlignment w:val="baseline"/>
        <w:rPr>
          <w:iCs/>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p w:rsidR="007C3970" w:rsidRPr="00C03848" w:rsidRDefault="007C3970" w:rsidP="008B76F2">
      <w:pPr>
        <w:pStyle w:val="1"/>
        <w:shd w:val="clear" w:color="auto" w:fill="FFFFFF"/>
        <w:spacing w:before="0" w:beforeAutospacing="0" w:after="0" w:afterAutospacing="0"/>
        <w:jc w:val="both"/>
        <w:textAlignment w:val="baseline"/>
        <w:rPr>
          <w:lang w:val="uk-UA"/>
        </w:rPr>
      </w:pPr>
      <w:r w:rsidRPr="00C03848">
        <w:rPr>
          <w:lang w:val="uk-UA"/>
        </w:rPr>
        <w:t xml:space="preserve">1.    Шляхом часткового обмеження пунктів (а), (b) і (с) першого підпункту Статті 13 (1) та Статті 14, і на основі відповідної оцінки ризику, яка демонструє низький ризик, держава-член може дозволити зобов'язаним особам не застосовувати певні заходи належної перевірки клієнта по відношенню до електронних грошей, за умови виконання всіх </w:t>
      </w:r>
      <w:r w:rsidR="00AC3A3E" w:rsidRPr="00C03848">
        <w:rPr>
          <w:lang w:val="uk-UA"/>
        </w:rPr>
        <w:t>наступних</w:t>
      </w:r>
      <w:r w:rsidRPr="00C03848">
        <w:rPr>
          <w:lang w:val="uk-UA"/>
        </w:rPr>
        <w:t xml:space="preserve"> умов зменшення ризику: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7C3970" w:rsidRPr="00C03848" w:rsidTr="007C397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C3970" w:rsidRPr="00C03848" w:rsidRDefault="007C3970"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C3970" w:rsidRPr="00C03848" w:rsidRDefault="007C3970" w:rsidP="008B76F2">
            <w:pPr>
              <w:pStyle w:val="1"/>
              <w:spacing w:before="0" w:beforeAutospacing="0" w:after="0" w:afterAutospacing="0"/>
              <w:jc w:val="both"/>
              <w:textAlignment w:val="baseline"/>
              <w:rPr>
                <w:lang w:val="uk-UA"/>
              </w:rPr>
            </w:pPr>
            <w:r w:rsidRPr="00C03848">
              <w:rPr>
                <w:lang w:val="uk-UA"/>
              </w:rPr>
              <w:t>платіжний інструмент не є поповнюваним, або має максимальну місячну платіжну межу транзакцій у розмірі 250 євро, які можуть бути використані тільки в цій державі-члені;</w:t>
            </w:r>
          </w:p>
        </w:tc>
      </w:tr>
    </w:tbl>
    <w:p w:rsidR="007C3970" w:rsidRPr="00C03848" w:rsidRDefault="007C3970"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99"/>
        <w:gridCol w:w="9061"/>
      </w:tblGrid>
      <w:tr w:rsidR="007C3970" w:rsidRPr="00C03848" w:rsidTr="007C397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C3970" w:rsidRPr="00C03848" w:rsidRDefault="007C3970"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C3970" w:rsidRPr="00C03848" w:rsidRDefault="007C3970" w:rsidP="008B76F2">
            <w:pPr>
              <w:pStyle w:val="1"/>
              <w:spacing w:before="0" w:beforeAutospacing="0" w:after="0" w:afterAutospacing="0"/>
              <w:jc w:val="both"/>
              <w:textAlignment w:val="baseline"/>
              <w:rPr>
                <w:lang w:val="uk-UA"/>
              </w:rPr>
            </w:pPr>
            <w:r w:rsidRPr="00C03848">
              <w:rPr>
                <w:lang w:val="uk-UA"/>
              </w:rPr>
              <w:t>максимальна сума, що зберігається в електронному вигляді, не перевищує 250 євро;</w:t>
            </w:r>
          </w:p>
        </w:tc>
      </w:tr>
    </w:tbl>
    <w:p w:rsidR="007C3970" w:rsidRPr="00C03848" w:rsidRDefault="007C3970"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7"/>
        <w:gridCol w:w="9073"/>
      </w:tblGrid>
      <w:tr w:rsidR="007C3970" w:rsidRPr="00C03848" w:rsidTr="007C397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C3970" w:rsidRPr="00C03848" w:rsidRDefault="007C3970"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C3970" w:rsidRPr="00C03848" w:rsidRDefault="007C3970" w:rsidP="008B76F2">
            <w:pPr>
              <w:pStyle w:val="1"/>
              <w:spacing w:before="0" w:beforeAutospacing="0" w:after="0" w:afterAutospacing="0"/>
              <w:jc w:val="both"/>
              <w:textAlignment w:val="baseline"/>
              <w:rPr>
                <w:lang w:val="uk-UA"/>
              </w:rPr>
            </w:pPr>
            <w:r w:rsidRPr="00C03848">
              <w:rPr>
                <w:lang w:val="uk-UA"/>
              </w:rPr>
              <w:t>платіжний інструмент використовується виключно для покупки товарів або послуг;</w:t>
            </w:r>
          </w:p>
        </w:tc>
      </w:tr>
    </w:tbl>
    <w:p w:rsidR="007C3970" w:rsidRPr="00C03848" w:rsidRDefault="007C3970"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402"/>
        <w:gridCol w:w="9058"/>
      </w:tblGrid>
      <w:tr w:rsidR="007C3970" w:rsidRPr="00C03848" w:rsidTr="007C397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C3970" w:rsidRPr="00C03848" w:rsidRDefault="007C3970" w:rsidP="008B76F2">
            <w:pPr>
              <w:pStyle w:val="1"/>
              <w:spacing w:before="0" w:beforeAutospacing="0" w:after="0" w:afterAutospacing="0"/>
              <w:jc w:val="both"/>
              <w:textAlignment w:val="baseline"/>
              <w:rPr>
                <w:lang w:val="uk-UA"/>
              </w:rPr>
            </w:pPr>
            <w:r w:rsidRPr="00C03848">
              <w:rPr>
                <w:lang w:val="uk-UA"/>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C3970" w:rsidRPr="00C03848" w:rsidRDefault="007C3970" w:rsidP="008B76F2">
            <w:pPr>
              <w:pStyle w:val="1"/>
              <w:spacing w:before="0" w:beforeAutospacing="0" w:after="0" w:afterAutospacing="0"/>
              <w:jc w:val="both"/>
              <w:textAlignment w:val="baseline"/>
              <w:rPr>
                <w:lang w:val="uk-UA"/>
              </w:rPr>
            </w:pPr>
            <w:r w:rsidRPr="00C03848">
              <w:rPr>
                <w:lang w:val="uk-UA"/>
              </w:rPr>
              <w:t>платіжний інструмент не може фінансуватися анонімними електронними грошима;</w:t>
            </w:r>
          </w:p>
        </w:tc>
      </w:tr>
    </w:tbl>
    <w:p w:rsidR="007C3970" w:rsidRPr="00C03848" w:rsidRDefault="007C3970"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7C3970" w:rsidRPr="00C03848" w:rsidTr="007C397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C3970" w:rsidRPr="00C03848" w:rsidRDefault="007C3970" w:rsidP="008B76F2">
            <w:pPr>
              <w:pStyle w:val="1"/>
              <w:spacing w:before="0" w:beforeAutospacing="0" w:after="0" w:afterAutospacing="0"/>
              <w:jc w:val="both"/>
              <w:textAlignment w:val="baseline"/>
              <w:rPr>
                <w:lang w:val="uk-UA"/>
              </w:rPr>
            </w:pPr>
            <w:r w:rsidRPr="00C03848">
              <w:rPr>
                <w:lang w:val="uk-UA"/>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C3970" w:rsidRPr="00C03848" w:rsidRDefault="007C3970" w:rsidP="008B76F2">
            <w:pPr>
              <w:pStyle w:val="1"/>
              <w:spacing w:before="0" w:beforeAutospacing="0" w:after="0" w:afterAutospacing="0"/>
              <w:jc w:val="both"/>
              <w:textAlignment w:val="baseline"/>
              <w:rPr>
                <w:lang w:val="uk-UA"/>
              </w:rPr>
            </w:pPr>
            <w:r w:rsidRPr="00C03848">
              <w:rPr>
                <w:lang w:val="uk-UA"/>
              </w:rPr>
              <w:t xml:space="preserve">емітент здійснює </w:t>
            </w:r>
            <w:r w:rsidR="00AC3A3E" w:rsidRPr="00C03848">
              <w:rPr>
                <w:lang w:val="uk-UA"/>
              </w:rPr>
              <w:t>достатній</w:t>
            </w:r>
            <w:r w:rsidRPr="00C03848">
              <w:rPr>
                <w:lang w:val="uk-UA"/>
              </w:rPr>
              <w:t xml:space="preserve">  моніторинг транзакцій або ділових відносин, який надає можливість йому визначення незвичайних або підозрілих операцій.</w:t>
            </w:r>
          </w:p>
        </w:tc>
      </w:tr>
    </w:tbl>
    <w:p w:rsidR="00505F34" w:rsidRPr="00C03848" w:rsidRDefault="00505F34" w:rsidP="008B76F2">
      <w:pPr>
        <w:pStyle w:val="1"/>
        <w:shd w:val="clear" w:color="auto" w:fill="FFFFFF"/>
        <w:spacing w:before="0" w:beforeAutospacing="0" w:after="0" w:afterAutospacing="0"/>
        <w:jc w:val="both"/>
        <w:textAlignment w:val="baseline"/>
        <w:rPr>
          <w:lang w:val="uk-UA"/>
        </w:rPr>
      </w:pPr>
      <w:r w:rsidRPr="00C03848">
        <w:rPr>
          <w:lang w:val="uk-UA"/>
        </w:rPr>
        <w:t>Для цілей пункту (b) першого підпункту, держава-член може збільшити максимальну суму до розміру 500 євро для платіжних інструментів, які можуть бути використані тільки в цій державі-члені.</w:t>
      </w:r>
    </w:p>
    <w:p w:rsidR="00505F34" w:rsidRPr="00C03848" w:rsidRDefault="00505F34" w:rsidP="008B76F2">
      <w:pPr>
        <w:pStyle w:val="1"/>
        <w:shd w:val="clear" w:color="auto" w:fill="FFFFFF"/>
        <w:spacing w:before="0" w:beforeAutospacing="0" w:after="0" w:afterAutospacing="0"/>
        <w:jc w:val="both"/>
        <w:textAlignment w:val="baseline"/>
        <w:rPr>
          <w:lang w:val="uk-UA"/>
        </w:rPr>
      </w:pPr>
      <w:r w:rsidRPr="00C03848">
        <w:rPr>
          <w:lang w:val="uk-UA"/>
        </w:rPr>
        <w:t>2.  Держави-члени повинні забезпечити, щоб часткове обмеження, передбачене в пункті 1, не застосову</w:t>
      </w:r>
      <w:r w:rsidR="00667A88" w:rsidRPr="00C03848">
        <w:rPr>
          <w:lang w:val="uk-UA"/>
        </w:rPr>
        <w:t xml:space="preserve">валось </w:t>
      </w:r>
      <w:r w:rsidRPr="00C03848">
        <w:rPr>
          <w:lang w:val="uk-UA"/>
        </w:rPr>
        <w:t>у разі викупу готівкою або зняття готівки в грошовій вартості електронних грошей, коли викуплена сума перевищує 100 євро.</w:t>
      </w:r>
    </w:p>
    <w:p w:rsidR="00956D4B" w:rsidRPr="00C03848" w:rsidRDefault="00956D4B"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13</w:t>
      </w:r>
    </w:p>
    <w:p w:rsidR="00956D4B" w:rsidRPr="00C03848" w:rsidRDefault="00956D4B" w:rsidP="008B76F2">
      <w:pPr>
        <w:pStyle w:val="ti-art"/>
        <w:shd w:val="clear" w:color="auto" w:fill="FFFFFF"/>
        <w:spacing w:before="0" w:beforeAutospacing="0" w:after="0" w:afterAutospacing="0"/>
        <w:jc w:val="center"/>
        <w:textAlignment w:val="baseline"/>
        <w:rPr>
          <w:iCs/>
          <w:lang w:val="uk-UA"/>
        </w:rPr>
      </w:pPr>
    </w:p>
    <w:p w:rsidR="00602C90" w:rsidRPr="00C03848" w:rsidRDefault="00602C90" w:rsidP="008B76F2">
      <w:pPr>
        <w:pStyle w:val="1"/>
        <w:shd w:val="clear" w:color="auto" w:fill="FFFFFF"/>
        <w:spacing w:before="0" w:beforeAutospacing="0" w:after="0" w:afterAutospacing="0"/>
        <w:jc w:val="both"/>
        <w:textAlignment w:val="baseline"/>
        <w:rPr>
          <w:lang w:val="uk-UA"/>
        </w:rPr>
      </w:pPr>
      <w:r w:rsidRPr="00C03848">
        <w:rPr>
          <w:lang w:val="uk-UA"/>
        </w:rPr>
        <w:t>1.   Заходи належної перевірки клієнта повинні включати в себе: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602C90" w:rsidRPr="00C03848" w:rsidTr="00602C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2C90" w:rsidRPr="00C03848" w:rsidRDefault="00602C90"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2C90" w:rsidRPr="00C03848" w:rsidRDefault="00602C90" w:rsidP="008B76F2">
            <w:pPr>
              <w:pStyle w:val="1"/>
              <w:spacing w:before="0" w:beforeAutospacing="0" w:after="0" w:afterAutospacing="0"/>
              <w:jc w:val="both"/>
              <w:textAlignment w:val="baseline"/>
              <w:rPr>
                <w:lang w:val="uk-UA"/>
              </w:rPr>
            </w:pPr>
            <w:r w:rsidRPr="00C03848">
              <w:rPr>
                <w:lang w:val="uk-UA"/>
              </w:rPr>
              <w:t>ідентифікацію клієнта та перевірку особи клієнта на підставі документів, даних або інформації, отриманої з надійного і незалежного джерела;</w:t>
            </w:r>
          </w:p>
        </w:tc>
      </w:tr>
    </w:tbl>
    <w:p w:rsidR="00602C90" w:rsidRPr="00C03848" w:rsidRDefault="00602C90"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602C90" w:rsidRPr="00C03848" w:rsidTr="00602C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2C90" w:rsidRPr="00C03848" w:rsidRDefault="00602C90"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2C90" w:rsidRPr="00C03848" w:rsidRDefault="00602C90" w:rsidP="008B76F2">
            <w:pPr>
              <w:pStyle w:val="1"/>
              <w:spacing w:before="0" w:beforeAutospacing="0" w:after="0" w:afterAutospacing="0"/>
              <w:jc w:val="both"/>
              <w:textAlignment w:val="baseline"/>
              <w:rPr>
                <w:lang w:val="uk-UA"/>
              </w:rPr>
            </w:pPr>
            <w:r w:rsidRPr="00C03848">
              <w:rPr>
                <w:lang w:val="uk-UA"/>
              </w:rPr>
              <w:t xml:space="preserve">ідентифікацію бенефіціара і прийняття </w:t>
            </w:r>
            <w:r w:rsidR="00AC3A3E" w:rsidRPr="00C03848">
              <w:rPr>
                <w:lang w:val="uk-UA"/>
              </w:rPr>
              <w:t>обґрунтованих</w:t>
            </w:r>
            <w:r w:rsidRPr="00C03848">
              <w:rPr>
                <w:lang w:val="uk-UA"/>
              </w:rPr>
              <w:t xml:space="preserve"> заходів з перевірки особистості цієї людини з метою, що зобов'язана організація переконується, що вона знає, хто є бенефіціар</w:t>
            </w:r>
            <w:r w:rsidR="00A53E87" w:rsidRPr="00C03848">
              <w:rPr>
                <w:lang w:val="uk-UA"/>
              </w:rPr>
              <w:t>о</w:t>
            </w:r>
            <w:r w:rsidRPr="00C03848">
              <w:rPr>
                <w:lang w:val="uk-UA"/>
              </w:rPr>
              <w:t xml:space="preserve">м, в тому числі, щодо юридичних осіб, трастів, компаній, фондів та інші аналогічних </w:t>
            </w:r>
            <w:r w:rsidR="00A53E87" w:rsidRPr="00C03848">
              <w:rPr>
                <w:lang w:val="uk-UA"/>
              </w:rPr>
              <w:t>юридичн</w:t>
            </w:r>
            <w:r w:rsidRPr="00C03848">
              <w:rPr>
                <w:lang w:val="uk-UA"/>
              </w:rPr>
              <w:t xml:space="preserve">их механізмів, приймаючи </w:t>
            </w:r>
            <w:r w:rsidR="00AC3A3E" w:rsidRPr="00C03848">
              <w:rPr>
                <w:lang w:val="uk-UA"/>
              </w:rPr>
              <w:t>обґрунтовані</w:t>
            </w:r>
            <w:r w:rsidRPr="00C03848">
              <w:rPr>
                <w:lang w:val="uk-UA"/>
              </w:rPr>
              <w:t xml:space="preserve"> заходи, щоб  зрозуміти право власності та контролюючу структуру клієнта;</w:t>
            </w:r>
          </w:p>
        </w:tc>
      </w:tr>
    </w:tbl>
    <w:p w:rsidR="00602C90" w:rsidRPr="00C03848" w:rsidRDefault="00602C90"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602C90" w:rsidRPr="00C03848" w:rsidTr="00602C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2C90" w:rsidRPr="00C03848" w:rsidRDefault="00602C90"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2C90" w:rsidRPr="00C03848" w:rsidRDefault="00602C90" w:rsidP="008B76F2">
            <w:pPr>
              <w:pStyle w:val="1"/>
              <w:spacing w:before="0" w:beforeAutospacing="0" w:after="0" w:afterAutospacing="0"/>
              <w:jc w:val="both"/>
              <w:textAlignment w:val="baseline"/>
              <w:rPr>
                <w:lang w:val="uk-UA"/>
              </w:rPr>
            </w:pPr>
            <w:r w:rsidRPr="00C03848">
              <w:rPr>
                <w:lang w:val="uk-UA"/>
              </w:rPr>
              <w:t>оцінку і, в разі необхідності, отримання інформації про цілі та передбачуваний характер ділових відносин;</w:t>
            </w:r>
          </w:p>
        </w:tc>
      </w:tr>
    </w:tbl>
    <w:p w:rsidR="00602C90" w:rsidRPr="00C03848" w:rsidRDefault="00602C90"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602C90" w:rsidRPr="00C03848" w:rsidTr="00602C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2C90" w:rsidRPr="00C03848" w:rsidRDefault="00602C90" w:rsidP="008B76F2">
            <w:pPr>
              <w:pStyle w:val="1"/>
              <w:spacing w:before="0" w:beforeAutospacing="0" w:after="0" w:afterAutospacing="0"/>
              <w:jc w:val="both"/>
              <w:textAlignment w:val="baseline"/>
              <w:rPr>
                <w:lang w:val="uk-UA"/>
              </w:rPr>
            </w:pPr>
            <w:r w:rsidRPr="00C03848">
              <w:rPr>
                <w:lang w:val="uk-UA"/>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02C90" w:rsidRPr="00C03848" w:rsidRDefault="00602C90" w:rsidP="008B76F2">
            <w:pPr>
              <w:pStyle w:val="1"/>
              <w:spacing w:before="0" w:beforeAutospacing="0" w:after="0" w:afterAutospacing="0"/>
              <w:jc w:val="both"/>
              <w:textAlignment w:val="baseline"/>
              <w:rPr>
                <w:lang w:val="uk-UA"/>
              </w:rPr>
            </w:pPr>
            <w:r w:rsidRPr="00C03848">
              <w:rPr>
                <w:lang w:val="uk-UA"/>
              </w:rPr>
              <w:t xml:space="preserve">проведення постійного моніторингу ділових відносин, включаючи ретельне дослідження  транзакцій, виконаних в рамках таких відносин, щоб гарантувати, що </w:t>
            </w:r>
            <w:r w:rsidR="00ED0DD5" w:rsidRPr="00C03848">
              <w:rPr>
                <w:lang w:val="uk-UA"/>
              </w:rPr>
              <w:t>проведені транзакції</w:t>
            </w:r>
            <w:r w:rsidRPr="00C03848">
              <w:rPr>
                <w:lang w:val="uk-UA"/>
              </w:rPr>
              <w:t xml:space="preserve"> є узгодженим</w:t>
            </w:r>
            <w:r w:rsidR="00ED0DD5" w:rsidRPr="00C03848">
              <w:rPr>
                <w:lang w:val="uk-UA"/>
              </w:rPr>
              <w:t>и</w:t>
            </w:r>
            <w:r w:rsidRPr="00C03848">
              <w:rPr>
                <w:lang w:val="uk-UA"/>
              </w:rPr>
              <w:t xml:space="preserve"> з</w:t>
            </w:r>
            <w:r w:rsidR="00ED0DD5" w:rsidRPr="00C03848">
              <w:rPr>
                <w:lang w:val="uk-UA"/>
              </w:rPr>
              <w:t>і</w:t>
            </w:r>
            <w:r w:rsidRPr="00C03848">
              <w:rPr>
                <w:lang w:val="uk-UA"/>
              </w:rPr>
              <w:t xml:space="preserve"> </w:t>
            </w:r>
            <w:r w:rsidR="00AC3A3E" w:rsidRPr="00C03848">
              <w:rPr>
                <w:lang w:val="uk-UA"/>
              </w:rPr>
              <w:t>знанням</w:t>
            </w:r>
            <w:r w:rsidRPr="00C03848">
              <w:rPr>
                <w:lang w:val="uk-UA"/>
              </w:rPr>
              <w:t xml:space="preserve"> зобов'язаних суб'єктів клієнта, ділового </w:t>
            </w:r>
            <w:r w:rsidR="00ED0DD5" w:rsidRPr="00C03848">
              <w:rPr>
                <w:lang w:val="uk-UA"/>
              </w:rPr>
              <w:t xml:space="preserve">профілю </w:t>
            </w:r>
            <w:r w:rsidRPr="00C03848">
              <w:rPr>
                <w:lang w:val="uk-UA"/>
              </w:rPr>
              <w:t>та</w:t>
            </w:r>
            <w:r w:rsidR="00ED0DD5" w:rsidRPr="00C03848">
              <w:rPr>
                <w:lang w:val="uk-UA"/>
              </w:rPr>
              <w:t xml:space="preserve"> профілю</w:t>
            </w:r>
            <w:r w:rsidRPr="00C03848">
              <w:rPr>
                <w:lang w:val="uk-UA"/>
              </w:rPr>
              <w:t xml:space="preserve"> ризик</w:t>
            </w:r>
            <w:r w:rsidR="00ED0DD5" w:rsidRPr="00C03848">
              <w:rPr>
                <w:lang w:val="uk-UA"/>
              </w:rPr>
              <w:t>у</w:t>
            </w:r>
            <w:r w:rsidRPr="00C03848">
              <w:rPr>
                <w:lang w:val="uk-UA"/>
              </w:rPr>
              <w:t>, у тому числі</w:t>
            </w:r>
            <w:r w:rsidR="00ED0DD5" w:rsidRPr="00C03848">
              <w:rPr>
                <w:lang w:val="uk-UA"/>
              </w:rPr>
              <w:t xml:space="preserve">, </w:t>
            </w:r>
            <w:r w:rsidR="008C4770" w:rsidRPr="00C03848">
              <w:rPr>
                <w:lang w:val="uk-UA"/>
              </w:rPr>
              <w:t>за</w:t>
            </w:r>
            <w:r w:rsidR="00ED0DD5" w:rsidRPr="00C03848">
              <w:rPr>
                <w:lang w:val="uk-UA"/>
              </w:rPr>
              <w:t xml:space="preserve"> необхідно</w:t>
            </w:r>
            <w:r w:rsidR="008C4770" w:rsidRPr="00C03848">
              <w:rPr>
                <w:lang w:val="uk-UA"/>
              </w:rPr>
              <w:t>сті</w:t>
            </w:r>
            <w:r w:rsidR="00ED0DD5" w:rsidRPr="00C03848">
              <w:rPr>
                <w:lang w:val="uk-UA"/>
              </w:rPr>
              <w:t xml:space="preserve">, </w:t>
            </w:r>
            <w:r w:rsidRPr="00C03848">
              <w:rPr>
                <w:lang w:val="uk-UA"/>
              </w:rPr>
              <w:t>джерел</w:t>
            </w:r>
            <w:r w:rsidR="00ED0DD5" w:rsidRPr="00C03848">
              <w:rPr>
                <w:lang w:val="uk-UA"/>
              </w:rPr>
              <w:t>о</w:t>
            </w:r>
            <w:r w:rsidRPr="00C03848">
              <w:rPr>
                <w:lang w:val="uk-UA"/>
              </w:rPr>
              <w:t xml:space="preserve"> грошових коштів та забезпеченн</w:t>
            </w:r>
            <w:r w:rsidR="005B366C" w:rsidRPr="00C03848">
              <w:rPr>
                <w:lang w:val="uk-UA"/>
              </w:rPr>
              <w:t>я</w:t>
            </w:r>
            <w:r w:rsidRPr="00C03848">
              <w:rPr>
                <w:lang w:val="uk-UA"/>
              </w:rPr>
              <w:t xml:space="preserve"> того, щоб документи, дані або інформація</w:t>
            </w:r>
            <w:r w:rsidR="005B366C" w:rsidRPr="00C03848">
              <w:rPr>
                <w:lang w:val="uk-UA"/>
              </w:rPr>
              <w:t xml:space="preserve"> були оновленими</w:t>
            </w:r>
            <w:r w:rsidRPr="00C03848">
              <w:rPr>
                <w:lang w:val="uk-UA"/>
              </w:rPr>
              <w:t>.</w:t>
            </w:r>
          </w:p>
        </w:tc>
      </w:tr>
    </w:tbl>
    <w:p w:rsidR="00501C70" w:rsidRPr="00C03848" w:rsidRDefault="008C4770" w:rsidP="008B76F2">
      <w:pPr>
        <w:pStyle w:val="1"/>
        <w:shd w:val="clear" w:color="auto" w:fill="FFFFFF"/>
        <w:spacing w:before="0" w:beforeAutospacing="0" w:after="0" w:afterAutospacing="0"/>
        <w:jc w:val="both"/>
        <w:textAlignment w:val="baseline"/>
        <w:rPr>
          <w:lang w:val="uk-UA"/>
        </w:rPr>
      </w:pPr>
      <w:r w:rsidRPr="00C03848">
        <w:rPr>
          <w:lang w:val="uk-UA"/>
        </w:rPr>
        <w:t>У процесі реалізації</w:t>
      </w:r>
      <w:r w:rsidR="00501C70" w:rsidRPr="00C03848">
        <w:rPr>
          <w:lang w:val="uk-UA"/>
        </w:rPr>
        <w:t xml:space="preserve"> заходів, </w:t>
      </w:r>
      <w:r w:rsidRPr="00C03848">
        <w:rPr>
          <w:lang w:val="uk-UA"/>
        </w:rPr>
        <w:t xml:space="preserve">які </w:t>
      </w:r>
      <w:r w:rsidR="00501C70" w:rsidRPr="00C03848">
        <w:rPr>
          <w:lang w:val="uk-UA"/>
        </w:rPr>
        <w:t>з</w:t>
      </w:r>
      <w:r w:rsidRPr="00C03848">
        <w:rPr>
          <w:lang w:val="uk-UA"/>
        </w:rPr>
        <w:t>азначені</w:t>
      </w:r>
      <w:r w:rsidR="00501C70" w:rsidRPr="00C03848">
        <w:rPr>
          <w:lang w:val="uk-UA"/>
        </w:rPr>
        <w:t xml:space="preserve"> </w:t>
      </w:r>
      <w:r w:rsidRPr="00C03848">
        <w:rPr>
          <w:lang w:val="uk-UA"/>
        </w:rPr>
        <w:t>в пунктах (а) та</w:t>
      </w:r>
      <w:r w:rsidR="00501C70" w:rsidRPr="00C03848">
        <w:rPr>
          <w:lang w:val="uk-UA"/>
        </w:rPr>
        <w:t xml:space="preserve"> (b) першого підпункту, зобов'язані особи повинні також перевірити, що будь-як</w:t>
      </w:r>
      <w:r w:rsidRPr="00C03848">
        <w:rPr>
          <w:lang w:val="uk-UA"/>
        </w:rPr>
        <w:t>а особа</w:t>
      </w:r>
      <w:r w:rsidR="00501C70" w:rsidRPr="00C03848">
        <w:rPr>
          <w:lang w:val="uk-UA"/>
        </w:rPr>
        <w:t xml:space="preserve">, яка </w:t>
      </w:r>
      <w:r w:rsidRPr="00C03848">
        <w:rPr>
          <w:lang w:val="uk-UA"/>
        </w:rPr>
        <w:t>ма</w:t>
      </w:r>
      <w:r w:rsidR="00501C70" w:rsidRPr="00C03848">
        <w:rPr>
          <w:lang w:val="uk-UA"/>
        </w:rPr>
        <w:t xml:space="preserve">є </w:t>
      </w:r>
      <w:r w:rsidRPr="00C03848">
        <w:rPr>
          <w:lang w:val="uk-UA"/>
        </w:rPr>
        <w:t xml:space="preserve">намір </w:t>
      </w:r>
      <w:r w:rsidR="00501C70" w:rsidRPr="00C03848">
        <w:rPr>
          <w:lang w:val="uk-UA"/>
        </w:rPr>
        <w:t xml:space="preserve">діяти від імені </w:t>
      </w:r>
      <w:r w:rsidRPr="00C03848">
        <w:rPr>
          <w:lang w:val="uk-UA"/>
        </w:rPr>
        <w:t>клієнта</w:t>
      </w:r>
      <w:r w:rsidR="00501C70" w:rsidRPr="00C03848">
        <w:rPr>
          <w:lang w:val="uk-UA"/>
        </w:rPr>
        <w:t xml:space="preserve">, </w:t>
      </w:r>
      <w:r w:rsidRPr="00C03848">
        <w:rPr>
          <w:lang w:val="uk-UA"/>
        </w:rPr>
        <w:t xml:space="preserve">уповноважена </w:t>
      </w:r>
      <w:r w:rsidR="00501C70" w:rsidRPr="00C03848">
        <w:rPr>
          <w:lang w:val="uk-UA"/>
        </w:rPr>
        <w:t>так діяти, т</w:t>
      </w:r>
      <w:r w:rsidR="00151718" w:rsidRPr="00C03848">
        <w:rPr>
          <w:lang w:val="uk-UA"/>
        </w:rPr>
        <w:t xml:space="preserve">а </w:t>
      </w:r>
      <w:r w:rsidR="00501C70" w:rsidRPr="00C03848">
        <w:rPr>
          <w:lang w:val="uk-UA"/>
        </w:rPr>
        <w:t>ідентифі</w:t>
      </w:r>
      <w:r w:rsidR="00151718" w:rsidRPr="00C03848">
        <w:rPr>
          <w:lang w:val="uk-UA"/>
        </w:rPr>
        <w:t>кувати</w:t>
      </w:r>
      <w:r w:rsidR="00501C70" w:rsidRPr="00C03848">
        <w:rPr>
          <w:lang w:val="uk-UA"/>
        </w:rPr>
        <w:t xml:space="preserve"> </w:t>
      </w:r>
      <w:r w:rsidR="00151718" w:rsidRPr="00C03848">
        <w:rPr>
          <w:lang w:val="uk-UA"/>
        </w:rPr>
        <w:t>та</w:t>
      </w:r>
      <w:r w:rsidR="00501C70" w:rsidRPr="00C03848">
        <w:rPr>
          <w:lang w:val="uk-UA"/>
        </w:rPr>
        <w:t xml:space="preserve"> перевір</w:t>
      </w:r>
      <w:r w:rsidR="00EA2E59" w:rsidRPr="00C03848">
        <w:rPr>
          <w:lang w:val="uk-UA"/>
        </w:rPr>
        <w:t>ити</w:t>
      </w:r>
      <w:r w:rsidR="00501C70" w:rsidRPr="00C03848">
        <w:rPr>
          <w:lang w:val="uk-UA"/>
        </w:rPr>
        <w:t xml:space="preserve"> ідентичність </w:t>
      </w:r>
      <w:r w:rsidR="00EA2E59" w:rsidRPr="00C03848">
        <w:rPr>
          <w:lang w:val="uk-UA"/>
        </w:rPr>
        <w:t>зазначен</w:t>
      </w:r>
      <w:r w:rsidR="00501C70" w:rsidRPr="00C03848">
        <w:rPr>
          <w:lang w:val="uk-UA"/>
        </w:rPr>
        <w:t xml:space="preserve">ої </w:t>
      </w:r>
      <w:r w:rsidR="00EA2E59" w:rsidRPr="00C03848">
        <w:rPr>
          <w:lang w:val="uk-UA"/>
        </w:rPr>
        <w:t>особ</w:t>
      </w:r>
      <w:r w:rsidR="00501C70" w:rsidRPr="00C03848">
        <w:rPr>
          <w:lang w:val="uk-UA"/>
        </w:rPr>
        <w:t>и</w:t>
      </w:r>
      <w:r w:rsidR="00EA2E59" w:rsidRPr="00C03848">
        <w:rPr>
          <w:lang w:val="uk-UA"/>
        </w:rPr>
        <w:t>.</w:t>
      </w:r>
      <w:r w:rsidR="00501C70" w:rsidRPr="00C03848">
        <w:rPr>
          <w:lang w:val="uk-UA"/>
        </w:rPr>
        <w:t xml:space="preserve"> </w:t>
      </w:r>
    </w:p>
    <w:p w:rsidR="00501C70" w:rsidRPr="00C03848" w:rsidRDefault="00501C70" w:rsidP="008B76F2">
      <w:pPr>
        <w:pStyle w:val="1"/>
        <w:shd w:val="clear" w:color="auto" w:fill="FFFFFF"/>
        <w:spacing w:before="0" w:beforeAutospacing="0" w:after="0" w:afterAutospacing="0"/>
        <w:jc w:val="both"/>
        <w:textAlignment w:val="baseline"/>
        <w:rPr>
          <w:lang w:val="uk-UA"/>
        </w:rPr>
      </w:pPr>
      <w:r w:rsidRPr="00C03848">
        <w:rPr>
          <w:lang w:val="uk-UA"/>
        </w:rPr>
        <w:t xml:space="preserve">2.    Держави-члени повинні гарантувати, що зобов'язані суб'єкти </w:t>
      </w:r>
      <w:r w:rsidR="00AC3A3E" w:rsidRPr="00C03848">
        <w:rPr>
          <w:lang w:val="uk-UA"/>
        </w:rPr>
        <w:t>застосовують</w:t>
      </w:r>
      <w:r w:rsidRPr="00C03848">
        <w:rPr>
          <w:lang w:val="uk-UA"/>
        </w:rPr>
        <w:t xml:space="preserve"> </w:t>
      </w:r>
      <w:r w:rsidR="00EA2E59" w:rsidRPr="00C03848">
        <w:rPr>
          <w:lang w:val="uk-UA"/>
        </w:rPr>
        <w:t xml:space="preserve">до </w:t>
      </w:r>
      <w:r w:rsidRPr="00C03848">
        <w:rPr>
          <w:lang w:val="uk-UA"/>
        </w:rPr>
        <w:t xml:space="preserve">кожного замовника </w:t>
      </w:r>
      <w:r w:rsidR="009A23A3" w:rsidRPr="00C03848">
        <w:rPr>
          <w:lang w:val="uk-UA"/>
        </w:rPr>
        <w:t>вимоги належ</w:t>
      </w:r>
      <w:r w:rsidRPr="00C03848">
        <w:rPr>
          <w:lang w:val="uk-UA"/>
        </w:rPr>
        <w:t xml:space="preserve">ної перевірки, </w:t>
      </w:r>
      <w:r w:rsidR="009A23A3" w:rsidRPr="00C03848">
        <w:rPr>
          <w:lang w:val="uk-UA"/>
        </w:rPr>
        <w:t xml:space="preserve">які </w:t>
      </w:r>
      <w:r w:rsidRPr="00C03848">
        <w:rPr>
          <w:lang w:val="uk-UA"/>
        </w:rPr>
        <w:t>викладен</w:t>
      </w:r>
      <w:r w:rsidR="009A23A3" w:rsidRPr="00C03848">
        <w:rPr>
          <w:lang w:val="uk-UA"/>
        </w:rPr>
        <w:t>і</w:t>
      </w:r>
      <w:r w:rsidRPr="00C03848">
        <w:rPr>
          <w:lang w:val="uk-UA"/>
        </w:rPr>
        <w:t xml:space="preserve"> у пункті 1. Проте, зобов'язані особи можуть визначити ступінь таких заходів на </w:t>
      </w:r>
      <w:r w:rsidR="00EA2E59" w:rsidRPr="00C03848">
        <w:rPr>
          <w:lang w:val="uk-UA"/>
        </w:rPr>
        <w:t xml:space="preserve">основі </w:t>
      </w:r>
      <w:r w:rsidRPr="00C03848">
        <w:rPr>
          <w:lang w:val="uk-UA"/>
        </w:rPr>
        <w:t>чутлив</w:t>
      </w:r>
      <w:r w:rsidR="00EA2E59" w:rsidRPr="00C03848">
        <w:rPr>
          <w:lang w:val="uk-UA"/>
        </w:rPr>
        <w:t>ості</w:t>
      </w:r>
      <w:r w:rsidRPr="00C03848">
        <w:rPr>
          <w:lang w:val="uk-UA"/>
        </w:rPr>
        <w:t xml:space="preserve"> до ризику.</w:t>
      </w:r>
    </w:p>
    <w:p w:rsidR="00501C70" w:rsidRPr="00C03848" w:rsidRDefault="00501C70" w:rsidP="008B76F2">
      <w:pPr>
        <w:pStyle w:val="1"/>
        <w:shd w:val="clear" w:color="auto" w:fill="FFFFFF"/>
        <w:spacing w:before="0" w:beforeAutospacing="0" w:after="0" w:afterAutospacing="0"/>
        <w:jc w:val="both"/>
        <w:textAlignment w:val="baseline"/>
        <w:rPr>
          <w:lang w:val="uk-UA"/>
        </w:rPr>
      </w:pPr>
      <w:r w:rsidRPr="00C03848">
        <w:rPr>
          <w:lang w:val="uk-UA"/>
        </w:rPr>
        <w:t>3.    Держави-члени повинні вимагати, щоб зобов'язані особи враховували  принаймні, змінні, в</w:t>
      </w:r>
      <w:r w:rsidR="00EA2E59" w:rsidRPr="00C03848">
        <w:rPr>
          <w:lang w:val="uk-UA"/>
        </w:rPr>
        <w:t>изнач</w:t>
      </w:r>
      <w:r w:rsidRPr="00C03848">
        <w:rPr>
          <w:lang w:val="uk-UA"/>
        </w:rPr>
        <w:t xml:space="preserve">ені в Додатку I,  при </w:t>
      </w:r>
      <w:r w:rsidR="00EA2E59" w:rsidRPr="00C03848">
        <w:rPr>
          <w:lang w:val="uk-UA"/>
        </w:rPr>
        <w:t xml:space="preserve">здійснення </w:t>
      </w:r>
      <w:r w:rsidRPr="00C03848">
        <w:rPr>
          <w:lang w:val="uk-UA"/>
        </w:rPr>
        <w:t>оцінюван</w:t>
      </w:r>
      <w:r w:rsidR="00EA2E59" w:rsidRPr="00C03848">
        <w:rPr>
          <w:lang w:val="uk-UA"/>
        </w:rPr>
        <w:t>ня</w:t>
      </w:r>
      <w:r w:rsidRPr="00C03848">
        <w:rPr>
          <w:lang w:val="uk-UA"/>
        </w:rPr>
        <w:t xml:space="preserve">  ризиків відмивання грошей і фінансування тероризму.</w:t>
      </w:r>
    </w:p>
    <w:p w:rsidR="00616975" w:rsidRPr="00C03848" w:rsidRDefault="00616975" w:rsidP="008B76F2">
      <w:pPr>
        <w:pStyle w:val="1"/>
        <w:shd w:val="clear" w:color="auto" w:fill="FFFFFF"/>
        <w:spacing w:before="0" w:beforeAutospacing="0" w:after="0" w:afterAutospacing="0"/>
        <w:jc w:val="both"/>
        <w:textAlignment w:val="baseline"/>
        <w:rPr>
          <w:lang w:val="uk-UA"/>
        </w:rPr>
      </w:pPr>
      <w:r w:rsidRPr="00C03848">
        <w:rPr>
          <w:lang w:val="uk-UA"/>
        </w:rPr>
        <w:t>4.    Держави-члени повинні забезпечити, щоб зобов'язані суб'єкти були в змозі продемонструвати</w:t>
      </w:r>
      <w:r w:rsidR="0056773A" w:rsidRPr="00C03848">
        <w:rPr>
          <w:lang w:val="uk-UA"/>
        </w:rPr>
        <w:t xml:space="preserve"> </w:t>
      </w:r>
      <w:r w:rsidRPr="00C03848">
        <w:rPr>
          <w:lang w:val="uk-UA"/>
        </w:rPr>
        <w:t>компетентним органам або органам саморегулювання, що були визначені заходи, які є відповідними з точки зору ризиків відмивання грошей і фінансування тероризму.</w:t>
      </w:r>
    </w:p>
    <w:p w:rsidR="00C07AC9" w:rsidRPr="00C03848" w:rsidRDefault="00616975" w:rsidP="008B76F2">
      <w:pPr>
        <w:spacing w:after="0" w:line="240" w:lineRule="auto"/>
        <w:jc w:val="both"/>
        <w:rPr>
          <w:rFonts w:ascii="Times New Roman" w:hAnsi="Times New Roman" w:cs="Times New Roman"/>
          <w:vanish/>
          <w:sz w:val="24"/>
          <w:szCs w:val="24"/>
          <w:lang w:val="uk-UA"/>
        </w:rPr>
      </w:pPr>
      <w:r w:rsidRPr="00C03848">
        <w:rPr>
          <w:rFonts w:ascii="Times New Roman" w:hAnsi="Times New Roman" w:cs="Times New Roman"/>
          <w:sz w:val="24"/>
          <w:szCs w:val="24"/>
          <w:lang w:val="uk-UA"/>
        </w:rPr>
        <w:t xml:space="preserve">5.    Для </w:t>
      </w:r>
      <w:r w:rsidR="008C696D" w:rsidRPr="00C03848">
        <w:rPr>
          <w:rFonts w:ascii="Times New Roman" w:hAnsi="Times New Roman" w:cs="Times New Roman"/>
          <w:sz w:val="24"/>
          <w:szCs w:val="24"/>
          <w:lang w:val="uk-UA"/>
        </w:rPr>
        <w:t>бізнесу у сфері страхування життя або</w:t>
      </w:r>
      <w:r w:rsidRPr="00C03848">
        <w:rPr>
          <w:rFonts w:ascii="Times New Roman" w:hAnsi="Times New Roman" w:cs="Times New Roman"/>
          <w:sz w:val="24"/>
          <w:szCs w:val="24"/>
          <w:lang w:val="uk-UA"/>
        </w:rPr>
        <w:t xml:space="preserve"> іншого</w:t>
      </w:r>
      <w:r w:rsidR="0056773A" w:rsidRPr="00C03848">
        <w:rPr>
          <w:rFonts w:ascii="Times New Roman" w:hAnsi="Times New Roman" w:cs="Times New Roman"/>
          <w:sz w:val="24"/>
          <w:szCs w:val="24"/>
          <w:lang w:val="uk-UA"/>
        </w:rPr>
        <w:t xml:space="preserve"> пов’язаного з інвестиціями</w:t>
      </w:r>
      <w:r w:rsidRPr="00C03848">
        <w:rPr>
          <w:rFonts w:ascii="Times New Roman" w:hAnsi="Times New Roman" w:cs="Times New Roman"/>
          <w:sz w:val="24"/>
          <w:szCs w:val="24"/>
          <w:lang w:val="uk-UA"/>
        </w:rPr>
        <w:t xml:space="preserve"> страхового бізнесу, держави-члени повинні забезпечити, щоб на додаток до заходів </w:t>
      </w:r>
      <w:r w:rsidR="0056773A" w:rsidRPr="00C03848">
        <w:rPr>
          <w:rFonts w:ascii="Times New Roman" w:hAnsi="Times New Roman" w:cs="Times New Roman"/>
          <w:sz w:val="24"/>
          <w:szCs w:val="24"/>
          <w:lang w:val="uk-UA"/>
        </w:rPr>
        <w:t>належ</w:t>
      </w:r>
      <w:r w:rsidRPr="00C03848">
        <w:rPr>
          <w:rFonts w:ascii="Times New Roman" w:hAnsi="Times New Roman" w:cs="Times New Roman"/>
          <w:sz w:val="24"/>
          <w:szCs w:val="24"/>
          <w:lang w:val="uk-UA"/>
        </w:rPr>
        <w:t xml:space="preserve">ної перевірки </w:t>
      </w:r>
      <w:r w:rsidR="0056773A" w:rsidRPr="00C03848">
        <w:rPr>
          <w:rFonts w:ascii="Times New Roman" w:hAnsi="Times New Roman" w:cs="Times New Roman"/>
          <w:sz w:val="24"/>
          <w:szCs w:val="24"/>
          <w:lang w:val="uk-UA"/>
        </w:rPr>
        <w:t>клієнт</w:t>
      </w:r>
      <w:r w:rsidRPr="00C03848">
        <w:rPr>
          <w:rFonts w:ascii="Times New Roman" w:hAnsi="Times New Roman" w:cs="Times New Roman"/>
          <w:sz w:val="24"/>
          <w:szCs w:val="24"/>
          <w:lang w:val="uk-UA"/>
        </w:rPr>
        <w:t xml:space="preserve">а, які </w:t>
      </w:r>
      <w:r w:rsidR="004E7226" w:rsidRPr="00C03848">
        <w:rPr>
          <w:rFonts w:ascii="Times New Roman" w:hAnsi="Times New Roman" w:cs="Times New Roman"/>
          <w:sz w:val="24"/>
          <w:szCs w:val="24"/>
          <w:lang w:val="uk-UA"/>
        </w:rPr>
        <w:t>вимагаються для замовника і бене</w:t>
      </w:r>
      <w:r w:rsidRPr="00C03848">
        <w:rPr>
          <w:rFonts w:ascii="Times New Roman" w:hAnsi="Times New Roman" w:cs="Times New Roman"/>
          <w:sz w:val="24"/>
          <w:szCs w:val="24"/>
          <w:lang w:val="uk-UA"/>
        </w:rPr>
        <w:t>фіціар</w:t>
      </w:r>
      <w:r w:rsidR="0056773A" w:rsidRPr="00C03848">
        <w:rPr>
          <w:rFonts w:ascii="Times New Roman" w:hAnsi="Times New Roman" w:cs="Times New Roman"/>
          <w:sz w:val="24"/>
          <w:szCs w:val="24"/>
          <w:lang w:val="uk-UA"/>
        </w:rPr>
        <w:t xml:space="preserve">а, кредитні та </w:t>
      </w:r>
      <w:r w:rsidRPr="00C03848">
        <w:rPr>
          <w:rFonts w:ascii="Times New Roman" w:hAnsi="Times New Roman" w:cs="Times New Roman"/>
          <w:sz w:val="24"/>
          <w:szCs w:val="24"/>
          <w:lang w:val="uk-UA"/>
        </w:rPr>
        <w:t xml:space="preserve">фінансові установи здійснюють наступні заходи </w:t>
      </w:r>
      <w:r w:rsidR="0056773A" w:rsidRPr="00C03848">
        <w:rPr>
          <w:rFonts w:ascii="Times New Roman" w:hAnsi="Times New Roman" w:cs="Times New Roman"/>
          <w:sz w:val="24"/>
          <w:szCs w:val="24"/>
          <w:lang w:val="uk-UA"/>
        </w:rPr>
        <w:t>належ</w:t>
      </w:r>
      <w:r w:rsidRPr="00C03848">
        <w:rPr>
          <w:rFonts w:ascii="Times New Roman" w:hAnsi="Times New Roman" w:cs="Times New Roman"/>
          <w:sz w:val="24"/>
          <w:szCs w:val="24"/>
          <w:lang w:val="uk-UA"/>
        </w:rPr>
        <w:t xml:space="preserve">ної перевірки </w:t>
      </w:r>
      <w:r w:rsidR="0056773A" w:rsidRPr="00C03848">
        <w:rPr>
          <w:rFonts w:ascii="Times New Roman" w:hAnsi="Times New Roman" w:cs="Times New Roman"/>
          <w:sz w:val="24"/>
          <w:szCs w:val="24"/>
          <w:lang w:val="uk-UA"/>
        </w:rPr>
        <w:t xml:space="preserve">клієнтів стосовно бенефіціарів страхових полісів </w:t>
      </w:r>
      <w:r w:rsidRPr="00C03848">
        <w:rPr>
          <w:rFonts w:ascii="Times New Roman" w:hAnsi="Times New Roman" w:cs="Times New Roman"/>
          <w:sz w:val="24"/>
          <w:szCs w:val="24"/>
          <w:lang w:val="uk-UA"/>
        </w:rPr>
        <w:t xml:space="preserve">страхування життя та </w:t>
      </w:r>
      <w:r w:rsidR="0056773A" w:rsidRPr="00C03848">
        <w:rPr>
          <w:rFonts w:ascii="Times New Roman" w:hAnsi="Times New Roman" w:cs="Times New Roman"/>
          <w:sz w:val="24"/>
          <w:szCs w:val="24"/>
          <w:lang w:val="uk-UA"/>
        </w:rPr>
        <w:t>інших страхових полісів, пов’язаних з інвестиціями</w:t>
      </w:r>
      <w:r w:rsidRPr="00C03848">
        <w:rPr>
          <w:rFonts w:ascii="Times New Roman" w:hAnsi="Times New Roman" w:cs="Times New Roman"/>
          <w:sz w:val="24"/>
          <w:szCs w:val="24"/>
          <w:lang w:val="uk-UA"/>
        </w:rPr>
        <w:t xml:space="preserve">, як тільки бенефіціари визначені або </w:t>
      </w:r>
      <w:r w:rsidR="0056773A" w:rsidRPr="00C03848">
        <w:rPr>
          <w:rFonts w:ascii="Times New Roman" w:hAnsi="Times New Roman" w:cs="Times New Roman"/>
          <w:sz w:val="24"/>
          <w:szCs w:val="24"/>
          <w:lang w:val="uk-UA"/>
        </w:rPr>
        <w:t>признач</w:t>
      </w:r>
      <w:r w:rsidRPr="00C03848">
        <w:rPr>
          <w:rFonts w:ascii="Times New Roman" w:hAnsi="Times New Roman" w:cs="Times New Roman"/>
          <w:sz w:val="24"/>
          <w:szCs w:val="24"/>
          <w:lang w:val="uk-UA"/>
        </w:rPr>
        <w:t>ені:</w:t>
      </w:r>
    </w:p>
    <w:p w:rsidR="00C07AC9" w:rsidRPr="00C03848" w:rsidRDefault="00C07AC9" w:rsidP="008B76F2">
      <w:pPr>
        <w:spacing w:after="0" w:line="240" w:lineRule="auto"/>
        <w:rPr>
          <w:rFonts w:ascii="Times New Roman" w:hAnsi="Times New Roman" w:cs="Times New Roman"/>
          <w:vanish/>
          <w:sz w:val="24"/>
          <w:szCs w:val="24"/>
          <w:highlight w:val="yellow"/>
          <w:lang w:val="uk-UA"/>
        </w:rPr>
      </w:pPr>
    </w:p>
    <w:p w:rsidR="00C07AC9" w:rsidRPr="00C03848" w:rsidRDefault="00C07AC9" w:rsidP="008B76F2">
      <w:pPr>
        <w:spacing w:after="0" w:line="240" w:lineRule="auto"/>
        <w:rPr>
          <w:rFonts w:ascii="Times New Roman" w:hAnsi="Times New Roman" w:cs="Times New Roman"/>
          <w:vanish/>
          <w:sz w:val="24"/>
          <w:szCs w:val="24"/>
          <w:highlight w:val="yellow"/>
          <w:lang w:val="uk-UA"/>
        </w:rPr>
      </w:pPr>
    </w:p>
    <w:p w:rsidR="00EA2E59" w:rsidRPr="00C03848" w:rsidRDefault="00EA2E59" w:rsidP="008B76F2">
      <w:pPr>
        <w:pStyle w:val="1"/>
        <w:shd w:val="clear" w:color="auto" w:fill="FFFFFF"/>
        <w:spacing w:before="0" w:beforeAutospacing="0" w:after="0" w:afterAutospacing="0"/>
        <w:jc w:val="both"/>
        <w:textAlignment w:val="baseline"/>
        <w:rPr>
          <w:highlight w:val="yellow"/>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5B1EA0" w:rsidRPr="00C03848" w:rsidTr="004E7226">
        <w:trPr>
          <w:trHeight w:val="891"/>
        </w:trPr>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5B1EA0" w:rsidRPr="00C03848" w:rsidRDefault="005B1EA0"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5B1EA0" w:rsidRPr="00C03848" w:rsidRDefault="005B1EA0" w:rsidP="008B76F2">
            <w:pPr>
              <w:pStyle w:val="1"/>
              <w:spacing w:before="0" w:beforeAutospacing="0" w:after="0" w:afterAutospacing="0"/>
              <w:jc w:val="both"/>
              <w:textAlignment w:val="baseline"/>
              <w:rPr>
                <w:lang w:val="uk-UA"/>
              </w:rPr>
            </w:pPr>
            <w:r w:rsidRPr="00C03848">
              <w:rPr>
                <w:lang w:val="uk-UA"/>
              </w:rPr>
              <w:t>у разі бенефіціарів, які визначені як ко</w:t>
            </w:r>
            <w:r w:rsidR="003A2086" w:rsidRPr="00C03848">
              <w:rPr>
                <w:lang w:val="uk-UA"/>
              </w:rPr>
              <w:t>н</w:t>
            </w:r>
            <w:r w:rsidRPr="00C03848">
              <w:rPr>
                <w:lang w:val="uk-UA"/>
              </w:rPr>
              <w:t>кретно названі особи або юридичні організації, які беруть ім'я особи;</w:t>
            </w:r>
          </w:p>
        </w:tc>
      </w:tr>
    </w:tbl>
    <w:p w:rsidR="005B1EA0" w:rsidRPr="00C03848" w:rsidRDefault="005B1EA0"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5B1EA0" w:rsidRPr="00C03848" w:rsidTr="004E7226">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5B1EA0" w:rsidRPr="00C03848" w:rsidRDefault="005B1EA0" w:rsidP="008B76F2">
            <w:pPr>
              <w:pStyle w:val="1"/>
              <w:spacing w:before="0" w:beforeAutospacing="0" w:after="0" w:afterAutospacing="0"/>
              <w:jc w:val="both"/>
              <w:textAlignment w:val="baseline"/>
              <w:rPr>
                <w:lang w:val="uk-UA"/>
              </w:rPr>
            </w:pPr>
            <w:r w:rsidRPr="00C03848">
              <w:rPr>
                <w:lang w:val="uk-UA"/>
              </w:rPr>
              <w:lastRenderedPageBreak/>
              <w:t>(b)</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5B1EA0" w:rsidRPr="00C03848" w:rsidRDefault="005B1EA0" w:rsidP="008B76F2">
            <w:pPr>
              <w:pStyle w:val="1"/>
              <w:spacing w:before="0" w:beforeAutospacing="0" w:after="0" w:afterAutospacing="0"/>
              <w:jc w:val="both"/>
              <w:textAlignment w:val="baseline"/>
              <w:rPr>
                <w:lang w:val="uk-UA"/>
              </w:rPr>
            </w:pPr>
            <w:r w:rsidRPr="00C03848">
              <w:rPr>
                <w:lang w:val="uk-UA"/>
              </w:rPr>
              <w:t xml:space="preserve">у разі бенефіціарів, які </w:t>
            </w:r>
            <w:r w:rsidR="002E6E43" w:rsidRPr="00C03848">
              <w:rPr>
                <w:lang w:val="uk-UA"/>
              </w:rPr>
              <w:t>в</w:t>
            </w:r>
            <w:r w:rsidRPr="00C03848">
              <w:rPr>
                <w:lang w:val="uk-UA"/>
              </w:rPr>
              <w:t>изначаються за характеристиками, або класами, або за допомогою інших засобів, отримання достатньої інформації про тих бенефіціарів, щоб задовольнити кредитні або фінансові установи, які зможуть встановити особу бенефіціара в момент виплат.</w:t>
            </w:r>
          </w:p>
        </w:tc>
      </w:tr>
    </w:tbl>
    <w:p w:rsidR="004E7226" w:rsidRPr="00C03848" w:rsidRDefault="004E7226" w:rsidP="008B76F2">
      <w:pPr>
        <w:pStyle w:val="1"/>
        <w:shd w:val="clear" w:color="auto" w:fill="FFFFFF"/>
        <w:spacing w:before="0" w:beforeAutospacing="0" w:after="0" w:afterAutospacing="0"/>
        <w:jc w:val="both"/>
        <w:textAlignment w:val="baseline"/>
        <w:rPr>
          <w:lang w:val="uk-UA"/>
        </w:rPr>
      </w:pPr>
      <w:r w:rsidRPr="00C03848">
        <w:rPr>
          <w:lang w:val="uk-UA"/>
        </w:rPr>
        <w:t xml:space="preserve">Стосовно пунктів (а) і (b) першого підпункту, перевірка особистості бенефіціарів повинна </w:t>
      </w:r>
      <w:r w:rsidR="00AC3A3E" w:rsidRPr="00C03848">
        <w:rPr>
          <w:lang w:val="uk-UA"/>
        </w:rPr>
        <w:t>здійснюватися</w:t>
      </w:r>
      <w:r w:rsidRPr="00C03848">
        <w:rPr>
          <w:lang w:val="uk-UA"/>
        </w:rPr>
        <w:t xml:space="preserve"> в момент виплати. У разі передачі прав, в цілому або в частині, </w:t>
      </w:r>
      <w:r w:rsidR="00E55DBF" w:rsidRPr="00C03848">
        <w:rPr>
          <w:lang w:val="uk-UA"/>
        </w:rPr>
        <w:t xml:space="preserve">на </w:t>
      </w:r>
      <w:r w:rsidRPr="00C03848">
        <w:rPr>
          <w:lang w:val="uk-UA"/>
        </w:rPr>
        <w:t>страх</w:t>
      </w:r>
      <w:r w:rsidR="00E55DBF" w:rsidRPr="00C03848">
        <w:rPr>
          <w:lang w:val="uk-UA"/>
        </w:rPr>
        <w:t xml:space="preserve">ування </w:t>
      </w:r>
      <w:r w:rsidRPr="00C03848">
        <w:rPr>
          <w:lang w:val="uk-UA"/>
        </w:rPr>
        <w:t xml:space="preserve">життя або іншого </w:t>
      </w:r>
      <w:r w:rsidR="00E55DBF" w:rsidRPr="00C03848">
        <w:rPr>
          <w:lang w:val="uk-UA"/>
        </w:rPr>
        <w:t xml:space="preserve">пов’язаного з </w:t>
      </w:r>
      <w:r w:rsidRPr="00C03848">
        <w:rPr>
          <w:lang w:val="uk-UA"/>
        </w:rPr>
        <w:t>інвестиці</w:t>
      </w:r>
      <w:r w:rsidR="00E55DBF" w:rsidRPr="00C03848">
        <w:rPr>
          <w:lang w:val="uk-UA"/>
        </w:rPr>
        <w:t xml:space="preserve">ями </w:t>
      </w:r>
      <w:r w:rsidRPr="00C03848">
        <w:rPr>
          <w:lang w:val="uk-UA"/>
        </w:rPr>
        <w:t xml:space="preserve">страхування третій особі, кредитні і фінансові установи, </w:t>
      </w:r>
      <w:r w:rsidR="00E55DBF" w:rsidRPr="00C03848">
        <w:rPr>
          <w:lang w:val="uk-UA"/>
        </w:rPr>
        <w:t xml:space="preserve">обізнані про </w:t>
      </w:r>
      <w:r w:rsidRPr="00C03848">
        <w:rPr>
          <w:lang w:val="uk-UA"/>
        </w:rPr>
        <w:t xml:space="preserve">передачу прав, </w:t>
      </w:r>
      <w:r w:rsidR="00AC3A3E" w:rsidRPr="00C03848">
        <w:rPr>
          <w:lang w:val="uk-UA"/>
        </w:rPr>
        <w:t>повинні</w:t>
      </w:r>
      <w:r w:rsidRPr="00C03848">
        <w:rPr>
          <w:lang w:val="uk-UA"/>
        </w:rPr>
        <w:t xml:space="preserve"> ідентифікувати </w:t>
      </w:r>
      <w:r w:rsidR="00E55DBF" w:rsidRPr="00C03848">
        <w:rPr>
          <w:lang w:val="uk-UA"/>
        </w:rPr>
        <w:t>бенефіціар</w:t>
      </w:r>
      <w:r w:rsidRPr="00C03848">
        <w:rPr>
          <w:lang w:val="uk-UA"/>
        </w:rPr>
        <w:t xml:space="preserve">а в момент передачі прав фізичній або юридичній особі, або юридичній організації, яка одержує  </w:t>
      </w:r>
      <w:r w:rsidR="00E55DBF" w:rsidRPr="00C03848">
        <w:rPr>
          <w:lang w:val="uk-UA"/>
        </w:rPr>
        <w:t>на</w:t>
      </w:r>
      <w:r w:rsidRPr="00C03848">
        <w:rPr>
          <w:lang w:val="uk-UA"/>
        </w:rPr>
        <w:t xml:space="preserve"> свою користь </w:t>
      </w:r>
      <w:r w:rsidR="00E55DBF" w:rsidRPr="00C03848">
        <w:rPr>
          <w:lang w:val="uk-UA"/>
        </w:rPr>
        <w:t>варт</w:t>
      </w:r>
      <w:r w:rsidRPr="00C03848">
        <w:rPr>
          <w:lang w:val="uk-UA"/>
        </w:rPr>
        <w:t>ість переда</w:t>
      </w:r>
      <w:r w:rsidR="00E55DBF" w:rsidRPr="00C03848">
        <w:rPr>
          <w:lang w:val="uk-UA"/>
        </w:rPr>
        <w:t>н</w:t>
      </w:r>
      <w:r w:rsidRPr="00C03848">
        <w:rPr>
          <w:lang w:val="uk-UA"/>
        </w:rPr>
        <w:t>ого страхового полісу.</w:t>
      </w:r>
    </w:p>
    <w:p w:rsidR="004E7226" w:rsidRPr="00C03848" w:rsidRDefault="004E7226" w:rsidP="008B76F2">
      <w:pPr>
        <w:pStyle w:val="1"/>
        <w:shd w:val="clear" w:color="auto" w:fill="FFFFFF"/>
        <w:spacing w:before="0" w:beforeAutospacing="0" w:after="0" w:afterAutospacing="0"/>
        <w:jc w:val="both"/>
        <w:textAlignment w:val="baseline"/>
        <w:rPr>
          <w:lang w:val="uk-UA"/>
        </w:rPr>
      </w:pPr>
      <w:r w:rsidRPr="00C03848">
        <w:rPr>
          <w:lang w:val="uk-UA"/>
        </w:rPr>
        <w:t xml:space="preserve">6.  У разі бенефіціарів трастів або </w:t>
      </w:r>
      <w:r w:rsidR="00E55DBF" w:rsidRPr="00C03848">
        <w:rPr>
          <w:lang w:val="uk-UA"/>
        </w:rPr>
        <w:t>аналогіч</w:t>
      </w:r>
      <w:r w:rsidRPr="00C03848">
        <w:rPr>
          <w:lang w:val="uk-UA"/>
        </w:rPr>
        <w:t xml:space="preserve">них </w:t>
      </w:r>
      <w:r w:rsidR="00E55DBF" w:rsidRPr="00C03848">
        <w:rPr>
          <w:lang w:val="uk-UA"/>
        </w:rPr>
        <w:t>юридичн</w:t>
      </w:r>
      <w:r w:rsidRPr="00C03848">
        <w:rPr>
          <w:lang w:val="uk-UA"/>
        </w:rPr>
        <w:t xml:space="preserve">их </w:t>
      </w:r>
      <w:r w:rsidR="00AC3A3E" w:rsidRPr="00C03848">
        <w:rPr>
          <w:lang w:val="uk-UA"/>
        </w:rPr>
        <w:t>організацій</w:t>
      </w:r>
      <w:r w:rsidRPr="00C03848">
        <w:rPr>
          <w:lang w:val="uk-UA"/>
        </w:rPr>
        <w:t xml:space="preserve">, які визначені </w:t>
      </w:r>
      <w:r w:rsidR="00E55DBF" w:rsidRPr="00C03848">
        <w:rPr>
          <w:lang w:val="uk-UA"/>
        </w:rPr>
        <w:t xml:space="preserve">на основі </w:t>
      </w:r>
      <w:r w:rsidRPr="00C03848">
        <w:rPr>
          <w:lang w:val="uk-UA"/>
        </w:rPr>
        <w:t>конкретни</w:t>
      </w:r>
      <w:r w:rsidR="00E55DBF" w:rsidRPr="00C03848">
        <w:rPr>
          <w:lang w:val="uk-UA"/>
        </w:rPr>
        <w:t>х</w:t>
      </w:r>
      <w:r w:rsidRPr="00C03848">
        <w:rPr>
          <w:lang w:val="uk-UA"/>
        </w:rPr>
        <w:t xml:space="preserve"> характеристик або класу, зобов'язана особа повинна отримати достатню інформацію, що стосується бенефіціара, щоб задовольнити зобов'язану особу, </w:t>
      </w:r>
      <w:r w:rsidR="00E55DBF" w:rsidRPr="00C03848">
        <w:rPr>
          <w:lang w:val="uk-UA"/>
        </w:rPr>
        <w:t>що вона зможе</w:t>
      </w:r>
      <w:r w:rsidRPr="00C03848">
        <w:rPr>
          <w:lang w:val="uk-UA"/>
        </w:rPr>
        <w:t xml:space="preserve"> в</w:t>
      </w:r>
      <w:r w:rsidR="00E55DBF" w:rsidRPr="00C03848">
        <w:rPr>
          <w:lang w:val="uk-UA"/>
        </w:rPr>
        <w:t>изнач</w:t>
      </w:r>
      <w:r w:rsidRPr="00C03848">
        <w:rPr>
          <w:lang w:val="uk-UA"/>
        </w:rPr>
        <w:t xml:space="preserve">ити особу бенефіціара на час виплати або в момент </w:t>
      </w:r>
      <w:r w:rsidR="00E55DBF" w:rsidRPr="00C03848">
        <w:rPr>
          <w:lang w:val="uk-UA"/>
        </w:rPr>
        <w:t xml:space="preserve">реалізації </w:t>
      </w:r>
      <w:r w:rsidRPr="00C03848">
        <w:rPr>
          <w:lang w:val="uk-UA"/>
        </w:rPr>
        <w:t>бенефіціаром своїх законних прав.</w:t>
      </w:r>
    </w:p>
    <w:p w:rsidR="00956D4B" w:rsidRPr="00C03848" w:rsidRDefault="00956D4B"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14</w:t>
      </w:r>
    </w:p>
    <w:p w:rsidR="00956D4B" w:rsidRPr="00C03848" w:rsidRDefault="00956D4B" w:rsidP="008B76F2">
      <w:pPr>
        <w:pStyle w:val="ti-art"/>
        <w:shd w:val="clear" w:color="auto" w:fill="FFFFFF"/>
        <w:spacing w:before="0" w:beforeAutospacing="0" w:after="0" w:afterAutospacing="0"/>
        <w:jc w:val="center"/>
        <w:textAlignment w:val="baseline"/>
        <w:rPr>
          <w:iCs/>
          <w:lang w:val="uk-UA"/>
        </w:rPr>
      </w:pPr>
    </w:p>
    <w:p w:rsidR="00A31C85" w:rsidRPr="00C03848" w:rsidRDefault="00A31C85"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вимагати, щоб переві</w:t>
      </w:r>
      <w:r w:rsidR="003A2086" w:rsidRPr="00C03848">
        <w:rPr>
          <w:lang w:val="uk-UA"/>
        </w:rPr>
        <w:t>рка особи клієнта та бенефіціарного власника</w:t>
      </w:r>
      <w:r w:rsidRPr="00C03848">
        <w:rPr>
          <w:lang w:val="uk-UA"/>
        </w:rPr>
        <w:t xml:space="preserve"> була здійснена до встановлення ділових відносин або проведення транзакції.</w:t>
      </w:r>
    </w:p>
    <w:p w:rsidR="00A31C85" w:rsidRPr="00C03848" w:rsidRDefault="00A31C85" w:rsidP="008B76F2">
      <w:pPr>
        <w:pStyle w:val="1"/>
        <w:shd w:val="clear" w:color="auto" w:fill="FFFFFF"/>
        <w:spacing w:before="0" w:beforeAutospacing="0" w:after="0" w:afterAutospacing="0"/>
        <w:jc w:val="both"/>
        <w:textAlignment w:val="baseline"/>
        <w:rPr>
          <w:lang w:val="uk-UA"/>
        </w:rPr>
      </w:pPr>
      <w:r w:rsidRPr="00C03848">
        <w:rPr>
          <w:lang w:val="uk-UA"/>
        </w:rPr>
        <w:t>2.    Шляхом  часткового обмеження пункту 1, держави-члени можуть дозволити, щоб переві</w:t>
      </w:r>
      <w:r w:rsidR="003A2086" w:rsidRPr="00C03848">
        <w:rPr>
          <w:lang w:val="uk-UA"/>
        </w:rPr>
        <w:t>рка особи клієнта та бенефіціарного власника</w:t>
      </w:r>
      <w:r w:rsidRPr="00C03848">
        <w:rPr>
          <w:lang w:val="uk-UA"/>
        </w:rPr>
        <w:t xml:space="preserve"> була завершена  протягом встановлення ділових відносин, при необхідності, щоб не переривати нормальне ведення бізнесу, і у випадку, якщо є малий ризик відмивання грошей або фінансування тероризму. У таких ситуаціях, зазначені процедури повинні бути завершені якомога швидше після першого контакту.</w:t>
      </w:r>
    </w:p>
    <w:p w:rsidR="00A31C85" w:rsidRPr="00C03848" w:rsidRDefault="000152C0" w:rsidP="008B76F2">
      <w:pPr>
        <w:pStyle w:val="1"/>
        <w:shd w:val="clear" w:color="auto" w:fill="FFFFFF"/>
        <w:spacing w:before="0" w:beforeAutospacing="0" w:after="0" w:afterAutospacing="0"/>
        <w:jc w:val="both"/>
        <w:textAlignment w:val="baseline"/>
        <w:rPr>
          <w:lang w:val="uk-UA"/>
        </w:rPr>
      </w:pPr>
      <w:bookmarkStart w:id="5" w:name="o151"/>
      <w:bookmarkEnd w:id="5"/>
      <w:r w:rsidRPr="00C03848">
        <w:rPr>
          <w:lang w:val="uk-UA"/>
        </w:rPr>
        <w:t xml:space="preserve">3.    Шляхом часткового обмеження пункту 1, держави-члени можуть дозволити відкриття рахунку з кредитною або фінансовою установою, у тому числі рахунків, які дозволяють транзакції в </w:t>
      </w:r>
      <w:r w:rsidR="003D0F44" w:rsidRPr="00C03848">
        <w:rPr>
          <w:lang w:val="uk-UA"/>
        </w:rPr>
        <w:t>оборот</w:t>
      </w:r>
      <w:r w:rsidRPr="00C03848">
        <w:rPr>
          <w:lang w:val="uk-UA"/>
        </w:rPr>
        <w:t>ними цінними паперами, за умови</w:t>
      </w:r>
      <w:r w:rsidR="003D0F44" w:rsidRPr="00C03848">
        <w:rPr>
          <w:lang w:val="uk-UA"/>
        </w:rPr>
        <w:t xml:space="preserve"> наявності</w:t>
      </w:r>
      <w:r w:rsidRPr="00C03848">
        <w:rPr>
          <w:lang w:val="uk-UA"/>
        </w:rPr>
        <w:t xml:space="preserve"> достатні</w:t>
      </w:r>
      <w:r w:rsidR="003D0F44" w:rsidRPr="00C03848">
        <w:rPr>
          <w:lang w:val="uk-UA"/>
        </w:rPr>
        <w:t>х</w:t>
      </w:r>
      <w:r w:rsidRPr="00C03848">
        <w:rPr>
          <w:lang w:val="uk-UA"/>
        </w:rPr>
        <w:t xml:space="preserve"> </w:t>
      </w:r>
      <w:r w:rsidR="003D0F44" w:rsidRPr="00C03848">
        <w:rPr>
          <w:lang w:val="uk-UA"/>
        </w:rPr>
        <w:t>запобіжних заходів</w:t>
      </w:r>
      <w:r w:rsidRPr="00C03848">
        <w:rPr>
          <w:lang w:val="uk-UA"/>
        </w:rPr>
        <w:t xml:space="preserve">, щоб </w:t>
      </w:r>
      <w:r w:rsidR="003D0F44" w:rsidRPr="00C03848">
        <w:rPr>
          <w:lang w:val="uk-UA"/>
        </w:rPr>
        <w:t>пересвідчитись</w:t>
      </w:r>
      <w:r w:rsidRPr="00C03848">
        <w:rPr>
          <w:lang w:val="uk-UA"/>
        </w:rPr>
        <w:t xml:space="preserve">, що транзакції не </w:t>
      </w:r>
      <w:r w:rsidR="00AC3A3E" w:rsidRPr="00C03848">
        <w:rPr>
          <w:lang w:val="uk-UA"/>
        </w:rPr>
        <w:t>здійснюється</w:t>
      </w:r>
      <w:r w:rsidRPr="00C03848">
        <w:rPr>
          <w:lang w:val="uk-UA"/>
        </w:rPr>
        <w:t xml:space="preserve"> </w:t>
      </w:r>
      <w:r w:rsidR="003D0F44" w:rsidRPr="00C03848">
        <w:rPr>
          <w:lang w:val="uk-UA"/>
        </w:rPr>
        <w:t>клієнт</w:t>
      </w:r>
      <w:r w:rsidRPr="00C03848">
        <w:rPr>
          <w:lang w:val="uk-UA"/>
        </w:rPr>
        <w:t xml:space="preserve">ом або за його дорученням до </w:t>
      </w:r>
      <w:r w:rsidR="003D0F44" w:rsidRPr="00C03848">
        <w:rPr>
          <w:lang w:val="uk-UA"/>
        </w:rPr>
        <w:t>момент</w:t>
      </w:r>
      <w:r w:rsidRPr="00C03848">
        <w:rPr>
          <w:lang w:val="uk-UA"/>
        </w:rPr>
        <w:t>у повн</w:t>
      </w:r>
      <w:r w:rsidR="003D0F44" w:rsidRPr="00C03848">
        <w:rPr>
          <w:lang w:val="uk-UA"/>
        </w:rPr>
        <w:t>ої</w:t>
      </w:r>
      <w:r w:rsidRPr="00C03848">
        <w:rPr>
          <w:lang w:val="uk-UA"/>
        </w:rPr>
        <w:t xml:space="preserve"> відповідност</w:t>
      </w:r>
      <w:r w:rsidR="003D0F44" w:rsidRPr="00C03848">
        <w:rPr>
          <w:lang w:val="uk-UA"/>
        </w:rPr>
        <w:t>і</w:t>
      </w:r>
      <w:r w:rsidRPr="00C03848">
        <w:rPr>
          <w:lang w:val="uk-UA"/>
        </w:rPr>
        <w:t xml:space="preserve"> вимогам належної перевірки клієнтів, викладеним у пунктах (а) і (b) в першому абзаці Статті 13 (1</w:t>
      </w:r>
      <w:r w:rsidR="003D0F44" w:rsidRPr="00C03848">
        <w:rPr>
          <w:lang w:val="uk-UA"/>
        </w:rPr>
        <w:t>)</w:t>
      </w:r>
      <w:r w:rsidRPr="00C03848">
        <w:rPr>
          <w:lang w:val="uk-UA"/>
        </w:rPr>
        <w:t>.</w:t>
      </w:r>
    </w:p>
    <w:p w:rsidR="00B542C1" w:rsidRPr="00C03848" w:rsidRDefault="00B542C1" w:rsidP="008B76F2">
      <w:pPr>
        <w:pStyle w:val="1"/>
        <w:shd w:val="clear" w:color="auto" w:fill="FFFFFF"/>
        <w:spacing w:before="0" w:beforeAutospacing="0" w:after="0" w:afterAutospacing="0"/>
        <w:jc w:val="both"/>
        <w:textAlignment w:val="baseline"/>
        <w:rPr>
          <w:lang w:val="uk-UA"/>
        </w:rPr>
      </w:pPr>
      <w:r w:rsidRPr="00C03848">
        <w:rPr>
          <w:lang w:val="uk-UA"/>
        </w:rPr>
        <w:t xml:space="preserve">4.    Держави-члени повинні вимагати щоб у випадках, в яких зобов'язана особа не здатна виконувати вимоги належної перевірки клієнтів, які викладені в пункті (а), (b) або (с) першого підпункту Статті 13 (1), вона не повинна виконувати транзакції через банківський рахунок, встановлювати ділові відносини або здійснювати транзакції, і </w:t>
      </w:r>
      <w:r w:rsidR="00AC3A3E" w:rsidRPr="00C03848">
        <w:rPr>
          <w:lang w:val="uk-UA"/>
        </w:rPr>
        <w:t>повинна</w:t>
      </w:r>
      <w:r w:rsidRPr="00C03848">
        <w:rPr>
          <w:lang w:val="uk-UA"/>
        </w:rPr>
        <w:t xml:space="preserve"> припинити ділові відносини та розглянути питання про </w:t>
      </w:r>
      <w:r w:rsidR="00AC3A3E" w:rsidRPr="00C03848">
        <w:rPr>
          <w:lang w:val="uk-UA"/>
        </w:rPr>
        <w:t>інформування</w:t>
      </w:r>
      <w:r w:rsidRPr="00C03848">
        <w:rPr>
          <w:lang w:val="uk-UA"/>
        </w:rPr>
        <w:t xml:space="preserve"> про підозрілу операцію в FIU стосовно замовника відповідно до Статті 33.</w:t>
      </w:r>
    </w:p>
    <w:p w:rsidR="00B542C1" w:rsidRPr="00C03848" w:rsidRDefault="00B542C1" w:rsidP="008B76F2">
      <w:pPr>
        <w:pStyle w:val="1"/>
        <w:shd w:val="clear" w:color="auto" w:fill="FFFFFF"/>
        <w:spacing w:before="0" w:beforeAutospacing="0" w:after="0" w:afterAutospacing="0"/>
        <w:jc w:val="both"/>
        <w:textAlignment w:val="baseline"/>
        <w:rPr>
          <w:lang w:val="uk-UA"/>
        </w:rPr>
      </w:pPr>
      <w:r w:rsidRPr="00C03848">
        <w:rPr>
          <w:lang w:val="uk-UA"/>
        </w:rPr>
        <w:t>Держави-члени не повинні застосовувати перший підпункт до нотаріусів, інших незалежних юристів, аудиторів, зовнішніх бухгалтерів та податкових консультантів тільки в строгій мірі</w:t>
      </w:r>
      <w:r w:rsidR="00D07522" w:rsidRPr="00C03848">
        <w:rPr>
          <w:lang w:val="uk-UA"/>
        </w:rPr>
        <w:t>, що ті особи, визнача</w:t>
      </w:r>
      <w:r w:rsidRPr="00C03848">
        <w:rPr>
          <w:lang w:val="uk-UA"/>
        </w:rPr>
        <w:t>ють правове становище свого клієнта або виконують завдання із захисту, або п</w:t>
      </w:r>
      <w:r w:rsidR="00D07522" w:rsidRPr="00C03848">
        <w:rPr>
          <w:lang w:val="uk-UA"/>
        </w:rPr>
        <w:t>редставле</w:t>
      </w:r>
      <w:r w:rsidRPr="00C03848">
        <w:rPr>
          <w:lang w:val="uk-UA"/>
        </w:rPr>
        <w:t xml:space="preserve">ння </w:t>
      </w:r>
      <w:r w:rsidR="00D07522" w:rsidRPr="00C03848">
        <w:rPr>
          <w:lang w:val="uk-UA"/>
        </w:rPr>
        <w:t>інтересів так</w:t>
      </w:r>
      <w:r w:rsidRPr="00C03848">
        <w:rPr>
          <w:lang w:val="uk-UA"/>
        </w:rPr>
        <w:t>ого клієнта</w:t>
      </w:r>
      <w:r w:rsidR="00D07522" w:rsidRPr="00C03848">
        <w:rPr>
          <w:lang w:val="uk-UA"/>
        </w:rPr>
        <w:t xml:space="preserve"> у </w:t>
      </w:r>
      <w:r w:rsidRPr="00C03848">
        <w:rPr>
          <w:lang w:val="uk-UA"/>
        </w:rPr>
        <w:t>судов</w:t>
      </w:r>
      <w:r w:rsidR="00D07522" w:rsidRPr="00C03848">
        <w:rPr>
          <w:lang w:val="uk-UA"/>
        </w:rPr>
        <w:t>ому процесі або стосовно судового процесу</w:t>
      </w:r>
      <w:r w:rsidRPr="00C03848">
        <w:rPr>
          <w:lang w:val="uk-UA"/>
        </w:rPr>
        <w:t xml:space="preserve">, </w:t>
      </w:r>
      <w:r w:rsidR="00D07522" w:rsidRPr="00C03848">
        <w:rPr>
          <w:lang w:val="uk-UA"/>
        </w:rPr>
        <w:t xml:space="preserve">включаючи </w:t>
      </w:r>
      <w:r w:rsidRPr="00C03848">
        <w:rPr>
          <w:lang w:val="uk-UA"/>
        </w:rPr>
        <w:t xml:space="preserve">надання консультацій щодо порушення або уникнення </w:t>
      </w:r>
      <w:r w:rsidR="00D07522" w:rsidRPr="00C03848">
        <w:rPr>
          <w:lang w:val="uk-UA"/>
        </w:rPr>
        <w:t>зазначеного судового процесу</w:t>
      </w:r>
      <w:r w:rsidRPr="00C03848">
        <w:rPr>
          <w:lang w:val="uk-UA"/>
        </w:rPr>
        <w:t>.</w:t>
      </w:r>
    </w:p>
    <w:p w:rsidR="00D07522" w:rsidRPr="00C03848" w:rsidRDefault="00D07522" w:rsidP="008B76F2">
      <w:pPr>
        <w:pStyle w:val="1"/>
        <w:shd w:val="clear" w:color="auto" w:fill="FFFFFF"/>
        <w:spacing w:before="0" w:beforeAutospacing="0" w:after="0" w:afterAutospacing="0"/>
        <w:jc w:val="both"/>
        <w:textAlignment w:val="baseline"/>
        <w:rPr>
          <w:lang w:val="uk-UA"/>
        </w:rPr>
      </w:pPr>
      <w:r w:rsidRPr="00C03848">
        <w:rPr>
          <w:lang w:val="uk-UA"/>
        </w:rPr>
        <w:t>5. Держави-члени повинні вимагати, щоб зобов'язані особи вживали  заходи належної перевірки клієнтів не тільки для всіх нових клієнтів, а  також, при нагоді, і до існуючих клієнтів на основі чутливості до ризику, у тому числі в періоди відповідних змін обставин клієнта.</w:t>
      </w:r>
    </w:p>
    <w:p w:rsidR="00956D4B" w:rsidRPr="00C03848" w:rsidRDefault="000152C0" w:rsidP="008B7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lang w:val="uk-UA"/>
        </w:rPr>
      </w:pPr>
      <w:bookmarkStart w:id="6" w:name="o154"/>
      <w:bookmarkEnd w:id="6"/>
      <w:r w:rsidRPr="00C03848">
        <w:rPr>
          <w:rFonts w:ascii="Times New Roman" w:eastAsia="Times New Roman" w:hAnsi="Times New Roman" w:cs="Times New Roman"/>
          <w:sz w:val="24"/>
          <w:szCs w:val="24"/>
          <w:lang w:val="uk-UA" w:eastAsia="ru-RU"/>
        </w:rPr>
        <w:t xml:space="preserve">    </w:t>
      </w:r>
      <w:r w:rsidRPr="00C03848">
        <w:rPr>
          <w:rFonts w:ascii="Times New Roman" w:eastAsia="Times New Roman" w:hAnsi="Times New Roman" w:cs="Times New Roman"/>
          <w:sz w:val="24"/>
          <w:szCs w:val="24"/>
          <w:lang w:val="uk-UA" w:eastAsia="ru-RU"/>
        </w:rPr>
        <w:br/>
      </w:r>
    </w:p>
    <w:p w:rsidR="00C07AC9" w:rsidRPr="00C03848" w:rsidRDefault="00A5729D" w:rsidP="008B76F2">
      <w:pPr>
        <w:pStyle w:val="ti-section-1"/>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РОЗДІЛ</w:t>
      </w:r>
      <w:r w:rsidR="00C07AC9" w:rsidRPr="00C03848">
        <w:rPr>
          <w:rStyle w:val="italic"/>
          <w:bCs/>
          <w:iCs/>
          <w:bdr w:val="none" w:sz="0" w:space="0" w:color="auto" w:frame="1"/>
          <w:lang w:val="uk-UA"/>
        </w:rPr>
        <w:t xml:space="preserve"> 2</w:t>
      </w:r>
    </w:p>
    <w:p w:rsidR="00C07AC9" w:rsidRPr="00C03848" w:rsidRDefault="00D07522" w:rsidP="008B76F2">
      <w:pPr>
        <w:pStyle w:val="ti-section-2"/>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Спрощен</w:t>
      </w:r>
      <w:r w:rsidR="00FB5C64" w:rsidRPr="00C03848">
        <w:rPr>
          <w:rStyle w:val="italic"/>
          <w:bCs/>
          <w:iCs/>
          <w:bdr w:val="none" w:sz="0" w:space="0" w:color="auto" w:frame="1"/>
          <w:lang w:val="uk-UA"/>
        </w:rPr>
        <w:t>і процедури</w:t>
      </w:r>
      <w:r w:rsidRPr="00C03848">
        <w:rPr>
          <w:rStyle w:val="italic"/>
          <w:bCs/>
          <w:iCs/>
          <w:bdr w:val="none" w:sz="0" w:space="0" w:color="auto" w:frame="1"/>
          <w:lang w:val="uk-UA"/>
        </w:rPr>
        <w:t xml:space="preserve"> належн</w:t>
      </w:r>
      <w:r w:rsidR="00FB5C64" w:rsidRPr="00C03848">
        <w:rPr>
          <w:rStyle w:val="italic"/>
          <w:bCs/>
          <w:iCs/>
          <w:bdr w:val="none" w:sz="0" w:space="0" w:color="auto" w:frame="1"/>
          <w:lang w:val="uk-UA"/>
        </w:rPr>
        <w:t>ої</w:t>
      </w:r>
      <w:r w:rsidRPr="00C03848">
        <w:rPr>
          <w:rStyle w:val="italic"/>
          <w:bCs/>
          <w:iCs/>
          <w:bdr w:val="none" w:sz="0" w:space="0" w:color="auto" w:frame="1"/>
          <w:lang w:val="uk-UA"/>
        </w:rPr>
        <w:t xml:space="preserve"> перевірк</w:t>
      </w:r>
      <w:r w:rsidR="00FB5C64" w:rsidRPr="00C03848">
        <w:rPr>
          <w:rStyle w:val="italic"/>
          <w:bCs/>
          <w:iCs/>
          <w:bdr w:val="none" w:sz="0" w:space="0" w:color="auto" w:frame="1"/>
          <w:lang w:val="uk-UA"/>
        </w:rPr>
        <w:t>и</w:t>
      </w:r>
      <w:r w:rsidRPr="00C03848">
        <w:rPr>
          <w:rStyle w:val="italic"/>
          <w:bCs/>
          <w:iCs/>
          <w:bdr w:val="none" w:sz="0" w:space="0" w:color="auto" w:frame="1"/>
          <w:lang w:val="uk-UA"/>
        </w:rPr>
        <w:t xml:space="preserve"> клієнтів</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lastRenderedPageBreak/>
        <w:t>Стаття</w:t>
      </w:r>
      <w:r w:rsidR="00C07AC9" w:rsidRPr="00C03848">
        <w:rPr>
          <w:iCs/>
          <w:lang w:val="uk-UA"/>
        </w:rPr>
        <w:t xml:space="preserve"> 15</w:t>
      </w:r>
    </w:p>
    <w:p w:rsidR="00956D4B" w:rsidRPr="00C03848" w:rsidRDefault="00956D4B" w:rsidP="008B76F2">
      <w:pPr>
        <w:pStyle w:val="ti-art"/>
        <w:shd w:val="clear" w:color="auto" w:fill="FFFFFF"/>
        <w:spacing w:before="0" w:beforeAutospacing="0" w:after="0" w:afterAutospacing="0"/>
        <w:jc w:val="center"/>
        <w:textAlignment w:val="baseline"/>
        <w:rPr>
          <w:iCs/>
          <w:lang w:val="uk-UA"/>
        </w:rPr>
      </w:pPr>
    </w:p>
    <w:p w:rsidR="00D016EE" w:rsidRPr="00C03848" w:rsidRDefault="00D016EE" w:rsidP="008B76F2">
      <w:pPr>
        <w:pStyle w:val="1"/>
        <w:shd w:val="clear" w:color="auto" w:fill="FFFFFF"/>
        <w:spacing w:before="0" w:beforeAutospacing="0" w:after="0" w:afterAutospacing="0"/>
        <w:jc w:val="both"/>
        <w:textAlignment w:val="baseline"/>
        <w:rPr>
          <w:lang w:val="uk-UA"/>
        </w:rPr>
      </w:pPr>
      <w:r w:rsidRPr="00C03848">
        <w:rPr>
          <w:lang w:val="uk-UA"/>
        </w:rPr>
        <w:t>1.    Якщо держава-член або зобов'язана особа ідентифікує сфери нижчого ризику, то держава-член може дозволити зобов'язаним суб'єктам застосовувати спрощен</w:t>
      </w:r>
      <w:r w:rsidR="00FB5C64" w:rsidRPr="00C03848">
        <w:rPr>
          <w:lang w:val="uk-UA"/>
        </w:rPr>
        <w:t>і процедури</w:t>
      </w:r>
      <w:r w:rsidRPr="00C03848">
        <w:rPr>
          <w:lang w:val="uk-UA"/>
        </w:rPr>
        <w:t xml:space="preserve"> належної перевірки клієнтів.</w:t>
      </w:r>
    </w:p>
    <w:p w:rsidR="00D016EE" w:rsidRPr="00C03848" w:rsidRDefault="00D016EE" w:rsidP="008B76F2">
      <w:pPr>
        <w:pStyle w:val="1"/>
        <w:shd w:val="clear" w:color="auto" w:fill="FFFFFF"/>
        <w:spacing w:before="0" w:beforeAutospacing="0" w:after="0" w:afterAutospacing="0"/>
        <w:jc w:val="both"/>
        <w:textAlignment w:val="baseline"/>
        <w:rPr>
          <w:lang w:val="uk-UA"/>
        </w:rPr>
      </w:pPr>
      <w:r w:rsidRPr="00C03848">
        <w:rPr>
          <w:lang w:val="uk-UA"/>
        </w:rPr>
        <w:t xml:space="preserve">2.    Перед застосуванням спрощеної </w:t>
      </w:r>
      <w:r w:rsidR="00FB5C64" w:rsidRPr="00C03848">
        <w:rPr>
          <w:lang w:val="uk-UA"/>
        </w:rPr>
        <w:t xml:space="preserve">процедури </w:t>
      </w:r>
      <w:r w:rsidRPr="00C03848">
        <w:rPr>
          <w:lang w:val="uk-UA"/>
        </w:rPr>
        <w:t>належної перевірки  клієнтів, зобов'язані особи повинні переконатись, що ділові відносини або транзакція  характеризуються нижчим ступенем ризику.</w:t>
      </w:r>
    </w:p>
    <w:p w:rsidR="00D016EE" w:rsidRPr="00C03848" w:rsidRDefault="00D016EE" w:rsidP="008B76F2">
      <w:pPr>
        <w:pStyle w:val="1"/>
        <w:shd w:val="clear" w:color="auto" w:fill="FFFFFF"/>
        <w:spacing w:before="0" w:beforeAutospacing="0" w:after="0" w:afterAutospacing="0"/>
        <w:jc w:val="both"/>
        <w:textAlignment w:val="baseline"/>
        <w:rPr>
          <w:lang w:val="uk-UA"/>
        </w:rPr>
      </w:pPr>
      <w:r w:rsidRPr="00C03848">
        <w:rPr>
          <w:lang w:val="uk-UA"/>
        </w:rPr>
        <w:t xml:space="preserve">3.    Держави-члени повинні забезпечити, що зобов'язані суб'єкти здійснюють належний моніторинг транзакцій і ділових відносин, щоб бути </w:t>
      </w:r>
      <w:r w:rsidR="00AC3A3E" w:rsidRPr="00C03848">
        <w:rPr>
          <w:lang w:val="uk-UA"/>
        </w:rPr>
        <w:t>спроможними</w:t>
      </w:r>
      <w:r w:rsidRPr="00C03848">
        <w:rPr>
          <w:lang w:val="uk-UA"/>
        </w:rPr>
        <w:t xml:space="preserve"> визначити незвичайні або підозрілі транзакції.</w:t>
      </w:r>
    </w:p>
    <w:p w:rsidR="00D016EE" w:rsidRPr="00C03848" w:rsidRDefault="00D016EE"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16</w:t>
      </w:r>
    </w:p>
    <w:p w:rsidR="00D016EE" w:rsidRPr="00C03848" w:rsidRDefault="00D016EE" w:rsidP="008B76F2">
      <w:pPr>
        <w:pStyle w:val="ti-art"/>
        <w:shd w:val="clear" w:color="auto" w:fill="FFFFFF"/>
        <w:spacing w:before="0" w:beforeAutospacing="0" w:after="0" w:afterAutospacing="0"/>
        <w:jc w:val="center"/>
        <w:textAlignment w:val="baseline"/>
        <w:rPr>
          <w:iCs/>
          <w:lang w:val="uk-UA"/>
        </w:rPr>
      </w:pPr>
    </w:p>
    <w:p w:rsidR="00415DB1" w:rsidRPr="00C03848" w:rsidRDefault="00415DB1" w:rsidP="008B76F2">
      <w:pPr>
        <w:pStyle w:val="1"/>
        <w:shd w:val="clear" w:color="auto" w:fill="FFFFFF"/>
        <w:spacing w:before="0" w:beforeAutospacing="0" w:after="0" w:afterAutospacing="0"/>
        <w:jc w:val="both"/>
        <w:textAlignment w:val="baseline"/>
        <w:rPr>
          <w:lang w:val="uk-UA"/>
        </w:rPr>
      </w:pPr>
      <w:r w:rsidRPr="00C03848">
        <w:rPr>
          <w:lang w:val="uk-UA"/>
        </w:rPr>
        <w:t>При здійсненні оцінювання ризиків відмивання грошей і фінансування тероризму, пов'язаних з типами клієнтів, географічними областями, і конкретними товарами, послугами, каналами транзакцій або доставки, держави-члени і зобов'язані суб'єкти повинні враховувати, принаймні фактори ситуацій з потенційно низьким рівнем ризику, які викладені в Додатку II.</w:t>
      </w:r>
    </w:p>
    <w:p w:rsidR="00415DB1" w:rsidRPr="00C03848" w:rsidRDefault="00415DB1" w:rsidP="008B76F2">
      <w:pPr>
        <w:pStyle w:val="1"/>
        <w:shd w:val="clear" w:color="auto" w:fill="FFFFFF"/>
        <w:spacing w:before="0" w:beforeAutospacing="0" w:after="0" w:afterAutospacing="0"/>
        <w:jc w:val="both"/>
        <w:textAlignment w:val="baseline"/>
        <w:rPr>
          <w:lang w:val="uk-UA"/>
        </w:rPr>
      </w:pPr>
    </w:p>
    <w:p w:rsidR="00D016EE" w:rsidRPr="00C03848" w:rsidRDefault="00D016EE"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17</w:t>
      </w:r>
    </w:p>
    <w:p w:rsidR="00D016EE" w:rsidRPr="00C03848" w:rsidRDefault="00D016EE" w:rsidP="008B76F2">
      <w:pPr>
        <w:pStyle w:val="ti-art"/>
        <w:shd w:val="clear" w:color="auto" w:fill="FFFFFF"/>
        <w:spacing w:before="0" w:beforeAutospacing="0" w:after="0" w:afterAutospacing="0"/>
        <w:jc w:val="center"/>
        <w:textAlignment w:val="baseline"/>
        <w:rPr>
          <w:iCs/>
          <w:lang w:val="uk-UA"/>
        </w:rPr>
      </w:pPr>
    </w:p>
    <w:p w:rsidR="000C5C31" w:rsidRPr="00C03848" w:rsidRDefault="000C5C31" w:rsidP="008B76F2">
      <w:pPr>
        <w:pStyle w:val="1"/>
        <w:shd w:val="clear" w:color="auto" w:fill="FFFFFF"/>
        <w:spacing w:before="0" w:beforeAutospacing="0" w:after="0" w:afterAutospacing="0"/>
        <w:jc w:val="both"/>
        <w:textAlignment w:val="baseline"/>
        <w:rPr>
          <w:lang w:val="uk-UA"/>
        </w:rPr>
      </w:pPr>
      <w:r w:rsidRPr="00C03848">
        <w:rPr>
          <w:lang w:val="uk-UA"/>
        </w:rPr>
        <w:t xml:space="preserve">До 26 червня 2017 року, ЄНО повинні опублікувати керівні вказівки адресовані компетентним органам і кредитним та фінансовим установам відповідно до Статті 16 Регламентів (EU) No 1093/2010,  (EU) No 1094/2010, і (EU) No 1095/2010 про фактори ризику, які повинні бути прийняті до уваги, і заходи, які повинні бути прийняті у випадках, коли </w:t>
      </w:r>
      <w:r w:rsidR="00FB5C64" w:rsidRPr="00C03848">
        <w:rPr>
          <w:lang w:val="uk-UA"/>
        </w:rPr>
        <w:t>можуть застосовуватись спрощені процедури</w:t>
      </w:r>
      <w:r w:rsidRPr="00C03848">
        <w:rPr>
          <w:lang w:val="uk-UA"/>
        </w:rPr>
        <w:t xml:space="preserve"> </w:t>
      </w:r>
      <w:r w:rsidR="00FB5C64" w:rsidRPr="00C03848">
        <w:rPr>
          <w:lang w:val="uk-UA"/>
        </w:rPr>
        <w:t>належ</w:t>
      </w:r>
      <w:r w:rsidRPr="00C03848">
        <w:rPr>
          <w:lang w:val="uk-UA"/>
        </w:rPr>
        <w:t xml:space="preserve">ної перевірки клієнтів. </w:t>
      </w:r>
      <w:r w:rsidR="00FB5C64" w:rsidRPr="00C03848">
        <w:rPr>
          <w:lang w:val="uk-UA"/>
        </w:rPr>
        <w:t>Особливо необхідно</w:t>
      </w:r>
      <w:r w:rsidRPr="00C03848">
        <w:rPr>
          <w:lang w:val="uk-UA"/>
        </w:rPr>
        <w:t xml:space="preserve"> враховувати </w:t>
      </w:r>
      <w:r w:rsidR="00FB5C64" w:rsidRPr="00C03848">
        <w:rPr>
          <w:lang w:val="uk-UA"/>
        </w:rPr>
        <w:t>характер</w:t>
      </w:r>
      <w:r w:rsidRPr="00C03848">
        <w:rPr>
          <w:lang w:val="uk-UA"/>
        </w:rPr>
        <w:t xml:space="preserve"> </w:t>
      </w:r>
      <w:r w:rsidR="00FB5C64" w:rsidRPr="00C03848">
        <w:rPr>
          <w:lang w:val="uk-UA"/>
        </w:rPr>
        <w:t>та</w:t>
      </w:r>
      <w:r w:rsidRPr="00C03848">
        <w:rPr>
          <w:lang w:val="uk-UA"/>
        </w:rPr>
        <w:t xml:space="preserve"> розмір бізнесу, і, при необхідності і пропорційності, </w:t>
      </w:r>
      <w:r w:rsidR="00FB5C64" w:rsidRPr="00C03848">
        <w:rPr>
          <w:lang w:val="uk-UA"/>
        </w:rPr>
        <w:t xml:space="preserve"> повинні затверджуватись особливі заходи</w:t>
      </w:r>
      <w:r w:rsidRPr="00C03848">
        <w:rPr>
          <w:lang w:val="uk-UA"/>
        </w:rPr>
        <w:t>.</w:t>
      </w:r>
    </w:p>
    <w:p w:rsidR="00D016EE" w:rsidRPr="00C03848" w:rsidRDefault="00D016EE" w:rsidP="008B76F2">
      <w:pPr>
        <w:pStyle w:val="1"/>
        <w:shd w:val="clear" w:color="auto" w:fill="FFFFFF"/>
        <w:spacing w:before="0" w:beforeAutospacing="0" w:after="0" w:afterAutospacing="0"/>
        <w:jc w:val="both"/>
        <w:textAlignment w:val="baseline"/>
        <w:rPr>
          <w:lang w:val="uk-UA"/>
        </w:rPr>
      </w:pPr>
    </w:p>
    <w:p w:rsidR="00C07AC9" w:rsidRPr="00C03848" w:rsidRDefault="00A5729D" w:rsidP="008B76F2">
      <w:pPr>
        <w:pStyle w:val="ti-section-1"/>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РОЗДІЛ</w:t>
      </w:r>
      <w:r w:rsidR="00C07AC9" w:rsidRPr="00C03848">
        <w:rPr>
          <w:rStyle w:val="italic"/>
          <w:bCs/>
          <w:iCs/>
          <w:bdr w:val="none" w:sz="0" w:space="0" w:color="auto" w:frame="1"/>
          <w:lang w:val="uk-UA"/>
        </w:rPr>
        <w:t xml:space="preserve"> 3</w:t>
      </w:r>
    </w:p>
    <w:p w:rsidR="00FB5C64" w:rsidRPr="00C03848" w:rsidRDefault="00FB5C64" w:rsidP="008B76F2">
      <w:pPr>
        <w:pStyle w:val="ti-section-2"/>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Посилені заходи належної перевірки клієнтів</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18</w:t>
      </w:r>
    </w:p>
    <w:p w:rsidR="00FB5C64" w:rsidRPr="00C03848" w:rsidRDefault="00FB5C64" w:rsidP="008B76F2">
      <w:pPr>
        <w:pStyle w:val="ti-art"/>
        <w:shd w:val="clear" w:color="auto" w:fill="FFFFFF"/>
        <w:spacing w:before="0" w:beforeAutospacing="0" w:after="0" w:afterAutospacing="0"/>
        <w:jc w:val="center"/>
        <w:textAlignment w:val="baseline"/>
        <w:rPr>
          <w:iCs/>
          <w:lang w:val="uk-UA"/>
        </w:rPr>
      </w:pPr>
    </w:p>
    <w:p w:rsidR="003A040E" w:rsidRPr="00C03848" w:rsidRDefault="003A040E" w:rsidP="008B76F2">
      <w:pPr>
        <w:pStyle w:val="1"/>
        <w:shd w:val="clear" w:color="auto" w:fill="FFFFFF"/>
        <w:spacing w:before="0" w:beforeAutospacing="0" w:after="0" w:afterAutospacing="0"/>
        <w:jc w:val="both"/>
        <w:textAlignment w:val="baseline"/>
        <w:rPr>
          <w:lang w:val="uk-UA"/>
        </w:rPr>
      </w:pPr>
      <w:r w:rsidRPr="00C03848">
        <w:rPr>
          <w:lang w:val="uk-UA"/>
        </w:rPr>
        <w:t>1.  У випадках, зазначених у Статтях з 19 по 24, та в процесі роботи з фізичними або юридичними особами, які засновані в третіх країнах, визначених Комісією в якості третіх країн, які характеризуються високим рівнем ризику, а також в інших випадках підвищеного ризику, які визначені державами-членами або зобов'язаними особами, держави-члени повинні вимагати від зобов'язаних осіб застосовувати посилені заходи належної перевірки клієнтів для управління та зменшення цих ризиків відповідним чином.</w:t>
      </w:r>
    </w:p>
    <w:p w:rsidR="003A040E" w:rsidRPr="00C03848" w:rsidRDefault="003A040E" w:rsidP="008B76F2">
      <w:pPr>
        <w:pStyle w:val="1"/>
        <w:shd w:val="clear" w:color="auto" w:fill="FFFFFF"/>
        <w:spacing w:before="0" w:beforeAutospacing="0" w:after="0" w:afterAutospacing="0"/>
        <w:jc w:val="both"/>
        <w:textAlignment w:val="baseline"/>
        <w:rPr>
          <w:lang w:val="uk-UA"/>
        </w:rPr>
      </w:pPr>
      <w:r w:rsidRPr="00C03848">
        <w:rPr>
          <w:lang w:val="uk-UA"/>
        </w:rPr>
        <w:t>Посилені заходи належної перевірки клієнтів не повинні використовуватись автоматично відносно філій або підконтрольних дочірніх компаній зобов'язаних осіб, створених в Союзі, які знаходяться в третіх країнах, які характеризуються високим ступенем ризику, де зазначені філії або підконтрольні дочірні компанії повністю відповідають стратегії всієї групи і процедурам відповідно до Статті 45. Держави-члени повинні забезпечувати, що зазначені випадки розглядаються зобов'язаними особами із використанням підходу на основі ризику.</w:t>
      </w:r>
    </w:p>
    <w:p w:rsidR="003A040E" w:rsidRPr="00C03848" w:rsidRDefault="003A040E" w:rsidP="008B76F2">
      <w:pPr>
        <w:pStyle w:val="1"/>
        <w:shd w:val="clear" w:color="auto" w:fill="FFFFFF"/>
        <w:spacing w:before="0" w:beforeAutospacing="0" w:after="0" w:afterAutospacing="0"/>
        <w:jc w:val="both"/>
        <w:textAlignment w:val="baseline"/>
        <w:rPr>
          <w:lang w:val="uk-UA"/>
        </w:rPr>
      </w:pPr>
      <w:r w:rsidRPr="00C03848">
        <w:rPr>
          <w:lang w:val="uk-UA"/>
        </w:rPr>
        <w:t>2. Держави-члени повинні вимагати, щоб зобов'язані особ</w:t>
      </w:r>
      <w:r w:rsidR="009F6C23" w:rsidRPr="00C03848">
        <w:rPr>
          <w:lang w:val="uk-UA"/>
        </w:rPr>
        <w:t xml:space="preserve">и </w:t>
      </w:r>
      <w:r w:rsidRPr="00C03848">
        <w:rPr>
          <w:lang w:val="uk-UA"/>
        </w:rPr>
        <w:t xml:space="preserve">розглядали  наскільки це </w:t>
      </w:r>
      <w:r w:rsidR="00AC3A3E" w:rsidRPr="00C03848">
        <w:rPr>
          <w:lang w:val="uk-UA"/>
        </w:rPr>
        <w:t>обґрунтовано</w:t>
      </w:r>
      <w:r w:rsidR="009F6C23" w:rsidRPr="00C03848">
        <w:rPr>
          <w:lang w:val="uk-UA"/>
        </w:rPr>
        <w:t xml:space="preserve"> </w:t>
      </w:r>
      <w:r w:rsidRPr="00C03848">
        <w:rPr>
          <w:lang w:val="uk-UA"/>
        </w:rPr>
        <w:t xml:space="preserve">можливо, підстави і мету всіх складних і незвично великих транзакцій, </w:t>
      </w:r>
      <w:r w:rsidR="009F6C23" w:rsidRPr="00C03848">
        <w:rPr>
          <w:lang w:val="uk-UA"/>
        </w:rPr>
        <w:t>та</w:t>
      </w:r>
      <w:r w:rsidRPr="00C03848">
        <w:rPr>
          <w:lang w:val="uk-UA"/>
        </w:rPr>
        <w:t xml:space="preserve"> всі незвичайні схеми транзакцій, які не мають явної економічної або законної мети. </w:t>
      </w:r>
      <w:r w:rsidRPr="00C03848">
        <w:rPr>
          <w:lang w:val="uk-UA"/>
        </w:rPr>
        <w:lastRenderedPageBreak/>
        <w:t xml:space="preserve">Зокрема, зобов'язані суб'єкти повинні збільшити ступінь і характер моніторингу ділових відносин з </w:t>
      </w:r>
      <w:r w:rsidR="009F6C23" w:rsidRPr="00C03848">
        <w:rPr>
          <w:lang w:val="uk-UA"/>
        </w:rPr>
        <w:t>метою</w:t>
      </w:r>
      <w:r w:rsidRPr="00C03848">
        <w:rPr>
          <w:lang w:val="uk-UA"/>
        </w:rPr>
        <w:t xml:space="preserve"> визнач</w:t>
      </w:r>
      <w:r w:rsidR="009F6C23" w:rsidRPr="00C03848">
        <w:rPr>
          <w:lang w:val="uk-UA"/>
        </w:rPr>
        <w:t>ення</w:t>
      </w:r>
      <w:r w:rsidRPr="00C03848">
        <w:rPr>
          <w:lang w:val="uk-UA"/>
        </w:rPr>
        <w:t xml:space="preserve">, чи являються ці транзакції  або </w:t>
      </w:r>
      <w:r w:rsidR="00AC3A3E" w:rsidRPr="00C03848">
        <w:rPr>
          <w:lang w:val="uk-UA"/>
        </w:rPr>
        <w:t>діяльність</w:t>
      </w:r>
      <w:r w:rsidRPr="00C03848">
        <w:rPr>
          <w:lang w:val="uk-UA"/>
        </w:rPr>
        <w:t xml:space="preserve">  підозрілими.</w:t>
      </w:r>
    </w:p>
    <w:p w:rsidR="003A040E" w:rsidRPr="00C03848" w:rsidRDefault="003A040E" w:rsidP="008B76F2">
      <w:pPr>
        <w:pStyle w:val="1"/>
        <w:shd w:val="clear" w:color="auto" w:fill="FFFFFF"/>
        <w:spacing w:before="0" w:beforeAutospacing="0" w:after="0" w:afterAutospacing="0"/>
        <w:jc w:val="both"/>
        <w:textAlignment w:val="baseline"/>
        <w:rPr>
          <w:lang w:val="uk-UA"/>
        </w:rPr>
      </w:pPr>
      <w:r w:rsidRPr="00C03848">
        <w:rPr>
          <w:lang w:val="uk-UA"/>
        </w:rPr>
        <w:t>3.   </w:t>
      </w:r>
      <w:r w:rsidR="009F6C23" w:rsidRPr="00C03848">
        <w:rPr>
          <w:lang w:val="uk-UA"/>
        </w:rPr>
        <w:t>У процесі здійснення оцінювання</w:t>
      </w:r>
      <w:r w:rsidRPr="00C03848">
        <w:rPr>
          <w:lang w:val="uk-UA"/>
        </w:rPr>
        <w:t xml:space="preserve"> ризиків відмивання грошей і фінансування тероризму, держави-члени і зобов'язані суб'єкти повинні враховувати, принаймні фактори ситуацій з</w:t>
      </w:r>
      <w:r w:rsidR="009F6C23" w:rsidRPr="00C03848">
        <w:rPr>
          <w:lang w:val="uk-UA"/>
        </w:rPr>
        <w:t xml:space="preserve"> </w:t>
      </w:r>
      <w:r w:rsidRPr="00C03848">
        <w:rPr>
          <w:lang w:val="uk-UA"/>
        </w:rPr>
        <w:t xml:space="preserve">потенційно підвищеним ризиком, </w:t>
      </w:r>
      <w:r w:rsidR="009F6C23" w:rsidRPr="00C03848">
        <w:rPr>
          <w:lang w:val="uk-UA"/>
        </w:rPr>
        <w:t>які в</w:t>
      </w:r>
      <w:r w:rsidRPr="00C03848">
        <w:rPr>
          <w:lang w:val="uk-UA"/>
        </w:rPr>
        <w:t>икладен</w:t>
      </w:r>
      <w:r w:rsidR="009F6C23" w:rsidRPr="00C03848">
        <w:rPr>
          <w:lang w:val="uk-UA"/>
        </w:rPr>
        <w:t>і</w:t>
      </w:r>
      <w:r w:rsidRPr="00C03848">
        <w:rPr>
          <w:lang w:val="uk-UA"/>
        </w:rPr>
        <w:t xml:space="preserve"> в Додатку III.</w:t>
      </w:r>
    </w:p>
    <w:p w:rsidR="007779B2" w:rsidRPr="00C03848" w:rsidRDefault="007779B2" w:rsidP="008B76F2">
      <w:pPr>
        <w:pStyle w:val="1"/>
        <w:shd w:val="clear" w:color="auto" w:fill="FFFFFF"/>
        <w:spacing w:before="0" w:beforeAutospacing="0" w:after="0" w:afterAutospacing="0"/>
        <w:jc w:val="both"/>
        <w:textAlignment w:val="baseline"/>
        <w:rPr>
          <w:lang w:val="uk-UA"/>
        </w:rPr>
      </w:pPr>
      <w:r w:rsidRPr="00C03848">
        <w:rPr>
          <w:lang w:val="uk-UA"/>
        </w:rPr>
        <w:t xml:space="preserve">4.    До 26 червня 2017 року, ЄНО повинні опублікувати керівні вказівки адресовані компетентним органам і кредитним та фінансовим установам відповідно до Статті 16 Регламентів (EU) No 1093/2010, (EU) No 1094/2010, і (EU) No 1095/2010 про фактори ризику, які повинні бути враховані, і про заходи, які повинні бути прийняті у випадках, </w:t>
      </w:r>
      <w:r w:rsidR="00562708" w:rsidRPr="00C03848">
        <w:rPr>
          <w:lang w:val="uk-UA"/>
        </w:rPr>
        <w:t>в яких застосовуються</w:t>
      </w:r>
      <w:r w:rsidRPr="00C03848">
        <w:rPr>
          <w:lang w:val="uk-UA"/>
        </w:rPr>
        <w:t xml:space="preserve"> посилені заходи </w:t>
      </w:r>
      <w:r w:rsidR="00562708" w:rsidRPr="00C03848">
        <w:rPr>
          <w:lang w:val="uk-UA"/>
        </w:rPr>
        <w:t>належ</w:t>
      </w:r>
      <w:r w:rsidRPr="00C03848">
        <w:rPr>
          <w:lang w:val="uk-UA"/>
        </w:rPr>
        <w:t xml:space="preserve">ної перевірки клієнтів. </w:t>
      </w:r>
      <w:r w:rsidR="00562708" w:rsidRPr="00C03848">
        <w:rPr>
          <w:lang w:val="uk-UA"/>
        </w:rPr>
        <w:t>Особливо необхідно враховувати характер та розмір бізнесу, і, при необхідності і пропорційності,  повинні затверджуватись особливі заходи.</w:t>
      </w:r>
    </w:p>
    <w:p w:rsidR="003A040E" w:rsidRPr="00C03848" w:rsidRDefault="003A040E"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19</w:t>
      </w:r>
    </w:p>
    <w:p w:rsidR="009F6C23" w:rsidRPr="00C03848" w:rsidRDefault="009F6C23" w:rsidP="008B76F2">
      <w:pPr>
        <w:pStyle w:val="ti-art"/>
        <w:shd w:val="clear" w:color="auto" w:fill="FFFFFF"/>
        <w:spacing w:before="0" w:beforeAutospacing="0" w:after="0" w:afterAutospacing="0"/>
        <w:jc w:val="center"/>
        <w:textAlignment w:val="baseline"/>
        <w:rPr>
          <w:iCs/>
          <w:lang w:val="uk-UA"/>
        </w:rPr>
      </w:pPr>
    </w:p>
    <w:p w:rsidR="005175D5" w:rsidRPr="00C03848" w:rsidRDefault="005175D5" w:rsidP="008B76F2">
      <w:pPr>
        <w:pStyle w:val="1"/>
        <w:shd w:val="clear" w:color="auto" w:fill="FFFFFF"/>
        <w:spacing w:before="0" w:beforeAutospacing="0" w:after="0" w:afterAutospacing="0"/>
        <w:jc w:val="both"/>
        <w:textAlignment w:val="baseline"/>
        <w:rPr>
          <w:lang w:val="uk-UA"/>
        </w:rPr>
      </w:pPr>
      <w:r w:rsidRPr="00C03848">
        <w:rPr>
          <w:lang w:val="uk-UA"/>
        </w:rPr>
        <w:t>Що стосується транскордонних кореспондентських відносин з установою-респондентом із третьої країни, держави-члени повинні, крім реалізації заходів належної перевірки клієнтів, які викладені у Статті 13, вимагати від своїх кредитних і фінансових установ</w:t>
      </w:r>
      <w:r w:rsidR="005E56A3" w:rsidRPr="00C03848">
        <w:rPr>
          <w:lang w:val="uk-UA"/>
        </w:rPr>
        <w:t>, щоб вони</w:t>
      </w:r>
      <w:r w:rsidRPr="00C03848">
        <w:rPr>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5175D5" w:rsidRPr="00C03848" w:rsidTr="00405FE4">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5175D5" w:rsidRPr="00C03848" w:rsidRDefault="005175D5"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5175D5" w:rsidRPr="00C03848" w:rsidRDefault="005175D5" w:rsidP="008B76F2">
            <w:pPr>
              <w:pStyle w:val="1"/>
              <w:spacing w:before="0" w:beforeAutospacing="0" w:after="0" w:afterAutospacing="0"/>
              <w:jc w:val="both"/>
              <w:textAlignment w:val="baseline"/>
              <w:rPr>
                <w:lang w:val="uk-UA"/>
              </w:rPr>
            </w:pPr>
            <w:r w:rsidRPr="00C03848">
              <w:rPr>
                <w:lang w:val="uk-UA"/>
              </w:rPr>
              <w:t>зби</w:t>
            </w:r>
            <w:r w:rsidR="005E56A3" w:rsidRPr="00C03848">
              <w:rPr>
                <w:lang w:val="uk-UA"/>
              </w:rPr>
              <w:t>рал</w:t>
            </w:r>
            <w:r w:rsidRPr="00C03848">
              <w:rPr>
                <w:lang w:val="uk-UA"/>
              </w:rPr>
              <w:t>и достатній обсяг інформації про установу-респондента, щоб  в повній мірі зрозуміти характер діяльності респондента і визначити на основі використання загальнодоступної публічної інформації репутацію  установи та якості нагляду;</w:t>
            </w:r>
          </w:p>
        </w:tc>
      </w:tr>
    </w:tbl>
    <w:p w:rsidR="005175D5" w:rsidRPr="00C03848" w:rsidRDefault="005175D5" w:rsidP="008B76F2">
      <w:pPr>
        <w:spacing w:after="0" w:line="240" w:lineRule="auto"/>
        <w:rPr>
          <w:rFonts w:ascii="Times New Roman" w:hAnsi="Times New Roman" w:cs="Times New Roman"/>
          <w:vanish/>
          <w:sz w:val="24"/>
          <w:szCs w:val="24"/>
          <w:lang w:val="uk-UA"/>
        </w:rPr>
      </w:pPr>
    </w:p>
    <w:tbl>
      <w:tblPr>
        <w:tblW w:w="4908"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435"/>
        <w:gridCol w:w="8851"/>
      </w:tblGrid>
      <w:tr w:rsidR="005175D5" w:rsidRPr="00C03848" w:rsidTr="005E56A3">
        <w:tc>
          <w:tcPr>
            <w:tcW w:w="234" w:type="pct"/>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5175D5" w:rsidRPr="00C03848" w:rsidRDefault="005175D5"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5175D5" w:rsidRPr="00C03848" w:rsidRDefault="005E56A3" w:rsidP="008B76F2">
            <w:pPr>
              <w:pStyle w:val="1"/>
              <w:spacing w:before="0" w:beforeAutospacing="0" w:after="0" w:afterAutospacing="0"/>
              <w:jc w:val="both"/>
              <w:textAlignment w:val="baseline"/>
              <w:rPr>
                <w:lang w:val="uk-UA"/>
              </w:rPr>
            </w:pPr>
            <w:r w:rsidRPr="00C03848">
              <w:rPr>
                <w:lang w:val="uk-UA"/>
              </w:rPr>
              <w:t>О</w:t>
            </w:r>
            <w:r w:rsidR="005175D5" w:rsidRPr="00C03848">
              <w:rPr>
                <w:lang w:val="uk-UA"/>
              </w:rPr>
              <w:t>цін</w:t>
            </w:r>
            <w:r w:rsidRPr="00C03848">
              <w:rPr>
                <w:lang w:val="uk-UA"/>
              </w:rPr>
              <w:t xml:space="preserve">ювали заходи </w:t>
            </w:r>
            <w:r w:rsidR="005175D5" w:rsidRPr="00C03848">
              <w:rPr>
                <w:lang w:val="uk-UA"/>
              </w:rPr>
              <w:t>контрол</w:t>
            </w:r>
            <w:r w:rsidRPr="00C03848">
              <w:rPr>
                <w:lang w:val="uk-UA"/>
              </w:rPr>
              <w:t xml:space="preserve">ю </w:t>
            </w:r>
            <w:r w:rsidR="005175D5" w:rsidRPr="00C03848">
              <w:rPr>
                <w:lang w:val="uk-UA"/>
              </w:rPr>
              <w:t xml:space="preserve"> </w:t>
            </w:r>
            <w:r w:rsidRPr="00C03848">
              <w:rPr>
                <w:lang w:val="uk-UA"/>
              </w:rPr>
              <w:t xml:space="preserve">в сфері </w:t>
            </w:r>
            <w:r w:rsidR="005175D5" w:rsidRPr="00C03848">
              <w:rPr>
                <w:lang w:val="uk-UA"/>
              </w:rPr>
              <w:t>БВГ/ПФТ установи-респондента;</w:t>
            </w:r>
          </w:p>
        </w:tc>
      </w:tr>
    </w:tbl>
    <w:p w:rsidR="005175D5" w:rsidRPr="00C03848" w:rsidRDefault="005175D5"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5175D5" w:rsidRPr="00C03848" w:rsidTr="00405FE4">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5175D5" w:rsidRPr="00C03848" w:rsidRDefault="005175D5"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5175D5" w:rsidRPr="00C03848" w:rsidRDefault="005175D5" w:rsidP="008B76F2">
            <w:pPr>
              <w:pStyle w:val="1"/>
              <w:spacing w:before="0" w:beforeAutospacing="0" w:after="0" w:afterAutospacing="0"/>
              <w:jc w:val="both"/>
              <w:textAlignment w:val="baseline"/>
              <w:rPr>
                <w:lang w:val="uk-UA"/>
              </w:rPr>
            </w:pPr>
            <w:r w:rsidRPr="00C03848">
              <w:rPr>
                <w:lang w:val="uk-UA"/>
              </w:rPr>
              <w:t>отримати схвалення від старшого керівництва перед встановленням нових кореспондентських відносин;</w:t>
            </w:r>
          </w:p>
        </w:tc>
      </w:tr>
    </w:tbl>
    <w:p w:rsidR="005175D5" w:rsidRPr="00C03848" w:rsidRDefault="005175D5"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607"/>
        <w:gridCol w:w="8853"/>
      </w:tblGrid>
      <w:tr w:rsidR="005175D5" w:rsidRPr="00C03848" w:rsidTr="00405FE4">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5175D5" w:rsidRPr="00C03848" w:rsidRDefault="005175D5" w:rsidP="008B76F2">
            <w:pPr>
              <w:pStyle w:val="1"/>
              <w:spacing w:before="0" w:beforeAutospacing="0" w:after="0" w:afterAutospacing="0"/>
              <w:jc w:val="both"/>
              <w:textAlignment w:val="baseline"/>
              <w:rPr>
                <w:lang w:val="uk-UA"/>
              </w:rPr>
            </w:pPr>
            <w:r w:rsidRPr="00C03848">
              <w:rPr>
                <w:lang w:val="uk-UA"/>
              </w:rPr>
              <w:t>(d)</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5175D5" w:rsidRPr="00C03848" w:rsidRDefault="005175D5" w:rsidP="008B76F2">
            <w:pPr>
              <w:pStyle w:val="1"/>
              <w:spacing w:before="0" w:beforeAutospacing="0" w:after="0" w:afterAutospacing="0"/>
              <w:jc w:val="both"/>
              <w:textAlignment w:val="baseline"/>
              <w:rPr>
                <w:lang w:val="uk-UA"/>
              </w:rPr>
            </w:pPr>
            <w:r w:rsidRPr="00C03848">
              <w:rPr>
                <w:lang w:val="uk-UA"/>
              </w:rPr>
              <w:t>документувати відповідні обов'язки кожної установи;</w:t>
            </w:r>
          </w:p>
        </w:tc>
      </w:tr>
    </w:tbl>
    <w:p w:rsidR="005175D5" w:rsidRPr="00C03848" w:rsidRDefault="005175D5" w:rsidP="008B76F2">
      <w:pPr>
        <w:spacing w:after="0" w:line="240" w:lineRule="auto"/>
        <w:rPr>
          <w:rFonts w:ascii="Times New Roman" w:hAnsi="Times New Roman" w:cs="Times New Roman"/>
          <w:vanish/>
          <w:sz w:val="24"/>
          <w:szCs w:val="24"/>
          <w:lang w:val="uk-UA"/>
        </w:rPr>
      </w:pPr>
    </w:p>
    <w:tbl>
      <w:tblPr>
        <w:tblW w:w="5115"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0A0" w:firstRow="1" w:lastRow="0" w:firstColumn="1" w:lastColumn="0" w:noHBand="0" w:noVBand="0"/>
      </w:tblPr>
      <w:tblGrid>
        <w:gridCol w:w="436"/>
        <w:gridCol w:w="9242"/>
      </w:tblGrid>
      <w:tr w:rsidR="005175D5" w:rsidRPr="00C03848" w:rsidTr="005175D5">
        <w:tc>
          <w:tcPr>
            <w:tcW w:w="225" w:type="pct"/>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5175D5" w:rsidRPr="00C03848" w:rsidRDefault="005175D5" w:rsidP="008B76F2">
            <w:pPr>
              <w:pStyle w:val="1"/>
              <w:spacing w:before="0" w:beforeAutospacing="0" w:after="0" w:afterAutospacing="0"/>
              <w:jc w:val="both"/>
              <w:textAlignment w:val="baseline"/>
              <w:rPr>
                <w:lang w:val="uk-UA"/>
              </w:rPr>
            </w:pPr>
            <w:r w:rsidRPr="00C03848">
              <w:rPr>
                <w:lang w:val="uk-UA"/>
              </w:rPr>
              <w:t>(e)</w:t>
            </w:r>
          </w:p>
        </w:tc>
        <w:tc>
          <w:tcPr>
            <w:tcW w:w="4775" w:type="pct"/>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5175D5" w:rsidRPr="00C03848" w:rsidRDefault="005175D5" w:rsidP="008B76F2">
            <w:pPr>
              <w:pStyle w:val="1"/>
              <w:spacing w:before="0" w:beforeAutospacing="0" w:after="0" w:afterAutospacing="0"/>
              <w:jc w:val="both"/>
              <w:textAlignment w:val="baseline"/>
              <w:rPr>
                <w:lang w:val="uk-UA"/>
              </w:rPr>
            </w:pPr>
            <w:r w:rsidRPr="00C03848">
              <w:rPr>
                <w:lang w:val="uk-UA"/>
              </w:rPr>
              <w:t>по віднош</w:t>
            </w:r>
            <w:r w:rsidR="005E56A3" w:rsidRPr="00C03848">
              <w:rPr>
                <w:lang w:val="uk-UA"/>
              </w:rPr>
              <w:t>енню до транзитних рахунків, бул</w:t>
            </w:r>
            <w:r w:rsidRPr="00C03848">
              <w:rPr>
                <w:lang w:val="uk-UA"/>
              </w:rPr>
              <w:t xml:space="preserve">и </w:t>
            </w:r>
            <w:r w:rsidR="005E56A3" w:rsidRPr="00C03848">
              <w:rPr>
                <w:lang w:val="uk-UA"/>
              </w:rPr>
              <w:t xml:space="preserve">б </w:t>
            </w:r>
            <w:r w:rsidRPr="00C03848">
              <w:rPr>
                <w:lang w:val="uk-UA"/>
              </w:rPr>
              <w:t>задоволен</w:t>
            </w:r>
            <w:r w:rsidR="005E56A3" w:rsidRPr="00C03848">
              <w:rPr>
                <w:lang w:val="uk-UA"/>
              </w:rPr>
              <w:t>і</w:t>
            </w:r>
            <w:r w:rsidRPr="00C03848">
              <w:rPr>
                <w:lang w:val="uk-UA"/>
              </w:rPr>
              <w:t xml:space="preserve"> тим, що установа-респондент перевірила </w:t>
            </w:r>
            <w:r w:rsidR="005E56A3" w:rsidRPr="00C03848">
              <w:rPr>
                <w:lang w:val="uk-UA"/>
              </w:rPr>
              <w:t>дані про особу</w:t>
            </w:r>
            <w:r w:rsidRPr="00C03848">
              <w:rPr>
                <w:lang w:val="uk-UA"/>
              </w:rPr>
              <w:t xml:space="preserve">, і виконувала на постійній основі належну перевірку клієнтів, що мають прямий доступ до рахунків кореспондентської установи, і що вона в змозі надати відповідну належну перевірку </w:t>
            </w:r>
            <w:r w:rsidR="00AC3A3E" w:rsidRPr="00C03848">
              <w:rPr>
                <w:lang w:val="uk-UA"/>
              </w:rPr>
              <w:t>даних</w:t>
            </w:r>
            <w:r w:rsidRPr="00C03848">
              <w:rPr>
                <w:lang w:val="uk-UA"/>
              </w:rPr>
              <w:t xml:space="preserve"> клієнтів кореспондентській установі за запитом.</w:t>
            </w:r>
          </w:p>
        </w:tc>
      </w:tr>
    </w:tbl>
    <w:p w:rsidR="00C07AC9" w:rsidRPr="00C03848" w:rsidRDefault="00C07AC9" w:rsidP="008B76F2">
      <w:pPr>
        <w:spacing w:after="0" w:line="240" w:lineRule="auto"/>
        <w:rPr>
          <w:rFonts w:ascii="Times New Roman" w:hAnsi="Times New Roman" w:cs="Times New Roman"/>
          <w:sz w:val="24"/>
          <w:szCs w:val="24"/>
          <w:highlight w:val="yellow"/>
          <w:lang w:val="uk-UA"/>
        </w:rPr>
      </w:pPr>
    </w:p>
    <w:p w:rsidR="00A50E52" w:rsidRPr="00C03848" w:rsidRDefault="00A50E52" w:rsidP="008B76F2">
      <w:pPr>
        <w:spacing w:after="0" w:line="240" w:lineRule="auto"/>
        <w:rPr>
          <w:rFonts w:ascii="Times New Roman" w:hAnsi="Times New Roman" w:cs="Times New Roman"/>
          <w:vanish/>
          <w:sz w:val="24"/>
          <w:szCs w:val="24"/>
          <w:highlight w:val="yellow"/>
          <w:lang w:val="uk-UA"/>
        </w:rPr>
      </w:pPr>
    </w:p>
    <w:p w:rsidR="00C07AC9" w:rsidRPr="00C03848" w:rsidRDefault="00C07AC9" w:rsidP="008B76F2">
      <w:pPr>
        <w:spacing w:after="0" w:line="240" w:lineRule="auto"/>
        <w:rPr>
          <w:rFonts w:ascii="Times New Roman" w:hAnsi="Times New Roman" w:cs="Times New Roman"/>
          <w:vanish/>
          <w:sz w:val="24"/>
          <w:szCs w:val="24"/>
          <w:highlight w:val="yellow"/>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20</w:t>
      </w:r>
    </w:p>
    <w:p w:rsidR="00A50E52" w:rsidRPr="00C03848" w:rsidRDefault="00A50E52" w:rsidP="008B76F2">
      <w:pPr>
        <w:pStyle w:val="ti-art"/>
        <w:shd w:val="clear" w:color="auto" w:fill="FFFFFF"/>
        <w:spacing w:before="0" w:beforeAutospacing="0" w:after="0" w:afterAutospacing="0"/>
        <w:jc w:val="center"/>
        <w:textAlignment w:val="baseline"/>
        <w:rPr>
          <w:iCs/>
          <w:lang w:val="uk-UA"/>
        </w:rPr>
      </w:pPr>
    </w:p>
    <w:p w:rsidR="00405FE4" w:rsidRPr="00C03848" w:rsidRDefault="00405FE4" w:rsidP="008B76F2">
      <w:pPr>
        <w:pStyle w:val="1"/>
        <w:shd w:val="clear" w:color="auto" w:fill="FFFFFF"/>
        <w:spacing w:before="0" w:beforeAutospacing="0" w:after="0" w:afterAutospacing="0"/>
        <w:jc w:val="both"/>
        <w:textAlignment w:val="baseline"/>
        <w:rPr>
          <w:lang w:val="uk-UA"/>
        </w:rPr>
      </w:pPr>
      <w:r w:rsidRPr="00C03848">
        <w:rPr>
          <w:lang w:val="uk-UA"/>
        </w:rPr>
        <w:t>Що стосується транзакцій або ділових відносин з політичними діячами, держави-члени повинні, крім заходів належної перевірки клієнтів, викладених у Статті 13, вимагати від  зобов'язаних суб'єктів: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405FE4" w:rsidRPr="00C03848" w:rsidTr="00405FE4">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405FE4" w:rsidRPr="00C03848" w:rsidRDefault="00405FE4"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405FE4" w:rsidRPr="00C03848" w:rsidRDefault="00405FE4" w:rsidP="008B76F2">
            <w:pPr>
              <w:pStyle w:val="1"/>
              <w:spacing w:before="0" w:beforeAutospacing="0" w:after="0" w:afterAutospacing="0"/>
              <w:jc w:val="both"/>
              <w:textAlignment w:val="baseline"/>
              <w:rPr>
                <w:lang w:val="uk-UA"/>
              </w:rPr>
            </w:pPr>
            <w:r w:rsidRPr="00C03848">
              <w:rPr>
                <w:lang w:val="uk-UA"/>
              </w:rPr>
              <w:t>наявність</w:t>
            </w:r>
            <w:r w:rsidR="0001180D" w:rsidRPr="00C03848">
              <w:rPr>
                <w:lang w:val="uk-UA"/>
              </w:rPr>
              <w:t xml:space="preserve"> </w:t>
            </w:r>
            <w:r w:rsidRPr="00C03848">
              <w:rPr>
                <w:lang w:val="uk-UA"/>
              </w:rPr>
              <w:t>відповідних</w:t>
            </w:r>
            <w:r w:rsidR="0001180D" w:rsidRPr="00C03848">
              <w:rPr>
                <w:lang w:val="uk-UA"/>
              </w:rPr>
              <w:t xml:space="preserve"> </w:t>
            </w:r>
            <w:r w:rsidRPr="00C03848">
              <w:rPr>
                <w:lang w:val="uk-UA"/>
              </w:rPr>
              <w:t>систем управління ризиками, включаючи процедури з урахуванням ризику, щоб визначити, чи є клієнт або бенефіціар клієнта політичн</w:t>
            </w:r>
            <w:r w:rsidR="0001180D" w:rsidRPr="00C03848">
              <w:rPr>
                <w:lang w:val="uk-UA"/>
              </w:rPr>
              <w:t>им діячем</w:t>
            </w:r>
            <w:r w:rsidRPr="00C03848">
              <w:rPr>
                <w:lang w:val="uk-UA"/>
              </w:rPr>
              <w:t>;</w:t>
            </w:r>
          </w:p>
        </w:tc>
      </w:tr>
    </w:tbl>
    <w:p w:rsidR="00405FE4" w:rsidRPr="00C03848" w:rsidRDefault="00405FE4"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405FE4" w:rsidRPr="00C03848" w:rsidTr="00405FE4">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405FE4" w:rsidRPr="00C03848" w:rsidRDefault="00405FE4"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405FE4" w:rsidRPr="00C03848" w:rsidRDefault="00405FE4" w:rsidP="008B76F2">
            <w:pPr>
              <w:pStyle w:val="1"/>
              <w:spacing w:before="0" w:beforeAutospacing="0" w:after="0" w:afterAutospacing="0"/>
              <w:jc w:val="both"/>
              <w:textAlignment w:val="baseline"/>
              <w:rPr>
                <w:lang w:val="uk-UA"/>
              </w:rPr>
            </w:pPr>
            <w:r w:rsidRPr="00C03848">
              <w:rPr>
                <w:lang w:val="uk-UA"/>
              </w:rPr>
              <w:t xml:space="preserve">застосовувати наступні </w:t>
            </w:r>
            <w:r w:rsidR="0001180D" w:rsidRPr="00C03848">
              <w:rPr>
                <w:lang w:val="uk-UA"/>
              </w:rPr>
              <w:t>заход</w:t>
            </w:r>
            <w:r w:rsidRPr="00C03848">
              <w:rPr>
                <w:lang w:val="uk-UA"/>
              </w:rPr>
              <w:t>и у випадках ділових відносин з політичн</w:t>
            </w:r>
            <w:r w:rsidR="0001180D" w:rsidRPr="00C03848">
              <w:rPr>
                <w:lang w:val="uk-UA"/>
              </w:rPr>
              <w:t>ими діячами</w:t>
            </w:r>
            <w:r w:rsidRPr="00C03848">
              <w:rPr>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32"/>
              <w:gridCol w:w="8622"/>
            </w:tblGrid>
            <w:tr w:rsidR="00405FE4" w:rsidRPr="00C03848" w:rsidTr="00405FE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405FE4" w:rsidRPr="00C03848" w:rsidRDefault="00405FE4" w:rsidP="008B76F2">
                  <w:pPr>
                    <w:pStyle w:val="1"/>
                    <w:spacing w:before="0" w:beforeAutospacing="0" w:after="0" w:afterAutospacing="0"/>
                    <w:jc w:val="both"/>
                    <w:textAlignment w:val="baseline"/>
                    <w:rPr>
                      <w:lang w:val="uk-UA"/>
                    </w:rPr>
                  </w:pPr>
                  <w:r w:rsidRPr="00C03848">
                    <w:rPr>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405FE4" w:rsidRPr="00C03848" w:rsidRDefault="00405FE4" w:rsidP="008B76F2">
                  <w:pPr>
                    <w:pStyle w:val="1"/>
                    <w:spacing w:before="0" w:beforeAutospacing="0" w:after="0" w:afterAutospacing="0"/>
                    <w:jc w:val="both"/>
                    <w:textAlignment w:val="baseline"/>
                    <w:rPr>
                      <w:lang w:val="uk-UA"/>
                    </w:rPr>
                  </w:pPr>
                  <w:r w:rsidRPr="00C03848">
                    <w:rPr>
                      <w:lang w:val="uk-UA"/>
                    </w:rPr>
                    <w:t xml:space="preserve">отримувати </w:t>
                  </w:r>
                  <w:r w:rsidR="0001180D" w:rsidRPr="00C03848">
                    <w:rPr>
                      <w:lang w:val="uk-UA"/>
                    </w:rPr>
                    <w:t>схвалення вищого</w:t>
                  </w:r>
                  <w:r w:rsidRPr="00C03848">
                    <w:rPr>
                      <w:lang w:val="uk-UA"/>
                    </w:rPr>
                    <w:t xml:space="preserve"> керівництва на встановлення або продовження ділових відносин з такими особами;</w:t>
                  </w:r>
                </w:p>
              </w:tc>
            </w:tr>
          </w:tbl>
          <w:p w:rsidR="00405FE4" w:rsidRPr="00C03848" w:rsidRDefault="00405FE4"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99"/>
              <w:gridCol w:w="8555"/>
            </w:tblGrid>
            <w:tr w:rsidR="00405FE4" w:rsidRPr="00C03848" w:rsidTr="00405FE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405FE4" w:rsidRPr="00C03848" w:rsidRDefault="00405FE4" w:rsidP="008B76F2">
                  <w:pPr>
                    <w:pStyle w:val="1"/>
                    <w:spacing w:before="0" w:beforeAutospacing="0" w:after="0" w:afterAutospacing="0"/>
                    <w:jc w:val="both"/>
                    <w:textAlignment w:val="baseline"/>
                    <w:rPr>
                      <w:lang w:val="uk-UA"/>
                    </w:rPr>
                  </w:pPr>
                  <w:r w:rsidRPr="00C03848">
                    <w:rPr>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405FE4" w:rsidRPr="00C03848" w:rsidRDefault="00405FE4" w:rsidP="008B76F2">
                  <w:pPr>
                    <w:pStyle w:val="1"/>
                    <w:spacing w:before="0" w:beforeAutospacing="0" w:after="0" w:afterAutospacing="0"/>
                    <w:jc w:val="both"/>
                    <w:textAlignment w:val="baseline"/>
                    <w:rPr>
                      <w:lang w:val="uk-UA"/>
                    </w:rPr>
                  </w:pPr>
                  <w:r w:rsidRPr="00C03848">
                    <w:rPr>
                      <w:lang w:val="uk-UA"/>
                    </w:rPr>
                    <w:t xml:space="preserve">вживати належні заходи для встановлення джерела </w:t>
                  </w:r>
                  <w:r w:rsidR="0001180D" w:rsidRPr="00C03848">
                    <w:rPr>
                      <w:lang w:val="uk-UA"/>
                    </w:rPr>
                    <w:t>статку</w:t>
                  </w:r>
                  <w:r w:rsidRPr="00C03848">
                    <w:rPr>
                      <w:lang w:val="uk-UA"/>
                    </w:rPr>
                    <w:t xml:space="preserve"> і джерела коштів, які залучаються </w:t>
                  </w:r>
                  <w:r w:rsidR="0001180D" w:rsidRPr="00C03848">
                    <w:rPr>
                      <w:lang w:val="uk-UA"/>
                    </w:rPr>
                    <w:t>до</w:t>
                  </w:r>
                  <w:r w:rsidRPr="00C03848">
                    <w:rPr>
                      <w:lang w:val="uk-UA"/>
                    </w:rPr>
                    <w:t xml:space="preserve"> ділов</w:t>
                  </w:r>
                  <w:r w:rsidR="0001180D" w:rsidRPr="00C03848">
                    <w:rPr>
                      <w:lang w:val="uk-UA"/>
                    </w:rPr>
                    <w:t>их</w:t>
                  </w:r>
                  <w:r w:rsidRPr="00C03848">
                    <w:rPr>
                      <w:lang w:val="uk-UA"/>
                    </w:rPr>
                    <w:t xml:space="preserve"> відносини або транзакції  з такими особами;</w:t>
                  </w:r>
                </w:p>
              </w:tc>
            </w:tr>
          </w:tbl>
          <w:p w:rsidR="00405FE4" w:rsidRPr="00C03848" w:rsidRDefault="00405FE4"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544"/>
              <w:gridCol w:w="8410"/>
            </w:tblGrid>
            <w:tr w:rsidR="00405FE4" w:rsidRPr="00C03848" w:rsidTr="00405FE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405FE4" w:rsidRPr="00C03848" w:rsidRDefault="00405FE4" w:rsidP="008B76F2">
                  <w:pPr>
                    <w:pStyle w:val="1"/>
                    <w:spacing w:before="0" w:beforeAutospacing="0" w:after="0" w:afterAutospacing="0"/>
                    <w:jc w:val="both"/>
                    <w:textAlignment w:val="baseline"/>
                    <w:rPr>
                      <w:lang w:val="uk-UA"/>
                    </w:rPr>
                  </w:pPr>
                  <w:r w:rsidRPr="00C03848">
                    <w:rPr>
                      <w:lang w:val="uk-UA"/>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rsidR="00405FE4" w:rsidRPr="00C03848" w:rsidRDefault="00405FE4" w:rsidP="008B76F2">
                  <w:pPr>
                    <w:pStyle w:val="1"/>
                    <w:spacing w:before="0" w:beforeAutospacing="0" w:after="0" w:afterAutospacing="0"/>
                    <w:jc w:val="both"/>
                    <w:textAlignment w:val="baseline"/>
                    <w:rPr>
                      <w:lang w:val="uk-UA"/>
                    </w:rPr>
                  </w:pPr>
                  <w:r w:rsidRPr="00C03848">
                    <w:rPr>
                      <w:lang w:val="uk-UA"/>
                    </w:rPr>
                    <w:t>здійснювати посилений</w:t>
                  </w:r>
                  <w:r w:rsidR="0001180D" w:rsidRPr="00C03848">
                    <w:rPr>
                      <w:lang w:val="uk-UA"/>
                    </w:rPr>
                    <w:t xml:space="preserve"> </w:t>
                  </w:r>
                  <w:r w:rsidRPr="00C03848">
                    <w:rPr>
                      <w:lang w:val="uk-UA"/>
                    </w:rPr>
                    <w:t xml:space="preserve">постійний моніторинг цих ділових відносин.  </w:t>
                  </w:r>
                </w:p>
              </w:tc>
            </w:tr>
          </w:tbl>
          <w:p w:rsidR="00405FE4" w:rsidRPr="00C03848" w:rsidRDefault="00405FE4" w:rsidP="008B76F2">
            <w:pPr>
              <w:spacing w:after="0" w:line="240" w:lineRule="auto"/>
              <w:rPr>
                <w:rFonts w:ascii="Times New Roman" w:hAnsi="Times New Roman" w:cs="Times New Roman"/>
                <w:sz w:val="24"/>
                <w:szCs w:val="24"/>
                <w:lang w:val="uk-UA"/>
              </w:rPr>
            </w:pPr>
          </w:p>
        </w:tc>
      </w:tr>
    </w:tbl>
    <w:p w:rsidR="0001180D" w:rsidRPr="00C03848" w:rsidRDefault="0001180D" w:rsidP="008B76F2">
      <w:pPr>
        <w:pStyle w:val="ti-art"/>
        <w:shd w:val="clear" w:color="auto" w:fill="FFFFFF"/>
        <w:spacing w:before="0" w:beforeAutospacing="0" w:after="0" w:afterAutospacing="0"/>
        <w:jc w:val="center"/>
        <w:textAlignment w:val="baseline"/>
        <w:rPr>
          <w:iCs/>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21</w:t>
      </w:r>
    </w:p>
    <w:p w:rsidR="0001180D" w:rsidRPr="00C03848" w:rsidRDefault="0001180D" w:rsidP="008B76F2">
      <w:pPr>
        <w:pStyle w:val="ti-art"/>
        <w:shd w:val="clear" w:color="auto" w:fill="FFFFFF"/>
        <w:spacing w:before="0" w:beforeAutospacing="0" w:after="0" w:afterAutospacing="0"/>
        <w:jc w:val="center"/>
        <w:textAlignment w:val="baseline"/>
        <w:rPr>
          <w:iCs/>
          <w:lang w:val="uk-UA"/>
        </w:rPr>
      </w:pPr>
    </w:p>
    <w:p w:rsidR="0083514D" w:rsidRPr="00C03848" w:rsidRDefault="0083514D" w:rsidP="008B76F2">
      <w:pPr>
        <w:pStyle w:val="1"/>
        <w:shd w:val="clear" w:color="auto" w:fill="FFFFFF"/>
        <w:spacing w:before="0" w:beforeAutospacing="0" w:after="0" w:afterAutospacing="0"/>
        <w:jc w:val="both"/>
        <w:textAlignment w:val="baseline"/>
        <w:rPr>
          <w:lang w:val="uk-UA"/>
        </w:rPr>
      </w:pPr>
      <w:r w:rsidRPr="00C03848">
        <w:rPr>
          <w:lang w:val="uk-UA"/>
        </w:rPr>
        <w:lastRenderedPageBreak/>
        <w:t>Держави-члени повинні вимагати від зобов'язаних осіб вживати виважені заходи, щоб</w:t>
      </w:r>
      <w:r w:rsidR="00375D15" w:rsidRPr="00C03848">
        <w:rPr>
          <w:lang w:val="uk-UA"/>
        </w:rPr>
        <w:t xml:space="preserve"> визначити</w:t>
      </w:r>
      <w:r w:rsidRPr="00C03848">
        <w:rPr>
          <w:lang w:val="uk-UA"/>
        </w:rPr>
        <w:t>, чи є бенефіціар</w:t>
      </w:r>
      <w:r w:rsidR="00375D15" w:rsidRPr="00C03848">
        <w:rPr>
          <w:lang w:val="uk-UA"/>
        </w:rPr>
        <w:t>ом</w:t>
      </w:r>
      <w:r w:rsidRPr="00C03848">
        <w:rPr>
          <w:lang w:val="uk-UA"/>
        </w:rPr>
        <w:t xml:space="preserve"> поліса страхування життя або іншого пов’язаного з інвестиціями страхування </w:t>
      </w:r>
      <w:r w:rsidR="00042924" w:rsidRPr="00C03848">
        <w:rPr>
          <w:lang w:val="uk-UA"/>
        </w:rPr>
        <w:t>та/</w:t>
      </w:r>
      <w:r w:rsidRPr="00C03848">
        <w:rPr>
          <w:lang w:val="uk-UA"/>
        </w:rPr>
        <w:t xml:space="preserve">або, </w:t>
      </w:r>
      <w:r w:rsidR="00042924" w:rsidRPr="00C03848">
        <w:rPr>
          <w:lang w:val="uk-UA"/>
        </w:rPr>
        <w:t>за</w:t>
      </w:r>
      <w:r w:rsidRPr="00C03848">
        <w:rPr>
          <w:lang w:val="uk-UA"/>
        </w:rPr>
        <w:t xml:space="preserve"> необхідно</w:t>
      </w:r>
      <w:r w:rsidR="00042924" w:rsidRPr="00C03848">
        <w:rPr>
          <w:lang w:val="uk-UA"/>
        </w:rPr>
        <w:t>сті</w:t>
      </w:r>
      <w:r w:rsidRPr="00C03848">
        <w:rPr>
          <w:lang w:val="uk-UA"/>
        </w:rPr>
        <w:t xml:space="preserve">, чи є </w:t>
      </w:r>
      <w:r w:rsidR="00042924" w:rsidRPr="00C03848">
        <w:rPr>
          <w:lang w:val="uk-UA"/>
        </w:rPr>
        <w:t>бенефіціар</w:t>
      </w:r>
      <w:r w:rsidR="00375D15" w:rsidRPr="00C03848">
        <w:rPr>
          <w:lang w:val="uk-UA"/>
        </w:rPr>
        <w:t>ний</w:t>
      </w:r>
      <w:r w:rsidRPr="00C03848">
        <w:rPr>
          <w:lang w:val="uk-UA"/>
        </w:rPr>
        <w:t xml:space="preserve"> власник бенефіціара політичн</w:t>
      </w:r>
      <w:r w:rsidR="00042924" w:rsidRPr="00C03848">
        <w:rPr>
          <w:lang w:val="uk-UA"/>
        </w:rPr>
        <w:t>им діячем</w:t>
      </w:r>
      <w:r w:rsidRPr="00C03848">
        <w:rPr>
          <w:lang w:val="uk-UA"/>
        </w:rPr>
        <w:t xml:space="preserve">. </w:t>
      </w:r>
      <w:r w:rsidR="00042924" w:rsidRPr="00C03848">
        <w:rPr>
          <w:lang w:val="uk-UA"/>
        </w:rPr>
        <w:t>Зазначен</w:t>
      </w:r>
      <w:r w:rsidRPr="00C03848">
        <w:rPr>
          <w:lang w:val="uk-UA"/>
        </w:rPr>
        <w:t xml:space="preserve">і заходи повинні бути прийняті не пізніше, ніж у момент виплати або в момент передачі прав в цілому або в частині </w:t>
      </w:r>
      <w:r w:rsidR="00042924" w:rsidRPr="00C03848">
        <w:rPr>
          <w:lang w:val="uk-UA"/>
        </w:rPr>
        <w:t>поліса</w:t>
      </w:r>
      <w:r w:rsidRPr="00C03848">
        <w:rPr>
          <w:lang w:val="uk-UA"/>
        </w:rPr>
        <w:t xml:space="preserve">. </w:t>
      </w:r>
      <w:r w:rsidR="00042924" w:rsidRPr="00C03848">
        <w:rPr>
          <w:lang w:val="uk-UA"/>
        </w:rPr>
        <w:t>У випадку ідентифікації</w:t>
      </w:r>
      <w:r w:rsidRPr="00C03848">
        <w:rPr>
          <w:lang w:val="uk-UA"/>
        </w:rPr>
        <w:t xml:space="preserve"> </w:t>
      </w:r>
      <w:r w:rsidR="00042924" w:rsidRPr="00C03848">
        <w:rPr>
          <w:lang w:val="uk-UA"/>
        </w:rPr>
        <w:t>більш</w:t>
      </w:r>
      <w:r w:rsidRPr="00C03848">
        <w:rPr>
          <w:lang w:val="uk-UA"/>
        </w:rPr>
        <w:t xml:space="preserve"> висок</w:t>
      </w:r>
      <w:r w:rsidR="00042924" w:rsidRPr="00C03848">
        <w:rPr>
          <w:lang w:val="uk-UA"/>
        </w:rPr>
        <w:t xml:space="preserve">их </w:t>
      </w:r>
      <w:r w:rsidRPr="00C03848">
        <w:rPr>
          <w:lang w:val="uk-UA"/>
        </w:rPr>
        <w:t>ризик</w:t>
      </w:r>
      <w:r w:rsidR="00042924" w:rsidRPr="00C03848">
        <w:rPr>
          <w:lang w:val="uk-UA"/>
        </w:rPr>
        <w:t>ів</w:t>
      </w:r>
      <w:r w:rsidRPr="00C03848">
        <w:rPr>
          <w:lang w:val="uk-UA"/>
        </w:rPr>
        <w:t xml:space="preserve">, на додаток до застосування заходів </w:t>
      </w:r>
      <w:r w:rsidR="00042924" w:rsidRPr="00C03848">
        <w:rPr>
          <w:lang w:val="uk-UA"/>
        </w:rPr>
        <w:t>належ</w:t>
      </w:r>
      <w:r w:rsidRPr="00C03848">
        <w:rPr>
          <w:lang w:val="uk-UA"/>
        </w:rPr>
        <w:t xml:space="preserve">ної перевірки клієнта, </w:t>
      </w:r>
      <w:r w:rsidR="00042924" w:rsidRPr="00C03848">
        <w:rPr>
          <w:lang w:val="uk-UA"/>
        </w:rPr>
        <w:t xml:space="preserve">які </w:t>
      </w:r>
      <w:r w:rsidRPr="00C03848">
        <w:rPr>
          <w:lang w:val="uk-UA"/>
        </w:rPr>
        <w:t>викладен</w:t>
      </w:r>
      <w:r w:rsidR="00042924" w:rsidRPr="00C03848">
        <w:rPr>
          <w:lang w:val="uk-UA"/>
        </w:rPr>
        <w:t>і</w:t>
      </w:r>
      <w:r w:rsidRPr="00C03848">
        <w:rPr>
          <w:lang w:val="uk-UA"/>
        </w:rPr>
        <w:t xml:space="preserve"> в Статті 13, держави-члени повинні вимагати від зобов'язаних осіб:</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490"/>
        <w:gridCol w:w="8970"/>
      </w:tblGrid>
      <w:tr w:rsidR="0083514D" w:rsidRPr="00C03848" w:rsidTr="003D66C6">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83514D" w:rsidRPr="00C03848" w:rsidRDefault="0083514D"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83514D" w:rsidRPr="00C03848" w:rsidRDefault="0083514D" w:rsidP="008B76F2">
            <w:pPr>
              <w:pStyle w:val="1"/>
              <w:spacing w:before="0" w:beforeAutospacing="0" w:after="0" w:afterAutospacing="0"/>
              <w:jc w:val="both"/>
              <w:textAlignment w:val="baseline"/>
              <w:rPr>
                <w:lang w:val="uk-UA"/>
              </w:rPr>
            </w:pPr>
            <w:r w:rsidRPr="00C03848">
              <w:rPr>
                <w:lang w:val="uk-UA"/>
              </w:rPr>
              <w:t xml:space="preserve">повідомляти </w:t>
            </w:r>
            <w:r w:rsidR="00042924" w:rsidRPr="00C03848">
              <w:rPr>
                <w:lang w:val="uk-UA"/>
              </w:rPr>
              <w:t>вищ</w:t>
            </w:r>
            <w:r w:rsidRPr="00C03848">
              <w:rPr>
                <w:lang w:val="uk-UA"/>
              </w:rPr>
              <w:t>е керівництво</w:t>
            </w:r>
            <w:r w:rsidR="00AB4313" w:rsidRPr="00C03848">
              <w:rPr>
                <w:lang w:val="uk-UA"/>
              </w:rPr>
              <w:t xml:space="preserve"> до виплати за </w:t>
            </w:r>
            <w:r w:rsidRPr="00C03848">
              <w:rPr>
                <w:lang w:val="uk-UA"/>
              </w:rPr>
              <w:t>страхов</w:t>
            </w:r>
            <w:r w:rsidR="00AB4313" w:rsidRPr="00C03848">
              <w:rPr>
                <w:lang w:val="uk-UA"/>
              </w:rPr>
              <w:t>им</w:t>
            </w:r>
            <w:r w:rsidRPr="00C03848">
              <w:rPr>
                <w:lang w:val="uk-UA"/>
              </w:rPr>
              <w:t xml:space="preserve"> поліс</w:t>
            </w:r>
            <w:r w:rsidR="00AB4313" w:rsidRPr="00C03848">
              <w:rPr>
                <w:lang w:val="uk-UA"/>
              </w:rPr>
              <w:t>ом</w:t>
            </w:r>
            <w:r w:rsidRPr="00C03848">
              <w:rPr>
                <w:lang w:val="uk-UA"/>
              </w:rPr>
              <w:t>;</w:t>
            </w:r>
          </w:p>
        </w:tc>
      </w:tr>
    </w:tbl>
    <w:p w:rsidR="0083514D" w:rsidRPr="00C03848" w:rsidRDefault="0083514D"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473"/>
        <w:gridCol w:w="8987"/>
      </w:tblGrid>
      <w:tr w:rsidR="0083514D" w:rsidRPr="00C03848" w:rsidTr="003D66C6">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83514D" w:rsidRPr="00C03848" w:rsidRDefault="0083514D"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83514D" w:rsidRPr="00C03848" w:rsidRDefault="0083514D" w:rsidP="008B76F2">
            <w:pPr>
              <w:pStyle w:val="1"/>
              <w:spacing w:before="0" w:beforeAutospacing="0" w:after="0" w:afterAutospacing="0"/>
              <w:jc w:val="both"/>
              <w:textAlignment w:val="baseline"/>
              <w:rPr>
                <w:lang w:val="uk-UA"/>
              </w:rPr>
            </w:pPr>
            <w:r w:rsidRPr="00C03848">
              <w:rPr>
                <w:lang w:val="uk-UA"/>
              </w:rPr>
              <w:t>проводити посилену перевірку всіх ділових відносин власника поліса.</w:t>
            </w:r>
          </w:p>
          <w:p w:rsidR="00375D15" w:rsidRPr="00C03848" w:rsidRDefault="00375D15" w:rsidP="008B76F2">
            <w:pPr>
              <w:pStyle w:val="1"/>
              <w:spacing w:before="0" w:beforeAutospacing="0" w:after="0" w:afterAutospacing="0"/>
              <w:jc w:val="both"/>
              <w:textAlignment w:val="baseline"/>
              <w:rPr>
                <w:lang w:val="uk-UA"/>
              </w:rPr>
            </w:pPr>
          </w:p>
        </w:tc>
      </w:tr>
    </w:tbl>
    <w:p w:rsidR="00AB4313" w:rsidRPr="00C03848" w:rsidRDefault="00AB4313"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 22</w:t>
      </w:r>
    </w:p>
    <w:p w:rsidR="00AB4313" w:rsidRPr="00C03848" w:rsidRDefault="00AB4313" w:rsidP="008B76F2">
      <w:pPr>
        <w:pStyle w:val="1"/>
        <w:shd w:val="clear" w:color="auto" w:fill="FFFFFF"/>
        <w:spacing w:before="0" w:beforeAutospacing="0" w:after="0" w:afterAutospacing="0"/>
        <w:jc w:val="both"/>
        <w:textAlignment w:val="baseline"/>
        <w:rPr>
          <w:lang w:val="uk-UA"/>
        </w:rPr>
      </w:pPr>
      <w:r w:rsidRPr="00C03848">
        <w:rPr>
          <w:lang w:val="uk-UA"/>
        </w:rPr>
        <w:t xml:space="preserve">У випадку, якщо </w:t>
      </w:r>
      <w:r w:rsidR="0006561F" w:rsidRPr="00C03848">
        <w:rPr>
          <w:lang w:val="uk-UA"/>
        </w:rPr>
        <w:t>держава</w:t>
      </w:r>
      <w:r w:rsidRPr="00C03848">
        <w:rPr>
          <w:lang w:val="uk-UA"/>
        </w:rPr>
        <w:t>-член або трет</w:t>
      </w:r>
      <w:r w:rsidR="0006561F" w:rsidRPr="00C03848">
        <w:rPr>
          <w:lang w:val="uk-UA"/>
        </w:rPr>
        <w:t>я країна</w:t>
      </w:r>
      <w:r w:rsidRPr="00C03848">
        <w:rPr>
          <w:lang w:val="uk-UA"/>
        </w:rPr>
        <w:t xml:space="preserve"> більше не надають політичному діячу виконання важливої публічної функції, або міжнародн</w:t>
      </w:r>
      <w:r w:rsidR="0006561F" w:rsidRPr="00C03848">
        <w:rPr>
          <w:lang w:val="uk-UA"/>
        </w:rPr>
        <w:t>а</w:t>
      </w:r>
      <w:r w:rsidRPr="00C03848">
        <w:rPr>
          <w:lang w:val="uk-UA"/>
        </w:rPr>
        <w:t xml:space="preserve"> організаці</w:t>
      </w:r>
      <w:r w:rsidR="0006561F" w:rsidRPr="00C03848">
        <w:rPr>
          <w:lang w:val="uk-UA"/>
        </w:rPr>
        <w:t>я більше не надає політичному діячу виконання важливої публічної функції</w:t>
      </w:r>
      <w:r w:rsidRPr="00C03848">
        <w:rPr>
          <w:lang w:val="uk-UA"/>
        </w:rPr>
        <w:t>, зобов'язан</w:t>
      </w:r>
      <w:r w:rsidR="0006561F" w:rsidRPr="00C03848">
        <w:rPr>
          <w:lang w:val="uk-UA"/>
        </w:rPr>
        <w:t>а</w:t>
      </w:r>
      <w:r w:rsidRPr="00C03848">
        <w:rPr>
          <w:lang w:val="uk-UA"/>
        </w:rPr>
        <w:t xml:space="preserve"> особ</w:t>
      </w:r>
      <w:r w:rsidR="0006561F" w:rsidRPr="00C03848">
        <w:rPr>
          <w:lang w:val="uk-UA"/>
        </w:rPr>
        <w:t>а</w:t>
      </w:r>
      <w:r w:rsidRPr="00C03848">
        <w:rPr>
          <w:lang w:val="uk-UA"/>
        </w:rPr>
        <w:t xml:space="preserve">, принаймні 12 місяців, </w:t>
      </w:r>
      <w:r w:rsidR="0006561F" w:rsidRPr="00C03848">
        <w:rPr>
          <w:lang w:val="uk-UA"/>
        </w:rPr>
        <w:t>повинна</w:t>
      </w:r>
      <w:r w:rsidRPr="00C03848">
        <w:rPr>
          <w:lang w:val="uk-UA"/>
        </w:rPr>
        <w:t xml:space="preserve"> прийняти до уваги триваючий ризик, пов'язаний з цією </w:t>
      </w:r>
      <w:r w:rsidR="0006561F" w:rsidRPr="00C03848">
        <w:rPr>
          <w:lang w:val="uk-UA"/>
        </w:rPr>
        <w:t>особ</w:t>
      </w:r>
      <w:r w:rsidRPr="00C03848">
        <w:rPr>
          <w:lang w:val="uk-UA"/>
        </w:rPr>
        <w:t xml:space="preserve">ою і застосовувати відповідні і чутливі до ризику заходи до тих пір, як вважається, </w:t>
      </w:r>
      <w:r w:rsidR="0006561F" w:rsidRPr="00C03848">
        <w:rPr>
          <w:lang w:val="uk-UA"/>
        </w:rPr>
        <w:t xml:space="preserve">що ця особа, вже </w:t>
      </w:r>
      <w:r w:rsidRPr="00C03848">
        <w:rPr>
          <w:lang w:val="uk-UA"/>
        </w:rPr>
        <w:t xml:space="preserve">не представляє ніякого подальшого ризику, </w:t>
      </w:r>
      <w:r w:rsidR="0006561F" w:rsidRPr="00C03848">
        <w:rPr>
          <w:lang w:val="uk-UA"/>
        </w:rPr>
        <w:t xml:space="preserve">з яким </w:t>
      </w:r>
      <w:r w:rsidRPr="00C03848">
        <w:rPr>
          <w:lang w:val="uk-UA"/>
        </w:rPr>
        <w:t>пов'язан</w:t>
      </w:r>
      <w:r w:rsidR="0006561F" w:rsidRPr="00C03848">
        <w:rPr>
          <w:lang w:val="uk-UA"/>
        </w:rPr>
        <w:t xml:space="preserve">і </w:t>
      </w:r>
      <w:r w:rsidRPr="00C03848">
        <w:rPr>
          <w:lang w:val="uk-UA"/>
        </w:rPr>
        <w:t>політичн</w:t>
      </w:r>
      <w:r w:rsidR="0006561F" w:rsidRPr="00C03848">
        <w:rPr>
          <w:lang w:val="uk-UA"/>
        </w:rPr>
        <w:t>і діячі</w:t>
      </w:r>
      <w:r w:rsidRPr="00C03848">
        <w:rPr>
          <w:lang w:val="uk-UA"/>
        </w:rPr>
        <w:t>.</w:t>
      </w:r>
    </w:p>
    <w:p w:rsidR="00A609E0" w:rsidRPr="00C03848" w:rsidRDefault="00A609E0" w:rsidP="008B76F2">
      <w:pPr>
        <w:pStyle w:val="1"/>
        <w:shd w:val="clear" w:color="auto" w:fill="FFFFFF"/>
        <w:spacing w:before="0" w:beforeAutospacing="0" w:after="0" w:afterAutospacing="0"/>
        <w:jc w:val="both"/>
        <w:textAlignment w:val="baseline"/>
        <w:rPr>
          <w:lang w:val="uk-UA"/>
        </w:rPr>
      </w:pPr>
    </w:p>
    <w:p w:rsidR="00AB4313" w:rsidRPr="00C03848" w:rsidRDefault="00AB4313"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 23</w:t>
      </w:r>
    </w:p>
    <w:p w:rsidR="00AB4313" w:rsidRPr="00C03848" w:rsidRDefault="00AB4313" w:rsidP="008B76F2">
      <w:pPr>
        <w:pStyle w:val="1"/>
        <w:shd w:val="clear" w:color="auto" w:fill="FFFFFF"/>
        <w:spacing w:before="0" w:beforeAutospacing="0" w:after="0" w:afterAutospacing="0"/>
        <w:jc w:val="both"/>
        <w:textAlignment w:val="baseline"/>
        <w:rPr>
          <w:lang w:val="uk-UA"/>
        </w:rPr>
      </w:pPr>
      <w:r w:rsidRPr="00C03848">
        <w:rPr>
          <w:lang w:val="uk-UA"/>
        </w:rPr>
        <w:t xml:space="preserve">Заходи, зазначені в Статтях 20 і 21, застосовуються також до членів сім'ї або осіб, відомих як близькі </w:t>
      </w:r>
      <w:r w:rsidR="00B3541F" w:rsidRPr="00C03848">
        <w:rPr>
          <w:lang w:val="uk-UA"/>
        </w:rPr>
        <w:t>партнер</w:t>
      </w:r>
      <w:r w:rsidRPr="00C03848">
        <w:rPr>
          <w:lang w:val="uk-UA"/>
        </w:rPr>
        <w:t>и політичн</w:t>
      </w:r>
      <w:r w:rsidR="00B3541F" w:rsidRPr="00C03848">
        <w:rPr>
          <w:lang w:val="uk-UA"/>
        </w:rPr>
        <w:t>их діячів</w:t>
      </w:r>
      <w:r w:rsidRPr="00C03848">
        <w:rPr>
          <w:lang w:val="uk-UA"/>
        </w:rPr>
        <w:t>.</w:t>
      </w:r>
    </w:p>
    <w:p w:rsidR="0001180D" w:rsidRPr="00C03848" w:rsidRDefault="0001180D"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24</w:t>
      </w:r>
    </w:p>
    <w:p w:rsidR="0001180D" w:rsidRPr="00C03848" w:rsidRDefault="0001180D" w:rsidP="008B76F2">
      <w:pPr>
        <w:pStyle w:val="ti-art"/>
        <w:shd w:val="clear" w:color="auto" w:fill="FFFFFF"/>
        <w:spacing w:before="0" w:beforeAutospacing="0" w:after="0" w:afterAutospacing="0"/>
        <w:jc w:val="center"/>
        <w:textAlignment w:val="baseline"/>
        <w:rPr>
          <w:iCs/>
          <w:lang w:val="uk-UA"/>
        </w:rPr>
      </w:pPr>
    </w:p>
    <w:p w:rsidR="0054421C" w:rsidRPr="00C03848" w:rsidRDefault="0054421C" w:rsidP="008B76F2">
      <w:pPr>
        <w:pStyle w:val="1"/>
        <w:shd w:val="clear" w:color="auto" w:fill="FFFFFF"/>
        <w:spacing w:before="0" w:beforeAutospacing="0" w:after="0" w:afterAutospacing="0"/>
        <w:jc w:val="both"/>
        <w:textAlignment w:val="baseline"/>
        <w:rPr>
          <w:lang w:val="uk-UA"/>
        </w:rPr>
      </w:pPr>
      <w:r w:rsidRPr="00C03848">
        <w:rPr>
          <w:lang w:val="uk-UA"/>
        </w:rPr>
        <w:t>Держави-члени повинні заборонити кредитним та фінансовим установам вступати або продовжувати кореспондентські відносини з банком оболонкою. Держави-члени повинні вимагати, щоб ці установи вжили відповідні заходи</w:t>
      </w:r>
      <w:r w:rsidR="000D7454" w:rsidRPr="00C03848">
        <w:rPr>
          <w:lang w:val="uk-UA"/>
        </w:rPr>
        <w:t xml:space="preserve"> для забезпечення того,</w:t>
      </w:r>
      <w:r w:rsidRPr="00C03848">
        <w:rPr>
          <w:lang w:val="uk-UA"/>
        </w:rPr>
        <w:t xml:space="preserve"> щоб </w:t>
      </w:r>
      <w:r w:rsidR="000D7454" w:rsidRPr="00C03848">
        <w:rPr>
          <w:lang w:val="uk-UA"/>
        </w:rPr>
        <w:t>вони не вступали</w:t>
      </w:r>
      <w:r w:rsidRPr="00C03848">
        <w:rPr>
          <w:lang w:val="uk-UA"/>
        </w:rPr>
        <w:t xml:space="preserve"> або не продовжу</w:t>
      </w:r>
      <w:r w:rsidR="000D7454" w:rsidRPr="00C03848">
        <w:rPr>
          <w:lang w:val="uk-UA"/>
        </w:rPr>
        <w:t>вали</w:t>
      </w:r>
      <w:r w:rsidRPr="00C03848">
        <w:rPr>
          <w:lang w:val="uk-UA"/>
        </w:rPr>
        <w:t xml:space="preserve"> кореспондентські відносини з кредитною або фінансовою установою, </w:t>
      </w:r>
      <w:r w:rsidR="000D7454" w:rsidRPr="00C03848">
        <w:rPr>
          <w:lang w:val="uk-UA"/>
        </w:rPr>
        <w:t>який</w:t>
      </w:r>
      <w:r w:rsidRPr="00C03848">
        <w:rPr>
          <w:lang w:val="uk-UA"/>
        </w:rPr>
        <w:t xml:space="preserve"> відом</w:t>
      </w:r>
      <w:r w:rsidR="000D7454" w:rsidRPr="00C03848">
        <w:rPr>
          <w:lang w:val="uk-UA"/>
        </w:rPr>
        <w:t>ий як такий</w:t>
      </w:r>
      <w:r w:rsidRPr="00C03848">
        <w:rPr>
          <w:lang w:val="uk-UA"/>
        </w:rPr>
        <w:t xml:space="preserve">, </w:t>
      </w:r>
      <w:r w:rsidR="000D7454" w:rsidRPr="00C03848">
        <w:rPr>
          <w:lang w:val="uk-UA"/>
        </w:rPr>
        <w:t xml:space="preserve">що </w:t>
      </w:r>
      <w:r w:rsidRPr="00C03848">
        <w:rPr>
          <w:lang w:val="uk-UA"/>
        </w:rPr>
        <w:t xml:space="preserve">дозволяє </w:t>
      </w:r>
      <w:r w:rsidR="000D7454" w:rsidRPr="00C03848">
        <w:rPr>
          <w:lang w:val="uk-UA"/>
        </w:rPr>
        <w:t>використання сво</w:t>
      </w:r>
      <w:r w:rsidRPr="00C03848">
        <w:rPr>
          <w:lang w:val="uk-UA"/>
        </w:rPr>
        <w:t>їх рахунк</w:t>
      </w:r>
      <w:r w:rsidR="000D7454" w:rsidRPr="00C03848">
        <w:rPr>
          <w:lang w:val="uk-UA"/>
        </w:rPr>
        <w:t>ів</w:t>
      </w:r>
      <w:r w:rsidR="00116BE5" w:rsidRPr="00C03848">
        <w:rPr>
          <w:lang w:val="uk-UA"/>
        </w:rPr>
        <w:t xml:space="preserve"> </w:t>
      </w:r>
      <w:r w:rsidRPr="00C03848">
        <w:rPr>
          <w:lang w:val="uk-UA"/>
        </w:rPr>
        <w:t>банк</w:t>
      </w:r>
      <w:r w:rsidR="000D7454" w:rsidRPr="00C03848">
        <w:rPr>
          <w:lang w:val="uk-UA"/>
        </w:rPr>
        <w:t>ом-</w:t>
      </w:r>
      <w:r w:rsidRPr="00C03848">
        <w:rPr>
          <w:lang w:val="uk-UA"/>
        </w:rPr>
        <w:t>оболонк</w:t>
      </w:r>
      <w:r w:rsidR="00116BE5" w:rsidRPr="00C03848">
        <w:rPr>
          <w:lang w:val="uk-UA"/>
        </w:rPr>
        <w:t>ою</w:t>
      </w:r>
      <w:r w:rsidRPr="00C03848">
        <w:rPr>
          <w:lang w:val="uk-UA"/>
        </w:rPr>
        <w:t>.</w:t>
      </w:r>
    </w:p>
    <w:p w:rsidR="0001180D" w:rsidRPr="00C03848" w:rsidRDefault="0001180D" w:rsidP="008B76F2">
      <w:pPr>
        <w:pStyle w:val="1"/>
        <w:shd w:val="clear" w:color="auto" w:fill="FFFFFF"/>
        <w:spacing w:before="0" w:beforeAutospacing="0" w:after="0" w:afterAutospacing="0"/>
        <w:jc w:val="both"/>
        <w:textAlignment w:val="baseline"/>
        <w:rPr>
          <w:lang w:val="uk-UA"/>
        </w:rPr>
      </w:pPr>
    </w:p>
    <w:p w:rsidR="00C07AC9" w:rsidRPr="00C03848" w:rsidRDefault="00A5729D" w:rsidP="008B76F2">
      <w:pPr>
        <w:pStyle w:val="ti-section-1"/>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РОЗДІЛ</w:t>
      </w:r>
      <w:r w:rsidR="00C07AC9" w:rsidRPr="00C03848">
        <w:rPr>
          <w:rStyle w:val="italic"/>
          <w:bCs/>
          <w:iCs/>
          <w:bdr w:val="none" w:sz="0" w:space="0" w:color="auto" w:frame="1"/>
          <w:lang w:val="uk-UA"/>
        </w:rPr>
        <w:t xml:space="preserve"> 4</w:t>
      </w:r>
    </w:p>
    <w:p w:rsidR="00116BE5" w:rsidRPr="00C03848" w:rsidRDefault="00116BE5" w:rsidP="008B76F2">
      <w:pPr>
        <w:pStyle w:val="ti-section-2"/>
        <w:shd w:val="clear" w:color="auto" w:fill="FFFFFF"/>
        <w:spacing w:before="0" w:beforeAutospacing="0" w:after="0" w:afterAutospacing="0"/>
        <w:jc w:val="center"/>
        <w:textAlignment w:val="baseline"/>
        <w:rPr>
          <w:bCs/>
          <w:lang w:val="uk-UA"/>
        </w:rPr>
      </w:pPr>
      <w:r w:rsidRPr="00C03848">
        <w:rPr>
          <w:bCs/>
          <w:lang w:val="uk-UA"/>
        </w:rPr>
        <w:t>Виконання третіми сторонами</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25</w:t>
      </w:r>
    </w:p>
    <w:p w:rsidR="00116BE5" w:rsidRPr="00C03848" w:rsidRDefault="00116BE5" w:rsidP="008B76F2">
      <w:pPr>
        <w:pStyle w:val="ti-art"/>
        <w:shd w:val="clear" w:color="auto" w:fill="FFFFFF"/>
        <w:spacing w:before="0" w:beforeAutospacing="0" w:after="0" w:afterAutospacing="0"/>
        <w:jc w:val="center"/>
        <w:textAlignment w:val="baseline"/>
        <w:rPr>
          <w:iCs/>
          <w:lang w:val="uk-UA"/>
        </w:rPr>
      </w:pPr>
    </w:p>
    <w:p w:rsidR="00B80F92" w:rsidRPr="00C03848" w:rsidRDefault="00B80F92" w:rsidP="008B76F2">
      <w:pPr>
        <w:pStyle w:val="1"/>
        <w:shd w:val="clear" w:color="auto" w:fill="FFFFFF"/>
        <w:spacing w:before="0" w:beforeAutospacing="0" w:after="0" w:afterAutospacing="0"/>
        <w:jc w:val="both"/>
        <w:textAlignment w:val="baseline"/>
        <w:rPr>
          <w:lang w:val="uk-UA"/>
        </w:rPr>
      </w:pPr>
      <w:r w:rsidRPr="00C03848">
        <w:rPr>
          <w:lang w:val="uk-UA"/>
        </w:rPr>
        <w:t>Держави-члени можуть дозволити зобов'язаним особам покладати на треті сторони виконання вимог належної перевірки клієнта, що викладені в пунктах (а), (b) і (с) першого підпункту Статті 13 (1). Тим не менше, остаточна відповідальність за виконання таких вимог лежить на зобов'язаній особі, яка доручила виконання третій стороні.</w:t>
      </w:r>
    </w:p>
    <w:p w:rsidR="00B80F92" w:rsidRPr="00C03848" w:rsidRDefault="00B80F92" w:rsidP="008B76F2">
      <w:pPr>
        <w:pStyle w:val="HTMLPreformatted"/>
        <w:shd w:val="clear" w:color="auto" w:fill="FFFFFF"/>
        <w:textAlignment w:val="baseline"/>
        <w:rPr>
          <w:rFonts w:ascii="Times New Roman" w:hAnsi="Times New Roman" w:cs="Times New Roman"/>
          <w:sz w:val="24"/>
          <w:szCs w:val="24"/>
        </w:rPr>
      </w:pPr>
      <w:r w:rsidRPr="00C03848">
        <w:rPr>
          <w:rFonts w:ascii="Times New Roman" w:hAnsi="Times New Roman" w:cs="Times New Roman"/>
          <w:sz w:val="24"/>
          <w:szCs w:val="24"/>
        </w:rPr>
        <w:t xml:space="preserve">     </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26</w:t>
      </w:r>
    </w:p>
    <w:p w:rsidR="00116BE5" w:rsidRPr="00C03848" w:rsidRDefault="00116BE5" w:rsidP="008B76F2">
      <w:pPr>
        <w:pStyle w:val="ti-art"/>
        <w:shd w:val="clear" w:color="auto" w:fill="FFFFFF"/>
        <w:spacing w:before="0" w:beforeAutospacing="0" w:after="0" w:afterAutospacing="0"/>
        <w:jc w:val="center"/>
        <w:textAlignment w:val="baseline"/>
        <w:rPr>
          <w:iCs/>
          <w:lang w:val="uk-UA"/>
        </w:rPr>
      </w:pPr>
    </w:p>
    <w:p w:rsidR="00C92173" w:rsidRPr="00C03848" w:rsidRDefault="00C92173" w:rsidP="008B76F2">
      <w:pPr>
        <w:pStyle w:val="1"/>
        <w:shd w:val="clear" w:color="auto" w:fill="FFFFFF"/>
        <w:spacing w:before="0" w:beforeAutospacing="0" w:after="0" w:afterAutospacing="0"/>
        <w:jc w:val="both"/>
        <w:textAlignment w:val="baseline"/>
        <w:rPr>
          <w:lang w:val="uk-UA"/>
        </w:rPr>
      </w:pPr>
      <w:r w:rsidRPr="00C03848">
        <w:rPr>
          <w:lang w:val="uk-UA"/>
        </w:rPr>
        <w:t xml:space="preserve">1.   Для цілей даної статті під «третіми сторонами» розуміються зобов'язані особи, </w:t>
      </w:r>
      <w:r w:rsidR="00CE3300" w:rsidRPr="00C03848">
        <w:rPr>
          <w:lang w:val="uk-UA"/>
        </w:rPr>
        <w:t xml:space="preserve">які </w:t>
      </w:r>
      <w:r w:rsidRPr="00C03848">
        <w:rPr>
          <w:lang w:val="uk-UA"/>
        </w:rPr>
        <w:t xml:space="preserve">перелічені в Статті 2, організації-члени чи федерації </w:t>
      </w:r>
      <w:r w:rsidR="00CE3300" w:rsidRPr="00C03848">
        <w:rPr>
          <w:lang w:val="uk-UA"/>
        </w:rPr>
        <w:t>ц</w:t>
      </w:r>
      <w:r w:rsidRPr="00C03848">
        <w:rPr>
          <w:lang w:val="uk-UA"/>
        </w:rPr>
        <w:t xml:space="preserve">их зобов'язаних осіб, або інших установ або осіб, які </w:t>
      </w:r>
      <w:r w:rsidR="00CE3300" w:rsidRPr="00C03848">
        <w:rPr>
          <w:lang w:val="uk-UA"/>
        </w:rPr>
        <w:t>розташовані</w:t>
      </w:r>
      <w:r w:rsidRPr="00C03848">
        <w:rPr>
          <w:lang w:val="uk-UA"/>
        </w:rPr>
        <w:t xml:space="preserve"> в державі-члені або третій країні</w:t>
      </w:r>
      <w:r w:rsidR="00CE3300" w:rsidRPr="00C03848">
        <w:rPr>
          <w:lang w:val="uk-UA"/>
        </w:rPr>
        <w:t>,</w:t>
      </w:r>
      <w:r w:rsidRPr="00C03848">
        <w:rPr>
          <w:lang w:val="uk-UA"/>
        </w:rPr>
        <w:t xml:space="preserve"> таких, </w:t>
      </w:r>
      <w:r w:rsidR="00CE3300" w:rsidRPr="00C03848">
        <w:rPr>
          <w:lang w:val="uk-UA"/>
        </w:rPr>
        <w:t>які</w:t>
      </w:r>
      <w:r w:rsidRPr="00C03848">
        <w:rPr>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C92173" w:rsidRPr="00C03848" w:rsidTr="003D66C6">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C92173" w:rsidRPr="00C03848" w:rsidRDefault="00C92173"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C92173" w:rsidRPr="00C03848" w:rsidRDefault="00AC3A3E" w:rsidP="008B76F2">
            <w:pPr>
              <w:pStyle w:val="1"/>
              <w:spacing w:before="0" w:beforeAutospacing="0" w:after="0" w:afterAutospacing="0"/>
              <w:jc w:val="both"/>
              <w:textAlignment w:val="baseline"/>
              <w:rPr>
                <w:lang w:val="uk-UA"/>
              </w:rPr>
            </w:pPr>
            <w:r w:rsidRPr="00C03848">
              <w:rPr>
                <w:lang w:val="uk-UA"/>
              </w:rPr>
              <w:t>застосовують</w:t>
            </w:r>
            <w:r w:rsidR="00C92173" w:rsidRPr="00C03848">
              <w:rPr>
                <w:lang w:val="uk-UA"/>
              </w:rPr>
              <w:t xml:space="preserve"> вимоги </w:t>
            </w:r>
            <w:r w:rsidR="00CE3300" w:rsidRPr="00C03848">
              <w:rPr>
                <w:lang w:val="uk-UA"/>
              </w:rPr>
              <w:t>заходів належ</w:t>
            </w:r>
            <w:r w:rsidR="00C92173" w:rsidRPr="00C03848">
              <w:rPr>
                <w:lang w:val="uk-UA"/>
              </w:rPr>
              <w:t xml:space="preserve">ної перевірки клієнтів і вимоги </w:t>
            </w:r>
            <w:r w:rsidR="00CE3300" w:rsidRPr="00C03848">
              <w:rPr>
                <w:lang w:val="uk-UA"/>
              </w:rPr>
              <w:t>збереження документ</w:t>
            </w:r>
            <w:r w:rsidR="00C92173" w:rsidRPr="00C03848">
              <w:rPr>
                <w:lang w:val="uk-UA"/>
              </w:rPr>
              <w:t>ів, які узгоджуються з тими, що викладені в цій Директиві; і</w:t>
            </w:r>
          </w:p>
        </w:tc>
      </w:tr>
    </w:tbl>
    <w:p w:rsidR="00C92173" w:rsidRPr="00C03848" w:rsidRDefault="00C92173"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C92173" w:rsidRPr="00C03848" w:rsidTr="003D66C6">
        <w:tc>
          <w:tcPr>
            <w:tcW w:w="0" w:type="auto"/>
            <w:tcBorders>
              <w:top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C92173" w:rsidRPr="00C03848" w:rsidRDefault="00C92173"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tcBorders>
            <w:shd w:val="clear" w:color="auto" w:fill="FFFFFF"/>
            <w:tcMar>
              <w:top w:w="30" w:type="dxa"/>
              <w:left w:w="75" w:type="dxa"/>
              <w:bottom w:w="30" w:type="dxa"/>
              <w:right w:w="30" w:type="dxa"/>
            </w:tcMar>
          </w:tcPr>
          <w:p w:rsidR="00C92173" w:rsidRPr="00C03848" w:rsidRDefault="00C92173" w:rsidP="008B76F2">
            <w:pPr>
              <w:pStyle w:val="1"/>
              <w:spacing w:before="0" w:beforeAutospacing="0" w:after="0" w:afterAutospacing="0"/>
              <w:jc w:val="both"/>
              <w:textAlignment w:val="baseline"/>
              <w:rPr>
                <w:lang w:val="uk-UA"/>
              </w:rPr>
            </w:pPr>
            <w:r w:rsidRPr="00C03848">
              <w:rPr>
                <w:lang w:val="uk-UA"/>
              </w:rPr>
              <w:t>відповід</w:t>
            </w:r>
            <w:r w:rsidR="00CE3300" w:rsidRPr="00C03848">
              <w:rPr>
                <w:lang w:val="uk-UA"/>
              </w:rPr>
              <w:t>аю</w:t>
            </w:r>
            <w:r w:rsidRPr="00C03848">
              <w:rPr>
                <w:lang w:val="uk-UA"/>
              </w:rPr>
              <w:t xml:space="preserve">ть вимогам цієї Директиви, </w:t>
            </w:r>
            <w:r w:rsidR="00CE3300" w:rsidRPr="00C03848">
              <w:rPr>
                <w:lang w:val="uk-UA"/>
              </w:rPr>
              <w:t>знаходяться під контролем</w:t>
            </w:r>
            <w:r w:rsidRPr="00C03848">
              <w:rPr>
                <w:lang w:val="uk-UA"/>
              </w:rPr>
              <w:t xml:space="preserve"> </w:t>
            </w:r>
            <w:r w:rsidR="00FD11DA" w:rsidRPr="00C03848">
              <w:rPr>
                <w:lang w:val="uk-UA"/>
              </w:rPr>
              <w:t xml:space="preserve">у </w:t>
            </w:r>
            <w:r w:rsidRPr="00C03848">
              <w:rPr>
                <w:lang w:val="uk-UA"/>
              </w:rPr>
              <w:t>відповідно</w:t>
            </w:r>
            <w:r w:rsidR="00FD11DA" w:rsidRPr="00C03848">
              <w:rPr>
                <w:lang w:val="uk-UA"/>
              </w:rPr>
              <w:t>сті</w:t>
            </w:r>
            <w:r w:rsidRPr="00C03848">
              <w:rPr>
                <w:lang w:val="uk-UA"/>
              </w:rPr>
              <w:t xml:space="preserve"> </w:t>
            </w:r>
            <w:r w:rsidR="00C53B42" w:rsidRPr="00C03848">
              <w:rPr>
                <w:lang w:val="uk-UA"/>
              </w:rPr>
              <w:t>з</w:t>
            </w:r>
            <w:r w:rsidRPr="00C03848">
              <w:rPr>
                <w:lang w:val="uk-UA"/>
              </w:rPr>
              <w:t xml:space="preserve"> розділ</w:t>
            </w:r>
            <w:r w:rsidR="00C53B42" w:rsidRPr="00C03848">
              <w:rPr>
                <w:lang w:val="uk-UA"/>
              </w:rPr>
              <w:t>ом</w:t>
            </w:r>
            <w:r w:rsidRPr="00C03848">
              <w:rPr>
                <w:lang w:val="uk-UA"/>
              </w:rPr>
              <w:t xml:space="preserve"> 2 глави VI.</w:t>
            </w:r>
          </w:p>
        </w:tc>
      </w:tr>
    </w:tbl>
    <w:p w:rsidR="00C92173" w:rsidRPr="00C03848" w:rsidRDefault="00C92173" w:rsidP="008B76F2">
      <w:pPr>
        <w:pStyle w:val="1"/>
        <w:shd w:val="clear" w:color="auto" w:fill="FFFFFF"/>
        <w:spacing w:before="0" w:beforeAutospacing="0" w:after="0" w:afterAutospacing="0"/>
        <w:jc w:val="both"/>
        <w:textAlignment w:val="baseline"/>
        <w:rPr>
          <w:lang w:val="uk-UA"/>
        </w:rPr>
      </w:pPr>
      <w:r w:rsidRPr="00C03848">
        <w:rPr>
          <w:lang w:val="uk-UA"/>
        </w:rPr>
        <w:lastRenderedPageBreak/>
        <w:t xml:space="preserve">2.    Держави-члени повинні заборонити зобов'язаним особам покладатися на третіх </w:t>
      </w:r>
      <w:r w:rsidR="00C53B42" w:rsidRPr="00C03848">
        <w:rPr>
          <w:lang w:val="uk-UA"/>
        </w:rPr>
        <w:t>сторін</w:t>
      </w:r>
      <w:r w:rsidRPr="00C03848">
        <w:rPr>
          <w:lang w:val="uk-UA"/>
        </w:rPr>
        <w:t>, заснованих в третіх країнах</w:t>
      </w:r>
      <w:r w:rsidR="00C53B42" w:rsidRPr="00C03848">
        <w:rPr>
          <w:lang w:val="uk-UA"/>
        </w:rPr>
        <w:t xml:space="preserve">, які </w:t>
      </w:r>
      <w:r w:rsidR="00AC3A3E" w:rsidRPr="00C03848">
        <w:rPr>
          <w:lang w:val="uk-UA"/>
        </w:rPr>
        <w:t>характеризуються</w:t>
      </w:r>
      <w:r w:rsidRPr="00C03848">
        <w:rPr>
          <w:lang w:val="uk-UA"/>
        </w:rPr>
        <w:t xml:space="preserve"> високим ризиком. Держави-члени можуть звільнити </w:t>
      </w:r>
      <w:r w:rsidR="00A92B3A" w:rsidRPr="00C03848">
        <w:rPr>
          <w:lang w:val="uk-UA"/>
        </w:rPr>
        <w:t xml:space="preserve">підконтрольні </w:t>
      </w:r>
      <w:r w:rsidRPr="00C03848">
        <w:rPr>
          <w:lang w:val="uk-UA"/>
        </w:rPr>
        <w:t>філії і дочірні компанії</w:t>
      </w:r>
      <w:r w:rsidR="00A92B3A" w:rsidRPr="00C03848">
        <w:rPr>
          <w:lang w:val="uk-UA"/>
        </w:rPr>
        <w:t xml:space="preserve"> </w:t>
      </w:r>
      <w:r w:rsidRPr="00C03848">
        <w:rPr>
          <w:lang w:val="uk-UA"/>
        </w:rPr>
        <w:t>зобов'язани</w:t>
      </w:r>
      <w:r w:rsidR="00A92B3A" w:rsidRPr="00C03848">
        <w:rPr>
          <w:lang w:val="uk-UA"/>
        </w:rPr>
        <w:t>х осіб</w:t>
      </w:r>
      <w:r w:rsidRPr="00C03848">
        <w:rPr>
          <w:lang w:val="uk-UA"/>
        </w:rPr>
        <w:t xml:space="preserve">, створених в Союзі від цієї заборони, </w:t>
      </w:r>
      <w:r w:rsidR="00B16D6B" w:rsidRPr="00C03848">
        <w:rPr>
          <w:lang w:val="uk-UA"/>
        </w:rPr>
        <w:t>якщо</w:t>
      </w:r>
      <w:r w:rsidRPr="00C03848">
        <w:rPr>
          <w:lang w:val="uk-UA"/>
        </w:rPr>
        <w:t xml:space="preserve"> ці філії і контрольовані дочірні компанії повністю відповідають</w:t>
      </w:r>
      <w:r w:rsidR="00F50C86" w:rsidRPr="00C03848">
        <w:rPr>
          <w:lang w:val="uk-UA"/>
        </w:rPr>
        <w:t xml:space="preserve"> </w:t>
      </w:r>
      <w:r w:rsidRPr="00C03848">
        <w:rPr>
          <w:lang w:val="uk-UA"/>
        </w:rPr>
        <w:t>по</w:t>
      </w:r>
      <w:r w:rsidR="00F50C86" w:rsidRPr="00C03848">
        <w:rPr>
          <w:lang w:val="uk-UA"/>
        </w:rPr>
        <w:t>літикам</w:t>
      </w:r>
      <w:r w:rsidRPr="00C03848">
        <w:rPr>
          <w:lang w:val="uk-UA"/>
        </w:rPr>
        <w:t xml:space="preserve"> і процедурам всієї групи відповідно до Статті 45.</w:t>
      </w:r>
    </w:p>
    <w:p w:rsidR="00116BE5" w:rsidRPr="00C03848" w:rsidRDefault="00116BE5"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27</w:t>
      </w:r>
    </w:p>
    <w:p w:rsidR="00116BE5" w:rsidRPr="00C03848" w:rsidRDefault="00116BE5" w:rsidP="008B76F2">
      <w:pPr>
        <w:pStyle w:val="ti-art"/>
        <w:shd w:val="clear" w:color="auto" w:fill="FFFFFF"/>
        <w:spacing w:before="0" w:beforeAutospacing="0" w:after="0" w:afterAutospacing="0"/>
        <w:jc w:val="center"/>
        <w:textAlignment w:val="baseline"/>
        <w:rPr>
          <w:iCs/>
          <w:lang w:val="uk-UA"/>
        </w:rPr>
      </w:pPr>
    </w:p>
    <w:p w:rsidR="00447787" w:rsidRPr="00C03848" w:rsidRDefault="00447787"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забезпечити, щоб зобов'язані особи отримували від третьої сторони, на яку покладається виконання, необхідну інформацію, що стосується вимог належної перевірки клієнта, які викладені в пунктах (а), (b) і (с) першого підпункту Статті 13 (1).</w:t>
      </w:r>
    </w:p>
    <w:p w:rsidR="00447787" w:rsidRPr="00C03848" w:rsidRDefault="00447787" w:rsidP="008B76F2">
      <w:pPr>
        <w:pStyle w:val="1"/>
        <w:shd w:val="clear" w:color="auto" w:fill="FFFFFF"/>
        <w:spacing w:before="0" w:beforeAutospacing="0" w:after="0" w:afterAutospacing="0"/>
        <w:jc w:val="both"/>
        <w:textAlignment w:val="baseline"/>
        <w:rPr>
          <w:lang w:val="uk-UA"/>
        </w:rPr>
      </w:pPr>
      <w:r w:rsidRPr="00C03848">
        <w:rPr>
          <w:lang w:val="uk-UA"/>
        </w:rPr>
        <w:t xml:space="preserve">2. Держави-члени повинні гарантувати, що зобов'язані особи, до яких клієнт звертається, вживають адекватні заходи для забезпечення того, щоб третя сторона надала негайно </w:t>
      </w:r>
      <w:r w:rsidR="00560208" w:rsidRPr="00C03848">
        <w:rPr>
          <w:lang w:val="uk-UA"/>
        </w:rPr>
        <w:t>з</w:t>
      </w:r>
      <w:r w:rsidRPr="00C03848">
        <w:rPr>
          <w:lang w:val="uk-UA"/>
        </w:rPr>
        <w:t xml:space="preserve">а їх </w:t>
      </w:r>
      <w:r w:rsidR="00560208" w:rsidRPr="00C03848">
        <w:rPr>
          <w:lang w:val="uk-UA"/>
        </w:rPr>
        <w:t>запитом</w:t>
      </w:r>
      <w:r w:rsidRPr="00C03848">
        <w:rPr>
          <w:lang w:val="uk-UA"/>
        </w:rPr>
        <w:t xml:space="preserve"> відповідні копії ідентифікації і верифікації даних та іншої відповідної документації про особу замовника або бенефіціара.</w:t>
      </w:r>
    </w:p>
    <w:p w:rsidR="00447787" w:rsidRPr="00C03848" w:rsidRDefault="00447787"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28</w:t>
      </w:r>
    </w:p>
    <w:p w:rsidR="00560208" w:rsidRPr="00C03848" w:rsidRDefault="00560208" w:rsidP="008B76F2">
      <w:pPr>
        <w:pStyle w:val="ti-art"/>
        <w:shd w:val="clear" w:color="auto" w:fill="FFFFFF"/>
        <w:spacing w:before="0" w:beforeAutospacing="0" w:after="0" w:afterAutospacing="0"/>
        <w:jc w:val="center"/>
        <w:textAlignment w:val="baseline"/>
        <w:rPr>
          <w:iCs/>
          <w:lang w:val="uk-UA"/>
        </w:rPr>
      </w:pPr>
    </w:p>
    <w:p w:rsidR="003D66C6" w:rsidRPr="00C03848" w:rsidRDefault="003D66C6" w:rsidP="008B76F2">
      <w:pPr>
        <w:pStyle w:val="1"/>
        <w:shd w:val="clear" w:color="auto" w:fill="FFFFFF"/>
        <w:spacing w:before="0" w:beforeAutospacing="0" w:after="0" w:afterAutospacing="0"/>
        <w:jc w:val="both"/>
        <w:textAlignment w:val="baseline"/>
        <w:rPr>
          <w:lang w:val="uk-UA"/>
        </w:rPr>
      </w:pPr>
      <w:r w:rsidRPr="00C03848">
        <w:rPr>
          <w:lang w:val="uk-UA"/>
        </w:rPr>
        <w:t xml:space="preserve">Держави-члени повинні забезпечити, що компетентний орган держави-члена </w:t>
      </w:r>
      <w:r w:rsidR="001E2B15" w:rsidRPr="00C03848">
        <w:rPr>
          <w:lang w:val="uk-UA"/>
        </w:rPr>
        <w:t xml:space="preserve">походження </w:t>
      </w:r>
      <w:r w:rsidRPr="00C03848">
        <w:rPr>
          <w:lang w:val="uk-UA"/>
        </w:rPr>
        <w:t>(для по</w:t>
      </w:r>
      <w:r w:rsidR="003C4D33" w:rsidRPr="00C03848">
        <w:rPr>
          <w:lang w:val="uk-UA"/>
        </w:rPr>
        <w:t>літик</w:t>
      </w:r>
      <w:r w:rsidRPr="00C03848">
        <w:rPr>
          <w:lang w:val="uk-UA"/>
        </w:rPr>
        <w:t xml:space="preserve">и і процедур всієї групи) </w:t>
      </w:r>
      <w:r w:rsidR="003C4D33" w:rsidRPr="00C03848">
        <w:rPr>
          <w:lang w:val="uk-UA"/>
        </w:rPr>
        <w:t xml:space="preserve">і компетентний орган приймаючої </w:t>
      </w:r>
      <w:r w:rsidRPr="00C03848">
        <w:rPr>
          <w:lang w:val="uk-UA"/>
        </w:rPr>
        <w:t xml:space="preserve">держави-члена (для філій і дочірніх компаній) можуть розглядати, що зобов'язана особа відповідає положенням, прийнятим відповідно </w:t>
      </w:r>
      <w:r w:rsidR="00AC3A3E" w:rsidRPr="00C03848">
        <w:rPr>
          <w:lang w:val="uk-UA"/>
        </w:rPr>
        <w:t>статей</w:t>
      </w:r>
      <w:r w:rsidRPr="00C03848">
        <w:rPr>
          <w:lang w:val="uk-UA"/>
        </w:rPr>
        <w:t xml:space="preserve"> 26 і 27 в рамках своєї програми групи, </w:t>
      </w:r>
      <w:r w:rsidR="003C4D33" w:rsidRPr="00C03848">
        <w:rPr>
          <w:lang w:val="uk-UA"/>
        </w:rPr>
        <w:t>в якій повинні виконуватись</w:t>
      </w:r>
      <w:r w:rsidRPr="00C03848">
        <w:rPr>
          <w:lang w:val="uk-UA"/>
        </w:rPr>
        <w:t xml:space="preserve"> всі з наступних положень:</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3D66C6" w:rsidRPr="00C03848" w:rsidTr="003D66C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D66C6" w:rsidRPr="00C03848" w:rsidRDefault="003D66C6"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D66C6" w:rsidRPr="00C03848" w:rsidRDefault="003D66C6" w:rsidP="008B76F2">
            <w:pPr>
              <w:pStyle w:val="1"/>
              <w:spacing w:before="0" w:beforeAutospacing="0" w:after="0" w:afterAutospacing="0"/>
              <w:jc w:val="both"/>
              <w:textAlignment w:val="baseline"/>
              <w:rPr>
                <w:lang w:val="uk-UA"/>
              </w:rPr>
            </w:pPr>
            <w:r w:rsidRPr="00C03848">
              <w:rPr>
                <w:lang w:val="uk-UA"/>
              </w:rPr>
              <w:t>зобов'язана організація покладається на інформацію, представлену третьою стороною, яка є частиною тієї ж групи;</w:t>
            </w:r>
          </w:p>
        </w:tc>
      </w:tr>
    </w:tbl>
    <w:p w:rsidR="003D66C6" w:rsidRPr="00C03848" w:rsidRDefault="003D66C6"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3D66C6" w:rsidRPr="00C03848" w:rsidTr="003D66C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D66C6" w:rsidRPr="00C03848" w:rsidRDefault="003D66C6"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D66C6" w:rsidRPr="00C03848" w:rsidRDefault="003D66C6" w:rsidP="008B76F2">
            <w:pPr>
              <w:pStyle w:val="1"/>
              <w:spacing w:before="0" w:beforeAutospacing="0" w:after="0" w:afterAutospacing="0"/>
              <w:jc w:val="both"/>
              <w:textAlignment w:val="baseline"/>
              <w:rPr>
                <w:lang w:val="uk-UA"/>
              </w:rPr>
            </w:pPr>
            <w:r w:rsidRPr="00C03848">
              <w:rPr>
                <w:lang w:val="uk-UA"/>
              </w:rPr>
              <w:t xml:space="preserve">та група застосовує заходи </w:t>
            </w:r>
            <w:r w:rsidR="0023717E" w:rsidRPr="00C03848">
              <w:rPr>
                <w:lang w:val="uk-UA"/>
              </w:rPr>
              <w:t>належ</w:t>
            </w:r>
            <w:r w:rsidRPr="00C03848">
              <w:rPr>
                <w:lang w:val="uk-UA"/>
              </w:rPr>
              <w:t>ної перевірки клієнтів, правила по веденню обліку та програми з метою боротьби з відмиванням г</w:t>
            </w:r>
            <w:r w:rsidR="0023717E" w:rsidRPr="00C03848">
              <w:rPr>
                <w:lang w:val="uk-UA"/>
              </w:rPr>
              <w:t xml:space="preserve">рошей і фінансуванням тероризму </w:t>
            </w:r>
            <w:r w:rsidRPr="00C03848">
              <w:rPr>
                <w:lang w:val="uk-UA"/>
              </w:rPr>
              <w:t>відповідно до цієї Директиви або еквівалентних правил;</w:t>
            </w:r>
          </w:p>
        </w:tc>
      </w:tr>
    </w:tbl>
    <w:p w:rsidR="003D66C6" w:rsidRPr="00C03848" w:rsidRDefault="003D66C6"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3D66C6" w:rsidRPr="00C03848" w:rsidTr="003D66C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D66C6" w:rsidRPr="00C03848" w:rsidRDefault="003D66C6"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D66C6" w:rsidRPr="00C03848" w:rsidRDefault="003D66C6" w:rsidP="008B76F2">
            <w:pPr>
              <w:pStyle w:val="1"/>
              <w:spacing w:before="0" w:beforeAutospacing="0" w:after="0" w:afterAutospacing="0"/>
              <w:jc w:val="both"/>
              <w:textAlignment w:val="baseline"/>
              <w:rPr>
                <w:lang w:val="uk-UA"/>
              </w:rPr>
            </w:pPr>
            <w:r w:rsidRPr="00C03848">
              <w:rPr>
                <w:lang w:val="uk-UA"/>
              </w:rPr>
              <w:t xml:space="preserve">ефективна реалізація вимог, зазначених у пункті (b) контролюється на рівні групи компетентним органом держави-члена </w:t>
            </w:r>
            <w:r w:rsidR="009C2F80" w:rsidRPr="00C03848">
              <w:rPr>
                <w:lang w:val="uk-UA"/>
              </w:rPr>
              <w:t xml:space="preserve">походження </w:t>
            </w:r>
            <w:r w:rsidRPr="00C03848">
              <w:rPr>
                <w:lang w:val="uk-UA"/>
              </w:rPr>
              <w:t>або третьої країни.</w:t>
            </w:r>
          </w:p>
        </w:tc>
      </w:tr>
    </w:tbl>
    <w:p w:rsidR="009C2F80" w:rsidRPr="00C03848" w:rsidRDefault="009C2F80" w:rsidP="008B76F2">
      <w:pPr>
        <w:pStyle w:val="ti-art"/>
        <w:shd w:val="clear" w:color="auto" w:fill="FFFFFF"/>
        <w:spacing w:before="0" w:beforeAutospacing="0" w:after="0" w:afterAutospacing="0"/>
        <w:jc w:val="center"/>
        <w:textAlignment w:val="baseline"/>
        <w:rPr>
          <w:iCs/>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29</w:t>
      </w:r>
    </w:p>
    <w:p w:rsidR="009C2F80" w:rsidRPr="00C03848" w:rsidRDefault="009C2F80" w:rsidP="008B76F2">
      <w:pPr>
        <w:pStyle w:val="ti-art"/>
        <w:shd w:val="clear" w:color="auto" w:fill="FFFFFF"/>
        <w:spacing w:before="0" w:beforeAutospacing="0" w:after="0" w:afterAutospacing="0"/>
        <w:jc w:val="center"/>
        <w:textAlignment w:val="baseline"/>
        <w:rPr>
          <w:iCs/>
          <w:lang w:val="uk-UA"/>
        </w:rPr>
      </w:pPr>
    </w:p>
    <w:p w:rsidR="009C2F80" w:rsidRPr="00C03848" w:rsidRDefault="009C2F80" w:rsidP="008B76F2">
      <w:pPr>
        <w:pStyle w:val="1"/>
        <w:shd w:val="clear" w:color="auto" w:fill="FFFFFF"/>
        <w:spacing w:before="0" w:beforeAutospacing="0" w:after="0" w:afterAutospacing="0"/>
        <w:jc w:val="both"/>
        <w:textAlignment w:val="baseline"/>
        <w:rPr>
          <w:lang w:val="uk-UA"/>
        </w:rPr>
      </w:pPr>
      <w:r w:rsidRPr="00C03848">
        <w:rPr>
          <w:lang w:val="uk-UA"/>
        </w:rPr>
        <w:t>Даний</w:t>
      </w:r>
      <w:r w:rsidR="00C07AC9" w:rsidRPr="00C03848">
        <w:rPr>
          <w:lang w:val="uk-UA"/>
        </w:rPr>
        <w:t xml:space="preserve"> </w:t>
      </w:r>
      <w:r w:rsidR="00A5729D" w:rsidRPr="00C03848">
        <w:rPr>
          <w:lang w:val="uk-UA"/>
        </w:rPr>
        <w:t>Р</w:t>
      </w:r>
      <w:r w:rsidRPr="00C03848">
        <w:rPr>
          <w:lang w:val="uk-UA"/>
        </w:rPr>
        <w:t>озділ</w:t>
      </w:r>
      <w:r w:rsidR="00C07AC9" w:rsidRPr="00C03848">
        <w:rPr>
          <w:lang w:val="uk-UA"/>
        </w:rPr>
        <w:t xml:space="preserve"> </w:t>
      </w:r>
      <w:r w:rsidRPr="00C03848">
        <w:rPr>
          <w:lang w:val="uk-UA"/>
        </w:rPr>
        <w:t>не повинен застосовуватись до аутсорсингових або агентських відносин</w:t>
      </w:r>
      <w:r w:rsidR="009339E1" w:rsidRPr="00C03848">
        <w:rPr>
          <w:lang w:val="uk-UA"/>
        </w:rPr>
        <w:t xml:space="preserve"> у випадках</w:t>
      </w:r>
      <w:r w:rsidRPr="00C03848">
        <w:rPr>
          <w:lang w:val="uk-UA"/>
        </w:rPr>
        <w:t xml:space="preserve">, </w:t>
      </w:r>
      <w:r w:rsidR="009339E1" w:rsidRPr="00C03848">
        <w:rPr>
          <w:lang w:val="uk-UA"/>
        </w:rPr>
        <w:t>в яких</w:t>
      </w:r>
      <w:r w:rsidRPr="00C03848">
        <w:rPr>
          <w:lang w:val="uk-UA"/>
        </w:rPr>
        <w:t xml:space="preserve"> на основі контракт</w:t>
      </w:r>
      <w:r w:rsidR="009339E1" w:rsidRPr="00C03848">
        <w:rPr>
          <w:lang w:val="uk-UA"/>
        </w:rPr>
        <w:t>у зовнішній постачальник або агент має</w:t>
      </w:r>
      <w:r w:rsidRPr="00C03848">
        <w:rPr>
          <w:lang w:val="uk-UA"/>
        </w:rPr>
        <w:t xml:space="preserve"> розглядати</w:t>
      </w:r>
      <w:r w:rsidR="009339E1" w:rsidRPr="00C03848">
        <w:rPr>
          <w:lang w:val="uk-UA"/>
        </w:rPr>
        <w:t>сь</w:t>
      </w:r>
      <w:r w:rsidRPr="00C03848">
        <w:rPr>
          <w:lang w:val="uk-UA"/>
        </w:rPr>
        <w:t xml:space="preserve"> як частин</w:t>
      </w:r>
      <w:r w:rsidR="009339E1" w:rsidRPr="00C03848">
        <w:rPr>
          <w:lang w:val="uk-UA"/>
        </w:rPr>
        <w:t>а</w:t>
      </w:r>
      <w:r w:rsidRPr="00C03848">
        <w:rPr>
          <w:lang w:val="uk-UA"/>
        </w:rPr>
        <w:t xml:space="preserve"> зобов'язаної особи.</w:t>
      </w:r>
    </w:p>
    <w:p w:rsidR="009C2F80" w:rsidRPr="00C03848" w:rsidRDefault="009C2F80" w:rsidP="008B76F2">
      <w:pPr>
        <w:pStyle w:val="1"/>
        <w:shd w:val="clear" w:color="auto" w:fill="FFFFFF"/>
        <w:spacing w:before="0" w:beforeAutospacing="0" w:after="0" w:afterAutospacing="0"/>
        <w:jc w:val="both"/>
        <w:textAlignment w:val="baseline"/>
        <w:rPr>
          <w:lang w:val="uk-UA"/>
        </w:rPr>
      </w:pPr>
    </w:p>
    <w:p w:rsidR="00C07AC9" w:rsidRPr="00C03848" w:rsidRDefault="00B272FB" w:rsidP="008B76F2">
      <w:pPr>
        <w:pStyle w:val="ti-section-1"/>
        <w:shd w:val="clear" w:color="auto" w:fill="FFFFFF"/>
        <w:spacing w:before="0" w:beforeAutospacing="0" w:after="0" w:afterAutospacing="0"/>
        <w:jc w:val="center"/>
        <w:textAlignment w:val="baseline"/>
        <w:rPr>
          <w:bCs/>
          <w:lang w:val="uk-UA"/>
        </w:rPr>
      </w:pPr>
      <w:r w:rsidRPr="00C03848">
        <w:rPr>
          <w:bCs/>
          <w:lang w:val="uk-UA"/>
        </w:rPr>
        <w:t>ГЛАВА</w:t>
      </w:r>
      <w:r w:rsidR="00C07AC9" w:rsidRPr="00C03848">
        <w:rPr>
          <w:bCs/>
          <w:lang w:val="uk-UA"/>
        </w:rPr>
        <w:t xml:space="preserve"> III</w:t>
      </w:r>
    </w:p>
    <w:p w:rsidR="00C07AC9" w:rsidRPr="00C03848" w:rsidRDefault="001C6620" w:rsidP="008B76F2">
      <w:pPr>
        <w:pStyle w:val="ti-section-2"/>
        <w:shd w:val="clear" w:color="auto" w:fill="FFFFFF"/>
        <w:spacing w:before="0" w:beforeAutospacing="0" w:after="0" w:afterAutospacing="0"/>
        <w:jc w:val="center"/>
        <w:textAlignment w:val="baseline"/>
        <w:rPr>
          <w:rStyle w:val="bold"/>
          <w:bCs/>
          <w:bdr w:val="none" w:sz="0" w:space="0" w:color="auto" w:frame="1"/>
          <w:lang w:val="uk-UA"/>
        </w:rPr>
      </w:pPr>
      <w:r w:rsidRPr="00C03848">
        <w:rPr>
          <w:rStyle w:val="bold"/>
          <w:bCs/>
          <w:bdr w:val="none" w:sz="0" w:space="0" w:color="auto" w:frame="1"/>
          <w:lang w:val="uk-UA"/>
        </w:rPr>
        <w:t>ІНФОРМАЦІЯ ПРО БЕНЕФІЦІАРНИХ ВЛАСНИКІВ</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30</w:t>
      </w:r>
    </w:p>
    <w:p w:rsidR="001C6620" w:rsidRPr="00C03848" w:rsidRDefault="001C6620" w:rsidP="008B76F2">
      <w:pPr>
        <w:pStyle w:val="ti-art"/>
        <w:shd w:val="clear" w:color="auto" w:fill="FFFFFF"/>
        <w:spacing w:before="0" w:beforeAutospacing="0" w:after="0" w:afterAutospacing="0"/>
        <w:jc w:val="center"/>
        <w:textAlignment w:val="baseline"/>
        <w:rPr>
          <w:iCs/>
          <w:lang w:val="uk-UA"/>
        </w:rPr>
      </w:pPr>
    </w:p>
    <w:p w:rsidR="006073BE" w:rsidRPr="00C03848" w:rsidRDefault="006073BE" w:rsidP="008B76F2">
      <w:pPr>
        <w:pStyle w:val="1"/>
        <w:shd w:val="clear" w:color="auto" w:fill="FFFFFF"/>
        <w:spacing w:before="0" w:beforeAutospacing="0" w:after="0" w:afterAutospacing="0"/>
        <w:jc w:val="both"/>
        <w:textAlignment w:val="baseline"/>
        <w:rPr>
          <w:lang w:val="uk-UA"/>
        </w:rPr>
      </w:pPr>
      <w:r w:rsidRPr="00C03848">
        <w:rPr>
          <w:lang w:val="uk-UA"/>
        </w:rPr>
        <w:t xml:space="preserve">1.    Держави-члени повинні забезпечити, щоб корпоративні та інші юридичні особи, </w:t>
      </w:r>
      <w:r w:rsidR="000203E0" w:rsidRPr="00C03848">
        <w:rPr>
          <w:lang w:val="uk-UA"/>
        </w:rPr>
        <w:t>зареєстрова</w:t>
      </w:r>
      <w:r w:rsidRPr="00C03848">
        <w:rPr>
          <w:lang w:val="uk-UA"/>
        </w:rPr>
        <w:t xml:space="preserve">ні в межах своєї території, повинні отримати і утримувати достовірну, точну та актуальну інформацію про їх бенефіціарне володіння, </w:t>
      </w:r>
      <w:r w:rsidR="000203E0" w:rsidRPr="00C03848">
        <w:rPr>
          <w:lang w:val="uk-UA"/>
        </w:rPr>
        <w:t xml:space="preserve">включаючи детальну інформацію </w:t>
      </w:r>
      <w:r w:rsidRPr="00C03848">
        <w:rPr>
          <w:lang w:val="uk-UA"/>
        </w:rPr>
        <w:t>про бе</w:t>
      </w:r>
      <w:r w:rsidR="00AF7A61" w:rsidRPr="00C03848">
        <w:rPr>
          <w:lang w:val="uk-UA"/>
        </w:rPr>
        <w:t>нефіці</w:t>
      </w:r>
      <w:r w:rsidR="000203E0" w:rsidRPr="00C03848">
        <w:rPr>
          <w:lang w:val="uk-UA"/>
        </w:rPr>
        <w:t>арні інтереси</w:t>
      </w:r>
      <w:r w:rsidRPr="00C03848">
        <w:rPr>
          <w:lang w:val="uk-UA"/>
        </w:rPr>
        <w:t>.</w:t>
      </w:r>
    </w:p>
    <w:p w:rsidR="006073BE" w:rsidRPr="00C03848" w:rsidRDefault="006073BE" w:rsidP="008B76F2">
      <w:pPr>
        <w:pStyle w:val="1"/>
        <w:shd w:val="clear" w:color="auto" w:fill="FFFFFF"/>
        <w:spacing w:before="0" w:beforeAutospacing="0" w:after="0" w:afterAutospacing="0"/>
        <w:jc w:val="both"/>
        <w:textAlignment w:val="baseline"/>
        <w:rPr>
          <w:lang w:val="uk-UA"/>
        </w:rPr>
      </w:pPr>
      <w:r w:rsidRPr="00C03848">
        <w:rPr>
          <w:lang w:val="uk-UA"/>
        </w:rPr>
        <w:t xml:space="preserve">Держави-члени повинні забезпечити, що ці особи зобов'язані представити на додаток до інформації про їх правовласника, інформацію про </w:t>
      </w:r>
      <w:r w:rsidR="000203E0" w:rsidRPr="00C03848">
        <w:rPr>
          <w:lang w:val="uk-UA"/>
        </w:rPr>
        <w:t xml:space="preserve">бенефіціарного власника зобов'язаним </w:t>
      </w:r>
      <w:r w:rsidRPr="00C03848">
        <w:rPr>
          <w:lang w:val="uk-UA"/>
        </w:rPr>
        <w:t xml:space="preserve">особам, коли зобов'язані особи виконують заходи з </w:t>
      </w:r>
      <w:r w:rsidR="000203E0" w:rsidRPr="00C03848">
        <w:rPr>
          <w:lang w:val="uk-UA"/>
        </w:rPr>
        <w:t>належ</w:t>
      </w:r>
      <w:r w:rsidRPr="00C03848">
        <w:rPr>
          <w:lang w:val="uk-UA"/>
        </w:rPr>
        <w:t>ної перевірки клієнтів відповідно до глави II.</w:t>
      </w:r>
    </w:p>
    <w:p w:rsidR="006330D0" w:rsidRPr="00C03848" w:rsidRDefault="006330D0" w:rsidP="008B76F2">
      <w:pPr>
        <w:pStyle w:val="1"/>
        <w:shd w:val="clear" w:color="auto" w:fill="FFFFFF"/>
        <w:spacing w:before="0" w:beforeAutospacing="0" w:after="0" w:afterAutospacing="0"/>
        <w:jc w:val="both"/>
        <w:textAlignment w:val="baseline"/>
        <w:rPr>
          <w:lang w:val="uk-UA"/>
        </w:rPr>
      </w:pPr>
      <w:r w:rsidRPr="00C03848">
        <w:rPr>
          <w:lang w:val="uk-UA"/>
        </w:rPr>
        <w:lastRenderedPageBreak/>
        <w:t>2.  Держави-члени повинні вимагати, щоб інформація, зазначена в пункті 1, могла бути своєчасно доступною для компетентних органів і FIU.</w:t>
      </w:r>
    </w:p>
    <w:p w:rsidR="006330D0" w:rsidRPr="00C03848" w:rsidRDefault="006330D0" w:rsidP="008B76F2">
      <w:pPr>
        <w:pStyle w:val="1"/>
        <w:shd w:val="clear" w:color="auto" w:fill="FFFFFF"/>
        <w:spacing w:before="0" w:beforeAutospacing="0" w:after="0" w:afterAutospacing="0"/>
        <w:jc w:val="both"/>
        <w:textAlignment w:val="baseline"/>
        <w:rPr>
          <w:lang w:val="uk-UA"/>
        </w:rPr>
      </w:pPr>
      <w:r w:rsidRPr="00C03848">
        <w:rPr>
          <w:lang w:val="uk-UA"/>
        </w:rPr>
        <w:t xml:space="preserve">3.    Держави-члени повинні забезпечити, що інформація, зазначена в пункті 1, зберігається в центральному реєстрі в кожній державі-члені, наприклад, </w:t>
      </w:r>
      <w:r w:rsidR="00EA349E" w:rsidRPr="00C03848">
        <w:rPr>
          <w:lang w:val="uk-UA"/>
        </w:rPr>
        <w:t xml:space="preserve">в </w:t>
      </w:r>
      <w:r w:rsidRPr="00C03848">
        <w:rPr>
          <w:lang w:val="uk-UA"/>
        </w:rPr>
        <w:t>комерційн</w:t>
      </w:r>
      <w:r w:rsidR="00EA349E" w:rsidRPr="00C03848">
        <w:rPr>
          <w:lang w:val="uk-UA"/>
        </w:rPr>
        <w:t>ому</w:t>
      </w:r>
      <w:r w:rsidRPr="00C03848">
        <w:rPr>
          <w:lang w:val="uk-UA"/>
        </w:rPr>
        <w:t xml:space="preserve"> реєстр</w:t>
      </w:r>
      <w:r w:rsidR="00EA349E" w:rsidRPr="00C03848">
        <w:rPr>
          <w:lang w:val="uk-UA"/>
        </w:rPr>
        <w:t>і</w:t>
      </w:r>
      <w:r w:rsidRPr="00C03848">
        <w:rPr>
          <w:lang w:val="uk-UA"/>
        </w:rPr>
        <w:t>, реєстр</w:t>
      </w:r>
      <w:r w:rsidR="00EA349E" w:rsidRPr="00C03848">
        <w:rPr>
          <w:lang w:val="uk-UA"/>
        </w:rPr>
        <w:t>і</w:t>
      </w:r>
      <w:r w:rsidRPr="00C03848">
        <w:rPr>
          <w:lang w:val="uk-UA"/>
        </w:rPr>
        <w:t xml:space="preserve"> комп</w:t>
      </w:r>
      <w:r w:rsidR="00EA349E" w:rsidRPr="00C03848">
        <w:rPr>
          <w:lang w:val="uk-UA"/>
        </w:rPr>
        <w:t>аній, як зазначено в Статті 3 Директиви 2009/101/Е</w:t>
      </w:r>
      <w:r w:rsidRPr="00C03848">
        <w:rPr>
          <w:lang w:val="uk-UA"/>
        </w:rPr>
        <w:t>С Європейського Парламенту та Ради</w:t>
      </w:r>
      <w:hyperlink r:id="rId38" w:anchor="ntr31-L_2015141EN.01007301-E0031" w:history="1">
        <w:r w:rsidRPr="00C03848">
          <w:rPr>
            <w:rStyle w:val="Hyperlink"/>
            <w:color w:val="auto"/>
            <w:bdr w:val="none" w:sz="0" w:space="0" w:color="auto" w:frame="1"/>
            <w:lang w:val="uk-UA"/>
          </w:rPr>
          <w:t> (</w:t>
        </w:r>
        <w:r w:rsidRPr="00C03848">
          <w:rPr>
            <w:rStyle w:val="super"/>
            <w:sz w:val="24"/>
            <w:szCs w:val="24"/>
            <w:bdr w:val="none" w:sz="0" w:space="0" w:color="auto" w:frame="1"/>
            <w:lang w:val="uk-UA"/>
          </w:rPr>
          <w:t>31</w:t>
        </w:r>
        <w:r w:rsidRPr="00C03848">
          <w:rPr>
            <w:rStyle w:val="Hyperlink"/>
            <w:color w:val="auto"/>
            <w:bdr w:val="none" w:sz="0" w:space="0" w:color="auto" w:frame="1"/>
            <w:lang w:val="uk-UA"/>
          </w:rPr>
          <w:t>)</w:t>
        </w:r>
      </w:hyperlink>
      <w:r w:rsidRPr="00C03848">
        <w:rPr>
          <w:lang w:val="uk-UA"/>
        </w:rPr>
        <w:t>, або державно</w:t>
      </w:r>
      <w:r w:rsidR="00EA349E" w:rsidRPr="00C03848">
        <w:rPr>
          <w:lang w:val="uk-UA"/>
        </w:rPr>
        <w:t>му</w:t>
      </w:r>
      <w:r w:rsidRPr="00C03848">
        <w:rPr>
          <w:lang w:val="uk-UA"/>
        </w:rPr>
        <w:t xml:space="preserve"> реєстр</w:t>
      </w:r>
      <w:r w:rsidR="00EA349E" w:rsidRPr="00C03848">
        <w:rPr>
          <w:lang w:val="uk-UA"/>
        </w:rPr>
        <w:t>і</w:t>
      </w:r>
      <w:r w:rsidRPr="00C03848">
        <w:rPr>
          <w:lang w:val="uk-UA"/>
        </w:rPr>
        <w:t>. Держави-члени</w:t>
      </w:r>
      <w:r w:rsidR="00EA349E" w:rsidRPr="00C03848">
        <w:rPr>
          <w:lang w:val="uk-UA"/>
        </w:rPr>
        <w:t xml:space="preserve"> повинні повідоми</w:t>
      </w:r>
      <w:r w:rsidR="00AF7A61" w:rsidRPr="00C03848">
        <w:rPr>
          <w:lang w:val="uk-UA"/>
        </w:rPr>
        <w:t xml:space="preserve">ти Комісії </w:t>
      </w:r>
      <w:r w:rsidRPr="00C03848">
        <w:rPr>
          <w:lang w:val="uk-UA"/>
        </w:rPr>
        <w:t xml:space="preserve">характеристики </w:t>
      </w:r>
      <w:r w:rsidR="00EA349E" w:rsidRPr="00C03848">
        <w:rPr>
          <w:lang w:val="uk-UA"/>
        </w:rPr>
        <w:t>зазначен</w:t>
      </w:r>
      <w:r w:rsidRPr="00C03848">
        <w:rPr>
          <w:lang w:val="uk-UA"/>
        </w:rPr>
        <w:t xml:space="preserve">их національних механізмів. Інформація про </w:t>
      </w:r>
      <w:r w:rsidR="00AF7A61" w:rsidRPr="00C03848">
        <w:rPr>
          <w:lang w:val="uk-UA"/>
        </w:rPr>
        <w:t>бенефіціар</w:t>
      </w:r>
      <w:r w:rsidRPr="00C03848">
        <w:rPr>
          <w:lang w:val="uk-UA"/>
        </w:rPr>
        <w:t>них власників, я</w:t>
      </w:r>
      <w:r w:rsidR="00EA349E" w:rsidRPr="00C03848">
        <w:rPr>
          <w:lang w:val="uk-UA"/>
        </w:rPr>
        <w:t xml:space="preserve">ка міститься в цій базі даних, </w:t>
      </w:r>
      <w:r w:rsidRPr="00C03848">
        <w:rPr>
          <w:lang w:val="uk-UA"/>
        </w:rPr>
        <w:t>може бути зібрана у відповідності з національними системами.</w:t>
      </w:r>
    </w:p>
    <w:p w:rsidR="001F1425" w:rsidRPr="00C03848" w:rsidRDefault="001F1425" w:rsidP="008B76F2">
      <w:pPr>
        <w:pStyle w:val="1"/>
        <w:shd w:val="clear" w:color="auto" w:fill="FFFFFF"/>
        <w:spacing w:before="0" w:beforeAutospacing="0" w:after="0" w:afterAutospacing="0"/>
        <w:jc w:val="both"/>
        <w:textAlignment w:val="baseline"/>
        <w:rPr>
          <w:lang w:val="uk-UA"/>
        </w:rPr>
      </w:pPr>
      <w:r w:rsidRPr="00C03848">
        <w:rPr>
          <w:lang w:val="uk-UA"/>
        </w:rPr>
        <w:t>4.    Держави-члени повинні вимагати, щоб інформація, що міститься в центральному реєстрі, зазначеному у пункті 3,  була б адекватною, точною і актуальною.</w:t>
      </w:r>
    </w:p>
    <w:p w:rsidR="001F1425" w:rsidRPr="00C03848" w:rsidRDefault="001F1425" w:rsidP="008B76F2">
      <w:pPr>
        <w:pStyle w:val="1"/>
        <w:shd w:val="clear" w:color="auto" w:fill="FFFFFF"/>
        <w:spacing w:before="0" w:beforeAutospacing="0" w:after="0" w:afterAutospacing="0"/>
        <w:jc w:val="both"/>
        <w:textAlignment w:val="baseline"/>
        <w:rPr>
          <w:lang w:val="uk-UA"/>
        </w:rPr>
      </w:pPr>
      <w:r w:rsidRPr="00C03848">
        <w:rPr>
          <w:lang w:val="uk-UA"/>
        </w:rPr>
        <w:t>5.    Держави-члени повинні гаранту</w:t>
      </w:r>
      <w:r w:rsidR="00AF7A61" w:rsidRPr="00C03848">
        <w:rPr>
          <w:lang w:val="uk-UA"/>
        </w:rPr>
        <w:t>вати, що інформація про бенефіці</w:t>
      </w:r>
      <w:r w:rsidRPr="00C03848">
        <w:rPr>
          <w:lang w:val="uk-UA"/>
        </w:rPr>
        <w:t>арних власників доступна у всіх випадках:</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578"/>
        <w:gridCol w:w="8882"/>
      </w:tblGrid>
      <w:tr w:rsidR="001F1425" w:rsidRPr="00C03848" w:rsidTr="001F142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F1425" w:rsidRPr="00C03848" w:rsidRDefault="001F1425"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F1425" w:rsidRPr="00C03848" w:rsidRDefault="001F1425" w:rsidP="008B76F2">
            <w:pPr>
              <w:pStyle w:val="1"/>
              <w:spacing w:before="0" w:beforeAutospacing="0" w:after="0" w:afterAutospacing="0"/>
              <w:jc w:val="both"/>
              <w:textAlignment w:val="baseline"/>
              <w:rPr>
                <w:lang w:val="uk-UA"/>
              </w:rPr>
            </w:pPr>
            <w:r w:rsidRPr="00C03848">
              <w:rPr>
                <w:lang w:val="uk-UA"/>
              </w:rPr>
              <w:t>компетентним органам і FIU, без будь-яких обмежень;</w:t>
            </w:r>
          </w:p>
        </w:tc>
      </w:tr>
    </w:tbl>
    <w:p w:rsidR="001F1425" w:rsidRPr="00C03848" w:rsidRDefault="001F1425"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6"/>
        <w:gridCol w:w="9074"/>
      </w:tblGrid>
      <w:tr w:rsidR="001F1425" w:rsidRPr="00C03848" w:rsidTr="001F142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F1425" w:rsidRPr="00C03848" w:rsidRDefault="001F1425"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F1425" w:rsidRPr="00C03848" w:rsidRDefault="001F1425" w:rsidP="008B76F2">
            <w:pPr>
              <w:pStyle w:val="1"/>
              <w:spacing w:before="0" w:beforeAutospacing="0" w:after="0" w:afterAutospacing="0"/>
              <w:jc w:val="both"/>
              <w:textAlignment w:val="baseline"/>
              <w:rPr>
                <w:lang w:val="uk-UA"/>
              </w:rPr>
            </w:pPr>
            <w:r w:rsidRPr="00C03848">
              <w:rPr>
                <w:lang w:val="uk-UA"/>
              </w:rPr>
              <w:t>зобов'язаним особам, в рамках ретельної перевірки клієнта у відповідності з Главою II;</w:t>
            </w:r>
          </w:p>
        </w:tc>
      </w:tr>
    </w:tbl>
    <w:p w:rsidR="001F1425" w:rsidRPr="00C03848" w:rsidRDefault="001F1425"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411"/>
        <w:gridCol w:w="9049"/>
      </w:tblGrid>
      <w:tr w:rsidR="001F1425" w:rsidRPr="00C03848" w:rsidTr="001F1425">
        <w:trPr>
          <w:trHeight w:val="74"/>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F1425" w:rsidRPr="00C03848" w:rsidRDefault="001F1425"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F1425" w:rsidRPr="00C03848" w:rsidRDefault="001F1425" w:rsidP="008B76F2">
            <w:pPr>
              <w:pStyle w:val="1"/>
              <w:spacing w:before="0" w:beforeAutospacing="0" w:after="0" w:afterAutospacing="0"/>
              <w:jc w:val="both"/>
              <w:textAlignment w:val="baseline"/>
              <w:rPr>
                <w:lang w:val="uk-UA"/>
              </w:rPr>
            </w:pPr>
            <w:r w:rsidRPr="00C03848">
              <w:rPr>
                <w:lang w:val="uk-UA"/>
              </w:rPr>
              <w:t xml:space="preserve"> будь-якій особі або організації, яка може продемонструвати законний інтерес.</w:t>
            </w:r>
          </w:p>
        </w:tc>
      </w:tr>
    </w:tbl>
    <w:p w:rsidR="00B628D2" w:rsidRPr="00C03848" w:rsidRDefault="00B628D2" w:rsidP="008B76F2">
      <w:pPr>
        <w:pStyle w:val="1"/>
        <w:shd w:val="clear" w:color="auto" w:fill="FFFFFF"/>
        <w:spacing w:before="0" w:beforeAutospacing="0" w:after="0" w:afterAutospacing="0"/>
        <w:jc w:val="both"/>
        <w:textAlignment w:val="baseline"/>
        <w:rPr>
          <w:lang w:val="uk-UA"/>
        </w:rPr>
      </w:pPr>
      <w:r w:rsidRPr="00C03848">
        <w:rPr>
          <w:lang w:val="uk-UA"/>
        </w:rPr>
        <w:t xml:space="preserve">Особи чи організації, які зазначені в пункті (с), повинні мати доступ принаймні до такої інформації, як ім'я, місяць і рік народження, громадянство і країна проживання бенефіціарного власника, а також характер і ступінь </w:t>
      </w:r>
      <w:r w:rsidR="008B5790" w:rsidRPr="00C03848">
        <w:rPr>
          <w:lang w:val="uk-UA"/>
        </w:rPr>
        <w:t>бенефіціарного інтересу</w:t>
      </w:r>
      <w:r w:rsidRPr="00C03848">
        <w:rPr>
          <w:lang w:val="uk-UA"/>
        </w:rPr>
        <w:t>.</w:t>
      </w:r>
    </w:p>
    <w:p w:rsidR="00B628D2" w:rsidRPr="00C03848" w:rsidRDefault="00B628D2" w:rsidP="008B76F2">
      <w:pPr>
        <w:pStyle w:val="1"/>
        <w:shd w:val="clear" w:color="auto" w:fill="FFFFFF"/>
        <w:spacing w:before="0" w:beforeAutospacing="0" w:after="0" w:afterAutospacing="0"/>
        <w:jc w:val="both"/>
        <w:textAlignment w:val="baseline"/>
        <w:rPr>
          <w:lang w:val="uk-UA"/>
        </w:rPr>
      </w:pPr>
      <w:r w:rsidRPr="00C03848">
        <w:rPr>
          <w:lang w:val="uk-UA"/>
        </w:rPr>
        <w:t xml:space="preserve">Для цілей цього пункту, доступ до інформації про </w:t>
      </w:r>
      <w:r w:rsidR="00AF7A61" w:rsidRPr="00C03848">
        <w:rPr>
          <w:lang w:val="uk-UA"/>
        </w:rPr>
        <w:t>бенефіціар</w:t>
      </w:r>
      <w:r w:rsidRPr="00C03848">
        <w:rPr>
          <w:lang w:val="uk-UA"/>
        </w:rPr>
        <w:t>них власників повин</w:t>
      </w:r>
      <w:r w:rsidR="00B9319B" w:rsidRPr="00C03848">
        <w:rPr>
          <w:lang w:val="uk-UA"/>
        </w:rPr>
        <w:t>е</w:t>
      </w:r>
      <w:r w:rsidRPr="00C03848">
        <w:rPr>
          <w:lang w:val="uk-UA"/>
        </w:rPr>
        <w:t xml:space="preserve">н бути </w:t>
      </w:r>
      <w:r w:rsidR="00B9319B" w:rsidRPr="00C03848">
        <w:rPr>
          <w:lang w:val="uk-UA"/>
        </w:rPr>
        <w:t xml:space="preserve">наданий </w:t>
      </w:r>
      <w:r w:rsidRPr="00C03848">
        <w:rPr>
          <w:lang w:val="uk-UA"/>
        </w:rPr>
        <w:t>у відповідності з правилами захисту даних і може підлягати реєстрації в режимі онлайн зі сплатою комісійної винагороди. Плата, яка стягується за отримання інформації, не повинна перевищувати їх адміністративні витрати.</w:t>
      </w:r>
    </w:p>
    <w:p w:rsidR="00A610BE" w:rsidRPr="00C03848" w:rsidRDefault="00A610BE" w:rsidP="008B76F2">
      <w:pPr>
        <w:pStyle w:val="1"/>
        <w:shd w:val="clear" w:color="auto" w:fill="FFFFFF"/>
        <w:spacing w:before="0" w:beforeAutospacing="0" w:after="0" w:afterAutospacing="0"/>
        <w:jc w:val="both"/>
        <w:textAlignment w:val="baseline"/>
        <w:rPr>
          <w:lang w:val="uk-UA"/>
        </w:rPr>
      </w:pPr>
      <w:r w:rsidRPr="00C03848">
        <w:rPr>
          <w:lang w:val="uk-UA"/>
        </w:rPr>
        <w:t>6. Центральний реєстр, зазначений у пункті 3, повинен забезпечувати своєчасний і необмежений доступ компетентних органів і FIU, без поперед</w:t>
      </w:r>
      <w:r w:rsidR="0033047A" w:rsidRPr="00C03848">
        <w:rPr>
          <w:lang w:val="uk-UA"/>
        </w:rPr>
        <w:t xml:space="preserve">ження відповідної організації. </w:t>
      </w:r>
      <w:r w:rsidRPr="00C03848">
        <w:rPr>
          <w:lang w:val="uk-UA"/>
        </w:rPr>
        <w:t>Він</w:t>
      </w:r>
      <w:r w:rsidR="0033047A" w:rsidRPr="00C03848">
        <w:rPr>
          <w:lang w:val="uk-UA"/>
        </w:rPr>
        <w:t xml:space="preserve"> також повинен </w:t>
      </w:r>
      <w:r w:rsidRPr="00C03848">
        <w:rPr>
          <w:lang w:val="uk-UA"/>
        </w:rPr>
        <w:t xml:space="preserve">дозволити своєчасний доступ зобов'язаних осіб при виконані заходів </w:t>
      </w:r>
      <w:r w:rsidR="0033047A" w:rsidRPr="00C03848">
        <w:rPr>
          <w:lang w:val="uk-UA"/>
        </w:rPr>
        <w:t>належ</w:t>
      </w:r>
      <w:r w:rsidRPr="00C03848">
        <w:rPr>
          <w:lang w:val="uk-UA"/>
        </w:rPr>
        <w:t>ної перевірки  клієнта.</w:t>
      </w:r>
    </w:p>
    <w:p w:rsidR="00A610BE" w:rsidRPr="00C03848" w:rsidRDefault="00A610BE" w:rsidP="008B76F2">
      <w:pPr>
        <w:pStyle w:val="1"/>
        <w:shd w:val="clear" w:color="auto" w:fill="FFFFFF"/>
        <w:spacing w:before="0" w:beforeAutospacing="0" w:after="0" w:afterAutospacing="0"/>
        <w:jc w:val="both"/>
        <w:textAlignment w:val="baseline"/>
        <w:rPr>
          <w:lang w:val="uk-UA"/>
        </w:rPr>
      </w:pPr>
      <w:r w:rsidRPr="00C03848">
        <w:rPr>
          <w:lang w:val="uk-UA"/>
        </w:rPr>
        <w:t>7.   Держави-члени повинні забезпечити, щоб компетентні органи і FIU були в змозі</w:t>
      </w:r>
      <w:r w:rsidR="0033047A" w:rsidRPr="00C03848">
        <w:rPr>
          <w:lang w:val="uk-UA"/>
        </w:rPr>
        <w:t xml:space="preserve"> своєчасно</w:t>
      </w:r>
      <w:r w:rsidRPr="00C03848">
        <w:rPr>
          <w:lang w:val="uk-UA"/>
        </w:rPr>
        <w:t xml:space="preserve"> надати інформацію, зазначену в пунктах 1 і 3,  компетентним органам і FIU інших держав-членів.</w:t>
      </w:r>
    </w:p>
    <w:p w:rsidR="00C20C69" w:rsidRPr="00C03848" w:rsidRDefault="00C20C69" w:rsidP="008B76F2">
      <w:pPr>
        <w:pStyle w:val="1"/>
        <w:shd w:val="clear" w:color="auto" w:fill="FFFFFF"/>
        <w:spacing w:before="0" w:beforeAutospacing="0" w:after="0" w:afterAutospacing="0"/>
        <w:jc w:val="both"/>
        <w:textAlignment w:val="baseline"/>
        <w:rPr>
          <w:lang w:val="uk-UA"/>
        </w:rPr>
      </w:pPr>
      <w:r w:rsidRPr="00C03848">
        <w:rPr>
          <w:lang w:val="uk-UA"/>
        </w:rPr>
        <w:t xml:space="preserve">8.    Держави-члени повинні вимагати, щоб зобов'язані особи  не покладалися виключно на центральний реєстр, згаданий в пункті 3, щоб виконати свої заходи належної </w:t>
      </w:r>
      <w:r w:rsidR="00AC3A3E" w:rsidRPr="00C03848">
        <w:rPr>
          <w:lang w:val="uk-UA"/>
        </w:rPr>
        <w:t>перевірки</w:t>
      </w:r>
      <w:r w:rsidRPr="00C03848">
        <w:rPr>
          <w:lang w:val="uk-UA"/>
        </w:rPr>
        <w:t xml:space="preserve"> клієнтів у відповідності з главою II. Зазначені заходи повинні бути виконані з використанням підходу на основі врахування ризику.</w:t>
      </w:r>
    </w:p>
    <w:p w:rsidR="00D152B5" w:rsidRPr="00C03848" w:rsidRDefault="00D152B5" w:rsidP="008B76F2">
      <w:pPr>
        <w:pStyle w:val="1"/>
        <w:shd w:val="clear" w:color="auto" w:fill="FFFFFF"/>
        <w:spacing w:before="0" w:beforeAutospacing="0" w:after="0" w:afterAutospacing="0"/>
        <w:jc w:val="both"/>
        <w:textAlignment w:val="baseline"/>
        <w:rPr>
          <w:lang w:val="uk-UA"/>
        </w:rPr>
      </w:pPr>
      <w:r w:rsidRPr="00C03848">
        <w:rPr>
          <w:lang w:val="uk-UA"/>
        </w:rPr>
        <w:t>9.    Держави-члени можуть надавати звільнення стосовно доступу, зазна</w:t>
      </w:r>
      <w:r w:rsidR="00AF7A61" w:rsidRPr="00C03848">
        <w:rPr>
          <w:lang w:val="uk-UA"/>
        </w:rPr>
        <w:t>ченого</w:t>
      </w:r>
      <w:r w:rsidRPr="00C03848">
        <w:rPr>
          <w:lang w:val="uk-UA"/>
        </w:rPr>
        <w:t xml:space="preserve"> в підпунктах (b) і (с) пункту 5 для всієї або частини інформації про </w:t>
      </w:r>
      <w:r w:rsidR="00AF7A61" w:rsidRPr="00C03848">
        <w:rPr>
          <w:lang w:val="uk-UA"/>
        </w:rPr>
        <w:t>бенефіціар</w:t>
      </w:r>
      <w:r w:rsidRPr="00C03848">
        <w:rPr>
          <w:lang w:val="uk-UA"/>
        </w:rPr>
        <w:t>них власників на індивідуальній основі при виняткових обставинах, коли такий доступ підда</w:t>
      </w:r>
      <w:r w:rsidR="00AC3A3E" w:rsidRPr="00C03848">
        <w:rPr>
          <w:lang w:val="uk-UA"/>
        </w:rPr>
        <w:t>є</w:t>
      </w:r>
      <w:r w:rsidRPr="00C03848">
        <w:rPr>
          <w:lang w:val="uk-UA"/>
        </w:rPr>
        <w:t xml:space="preserve"> бенефіціарного власника ризику шахрайства, викрадення, </w:t>
      </w:r>
      <w:r w:rsidR="00AC3A3E" w:rsidRPr="00C03848">
        <w:rPr>
          <w:lang w:val="uk-UA"/>
        </w:rPr>
        <w:t>шантажу</w:t>
      </w:r>
      <w:r w:rsidRPr="00C03848">
        <w:rPr>
          <w:lang w:val="uk-UA"/>
        </w:rPr>
        <w:t>, залякування або насильства, або у випадку, якщо власник є неповнолітнім чи будь-яким іншим чином не здатний надати доступ. Звільнення, що надаються відповідно до цього пункту, не повинні застосовуватись до кредитних організацій і фінансових установ, і до зобов'язаних осіб, згаданих в пункті (3) (b) Статті 2 (1), які є державними чиновниками.</w:t>
      </w:r>
    </w:p>
    <w:p w:rsidR="00D152B5" w:rsidRPr="00C03848" w:rsidRDefault="00D152B5" w:rsidP="008B76F2">
      <w:pPr>
        <w:pStyle w:val="1"/>
        <w:shd w:val="clear" w:color="auto" w:fill="FFFFFF"/>
        <w:spacing w:before="0" w:beforeAutospacing="0" w:after="0" w:afterAutospacing="0"/>
        <w:jc w:val="both"/>
        <w:textAlignment w:val="baseline"/>
        <w:rPr>
          <w:lang w:val="uk-UA"/>
        </w:rPr>
      </w:pPr>
      <w:r w:rsidRPr="00C03848">
        <w:rPr>
          <w:lang w:val="uk-UA"/>
        </w:rPr>
        <w:t xml:space="preserve">10.    До 26 червня 2019 року, Комісія повинна представити Європейському Парламенту та Раді звіт, в якому представлена оцінка умов і технічних </w:t>
      </w:r>
      <w:r w:rsidR="00AC3A3E" w:rsidRPr="00C03848">
        <w:rPr>
          <w:lang w:val="uk-UA"/>
        </w:rPr>
        <w:t>специфікацій</w:t>
      </w:r>
      <w:r w:rsidRPr="00C03848">
        <w:rPr>
          <w:lang w:val="uk-UA"/>
        </w:rPr>
        <w:t xml:space="preserve"> та процедур, для забезпечення безпечного та ефективного взаємозв'язку центральних реєстрів, згаданих у пункті 3, за допомогою використання Європейської центральної платформи, зазначеної в Статті 4а (1) Директиви 2009/101/EC. У доречних випадках, зазначений звіт повинен супроводжуватись законодавчими пропозиціями.</w:t>
      </w:r>
    </w:p>
    <w:p w:rsidR="00C20C69" w:rsidRPr="00C03848" w:rsidRDefault="00C20C69" w:rsidP="008B76F2">
      <w:pPr>
        <w:pStyle w:val="1"/>
        <w:shd w:val="clear" w:color="auto" w:fill="FFFFFF"/>
        <w:spacing w:before="0" w:beforeAutospacing="0" w:after="0" w:afterAutospacing="0"/>
        <w:jc w:val="both"/>
        <w:textAlignment w:val="baseline"/>
        <w:rPr>
          <w:lang w:val="uk-UA"/>
        </w:rPr>
      </w:pPr>
    </w:p>
    <w:p w:rsidR="003D254D" w:rsidRPr="00C03848" w:rsidRDefault="003D254D"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31</w:t>
      </w:r>
    </w:p>
    <w:p w:rsidR="00D152B5" w:rsidRPr="00C03848" w:rsidRDefault="00D152B5" w:rsidP="008B76F2">
      <w:pPr>
        <w:pStyle w:val="ti-art"/>
        <w:shd w:val="clear" w:color="auto" w:fill="FFFFFF"/>
        <w:spacing w:before="0" w:beforeAutospacing="0" w:after="0" w:afterAutospacing="0"/>
        <w:jc w:val="center"/>
        <w:textAlignment w:val="baseline"/>
        <w:rPr>
          <w:iCs/>
          <w:lang w:val="uk-UA"/>
        </w:rPr>
      </w:pPr>
    </w:p>
    <w:p w:rsidR="00222845" w:rsidRPr="00C03848" w:rsidRDefault="00222845"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вимагати</w:t>
      </w:r>
      <w:r w:rsidR="009A5FBB" w:rsidRPr="00C03848">
        <w:rPr>
          <w:lang w:val="uk-UA"/>
        </w:rPr>
        <w:t xml:space="preserve">, щоб довірчі власники будь-якого трасту, що </w:t>
      </w:r>
      <w:r w:rsidRPr="00C03848">
        <w:rPr>
          <w:lang w:val="uk-UA"/>
        </w:rPr>
        <w:t>регулю</w:t>
      </w:r>
      <w:r w:rsidR="009A5FBB" w:rsidRPr="00C03848">
        <w:rPr>
          <w:lang w:val="uk-UA"/>
        </w:rPr>
        <w:t>ю</w:t>
      </w:r>
      <w:r w:rsidRPr="00C03848">
        <w:rPr>
          <w:lang w:val="uk-UA"/>
        </w:rPr>
        <w:t>ться в рамках їх законодавства, отримували і утримували адекватну, точну та а</w:t>
      </w:r>
      <w:r w:rsidR="009A5FBB" w:rsidRPr="00C03848">
        <w:rPr>
          <w:lang w:val="uk-UA"/>
        </w:rPr>
        <w:t>ктуальну інформацію про бенефіці</w:t>
      </w:r>
      <w:r w:rsidRPr="00C03848">
        <w:rPr>
          <w:lang w:val="uk-UA"/>
        </w:rPr>
        <w:t>арну власн</w:t>
      </w:r>
      <w:r w:rsidR="009A5FBB" w:rsidRPr="00C03848">
        <w:rPr>
          <w:lang w:val="uk-UA"/>
        </w:rPr>
        <w:t>і</w:t>
      </w:r>
      <w:r w:rsidRPr="00C03848">
        <w:rPr>
          <w:lang w:val="uk-UA"/>
        </w:rPr>
        <w:t xml:space="preserve">сть  стосовно </w:t>
      </w:r>
      <w:r w:rsidR="009A5FBB" w:rsidRPr="00C03848">
        <w:rPr>
          <w:lang w:val="uk-UA"/>
        </w:rPr>
        <w:t>трасту</w:t>
      </w:r>
      <w:r w:rsidRPr="00C03848">
        <w:rPr>
          <w:lang w:val="uk-UA"/>
        </w:rPr>
        <w:t xml:space="preserve">. Ця інформація повинна включати </w:t>
      </w:r>
      <w:r w:rsidR="009A5FBB" w:rsidRPr="00C03848">
        <w:rPr>
          <w:lang w:val="uk-UA"/>
        </w:rPr>
        <w:t>особисті</w:t>
      </w:r>
      <w:r w:rsidRPr="00C03848">
        <w:rPr>
          <w:lang w:val="uk-UA"/>
        </w:rPr>
        <w:t>сть:</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217"/>
        <w:gridCol w:w="7243"/>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B8791D" w:rsidP="008B76F2">
            <w:pPr>
              <w:pStyle w:val="1"/>
              <w:spacing w:before="0" w:beforeAutospacing="0" w:after="0" w:afterAutospacing="0"/>
              <w:jc w:val="both"/>
              <w:textAlignment w:val="baseline"/>
              <w:rPr>
                <w:lang w:val="uk-UA"/>
              </w:rPr>
            </w:pPr>
            <w:r w:rsidRPr="00C03848">
              <w:rPr>
                <w:lang w:val="uk-UA"/>
              </w:rPr>
              <w:t>засновник;</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346"/>
        <w:gridCol w:w="8114"/>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B8791D" w:rsidP="008B76F2">
            <w:pPr>
              <w:pStyle w:val="1"/>
              <w:spacing w:before="0" w:beforeAutospacing="0" w:after="0" w:afterAutospacing="0"/>
              <w:jc w:val="both"/>
              <w:textAlignment w:val="baseline"/>
              <w:rPr>
                <w:lang w:val="uk-UA"/>
              </w:rPr>
            </w:pPr>
            <w:r w:rsidRPr="00C03848">
              <w:rPr>
                <w:lang w:val="uk-UA"/>
              </w:rPr>
              <w:t>довірчий власник (и);</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71"/>
        <w:gridCol w:w="8389"/>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B8791D" w:rsidP="008B76F2">
            <w:pPr>
              <w:pStyle w:val="1"/>
              <w:spacing w:before="0" w:beforeAutospacing="0" w:after="0" w:afterAutospacing="0"/>
              <w:jc w:val="both"/>
              <w:textAlignment w:val="baseline"/>
              <w:rPr>
                <w:lang w:val="uk-UA"/>
              </w:rPr>
            </w:pPr>
            <w:r w:rsidRPr="00C03848">
              <w:rPr>
                <w:lang w:val="uk-UA"/>
              </w:rPr>
              <w:t>піклувальник, за наявності;</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41"/>
        <w:gridCol w:w="8619"/>
      </w:tblGrid>
      <w:tr w:rsidR="00B8791D"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B8791D" w:rsidP="008B76F2">
            <w:pPr>
              <w:pStyle w:val="1"/>
              <w:spacing w:before="0" w:beforeAutospacing="0" w:after="0" w:afterAutospacing="0"/>
              <w:jc w:val="both"/>
              <w:textAlignment w:val="baseline"/>
              <w:rPr>
                <w:lang w:val="uk-UA"/>
              </w:rPr>
            </w:pPr>
            <w:r w:rsidRPr="00C03848">
              <w:rPr>
                <w:lang w:val="uk-UA"/>
              </w:rPr>
              <w:t>бенефіціари або клас бенефіціарів; та</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0"/>
        <w:gridCol w:w="9030"/>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C146C" w:rsidRPr="00C03848" w:rsidRDefault="00B8791D" w:rsidP="008B76F2">
            <w:pPr>
              <w:pStyle w:val="1"/>
              <w:spacing w:before="0" w:beforeAutospacing="0" w:after="0" w:afterAutospacing="0"/>
              <w:jc w:val="both"/>
              <w:textAlignment w:val="baseline"/>
              <w:rPr>
                <w:lang w:val="uk-UA"/>
              </w:rPr>
            </w:pPr>
            <w:r w:rsidRPr="00C03848">
              <w:rPr>
                <w:lang w:val="uk-UA"/>
              </w:rPr>
              <w:t>будь-яка інша фізична особа, яка здійснює кінцевий контроль над трастом</w:t>
            </w:r>
            <w:r w:rsidR="00C07AC9" w:rsidRPr="00C03848">
              <w:rPr>
                <w:lang w:val="uk-UA"/>
              </w:rPr>
              <w:t>.</w:t>
            </w:r>
          </w:p>
        </w:tc>
      </w:tr>
    </w:tbl>
    <w:p w:rsidR="006A6AAF" w:rsidRPr="00C03848" w:rsidRDefault="006A6AAF" w:rsidP="008B76F2">
      <w:pPr>
        <w:pStyle w:val="1"/>
        <w:shd w:val="clear" w:color="auto" w:fill="FFFFFF"/>
        <w:spacing w:before="0" w:beforeAutospacing="0" w:after="0" w:afterAutospacing="0"/>
        <w:jc w:val="both"/>
        <w:textAlignment w:val="baseline"/>
        <w:rPr>
          <w:lang w:val="uk-UA"/>
        </w:rPr>
      </w:pPr>
      <w:r w:rsidRPr="00C03848">
        <w:rPr>
          <w:lang w:val="uk-UA"/>
        </w:rPr>
        <w:t>2.  Держави-члени повинні забезпечити, щоб довірчі власники розкривали свій статус і надавали інформацію, зазначену в пункті 1, зобов'язаним особам своєчасно, де в якості довірчого власника, довірчий власник форму</w:t>
      </w:r>
      <w:r w:rsidR="00AC67FA" w:rsidRPr="00C03848">
        <w:rPr>
          <w:lang w:val="uk-UA"/>
        </w:rPr>
        <w:t>є</w:t>
      </w:r>
      <w:r w:rsidRPr="00C03848">
        <w:rPr>
          <w:lang w:val="uk-UA"/>
        </w:rPr>
        <w:t xml:space="preserve"> ділові відносини або здійсню</w:t>
      </w:r>
      <w:r w:rsidR="00AC67FA" w:rsidRPr="00C03848">
        <w:rPr>
          <w:lang w:val="uk-UA"/>
        </w:rPr>
        <w:t>є</w:t>
      </w:r>
      <w:r w:rsidRPr="00C03848">
        <w:rPr>
          <w:lang w:val="uk-UA"/>
        </w:rPr>
        <w:t xml:space="preserve"> випадкову транзакцію вище </w:t>
      </w:r>
      <w:r w:rsidR="00AC67FA" w:rsidRPr="00C03848">
        <w:rPr>
          <w:lang w:val="uk-UA"/>
        </w:rPr>
        <w:t>граничних величин</w:t>
      </w:r>
      <w:r w:rsidRPr="00C03848">
        <w:rPr>
          <w:lang w:val="uk-UA"/>
        </w:rPr>
        <w:t xml:space="preserve">, </w:t>
      </w:r>
      <w:r w:rsidR="00AC67FA" w:rsidRPr="00C03848">
        <w:rPr>
          <w:lang w:val="uk-UA"/>
        </w:rPr>
        <w:t xml:space="preserve">які </w:t>
      </w:r>
      <w:r w:rsidRPr="00C03848">
        <w:rPr>
          <w:lang w:val="uk-UA"/>
        </w:rPr>
        <w:t>встановлен</w:t>
      </w:r>
      <w:r w:rsidR="00AC67FA" w:rsidRPr="00C03848">
        <w:rPr>
          <w:lang w:val="uk-UA"/>
        </w:rPr>
        <w:t>і</w:t>
      </w:r>
      <w:r w:rsidRPr="00C03848">
        <w:rPr>
          <w:lang w:val="uk-UA"/>
        </w:rPr>
        <w:t xml:space="preserve"> в пунктах (b), (c) і (d) Статт</w:t>
      </w:r>
      <w:r w:rsidR="00AC67FA" w:rsidRPr="00C03848">
        <w:rPr>
          <w:lang w:val="uk-UA"/>
        </w:rPr>
        <w:t>і</w:t>
      </w:r>
      <w:r w:rsidRPr="00C03848">
        <w:rPr>
          <w:lang w:val="uk-UA"/>
        </w:rPr>
        <w:t xml:space="preserve"> 11.</w:t>
      </w:r>
    </w:p>
    <w:p w:rsidR="006A6AAF" w:rsidRPr="00C03848" w:rsidRDefault="006A6AAF" w:rsidP="008B76F2">
      <w:pPr>
        <w:pStyle w:val="1"/>
        <w:shd w:val="clear" w:color="auto" w:fill="FFFFFF"/>
        <w:spacing w:before="0" w:beforeAutospacing="0" w:after="0" w:afterAutospacing="0"/>
        <w:jc w:val="both"/>
        <w:textAlignment w:val="baseline"/>
        <w:rPr>
          <w:lang w:val="uk-UA"/>
        </w:rPr>
      </w:pPr>
      <w:r w:rsidRPr="00C03848">
        <w:rPr>
          <w:lang w:val="uk-UA"/>
        </w:rPr>
        <w:t xml:space="preserve">3.    Держави-члени повинні вимагати, щоб інформація, зазначена в пункті 1, </w:t>
      </w:r>
      <w:r w:rsidR="00AC67FA" w:rsidRPr="00C03848">
        <w:rPr>
          <w:lang w:val="uk-UA"/>
        </w:rPr>
        <w:t>була своєчасно</w:t>
      </w:r>
      <w:r w:rsidRPr="00C03848">
        <w:rPr>
          <w:lang w:val="uk-UA"/>
        </w:rPr>
        <w:t xml:space="preserve"> доступною компетентним органам і FIU.</w:t>
      </w:r>
    </w:p>
    <w:p w:rsidR="006402FD" w:rsidRPr="00C03848" w:rsidRDefault="006402FD" w:rsidP="008B76F2">
      <w:pPr>
        <w:pStyle w:val="1"/>
        <w:shd w:val="clear" w:color="auto" w:fill="FFFFFF"/>
        <w:spacing w:before="0" w:beforeAutospacing="0" w:after="0" w:afterAutospacing="0"/>
        <w:jc w:val="both"/>
        <w:textAlignment w:val="baseline"/>
        <w:rPr>
          <w:lang w:val="uk-UA"/>
        </w:rPr>
      </w:pPr>
      <w:r w:rsidRPr="00C03848">
        <w:rPr>
          <w:lang w:val="uk-UA"/>
        </w:rPr>
        <w:t>4.   Держави-члени повинні вимагати, щоб інформація, зазначена в пункті 1, утримувалась в центральному реєстрі, коли траст генерує податкові наслідки. Центральний реєстр має забезпечувати своєчасний та необмежений доступ для компетентних органів і FIU, без попередження сторін відповідного трасту. Це може також дозволити надання своєчасного доступу зобов'язаним особам в рамках здійснення належної перевірки клієнта відповідно до положень Глави II. Держави-члени повинні повідомити Комісії про особливості  цих національних механізмів.</w:t>
      </w:r>
    </w:p>
    <w:p w:rsidR="00A63DAB" w:rsidRPr="00C03848" w:rsidRDefault="00A63DAB" w:rsidP="008B76F2">
      <w:pPr>
        <w:pStyle w:val="1"/>
        <w:shd w:val="clear" w:color="auto" w:fill="FFFFFF"/>
        <w:spacing w:before="0" w:beforeAutospacing="0" w:after="0" w:afterAutospacing="0"/>
        <w:jc w:val="both"/>
        <w:textAlignment w:val="baseline"/>
        <w:rPr>
          <w:lang w:val="uk-UA"/>
        </w:rPr>
      </w:pPr>
      <w:r w:rsidRPr="00C03848">
        <w:rPr>
          <w:lang w:val="uk-UA"/>
        </w:rPr>
        <w:t>5.   Держави-члени повинні вимагати, щоб інформація, що міститься в центральному реєстрі, зазначеному у пункті 4,  була  адекватною, точною та актуальною.</w:t>
      </w:r>
    </w:p>
    <w:p w:rsidR="00A63DAB" w:rsidRPr="00C03848" w:rsidRDefault="00A63DAB" w:rsidP="008B76F2">
      <w:pPr>
        <w:pStyle w:val="1"/>
        <w:shd w:val="clear" w:color="auto" w:fill="FFFFFF"/>
        <w:spacing w:before="0" w:beforeAutospacing="0" w:after="0" w:afterAutospacing="0"/>
        <w:jc w:val="both"/>
        <w:textAlignment w:val="baseline"/>
        <w:rPr>
          <w:lang w:val="uk-UA"/>
        </w:rPr>
      </w:pPr>
      <w:r w:rsidRPr="00C03848">
        <w:rPr>
          <w:lang w:val="uk-UA"/>
        </w:rPr>
        <w:t xml:space="preserve">6.   Держави-члени повинні забезпечити, щоб зобов'язані особи не покладались виключно на центральний реєстр, зазначений в пункті 4, з метою </w:t>
      </w:r>
      <w:r w:rsidR="00CA284B" w:rsidRPr="00C03848">
        <w:rPr>
          <w:lang w:val="uk-UA"/>
        </w:rPr>
        <w:t>виконанн</w:t>
      </w:r>
      <w:r w:rsidRPr="00C03848">
        <w:rPr>
          <w:lang w:val="uk-UA"/>
        </w:rPr>
        <w:t>я в</w:t>
      </w:r>
      <w:r w:rsidR="00CA284B" w:rsidRPr="00C03848">
        <w:rPr>
          <w:lang w:val="uk-UA"/>
        </w:rPr>
        <w:t>имог стосовно</w:t>
      </w:r>
      <w:r w:rsidRPr="00C03848">
        <w:rPr>
          <w:lang w:val="uk-UA"/>
        </w:rPr>
        <w:t xml:space="preserve"> належної перевірки своїх клієнтів, викладених в главі II. Ці вимоги повинні бути виконані з використанням підходу на основі </w:t>
      </w:r>
      <w:r w:rsidR="00CA284B" w:rsidRPr="00C03848">
        <w:rPr>
          <w:lang w:val="uk-UA"/>
        </w:rPr>
        <w:t xml:space="preserve">врахування </w:t>
      </w:r>
      <w:r w:rsidRPr="00C03848">
        <w:rPr>
          <w:lang w:val="uk-UA"/>
        </w:rPr>
        <w:t>ризику.</w:t>
      </w:r>
    </w:p>
    <w:p w:rsidR="00A63DAB" w:rsidRPr="00C03848" w:rsidRDefault="00A63DAB" w:rsidP="008B76F2">
      <w:pPr>
        <w:pStyle w:val="1"/>
        <w:shd w:val="clear" w:color="auto" w:fill="FFFFFF"/>
        <w:spacing w:before="0" w:beforeAutospacing="0" w:after="0" w:afterAutospacing="0"/>
        <w:jc w:val="both"/>
        <w:textAlignment w:val="baseline"/>
        <w:rPr>
          <w:lang w:val="uk-UA"/>
        </w:rPr>
      </w:pPr>
      <w:r w:rsidRPr="00C03848">
        <w:rPr>
          <w:lang w:val="uk-UA"/>
        </w:rPr>
        <w:t xml:space="preserve">7.    Держави-члени повинні забезпечити, щоб компетентні органи і FIU були в змозі надати </w:t>
      </w:r>
      <w:r w:rsidR="00CA284B" w:rsidRPr="00C03848">
        <w:rPr>
          <w:lang w:val="uk-UA"/>
        </w:rPr>
        <w:t xml:space="preserve">своєчасно </w:t>
      </w:r>
      <w:r w:rsidRPr="00C03848">
        <w:rPr>
          <w:lang w:val="uk-UA"/>
        </w:rPr>
        <w:t>інформац</w:t>
      </w:r>
      <w:r w:rsidR="00CA284B" w:rsidRPr="00C03848">
        <w:rPr>
          <w:lang w:val="uk-UA"/>
        </w:rPr>
        <w:t>ію, зазначену в пунктах 1 і 4</w:t>
      </w:r>
      <w:r w:rsidRPr="00C03848">
        <w:rPr>
          <w:lang w:val="uk-UA"/>
        </w:rPr>
        <w:t xml:space="preserve"> компетентн</w:t>
      </w:r>
      <w:r w:rsidR="00CA284B" w:rsidRPr="00C03848">
        <w:rPr>
          <w:lang w:val="uk-UA"/>
        </w:rPr>
        <w:t>им</w:t>
      </w:r>
      <w:r w:rsidRPr="00C03848">
        <w:rPr>
          <w:lang w:val="uk-UA"/>
        </w:rPr>
        <w:t xml:space="preserve"> орган</w:t>
      </w:r>
      <w:r w:rsidR="00CA284B" w:rsidRPr="00C03848">
        <w:rPr>
          <w:lang w:val="uk-UA"/>
        </w:rPr>
        <w:t>ам</w:t>
      </w:r>
      <w:r w:rsidRPr="00C03848">
        <w:rPr>
          <w:lang w:val="uk-UA"/>
        </w:rPr>
        <w:t xml:space="preserve"> і FIU інш</w:t>
      </w:r>
      <w:r w:rsidR="00CA284B" w:rsidRPr="00C03848">
        <w:rPr>
          <w:lang w:val="uk-UA"/>
        </w:rPr>
        <w:t>их держав-членів.</w:t>
      </w:r>
    </w:p>
    <w:p w:rsidR="00146718" w:rsidRPr="00C03848" w:rsidRDefault="00146718" w:rsidP="008B76F2">
      <w:pPr>
        <w:pStyle w:val="1"/>
        <w:shd w:val="clear" w:color="auto" w:fill="FFFFFF"/>
        <w:spacing w:before="0" w:beforeAutospacing="0" w:after="0" w:afterAutospacing="0"/>
        <w:jc w:val="both"/>
        <w:textAlignment w:val="baseline"/>
        <w:rPr>
          <w:lang w:val="uk-UA"/>
        </w:rPr>
      </w:pPr>
      <w:r w:rsidRPr="00C03848">
        <w:rPr>
          <w:lang w:val="uk-UA"/>
        </w:rPr>
        <w:t>8.   Держави-члени повинні забезпечити, щоб заходи, передбачені в цій Статті, застосовувались до інших типів правових організацій, що мають структуру або функції, аналогічні до структури трастів.</w:t>
      </w:r>
    </w:p>
    <w:p w:rsidR="00146718" w:rsidRPr="00C03848" w:rsidRDefault="00146718" w:rsidP="008B76F2">
      <w:pPr>
        <w:pStyle w:val="1"/>
        <w:shd w:val="clear" w:color="auto" w:fill="FFFFFF"/>
        <w:spacing w:before="0" w:beforeAutospacing="0" w:after="0" w:afterAutospacing="0"/>
        <w:jc w:val="both"/>
        <w:textAlignment w:val="baseline"/>
        <w:rPr>
          <w:lang w:val="uk-UA"/>
        </w:rPr>
      </w:pPr>
      <w:r w:rsidRPr="00C03848">
        <w:rPr>
          <w:lang w:val="uk-UA"/>
        </w:rPr>
        <w:t>9. До</w:t>
      </w:r>
      <w:r w:rsidR="003A36E3" w:rsidRPr="00C03848">
        <w:rPr>
          <w:lang w:val="uk-UA"/>
        </w:rPr>
        <w:t xml:space="preserve"> </w:t>
      </w:r>
      <w:r w:rsidRPr="00C03848">
        <w:rPr>
          <w:lang w:val="uk-UA"/>
        </w:rPr>
        <w:t xml:space="preserve">26 червня 2019 року, Комісія повинна представити доповідь Європейському Парламенту та Раді, яка </w:t>
      </w:r>
      <w:r w:rsidR="003A36E3" w:rsidRPr="00C03848">
        <w:rPr>
          <w:lang w:val="uk-UA"/>
        </w:rPr>
        <w:t>містить оцінювання</w:t>
      </w:r>
      <w:r w:rsidRPr="00C03848">
        <w:rPr>
          <w:lang w:val="uk-UA"/>
        </w:rPr>
        <w:t xml:space="preserve"> умов і технічн</w:t>
      </w:r>
      <w:r w:rsidR="003A36E3" w:rsidRPr="00C03848">
        <w:rPr>
          <w:lang w:val="uk-UA"/>
        </w:rPr>
        <w:t>их</w:t>
      </w:r>
      <w:r w:rsidRPr="00C03848">
        <w:rPr>
          <w:lang w:val="uk-UA"/>
        </w:rPr>
        <w:t xml:space="preserve"> характеристик та проц</w:t>
      </w:r>
      <w:r w:rsidR="003A36E3" w:rsidRPr="00C03848">
        <w:rPr>
          <w:lang w:val="uk-UA"/>
        </w:rPr>
        <w:t>едур</w:t>
      </w:r>
      <w:r w:rsidRPr="00C03848">
        <w:rPr>
          <w:lang w:val="uk-UA"/>
        </w:rPr>
        <w:t xml:space="preserve"> для </w:t>
      </w:r>
      <w:r w:rsidR="003A36E3" w:rsidRPr="00C03848">
        <w:rPr>
          <w:lang w:val="uk-UA"/>
        </w:rPr>
        <w:t>забезпече</w:t>
      </w:r>
      <w:r w:rsidRPr="00C03848">
        <w:rPr>
          <w:lang w:val="uk-UA"/>
        </w:rPr>
        <w:t xml:space="preserve">ння безпечного та ефективного взаємозв'язку центральних реєстрів. </w:t>
      </w:r>
      <w:r w:rsidR="003A36E3" w:rsidRPr="00C03848">
        <w:rPr>
          <w:lang w:val="uk-UA"/>
        </w:rPr>
        <w:t>У</w:t>
      </w:r>
      <w:r w:rsidRPr="00C03848">
        <w:rPr>
          <w:lang w:val="uk-UA"/>
        </w:rPr>
        <w:t xml:space="preserve"> доречн</w:t>
      </w:r>
      <w:r w:rsidR="003A36E3" w:rsidRPr="00C03848">
        <w:rPr>
          <w:lang w:val="uk-UA"/>
        </w:rPr>
        <w:t>их випадках</w:t>
      </w:r>
      <w:r w:rsidRPr="00C03848">
        <w:rPr>
          <w:lang w:val="uk-UA"/>
        </w:rPr>
        <w:t xml:space="preserve">, </w:t>
      </w:r>
      <w:r w:rsidR="003A36E3" w:rsidRPr="00C03848">
        <w:rPr>
          <w:lang w:val="uk-UA"/>
        </w:rPr>
        <w:t>зазначена</w:t>
      </w:r>
      <w:r w:rsidRPr="00C03848">
        <w:rPr>
          <w:lang w:val="uk-UA"/>
        </w:rPr>
        <w:t xml:space="preserve"> доповідь повин</w:t>
      </w:r>
      <w:r w:rsidR="003A36E3" w:rsidRPr="00C03848">
        <w:rPr>
          <w:lang w:val="uk-UA"/>
        </w:rPr>
        <w:t>н</w:t>
      </w:r>
      <w:r w:rsidRPr="00C03848">
        <w:rPr>
          <w:lang w:val="uk-UA"/>
        </w:rPr>
        <w:t>а супроводжуватись законодавчими пропозиціями.</w:t>
      </w:r>
    </w:p>
    <w:p w:rsidR="003A36E3" w:rsidRPr="00C03848" w:rsidRDefault="003A36E3" w:rsidP="008B76F2">
      <w:pPr>
        <w:pStyle w:val="ti-section-1"/>
        <w:shd w:val="clear" w:color="auto" w:fill="FFFFFF"/>
        <w:spacing w:before="0" w:beforeAutospacing="0" w:after="0" w:afterAutospacing="0"/>
        <w:jc w:val="center"/>
        <w:textAlignment w:val="baseline"/>
        <w:rPr>
          <w:bCs/>
          <w:lang w:val="uk-UA"/>
        </w:rPr>
      </w:pPr>
    </w:p>
    <w:p w:rsidR="00C07AC9" w:rsidRPr="00C03848" w:rsidRDefault="00B272FB" w:rsidP="008B76F2">
      <w:pPr>
        <w:pStyle w:val="ti-section-1"/>
        <w:shd w:val="clear" w:color="auto" w:fill="FFFFFF"/>
        <w:spacing w:before="0" w:beforeAutospacing="0" w:after="0" w:afterAutospacing="0"/>
        <w:jc w:val="center"/>
        <w:textAlignment w:val="baseline"/>
        <w:rPr>
          <w:bCs/>
          <w:lang w:val="uk-UA"/>
        </w:rPr>
      </w:pPr>
      <w:r w:rsidRPr="00C03848">
        <w:rPr>
          <w:bCs/>
          <w:lang w:val="uk-UA"/>
        </w:rPr>
        <w:t>ГЛАВА</w:t>
      </w:r>
      <w:r w:rsidR="00C07AC9" w:rsidRPr="00C03848">
        <w:rPr>
          <w:bCs/>
          <w:lang w:val="uk-UA"/>
        </w:rPr>
        <w:t xml:space="preserve"> IV</w:t>
      </w:r>
    </w:p>
    <w:p w:rsidR="003A36E3" w:rsidRPr="00C03848" w:rsidRDefault="003A36E3" w:rsidP="008B76F2">
      <w:pPr>
        <w:pStyle w:val="ti-section-2"/>
        <w:shd w:val="clear" w:color="auto" w:fill="FFFFFF"/>
        <w:spacing w:before="0" w:beforeAutospacing="0" w:after="0" w:afterAutospacing="0"/>
        <w:jc w:val="center"/>
        <w:textAlignment w:val="baseline"/>
        <w:rPr>
          <w:bCs/>
          <w:lang w:val="uk-UA"/>
        </w:rPr>
      </w:pPr>
      <w:r w:rsidRPr="00C03848">
        <w:rPr>
          <w:bCs/>
          <w:lang w:val="uk-UA"/>
        </w:rPr>
        <w:t>ЗОБОВ’ЯЗАННЯ ЩОДО ЗВІТУВАННЯ</w:t>
      </w:r>
    </w:p>
    <w:p w:rsidR="00C07AC9" w:rsidRPr="00C03848" w:rsidRDefault="00A5729D" w:rsidP="008B76F2">
      <w:pPr>
        <w:pStyle w:val="ti-section-1"/>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РОЗДІЛ</w:t>
      </w:r>
      <w:r w:rsidR="00C07AC9" w:rsidRPr="00C03848">
        <w:rPr>
          <w:rStyle w:val="italic"/>
          <w:bCs/>
          <w:iCs/>
          <w:bdr w:val="none" w:sz="0" w:space="0" w:color="auto" w:frame="1"/>
          <w:lang w:val="uk-UA"/>
        </w:rPr>
        <w:t xml:space="preserve"> 1</w:t>
      </w:r>
    </w:p>
    <w:p w:rsidR="00C07AC9" w:rsidRPr="00C03848" w:rsidRDefault="003A36E3" w:rsidP="008B76F2">
      <w:pPr>
        <w:pStyle w:val="ti-section-2"/>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Загальні положення</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32</w:t>
      </w:r>
    </w:p>
    <w:p w:rsidR="003A36E3" w:rsidRPr="00C03848" w:rsidRDefault="003A36E3" w:rsidP="008B76F2">
      <w:pPr>
        <w:pStyle w:val="ti-art"/>
        <w:shd w:val="clear" w:color="auto" w:fill="FFFFFF"/>
        <w:spacing w:before="0" w:beforeAutospacing="0" w:after="0" w:afterAutospacing="0"/>
        <w:jc w:val="center"/>
        <w:textAlignment w:val="baseline"/>
        <w:rPr>
          <w:iCs/>
          <w:lang w:val="uk-UA"/>
        </w:rPr>
      </w:pPr>
    </w:p>
    <w:p w:rsidR="002358B2" w:rsidRPr="00C03848" w:rsidRDefault="002358B2" w:rsidP="008B76F2">
      <w:pPr>
        <w:pStyle w:val="1"/>
        <w:shd w:val="clear" w:color="auto" w:fill="FFFFFF"/>
        <w:spacing w:before="0" w:beforeAutospacing="0" w:after="0" w:afterAutospacing="0"/>
        <w:jc w:val="both"/>
        <w:textAlignment w:val="baseline"/>
        <w:rPr>
          <w:lang w:val="uk-UA"/>
        </w:rPr>
      </w:pPr>
      <w:r w:rsidRPr="00C03848">
        <w:rPr>
          <w:lang w:val="uk-UA"/>
        </w:rPr>
        <w:t>1.  Кожна держава-член повинна створити FIU з метою попередження, виявлення та ефективної боротьби з відмиванням грошей і фінансуванням тероризму.</w:t>
      </w:r>
    </w:p>
    <w:p w:rsidR="002358B2" w:rsidRPr="00C03848" w:rsidRDefault="002358B2" w:rsidP="008B76F2">
      <w:pPr>
        <w:pStyle w:val="1"/>
        <w:shd w:val="clear" w:color="auto" w:fill="FFFFFF"/>
        <w:spacing w:before="0" w:beforeAutospacing="0" w:after="0" w:afterAutospacing="0"/>
        <w:jc w:val="both"/>
        <w:textAlignment w:val="baseline"/>
        <w:rPr>
          <w:lang w:val="uk-UA"/>
        </w:rPr>
      </w:pPr>
      <w:r w:rsidRPr="00C03848">
        <w:rPr>
          <w:lang w:val="uk-UA"/>
        </w:rPr>
        <w:t>2.    Держави-члени повинні повідомити Комісію у письмовій формі ім'я та адресу їх відповідних FIU.</w:t>
      </w:r>
    </w:p>
    <w:p w:rsidR="00CD4160" w:rsidRPr="00C03848" w:rsidRDefault="00CD4160" w:rsidP="008B76F2">
      <w:pPr>
        <w:pStyle w:val="1"/>
        <w:shd w:val="clear" w:color="auto" w:fill="FFFFFF"/>
        <w:spacing w:before="0" w:beforeAutospacing="0" w:after="0" w:afterAutospacing="0"/>
        <w:jc w:val="both"/>
        <w:textAlignment w:val="baseline"/>
        <w:rPr>
          <w:lang w:val="uk-UA"/>
        </w:rPr>
      </w:pPr>
      <w:r w:rsidRPr="00C03848">
        <w:rPr>
          <w:lang w:val="uk-UA"/>
        </w:rPr>
        <w:lastRenderedPageBreak/>
        <w:t>3.  Кожний FIU має бути операційно незалежним і автономним, що означає, що FIU повинен мати повноваження і можливості для вільного виконання своїх функцій, включаючи здатність приймати самостійні рішення, щоб здійснювати аналіз, надсилати запит та поширювати конкретну інформацію. FIU в якості центрального національного органу повинен бути  відповідальним за отримання і аналіз повідомлень про підозрілі транзакції та іншу інформацію, що відноситься до відмивання грошей, пов'язаних предикатних правопорушень або фінансування тероризму. FIU повинен нести відповідальність за поширення результатів своїх аналізів і будь-якої додаткової відповідної інформації в компетентні органи у випадку наявності підстав підозрювати у відмиванні грошей, пов'язаних предикатних</w:t>
      </w:r>
      <w:r w:rsidR="00610BED" w:rsidRPr="00C03848">
        <w:rPr>
          <w:lang w:val="uk-UA"/>
        </w:rPr>
        <w:t xml:space="preserve"> правопорушень або фінансуванні</w:t>
      </w:r>
      <w:r w:rsidRPr="00C03848">
        <w:rPr>
          <w:lang w:val="uk-UA"/>
        </w:rPr>
        <w:t xml:space="preserve"> тероризму. Він повинен бути в змозі отримати додаткову інформацію від зобов'язаних осіб.</w:t>
      </w:r>
    </w:p>
    <w:p w:rsidR="00610BED" w:rsidRPr="00C03848" w:rsidRDefault="00610BED" w:rsidP="008B76F2">
      <w:pPr>
        <w:pStyle w:val="1"/>
        <w:shd w:val="clear" w:color="auto" w:fill="FFFFFF"/>
        <w:spacing w:before="0" w:beforeAutospacing="0" w:after="0" w:afterAutospacing="0"/>
        <w:jc w:val="both"/>
        <w:textAlignment w:val="baseline"/>
        <w:rPr>
          <w:lang w:val="uk-UA"/>
        </w:rPr>
      </w:pPr>
      <w:r w:rsidRPr="00C03848">
        <w:rPr>
          <w:lang w:val="uk-UA"/>
        </w:rPr>
        <w:t>Держави-члени повинні забезпечити їх FIU достатніми фінансовими, людськими і технічними ресурсами з метою виконання їх завдань.</w:t>
      </w:r>
    </w:p>
    <w:p w:rsidR="00610BED" w:rsidRPr="00C03848" w:rsidRDefault="00610BED" w:rsidP="008B76F2">
      <w:pPr>
        <w:pStyle w:val="1"/>
        <w:shd w:val="clear" w:color="auto" w:fill="FFFFFF"/>
        <w:spacing w:before="0" w:beforeAutospacing="0" w:after="0" w:afterAutospacing="0"/>
        <w:jc w:val="both"/>
        <w:textAlignment w:val="baseline"/>
        <w:rPr>
          <w:lang w:val="uk-UA"/>
        </w:rPr>
      </w:pPr>
      <w:r w:rsidRPr="00C03848">
        <w:rPr>
          <w:lang w:val="uk-UA"/>
        </w:rPr>
        <w:t>4.  Держави-члени повинні забезпечити, щоб їх FIU мали своєчасний  доступ, прямо або опосередковано, до фінансової, адміністративної та правоохоронної інформації, яка їм необхідна для належного виконання своїх завдань. FIU повинні бути в змозі відповідати на запити про надання інформації компетентних органів в їх відповідні держави-члени, якщо такі запити про надання інформації мотивовані причинами, пов'язаними з відмиванням грошей, пов'язаними предикатними правопорушеннями або фінансуванням тероризму. Рішення про проведення аналізу або розповсюдження інформації повинні прийматись FIU.</w:t>
      </w:r>
    </w:p>
    <w:p w:rsidR="00A160B6" w:rsidRPr="00C03848" w:rsidRDefault="00A160B6" w:rsidP="008B76F2">
      <w:pPr>
        <w:pStyle w:val="1"/>
        <w:shd w:val="clear" w:color="auto" w:fill="FFFFFF"/>
        <w:spacing w:before="0" w:beforeAutospacing="0" w:after="0" w:afterAutospacing="0"/>
        <w:jc w:val="both"/>
        <w:textAlignment w:val="baseline"/>
        <w:rPr>
          <w:lang w:val="uk-UA"/>
        </w:rPr>
      </w:pPr>
      <w:r w:rsidRPr="00C03848">
        <w:rPr>
          <w:lang w:val="uk-UA"/>
        </w:rPr>
        <w:t>5.  У випадку існування об'єктивних підстав вважати, що надання такої інформації буде мати негативний вплив на поточні розслідування або аналізи, або при виняткових обставинах, якщо розкриття інформації буде явно не відповідати законним інтересам фізичної або юридичної особи, або не має значення у зв'язку з цілями, для яких вона була запрошена, FIU не повинні бути зобов'язані виконувати запит про надання інформації.</w:t>
      </w:r>
    </w:p>
    <w:p w:rsidR="00423A07" w:rsidRPr="00C03848" w:rsidRDefault="00423A07" w:rsidP="008B76F2">
      <w:pPr>
        <w:pStyle w:val="1"/>
        <w:shd w:val="clear" w:color="auto" w:fill="FFFFFF"/>
        <w:spacing w:before="0" w:beforeAutospacing="0" w:after="0" w:afterAutospacing="0"/>
        <w:jc w:val="both"/>
        <w:textAlignment w:val="baseline"/>
        <w:rPr>
          <w:lang w:val="uk-UA"/>
        </w:rPr>
      </w:pPr>
      <w:r w:rsidRPr="00C03848">
        <w:rPr>
          <w:lang w:val="uk-UA"/>
        </w:rPr>
        <w:t>6.    Держави-члени повинні вимагати, щоб компетентні органи забезпечували зворотній зв'язок з FIU про використання інформації, нада</w:t>
      </w:r>
      <w:r w:rsidR="00151F91" w:rsidRPr="00C03848">
        <w:rPr>
          <w:lang w:val="uk-UA"/>
        </w:rPr>
        <w:t xml:space="preserve">ної відповідно до цієї Статті, </w:t>
      </w:r>
      <w:r w:rsidRPr="00C03848">
        <w:rPr>
          <w:lang w:val="uk-UA"/>
        </w:rPr>
        <w:t>та про результати розслідувань або перевірок, проведених на основі цієї інформації.</w:t>
      </w:r>
    </w:p>
    <w:p w:rsidR="00423A07" w:rsidRPr="00C03848" w:rsidRDefault="00423A07" w:rsidP="008B76F2">
      <w:pPr>
        <w:pStyle w:val="1"/>
        <w:shd w:val="clear" w:color="auto" w:fill="FFFFFF"/>
        <w:spacing w:before="0" w:beforeAutospacing="0" w:after="0" w:afterAutospacing="0"/>
        <w:jc w:val="both"/>
        <w:textAlignment w:val="baseline"/>
        <w:rPr>
          <w:lang w:val="uk-UA"/>
        </w:rPr>
      </w:pPr>
      <w:r w:rsidRPr="00C03848">
        <w:rPr>
          <w:lang w:val="uk-UA"/>
        </w:rPr>
        <w:t>7.    Держави-члени повинні забезпечити, що FIU має повноваження вживати термінові заходи, прямо або опосередковано, у випадку існування підозри, що транзакція пов'язана з відмиванням грошей або фінансуванням тероризму, призупиняти або відкликати дозвіл на здійснення транзакції з метою здійснення аналізу транзакції, підтвердити підозру і представити результати аналізу до відома компетентних органів. FIU повинен бути уповноважений здійснювати такі заходи, прямо або опосередковано, на у відповідь на запит FIU з іншої держави-члена на періоди і на умовах, зазначених у національному законодавстві FIU, який  отримує запит.</w:t>
      </w:r>
    </w:p>
    <w:p w:rsidR="002341D8" w:rsidRPr="00C03848" w:rsidRDefault="002341D8" w:rsidP="008B76F2">
      <w:pPr>
        <w:pStyle w:val="1"/>
        <w:shd w:val="clear" w:color="auto" w:fill="FFFFFF"/>
        <w:spacing w:before="0" w:beforeAutospacing="0" w:after="0" w:afterAutospacing="0"/>
        <w:jc w:val="both"/>
        <w:textAlignment w:val="baseline"/>
        <w:rPr>
          <w:lang w:val="uk-UA"/>
        </w:rPr>
      </w:pPr>
      <w:r w:rsidRPr="00C03848">
        <w:rPr>
          <w:lang w:val="uk-UA"/>
        </w:rPr>
        <w:t>8.    Функція аналізу FIU повинна полягати в наступному: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2341D8" w:rsidRPr="00C03848" w:rsidTr="002341D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341D8" w:rsidRPr="00C03848" w:rsidRDefault="002341D8" w:rsidP="008B76F2">
            <w:pPr>
              <w:pStyle w:val="1"/>
              <w:spacing w:before="0" w:beforeAutospacing="0" w:after="0" w:afterAutospacing="0"/>
              <w:jc w:val="both"/>
              <w:textAlignment w:val="baseline"/>
              <w:rPr>
                <w:lang w:val="uk-UA" w:eastAsia="uk-UA"/>
              </w:rPr>
            </w:pPr>
            <w:r w:rsidRPr="00C03848">
              <w:rPr>
                <w:lang w:val="uk-UA" w:eastAsia="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341D8" w:rsidRPr="00C03848" w:rsidRDefault="002341D8" w:rsidP="008B76F2">
            <w:pPr>
              <w:pStyle w:val="1"/>
              <w:spacing w:before="0" w:beforeAutospacing="0" w:after="0" w:afterAutospacing="0"/>
              <w:jc w:val="both"/>
              <w:textAlignment w:val="baseline"/>
              <w:rPr>
                <w:lang w:val="uk-UA" w:eastAsia="uk-UA"/>
              </w:rPr>
            </w:pPr>
            <w:r w:rsidRPr="00C03848">
              <w:rPr>
                <w:lang w:val="uk-UA" w:eastAsia="uk-UA"/>
              </w:rPr>
              <w:t>здійснення оперативного аналізу, який фокусується на окремих випадках і конкретних завданнях або на відповідній обраній інформації, залежно від типу та обсягу отриманого розкриття та очікуваного використання інформації після поширення; і</w:t>
            </w:r>
          </w:p>
        </w:tc>
      </w:tr>
    </w:tbl>
    <w:p w:rsidR="002341D8" w:rsidRPr="00C03848" w:rsidRDefault="002341D8"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2341D8" w:rsidRPr="00C03848" w:rsidTr="002341D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341D8" w:rsidRPr="00C03848" w:rsidRDefault="002341D8" w:rsidP="008B76F2">
            <w:pPr>
              <w:pStyle w:val="1"/>
              <w:spacing w:before="0" w:beforeAutospacing="0" w:after="0" w:afterAutospacing="0"/>
              <w:jc w:val="both"/>
              <w:textAlignment w:val="baseline"/>
              <w:rPr>
                <w:lang w:val="uk-UA" w:eastAsia="uk-UA"/>
              </w:rPr>
            </w:pPr>
            <w:r w:rsidRPr="00C03848">
              <w:rPr>
                <w:lang w:val="uk-UA" w:eastAsia="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341D8" w:rsidRPr="00C03848" w:rsidRDefault="002341D8" w:rsidP="008B76F2">
            <w:pPr>
              <w:pStyle w:val="1"/>
              <w:spacing w:before="0" w:beforeAutospacing="0" w:after="0" w:afterAutospacing="0"/>
              <w:jc w:val="both"/>
              <w:textAlignment w:val="baseline"/>
              <w:rPr>
                <w:lang w:val="uk-UA" w:eastAsia="uk-UA"/>
              </w:rPr>
            </w:pPr>
            <w:r w:rsidRPr="00C03848">
              <w:rPr>
                <w:lang w:val="uk-UA" w:eastAsia="uk-UA"/>
              </w:rPr>
              <w:t>здійснення стратегічного аналізу, який спрямований на боротьбу з відмиванням грошей і тенденцій та схем фінансування тероризму.</w:t>
            </w:r>
          </w:p>
        </w:tc>
      </w:tr>
    </w:tbl>
    <w:p w:rsidR="002341D8" w:rsidRPr="00C03848" w:rsidRDefault="002341D8" w:rsidP="008B76F2">
      <w:pPr>
        <w:pStyle w:val="ti-art"/>
        <w:shd w:val="clear" w:color="auto" w:fill="FFFFFF"/>
        <w:spacing w:before="0" w:beforeAutospacing="0" w:after="0" w:afterAutospacing="0"/>
        <w:jc w:val="center"/>
        <w:textAlignment w:val="baseline"/>
        <w:rPr>
          <w:iCs/>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33</w:t>
      </w:r>
    </w:p>
    <w:p w:rsidR="00A160B6" w:rsidRPr="00C03848" w:rsidRDefault="00A160B6" w:rsidP="008B76F2">
      <w:pPr>
        <w:pStyle w:val="ti-art"/>
        <w:shd w:val="clear" w:color="auto" w:fill="FFFFFF"/>
        <w:spacing w:before="0" w:beforeAutospacing="0" w:after="0" w:afterAutospacing="0"/>
        <w:jc w:val="center"/>
        <w:textAlignment w:val="baseline"/>
        <w:rPr>
          <w:iCs/>
          <w:lang w:val="uk-UA"/>
        </w:rPr>
      </w:pPr>
    </w:p>
    <w:p w:rsidR="00964E8F" w:rsidRPr="00C03848" w:rsidRDefault="00964E8F" w:rsidP="008B76F2">
      <w:pPr>
        <w:pStyle w:val="1"/>
        <w:shd w:val="clear" w:color="auto" w:fill="FFFFFF"/>
        <w:spacing w:before="0" w:beforeAutospacing="0" w:after="0" w:afterAutospacing="0"/>
        <w:jc w:val="both"/>
        <w:textAlignment w:val="baseline"/>
        <w:rPr>
          <w:lang w:val="uk-UA"/>
        </w:rPr>
      </w:pPr>
      <w:r w:rsidRPr="00C03848">
        <w:rPr>
          <w:lang w:val="uk-UA"/>
        </w:rPr>
        <w:t xml:space="preserve">1.    Держави-члени повинні вимагати, щоб зобов'язані особи, і, </w:t>
      </w:r>
      <w:r w:rsidR="00D46E6C" w:rsidRPr="00C03848">
        <w:rPr>
          <w:lang w:val="uk-UA"/>
        </w:rPr>
        <w:t>у</w:t>
      </w:r>
      <w:r w:rsidRPr="00C03848">
        <w:rPr>
          <w:lang w:val="uk-UA"/>
        </w:rPr>
        <w:t xml:space="preserve"> доречн</w:t>
      </w:r>
      <w:r w:rsidR="00D46E6C" w:rsidRPr="00C03848">
        <w:rPr>
          <w:lang w:val="uk-UA"/>
        </w:rPr>
        <w:t xml:space="preserve">их випадках, їх директори та </w:t>
      </w:r>
      <w:r w:rsidRPr="00C03848">
        <w:rPr>
          <w:lang w:val="uk-UA"/>
        </w:rPr>
        <w:t xml:space="preserve">співробітники повною мірою співпрацювали </w:t>
      </w:r>
      <w:r w:rsidR="00D46E6C" w:rsidRPr="00C03848">
        <w:rPr>
          <w:lang w:val="uk-UA"/>
        </w:rPr>
        <w:t>шляхом оперативного</w:t>
      </w:r>
      <w:r w:rsidRPr="00C03848">
        <w:rPr>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964E8F" w:rsidRPr="00C03848" w:rsidTr="00964E8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64E8F" w:rsidRPr="00C03848" w:rsidRDefault="00964E8F" w:rsidP="008B76F2">
            <w:pPr>
              <w:pStyle w:val="1"/>
              <w:spacing w:before="0" w:beforeAutospacing="0" w:after="0" w:afterAutospacing="0"/>
              <w:jc w:val="both"/>
              <w:textAlignment w:val="baseline"/>
              <w:rPr>
                <w:lang w:val="uk-UA" w:eastAsia="uk-UA"/>
              </w:rPr>
            </w:pPr>
            <w:r w:rsidRPr="00C03848">
              <w:rPr>
                <w:lang w:val="uk-UA" w:eastAsia="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64E8F" w:rsidRPr="00C03848" w:rsidRDefault="00D46E6C" w:rsidP="008B76F2">
            <w:pPr>
              <w:pStyle w:val="1"/>
              <w:spacing w:before="0" w:beforeAutospacing="0" w:after="0" w:afterAutospacing="0"/>
              <w:jc w:val="both"/>
              <w:textAlignment w:val="baseline"/>
              <w:rPr>
                <w:lang w:val="uk-UA" w:eastAsia="uk-UA"/>
              </w:rPr>
            </w:pPr>
            <w:r w:rsidRPr="00C03848">
              <w:rPr>
                <w:lang w:val="uk-UA" w:eastAsia="uk-UA"/>
              </w:rPr>
              <w:t>І</w:t>
            </w:r>
            <w:r w:rsidR="00964E8F" w:rsidRPr="00C03848">
              <w:rPr>
                <w:lang w:val="uk-UA" w:eastAsia="uk-UA"/>
              </w:rPr>
              <w:t>нформу</w:t>
            </w:r>
            <w:r w:rsidRPr="00C03848">
              <w:rPr>
                <w:lang w:val="uk-UA" w:eastAsia="uk-UA"/>
              </w:rPr>
              <w:t xml:space="preserve">вання </w:t>
            </w:r>
            <w:r w:rsidR="00964E8F" w:rsidRPr="00C03848">
              <w:rPr>
                <w:lang w:val="uk-UA" w:eastAsia="uk-UA"/>
              </w:rPr>
              <w:t>FIU</w:t>
            </w:r>
            <w:r w:rsidRPr="00C03848">
              <w:rPr>
                <w:lang w:val="uk-UA" w:eastAsia="uk-UA"/>
              </w:rPr>
              <w:t xml:space="preserve">, </w:t>
            </w:r>
            <w:r w:rsidR="00964E8F" w:rsidRPr="00C03848">
              <w:rPr>
                <w:lang w:val="uk-UA" w:eastAsia="uk-UA"/>
              </w:rPr>
              <w:t xml:space="preserve">в тому числі шляхом подання звіту, за власною ініціативою, де зобов'язана особа знає, підозрює або має </w:t>
            </w:r>
            <w:r w:rsidRPr="00C03848">
              <w:rPr>
                <w:lang w:val="uk-UA" w:eastAsia="uk-UA"/>
              </w:rPr>
              <w:t>достат</w:t>
            </w:r>
            <w:r w:rsidR="00964E8F" w:rsidRPr="00C03848">
              <w:rPr>
                <w:lang w:val="uk-UA" w:eastAsia="uk-UA"/>
              </w:rPr>
              <w:t xml:space="preserve">ні підстави підозрювати, що кошти незалежно від </w:t>
            </w:r>
            <w:r w:rsidRPr="00C03848">
              <w:rPr>
                <w:lang w:val="uk-UA" w:eastAsia="uk-UA"/>
              </w:rPr>
              <w:t>їх</w:t>
            </w:r>
            <w:r w:rsidR="00964E8F" w:rsidRPr="00C03848">
              <w:rPr>
                <w:lang w:val="uk-UA" w:eastAsia="uk-UA"/>
              </w:rPr>
              <w:t xml:space="preserve"> кількості є прибутк</w:t>
            </w:r>
            <w:r w:rsidRPr="00C03848">
              <w:rPr>
                <w:lang w:val="uk-UA" w:eastAsia="uk-UA"/>
              </w:rPr>
              <w:t>ом</w:t>
            </w:r>
            <w:r w:rsidR="00964E8F" w:rsidRPr="00C03848">
              <w:rPr>
                <w:lang w:val="uk-UA" w:eastAsia="uk-UA"/>
              </w:rPr>
              <w:t xml:space="preserve"> від злочинної діяльності або пов'язані з </w:t>
            </w:r>
            <w:r w:rsidR="00964E8F" w:rsidRPr="00C03848">
              <w:rPr>
                <w:lang w:val="uk-UA" w:eastAsia="uk-UA"/>
              </w:rPr>
              <w:lastRenderedPageBreak/>
              <w:t xml:space="preserve">фінансуванням тероризму, і </w:t>
            </w:r>
            <w:r w:rsidRPr="00C03848">
              <w:rPr>
                <w:lang w:val="uk-UA" w:eastAsia="uk-UA"/>
              </w:rPr>
              <w:t>швидкої відповіді на запит</w:t>
            </w:r>
            <w:r w:rsidR="00964E8F" w:rsidRPr="00C03848">
              <w:rPr>
                <w:lang w:val="uk-UA" w:eastAsia="uk-UA"/>
              </w:rPr>
              <w:t>и FIU для отримання додаткової інформації в таких випадках; і</w:t>
            </w:r>
            <w:r w:rsidRPr="00C03848">
              <w:rPr>
                <w:lang w:val="uk-UA" w:eastAsia="uk-UA"/>
              </w:rPr>
              <w:t xml:space="preserve"> </w:t>
            </w:r>
            <w:r w:rsidRPr="00C03848">
              <w:rPr>
                <w:iCs/>
                <w:bdr w:val="none" w:sz="0" w:space="0" w:color="auto" w:frame="1"/>
                <w:lang w:val="uk-UA"/>
              </w:rPr>
              <w:t xml:space="preserve"> </w:t>
            </w:r>
          </w:p>
        </w:tc>
      </w:tr>
    </w:tbl>
    <w:p w:rsidR="00964E8F" w:rsidRPr="00C03848" w:rsidRDefault="00964E8F"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964E8F" w:rsidRPr="00C03848" w:rsidTr="00964E8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64E8F" w:rsidRPr="00C03848" w:rsidRDefault="00964E8F" w:rsidP="008B76F2">
            <w:pPr>
              <w:pStyle w:val="1"/>
              <w:spacing w:before="0" w:beforeAutospacing="0" w:after="0" w:afterAutospacing="0"/>
              <w:jc w:val="both"/>
              <w:textAlignment w:val="baseline"/>
              <w:rPr>
                <w:lang w:val="uk-UA" w:eastAsia="uk-UA"/>
              </w:rPr>
            </w:pPr>
            <w:r w:rsidRPr="00C03848">
              <w:rPr>
                <w:lang w:val="uk-UA" w:eastAsia="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64E8F" w:rsidRPr="00C03848" w:rsidRDefault="00964E8F" w:rsidP="008B76F2">
            <w:pPr>
              <w:pStyle w:val="1"/>
              <w:spacing w:before="0" w:beforeAutospacing="0" w:after="0" w:afterAutospacing="0"/>
              <w:jc w:val="both"/>
              <w:textAlignment w:val="baseline"/>
              <w:rPr>
                <w:lang w:val="uk-UA" w:eastAsia="uk-UA"/>
              </w:rPr>
            </w:pPr>
            <w:r w:rsidRPr="00C03848">
              <w:rPr>
                <w:lang w:val="uk-UA" w:eastAsia="uk-UA"/>
              </w:rPr>
              <w:t>забезпеч</w:t>
            </w:r>
            <w:r w:rsidR="00D46E6C" w:rsidRPr="00C03848">
              <w:rPr>
                <w:lang w:val="uk-UA" w:eastAsia="uk-UA"/>
              </w:rPr>
              <w:t>ення</w:t>
            </w:r>
            <w:r w:rsidRPr="00C03848">
              <w:rPr>
                <w:lang w:val="uk-UA" w:eastAsia="uk-UA"/>
              </w:rPr>
              <w:t xml:space="preserve"> FIU</w:t>
            </w:r>
            <w:r w:rsidR="00D46E6C" w:rsidRPr="00C03848">
              <w:rPr>
                <w:lang w:val="uk-UA" w:eastAsia="uk-UA"/>
              </w:rPr>
              <w:t>,</w:t>
            </w:r>
            <w:r w:rsidRPr="00C03848">
              <w:rPr>
                <w:lang w:val="uk-UA" w:eastAsia="uk-UA"/>
              </w:rPr>
              <w:t xml:space="preserve"> прямо або </w:t>
            </w:r>
            <w:r w:rsidR="00D46E6C" w:rsidRPr="00C03848">
              <w:rPr>
                <w:lang w:val="uk-UA" w:eastAsia="uk-UA"/>
              </w:rPr>
              <w:t>опосередкова</w:t>
            </w:r>
            <w:r w:rsidRPr="00C03848">
              <w:rPr>
                <w:lang w:val="uk-UA" w:eastAsia="uk-UA"/>
              </w:rPr>
              <w:t>но</w:t>
            </w:r>
            <w:r w:rsidR="00D46E6C" w:rsidRPr="00C03848">
              <w:rPr>
                <w:lang w:val="uk-UA" w:eastAsia="uk-UA"/>
              </w:rPr>
              <w:t>,</w:t>
            </w:r>
            <w:r w:rsidRPr="00C03848">
              <w:rPr>
                <w:lang w:val="uk-UA" w:eastAsia="uk-UA"/>
              </w:rPr>
              <w:t xml:space="preserve"> </w:t>
            </w:r>
            <w:r w:rsidR="00D46E6C" w:rsidRPr="00C03848">
              <w:rPr>
                <w:lang w:val="uk-UA" w:eastAsia="uk-UA"/>
              </w:rPr>
              <w:t xml:space="preserve">у відповідь </w:t>
            </w:r>
            <w:r w:rsidRPr="00C03848">
              <w:rPr>
                <w:lang w:val="uk-UA" w:eastAsia="uk-UA"/>
              </w:rPr>
              <w:t xml:space="preserve">на його </w:t>
            </w:r>
            <w:r w:rsidR="00D46E6C" w:rsidRPr="00C03848">
              <w:rPr>
                <w:lang w:val="uk-UA" w:eastAsia="uk-UA"/>
              </w:rPr>
              <w:t>запит усією</w:t>
            </w:r>
            <w:r w:rsidRPr="00C03848">
              <w:rPr>
                <w:lang w:val="uk-UA" w:eastAsia="uk-UA"/>
              </w:rPr>
              <w:t xml:space="preserve"> необхідною інформацією, згідно з процедурами, встановленими чинним законодавством.</w:t>
            </w:r>
          </w:p>
        </w:tc>
      </w:tr>
    </w:tbl>
    <w:p w:rsidR="00C07AC9" w:rsidRPr="00C03848" w:rsidRDefault="00D46E6C" w:rsidP="008B76F2">
      <w:pPr>
        <w:spacing w:after="0" w:line="240" w:lineRule="auto"/>
        <w:jc w:val="both"/>
        <w:rPr>
          <w:rFonts w:ascii="Times New Roman" w:hAnsi="Times New Roman" w:cs="Times New Roman"/>
          <w:vanish/>
          <w:sz w:val="24"/>
          <w:szCs w:val="24"/>
          <w:lang w:val="uk-UA"/>
        </w:rPr>
      </w:pPr>
      <w:r w:rsidRPr="00C03848">
        <w:rPr>
          <w:rFonts w:ascii="Times New Roman" w:hAnsi="Times New Roman" w:cs="Times New Roman"/>
          <w:sz w:val="24"/>
          <w:szCs w:val="24"/>
          <w:lang w:val="uk-UA"/>
        </w:rPr>
        <w:t xml:space="preserve">Необхідно звітувати про всі </w:t>
      </w:r>
      <w:r w:rsidR="00CD2AED" w:rsidRPr="00C03848">
        <w:rPr>
          <w:rFonts w:ascii="Times New Roman" w:hAnsi="Times New Roman" w:cs="Times New Roman"/>
          <w:sz w:val="24"/>
          <w:szCs w:val="24"/>
          <w:lang w:val="uk-UA"/>
        </w:rPr>
        <w:t>підозрілі транзакції, включаючи спроби здійснення підозрілих транзакцій.</w:t>
      </w:r>
    </w:p>
    <w:p w:rsidR="00D46E6C" w:rsidRPr="00C03848" w:rsidRDefault="00D46E6C" w:rsidP="008B76F2">
      <w:pPr>
        <w:pStyle w:val="1"/>
        <w:shd w:val="clear" w:color="auto" w:fill="FFFFFF"/>
        <w:spacing w:before="0" w:beforeAutospacing="0" w:after="0" w:afterAutospacing="0"/>
        <w:jc w:val="both"/>
        <w:textAlignment w:val="baseline"/>
        <w:rPr>
          <w:lang w:val="uk-UA"/>
        </w:rPr>
      </w:pPr>
    </w:p>
    <w:p w:rsidR="00D46E6C" w:rsidRPr="00C03848" w:rsidRDefault="00D46E6C" w:rsidP="008B76F2">
      <w:pPr>
        <w:pStyle w:val="1"/>
        <w:shd w:val="clear" w:color="auto" w:fill="FFFFFF"/>
        <w:spacing w:before="0" w:beforeAutospacing="0" w:after="0" w:afterAutospacing="0"/>
        <w:jc w:val="both"/>
        <w:textAlignment w:val="baseline"/>
        <w:rPr>
          <w:lang w:val="uk-UA"/>
        </w:rPr>
      </w:pPr>
      <w:r w:rsidRPr="00C03848">
        <w:rPr>
          <w:lang w:val="uk-UA"/>
        </w:rPr>
        <w:t xml:space="preserve">2.  Особа, призначена відповідно до пункту (а) Статті 8 (4), повинна передавати інформацію, зазначену в пункті 1 цієї Статті в FIU держави-члена, на території якої </w:t>
      </w:r>
      <w:r w:rsidR="00CD2AED" w:rsidRPr="00C03848">
        <w:rPr>
          <w:lang w:val="uk-UA"/>
        </w:rPr>
        <w:t>заснована зобов'язана особа, яка передає інформацію</w:t>
      </w:r>
      <w:r w:rsidRPr="00C03848">
        <w:rPr>
          <w:lang w:val="uk-UA"/>
        </w:rPr>
        <w:t>.</w:t>
      </w:r>
    </w:p>
    <w:p w:rsidR="00197D45" w:rsidRPr="00C03848" w:rsidRDefault="00197D45"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34</w:t>
      </w:r>
    </w:p>
    <w:p w:rsidR="00197D45" w:rsidRPr="00C03848" w:rsidRDefault="00197D45" w:rsidP="008B76F2">
      <w:pPr>
        <w:pStyle w:val="ti-art"/>
        <w:shd w:val="clear" w:color="auto" w:fill="FFFFFF"/>
        <w:spacing w:before="0" w:beforeAutospacing="0" w:after="0" w:afterAutospacing="0"/>
        <w:jc w:val="center"/>
        <w:textAlignment w:val="baseline"/>
        <w:rPr>
          <w:iCs/>
          <w:lang w:val="uk-UA"/>
        </w:rPr>
      </w:pPr>
    </w:p>
    <w:p w:rsidR="003259B3" w:rsidRPr="00C03848" w:rsidRDefault="003259B3" w:rsidP="008B76F2">
      <w:pPr>
        <w:pStyle w:val="1"/>
        <w:shd w:val="clear" w:color="auto" w:fill="FFFFFF"/>
        <w:spacing w:before="0" w:beforeAutospacing="0" w:after="0" w:afterAutospacing="0"/>
        <w:jc w:val="both"/>
        <w:textAlignment w:val="baseline"/>
        <w:rPr>
          <w:lang w:val="uk-UA"/>
        </w:rPr>
      </w:pPr>
      <w:r w:rsidRPr="00C03848">
        <w:rPr>
          <w:lang w:val="uk-UA"/>
        </w:rPr>
        <w:t xml:space="preserve">1.   Шляхом </w:t>
      </w:r>
      <w:r w:rsidR="00032FAE" w:rsidRPr="00C03848">
        <w:rPr>
          <w:lang w:val="uk-UA"/>
        </w:rPr>
        <w:t>часткового обмеженн</w:t>
      </w:r>
      <w:r w:rsidRPr="00C03848">
        <w:rPr>
          <w:lang w:val="uk-UA"/>
        </w:rPr>
        <w:t>я Статті 33 (1), держави-члени можуть, у разі  зобов'язаної особи, зазначеної у пунктах (3) (а), (b) і (d) Статті 2 (1), призначати відповідн</w:t>
      </w:r>
      <w:r w:rsidR="00687EFA" w:rsidRPr="00C03848">
        <w:rPr>
          <w:lang w:val="uk-UA"/>
        </w:rPr>
        <w:t>ий</w:t>
      </w:r>
      <w:r w:rsidRPr="00C03848">
        <w:rPr>
          <w:lang w:val="uk-UA"/>
        </w:rPr>
        <w:t xml:space="preserve"> саморегул</w:t>
      </w:r>
      <w:r w:rsidR="00687EFA" w:rsidRPr="00C03848">
        <w:rPr>
          <w:lang w:val="uk-UA"/>
        </w:rPr>
        <w:t>юючий орган для відповідної</w:t>
      </w:r>
      <w:r w:rsidRPr="00C03848">
        <w:rPr>
          <w:lang w:val="uk-UA"/>
        </w:rPr>
        <w:t xml:space="preserve">  професі</w:t>
      </w:r>
      <w:r w:rsidR="00687EFA" w:rsidRPr="00C03848">
        <w:rPr>
          <w:lang w:val="uk-UA"/>
        </w:rPr>
        <w:t>йної діяльності в якості органу для</w:t>
      </w:r>
      <w:r w:rsidRPr="00C03848">
        <w:rPr>
          <w:lang w:val="uk-UA"/>
        </w:rPr>
        <w:t xml:space="preserve"> отрима</w:t>
      </w:r>
      <w:r w:rsidR="00687EFA" w:rsidRPr="00C03848">
        <w:rPr>
          <w:lang w:val="uk-UA"/>
        </w:rPr>
        <w:t>ння інформації, зазначеної</w:t>
      </w:r>
      <w:r w:rsidRPr="00C03848">
        <w:rPr>
          <w:lang w:val="uk-UA"/>
        </w:rPr>
        <w:t xml:space="preserve"> в Статті 33 (1).</w:t>
      </w:r>
    </w:p>
    <w:p w:rsidR="003259B3" w:rsidRPr="00C03848" w:rsidRDefault="003259B3" w:rsidP="008B76F2">
      <w:pPr>
        <w:pStyle w:val="1"/>
        <w:shd w:val="clear" w:color="auto" w:fill="FFFFFF"/>
        <w:spacing w:before="0" w:beforeAutospacing="0" w:after="0" w:afterAutospacing="0"/>
        <w:jc w:val="both"/>
        <w:textAlignment w:val="baseline"/>
        <w:rPr>
          <w:lang w:val="uk-UA"/>
        </w:rPr>
      </w:pPr>
      <w:r w:rsidRPr="00C03848">
        <w:rPr>
          <w:lang w:val="uk-UA"/>
        </w:rPr>
        <w:t xml:space="preserve">Без </w:t>
      </w:r>
      <w:r w:rsidR="00687EFA" w:rsidRPr="00C03848">
        <w:rPr>
          <w:lang w:val="uk-UA"/>
        </w:rPr>
        <w:t>шкоди для</w:t>
      </w:r>
      <w:r w:rsidRPr="00C03848">
        <w:rPr>
          <w:lang w:val="uk-UA"/>
        </w:rPr>
        <w:t xml:space="preserve"> положень пункту 2 уповноважений </w:t>
      </w:r>
      <w:r w:rsidR="00687EFA" w:rsidRPr="00C03848">
        <w:rPr>
          <w:lang w:val="uk-UA"/>
        </w:rPr>
        <w:t xml:space="preserve">саморегулюючий </w:t>
      </w:r>
      <w:r w:rsidRPr="00C03848">
        <w:rPr>
          <w:lang w:val="uk-UA"/>
        </w:rPr>
        <w:t xml:space="preserve">орган у випадках, зазначених в першому абзаці цього пункту, повинен направити інформацію до FIU </w:t>
      </w:r>
      <w:r w:rsidR="00687EFA" w:rsidRPr="00C03848">
        <w:rPr>
          <w:lang w:val="uk-UA"/>
        </w:rPr>
        <w:t>швидк</w:t>
      </w:r>
      <w:r w:rsidRPr="00C03848">
        <w:rPr>
          <w:lang w:val="uk-UA"/>
        </w:rPr>
        <w:t xml:space="preserve">о і </w:t>
      </w:r>
      <w:r w:rsidR="00687EFA" w:rsidRPr="00C03848">
        <w:rPr>
          <w:lang w:val="uk-UA"/>
        </w:rPr>
        <w:t xml:space="preserve">повністю </w:t>
      </w:r>
      <w:r w:rsidRPr="00C03848">
        <w:rPr>
          <w:lang w:val="uk-UA"/>
        </w:rPr>
        <w:t>в не</w:t>
      </w:r>
      <w:r w:rsidR="00687EFA" w:rsidRPr="00C03848">
        <w:rPr>
          <w:lang w:val="uk-UA"/>
        </w:rPr>
        <w:t>обробле</w:t>
      </w:r>
      <w:r w:rsidRPr="00C03848">
        <w:rPr>
          <w:lang w:val="uk-UA"/>
        </w:rPr>
        <w:t>ному вигляді.</w:t>
      </w:r>
    </w:p>
    <w:p w:rsidR="00687EFA" w:rsidRPr="00C03848" w:rsidRDefault="00687EFA" w:rsidP="008B76F2">
      <w:pPr>
        <w:pStyle w:val="1"/>
        <w:shd w:val="clear" w:color="auto" w:fill="FFFFFF"/>
        <w:spacing w:before="0" w:beforeAutospacing="0" w:after="0" w:afterAutospacing="0"/>
        <w:jc w:val="both"/>
        <w:textAlignment w:val="baseline"/>
        <w:rPr>
          <w:lang w:val="uk-UA"/>
        </w:rPr>
      </w:pPr>
      <w:r w:rsidRPr="00C03848">
        <w:rPr>
          <w:lang w:val="uk-UA"/>
        </w:rPr>
        <w:t>2.   Держави-члени не повинні застосовувати зобов'язання, викладені у Статті 33 (1), до нотаріусів, інших незалежних юристів, аудиторів, зовнішніх бухгалте</w:t>
      </w:r>
      <w:r w:rsidR="004966DB" w:rsidRPr="00C03848">
        <w:rPr>
          <w:lang w:val="uk-UA"/>
        </w:rPr>
        <w:t xml:space="preserve">рів та податкових консультантів </w:t>
      </w:r>
      <w:r w:rsidRPr="00C03848">
        <w:rPr>
          <w:lang w:val="uk-UA"/>
        </w:rPr>
        <w:t>тільки в строгій мірі, що таке виключення відноситься до інфо</w:t>
      </w:r>
      <w:r w:rsidR="005449BC" w:rsidRPr="00C03848">
        <w:rPr>
          <w:lang w:val="uk-UA"/>
        </w:rPr>
        <w:t xml:space="preserve">рмації, яку вони отримують від одного зі своїх клієнтів </w:t>
      </w:r>
      <w:r w:rsidRPr="00C03848">
        <w:rPr>
          <w:lang w:val="uk-UA"/>
        </w:rPr>
        <w:t xml:space="preserve">або </w:t>
      </w:r>
      <w:r w:rsidR="005449BC" w:rsidRPr="00C03848">
        <w:rPr>
          <w:lang w:val="uk-UA"/>
        </w:rPr>
        <w:t>одержують про од</w:t>
      </w:r>
      <w:r w:rsidRPr="00C03848">
        <w:rPr>
          <w:lang w:val="uk-UA"/>
        </w:rPr>
        <w:t>н</w:t>
      </w:r>
      <w:r w:rsidR="005449BC" w:rsidRPr="00C03848">
        <w:rPr>
          <w:lang w:val="uk-UA"/>
        </w:rPr>
        <w:t>ого</w:t>
      </w:r>
      <w:r w:rsidRPr="00C03848">
        <w:rPr>
          <w:lang w:val="uk-UA"/>
        </w:rPr>
        <w:t xml:space="preserve"> з</w:t>
      </w:r>
      <w:r w:rsidR="00F57F11" w:rsidRPr="00C03848">
        <w:rPr>
          <w:lang w:val="uk-UA"/>
        </w:rPr>
        <w:t>і</w:t>
      </w:r>
      <w:r w:rsidRPr="00C03848">
        <w:rPr>
          <w:lang w:val="uk-UA"/>
        </w:rPr>
        <w:t xml:space="preserve"> </w:t>
      </w:r>
      <w:r w:rsidR="00F57F11" w:rsidRPr="00C03848">
        <w:rPr>
          <w:lang w:val="uk-UA"/>
        </w:rPr>
        <w:t>сво</w:t>
      </w:r>
      <w:r w:rsidRPr="00C03848">
        <w:rPr>
          <w:lang w:val="uk-UA"/>
        </w:rPr>
        <w:t xml:space="preserve">їх клієнтів, в </w:t>
      </w:r>
      <w:r w:rsidR="00EF7AC4" w:rsidRPr="00C03848">
        <w:rPr>
          <w:lang w:val="uk-UA"/>
        </w:rPr>
        <w:t>процес</w:t>
      </w:r>
      <w:r w:rsidRPr="00C03848">
        <w:rPr>
          <w:lang w:val="uk-UA"/>
        </w:rPr>
        <w:t xml:space="preserve">і </w:t>
      </w:r>
      <w:r w:rsidR="00EF7AC4" w:rsidRPr="00C03848">
        <w:rPr>
          <w:lang w:val="uk-UA"/>
        </w:rPr>
        <w:t>засвідч</w:t>
      </w:r>
      <w:r w:rsidRPr="00C03848">
        <w:rPr>
          <w:lang w:val="uk-UA"/>
        </w:rPr>
        <w:t>ення правового статусу свого клієнта або виконання завдання із захисту або п</w:t>
      </w:r>
      <w:r w:rsidR="00CE499B" w:rsidRPr="00C03848">
        <w:rPr>
          <w:lang w:val="uk-UA"/>
        </w:rPr>
        <w:t>редставництва</w:t>
      </w:r>
      <w:r w:rsidRPr="00C03848">
        <w:rPr>
          <w:lang w:val="uk-UA"/>
        </w:rPr>
        <w:t xml:space="preserve"> </w:t>
      </w:r>
      <w:r w:rsidR="00CE499B" w:rsidRPr="00C03848">
        <w:rPr>
          <w:lang w:val="uk-UA"/>
        </w:rPr>
        <w:t>св</w:t>
      </w:r>
      <w:r w:rsidRPr="00C03848">
        <w:rPr>
          <w:lang w:val="uk-UA"/>
        </w:rPr>
        <w:t xml:space="preserve">ого клієнта </w:t>
      </w:r>
      <w:r w:rsidR="00BA6041" w:rsidRPr="00C03848">
        <w:rPr>
          <w:lang w:val="uk-UA"/>
        </w:rPr>
        <w:t xml:space="preserve">у судовому процесі або у зв’язку із </w:t>
      </w:r>
      <w:r w:rsidRPr="00C03848">
        <w:rPr>
          <w:lang w:val="uk-UA"/>
        </w:rPr>
        <w:t>су</w:t>
      </w:r>
      <w:r w:rsidR="00BA6041" w:rsidRPr="00C03848">
        <w:rPr>
          <w:lang w:val="uk-UA"/>
        </w:rPr>
        <w:t>довим</w:t>
      </w:r>
      <w:r w:rsidRPr="00C03848">
        <w:rPr>
          <w:lang w:val="uk-UA"/>
        </w:rPr>
        <w:t xml:space="preserve"> </w:t>
      </w:r>
      <w:r w:rsidR="00BA6041" w:rsidRPr="00C03848">
        <w:rPr>
          <w:lang w:val="uk-UA"/>
        </w:rPr>
        <w:t>провадженням</w:t>
      </w:r>
      <w:r w:rsidRPr="00C03848">
        <w:rPr>
          <w:lang w:val="uk-UA"/>
        </w:rPr>
        <w:t xml:space="preserve">, </w:t>
      </w:r>
      <w:r w:rsidR="00BA6041" w:rsidRPr="00C03848">
        <w:rPr>
          <w:lang w:val="uk-UA"/>
        </w:rPr>
        <w:t>включаючи</w:t>
      </w:r>
      <w:r w:rsidRPr="00C03848">
        <w:rPr>
          <w:lang w:val="uk-UA"/>
        </w:rPr>
        <w:t xml:space="preserve"> надання консультацій щодо </w:t>
      </w:r>
      <w:r w:rsidR="00BA6041" w:rsidRPr="00C03848">
        <w:rPr>
          <w:lang w:val="uk-UA"/>
        </w:rPr>
        <w:t>ініціюва</w:t>
      </w:r>
      <w:r w:rsidRPr="00C03848">
        <w:rPr>
          <w:lang w:val="uk-UA"/>
        </w:rPr>
        <w:t xml:space="preserve">ння або уникнення </w:t>
      </w:r>
      <w:r w:rsidR="00BA6041" w:rsidRPr="00C03848">
        <w:rPr>
          <w:lang w:val="uk-UA"/>
        </w:rPr>
        <w:t>провадження незалежно</w:t>
      </w:r>
      <w:r w:rsidRPr="00C03848">
        <w:rPr>
          <w:lang w:val="uk-UA"/>
        </w:rPr>
        <w:t xml:space="preserve">, чи </w:t>
      </w:r>
      <w:r w:rsidR="00BA6041" w:rsidRPr="00C03848">
        <w:rPr>
          <w:lang w:val="uk-UA"/>
        </w:rPr>
        <w:t xml:space="preserve">була </w:t>
      </w:r>
      <w:r w:rsidRPr="00C03848">
        <w:rPr>
          <w:lang w:val="uk-UA"/>
        </w:rPr>
        <w:t>така інформація о</w:t>
      </w:r>
      <w:r w:rsidR="00BA6041" w:rsidRPr="00C03848">
        <w:rPr>
          <w:lang w:val="uk-UA"/>
        </w:rPr>
        <w:t xml:space="preserve">тримана </w:t>
      </w:r>
      <w:r w:rsidRPr="00C03848">
        <w:rPr>
          <w:lang w:val="uk-UA"/>
        </w:rPr>
        <w:t xml:space="preserve">до, під час або після такого </w:t>
      </w:r>
      <w:r w:rsidR="00BA6041" w:rsidRPr="00C03848">
        <w:rPr>
          <w:lang w:val="uk-UA"/>
        </w:rPr>
        <w:t>п</w:t>
      </w:r>
      <w:r w:rsidRPr="00C03848">
        <w:rPr>
          <w:lang w:val="uk-UA"/>
        </w:rPr>
        <w:t>ро</w:t>
      </w:r>
      <w:r w:rsidR="00BA6041" w:rsidRPr="00C03848">
        <w:rPr>
          <w:lang w:val="uk-UA"/>
        </w:rPr>
        <w:t>вадження</w:t>
      </w:r>
      <w:r w:rsidRPr="00C03848">
        <w:rPr>
          <w:lang w:val="uk-UA"/>
        </w:rPr>
        <w:t>.</w:t>
      </w:r>
    </w:p>
    <w:p w:rsidR="00D46E6C" w:rsidRPr="00C03848" w:rsidRDefault="00D46E6C"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35</w:t>
      </w:r>
    </w:p>
    <w:p w:rsidR="00D46E6C" w:rsidRPr="00C03848" w:rsidRDefault="00D46E6C" w:rsidP="008B76F2">
      <w:pPr>
        <w:pStyle w:val="ti-art"/>
        <w:shd w:val="clear" w:color="auto" w:fill="FFFFFF"/>
        <w:spacing w:before="0" w:beforeAutospacing="0" w:after="0" w:afterAutospacing="0"/>
        <w:jc w:val="center"/>
        <w:textAlignment w:val="baseline"/>
        <w:rPr>
          <w:iCs/>
          <w:lang w:val="uk-UA"/>
        </w:rPr>
      </w:pPr>
    </w:p>
    <w:p w:rsidR="00CA12B6" w:rsidRPr="00C03848" w:rsidRDefault="00CA12B6" w:rsidP="008B76F2">
      <w:pPr>
        <w:pStyle w:val="1"/>
        <w:shd w:val="clear" w:color="auto" w:fill="FFFFFF"/>
        <w:spacing w:before="0" w:beforeAutospacing="0" w:after="0" w:afterAutospacing="0"/>
        <w:jc w:val="both"/>
        <w:textAlignment w:val="baseline"/>
        <w:rPr>
          <w:lang w:val="uk-UA"/>
        </w:rPr>
      </w:pPr>
      <w:r w:rsidRPr="00C03848">
        <w:rPr>
          <w:lang w:val="uk-UA"/>
        </w:rPr>
        <w:t xml:space="preserve">1.    Держави-члени повинні вимагати, щоб зобов'язані </w:t>
      </w:r>
      <w:r w:rsidR="00AC3A3E" w:rsidRPr="00C03848">
        <w:rPr>
          <w:lang w:val="uk-UA"/>
        </w:rPr>
        <w:t>особи</w:t>
      </w:r>
      <w:r w:rsidRPr="00C03848">
        <w:rPr>
          <w:lang w:val="uk-UA"/>
        </w:rPr>
        <w:t xml:space="preserve"> утримувалися від проведення транзакцій, про які вони знають або підозрюють у зв'язку з доходами від злочинної діяльності або фінансування тероризму, поки вони не виконають необхідні дії відповідно до підпункту (а) першого пункту Статті 33 (1) і виконають будь-які подальші конкретні інструкції від FIU або компетентних органів відповідно до законодавства відповідної держави-члена.</w:t>
      </w:r>
    </w:p>
    <w:p w:rsidR="00CA12B6" w:rsidRPr="00C03848" w:rsidRDefault="00CA12B6" w:rsidP="008B76F2">
      <w:pPr>
        <w:pStyle w:val="1"/>
        <w:shd w:val="clear" w:color="auto" w:fill="FFFFFF"/>
        <w:spacing w:before="0" w:beforeAutospacing="0" w:after="0" w:afterAutospacing="0"/>
        <w:jc w:val="both"/>
        <w:textAlignment w:val="baseline"/>
        <w:rPr>
          <w:lang w:val="uk-UA"/>
        </w:rPr>
      </w:pPr>
      <w:r w:rsidRPr="00C03848">
        <w:rPr>
          <w:lang w:val="uk-UA"/>
        </w:rPr>
        <w:t>2.    Якщо утриматись від проведення транзакцій, зазначених у пункті 1, неможливо або, швидше за все, зробить марними зусилля по пошуку бенефіціарів підозрілої операції, зобов'язані особи повинні одразу повідомити FIU.</w:t>
      </w:r>
    </w:p>
    <w:p w:rsidR="00D46E6C" w:rsidRPr="00C03848" w:rsidRDefault="00D46E6C"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36</w:t>
      </w:r>
    </w:p>
    <w:p w:rsidR="00CA12B6" w:rsidRPr="00C03848" w:rsidRDefault="00CA12B6" w:rsidP="008B76F2">
      <w:pPr>
        <w:pStyle w:val="ti-art"/>
        <w:shd w:val="clear" w:color="auto" w:fill="FFFFFF"/>
        <w:spacing w:before="0" w:beforeAutospacing="0" w:after="0" w:afterAutospacing="0"/>
        <w:jc w:val="center"/>
        <w:textAlignment w:val="baseline"/>
        <w:rPr>
          <w:iCs/>
          <w:lang w:val="uk-UA"/>
        </w:rPr>
      </w:pPr>
    </w:p>
    <w:p w:rsidR="00915742" w:rsidRPr="00C03848" w:rsidRDefault="00095524"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забезпечи</w:t>
      </w:r>
      <w:r w:rsidR="00915742" w:rsidRPr="00C03848">
        <w:rPr>
          <w:lang w:val="uk-UA"/>
        </w:rPr>
        <w:t xml:space="preserve">ти, </w:t>
      </w:r>
      <w:r w:rsidRPr="00C03848">
        <w:rPr>
          <w:lang w:val="uk-UA"/>
        </w:rPr>
        <w:t xml:space="preserve">що, </w:t>
      </w:r>
      <w:r w:rsidR="00915742" w:rsidRPr="00C03848">
        <w:rPr>
          <w:lang w:val="uk-UA"/>
        </w:rPr>
        <w:t xml:space="preserve">якщо в </w:t>
      </w:r>
      <w:r w:rsidRPr="00C03848">
        <w:rPr>
          <w:lang w:val="uk-UA"/>
        </w:rPr>
        <w:t>процес</w:t>
      </w:r>
      <w:r w:rsidR="00915742" w:rsidRPr="00C03848">
        <w:rPr>
          <w:lang w:val="uk-UA"/>
        </w:rPr>
        <w:t xml:space="preserve">і </w:t>
      </w:r>
      <w:r w:rsidRPr="00C03848">
        <w:rPr>
          <w:lang w:val="uk-UA"/>
        </w:rPr>
        <w:t xml:space="preserve">здійснення </w:t>
      </w:r>
      <w:r w:rsidR="00915742" w:rsidRPr="00C03848">
        <w:rPr>
          <w:lang w:val="uk-UA"/>
        </w:rPr>
        <w:t>перевірок зобов'язаних осіб компетентними органами, зазначеними в Статті 48, або в будь-яки</w:t>
      </w:r>
      <w:r w:rsidRPr="00C03848">
        <w:rPr>
          <w:lang w:val="uk-UA"/>
        </w:rPr>
        <w:t>м</w:t>
      </w:r>
      <w:r w:rsidR="00915742" w:rsidRPr="00C03848">
        <w:rPr>
          <w:lang w:val="uk-UA"/>
        </w:rPr>
        <w:t xml:space="preserve"> інши</w:t>
      </w:r>
      <w:r w:rsidRPr="00C03848">
        <w:rPr>
          <w:lang w:val="uk-UA"/>
        </w:rPr>
        <w:t>м</w:t>
      </w:r>
      <w:r w:rsidR="00915742" w:rsidRPr="00C03848">
        <w:rPr>
          <w:lang w:val="uk-UA"/>
        </w:rPr>
        <w:t xml:space="preserve"> </w:t>
      </w:r>
      <w:r w:rsidRPr="00C03848">
        <w:rPr>
          <w:lang w:val="uk-UA"/>
        </w:rPr>
        <w:t>чином</w:t>
      </w:r>
      <w:r w:rsidR="00915742" w:rsidRPr="00C03848">
        <w:rPr>
          <w:lang w:val="uk-UA"/>
        </w:rPr>
        <w:t>, ці органи виявляють факти, які могли б бути пов'язані з відмиванням грошей або фінансуванням тероризму, вони повинні негайно інформувати FIU.</w:t>
      </w:r>
    </w:p>
    <w:p w:rsidR="00915742" w:rsidRPr="00C03848" w:rsidRDefault="00915742" w:rsidP="008B76F2">
      <w:pPr>
        <w:pStyle w:val="1"/>
        <w:shd w:val="clear" w:color="auto" w:fill="FFFFFF"/>
        <w:spacing w:before="0" w:beforeAutospacing="0" w:after="0" w:afterAutospacing="0"/>
        <w:jc w:val="both"/>
        <w:textAlignment w:val="baseline"/>
        <w:rPr>
          <w:lang w:val="uk-UA"/>
        </w:rPr>
      </w:pPr>
      <w:r w:rsidRPr="00C03848">
        <w:rPr>
          <w:lang w:val="uk-UA"/>
        </w:rPr>
        <w:t xml:space="preserve">2.   Держави-члени повинні забезпечити, щоб наглядові органи, уповноважені законом або регламентом </w:t>
      </w:r>
      <w:r w:rsidR="00095524" w:rsidRPr="00C03848">
        <w:rPr>
          <w:lang w:val="uk-UA"/>
        </w:rPr>
        <w:t>здійснюва</w:t>
      </w:r>
      <w:r w:rsidR="00080012" w:rsidRPr="00C03848">
        <w:rPr>
          <w:lang w:val="uk-UA"/>
        </w:rPr>
        <w:t>ти за фондовим ринком</w:t>
      </w:r>
      <w:r w:rsidRPr="00C03848">
        <w:rPr>
          <w:lang w:val="uk-UA"/>
        </w:rPr>
        <w:t xml:space="preserve">, валютним </w:t>
      </w:r>
      <w:r w:rsidR="00080012" w:rsidRPr="00C03848">
        <w:rPr>
          <w:lang w:val="uk-UA"/>
        </w:rPr>
        <w:t>ринко</w:t>
      </w:r>
      <w:r w:rsidRPr="00C03848">
        <w:rPr>
          <w:lang w:val="uk-UA"/>
        </w:rPr>
        <w:t>м та</w:t>
      </w:r>
      <w:r w:rsidR="00080012" w:rsidRPr="00C03848">
        <w:rPr>
          <w:lang w:val="uk-UA"/>
        </w:rPr>
        <w:t xml:space="preserve"> </w:t>
      </w:r>
      <w:r w:rsidR="00AC3A3E" w:rsidRPr="00C03848">
        <w:rPr>
          <w:lang w:val="uk-UA"/>
        </w:rPr>
        <w:t>ринком</w:t>
      </w:r>
      <w:r w:rsidR="00080012" w:rsidRPr="00C03848">
        <w:rPr>
          <w:lang w:val="uk-UA"/>
        </w:rPr>
        <w:t xml:space="preserve"> </w:t>
      </w:r>
      <w:r w:rsidRPr="00C03848">
        <w:rPr>
          <w:lang w:val="uk-UA"/>
        </w:rPr>
        <w:t>фінансови</w:t>
      </w:r>
      <w:r w:rsidR="00080012" w:rsidRPr="00C03848">
        <w:rPr>
          <w:lang w:val="uk-UA"/>
        </w:rPr>
        <w:t>х деривативів</w:t>
      </w:r>
      <w:r w:rsidRPr="00C03848">
        <w:rPr>
          <w:lang w:val="uk-UA"/>
        </w:rPr>
        <w:t>, інформували FIU</w:t>
      </w:r>
      <w:r w:rsidR="00B70A29" w:rsidRPr="00C03848">
        <w:rPr>
          <w:lang w:val="uk-UA"/>
        </w:rPr>
        <w:t xml:space="preserve"> у випадку</w:t>
      </w:r>
      <w:r w:rsidRPr="00C03848">
        <w:rPr>
          <w:lang w:val="uk-UA"/>
        </w:rPr>
        <w:t xml:space="preserve"> виявл</w:t>
      </w:r>
      <w:r w:rsidR="00B70A29" w:rsidRPr="00C03848">
        <w:rPr>
          <w:lang w:val="uk-UA"/>
        </w:rPr>
        <w:t>ення</w:t>
      </w:r>
      <w:r w:rsidRPr="00C03848">
        <w:rPr>
          <w:lang w:val="uk-UA"/>
        </w:rPr>
        <w:t xml:space="preserve"> факт</w:t>
      </w:r>
      <w:r w:rsidR="00B70A29" w:rsidRPr="00C03848">
        <w:rPr>
          <w:lang w:val="uk-UA"/>
        </w:rPr>
        <w:t>ів</w:t>
      </w:r>
      <w:r w:rsidRPr="00C03848">
        <w:rPr>
          <w:lang w:val="uk-UA"/>
        </w:rPr>
        <w:t>, які могли б бути пов'язан</w:t>
      </w:r>
      <w:r w:rsidR="00080012" w:rsidRPr="00C03848">
        <w:rPr>
          <w:lang w:val="uk-UA"/>
        </w:rPr>
        <w:t>ими</w:t>
      </w:r>
      <w:r w:rsidRPr="00C03848">
        <w:rPr>
          <w:lang w:val="uk-UA"/>
        </w:rPr>
        <w:t xml:space="preserve"> з відмиванням грошей або фінансуванням тероризму.</w:t>
      </w:r>
    </w:p>
    <w:p w:rsidR="00915742" w:rsidRPr="00C03848" w:rsidRDefault="00915742"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37</w:t>
      </w:r>
    </w:p>
    <w:p w:rsidR="00080012" w:rsidRPr="00C03848" w:rsidRDefault="00080012" w:rsidP="008B76F2">
      <w:pPr>
        <w:pStyle w:val="ti-art"/>
        <w:shd w:val="clear" w:color="auto" w:fill="FFFFFF"/>
        <w:spacing w:before="0" w:beforeAutospacing="0" w:after="0" w:afterAutospacing="0"/>
        <w:jc w:val="center"/>
        <w:textAlignment w:val="baseline"/>
        <w:rPr>
          <w:iCs/>
          <w:lang w:val="uk-UA"/>
        </w:rPr>
      </w:pPr>
    </w:p>
    <w:p w:rsidR="00B70A29" w:rsidRPr="00C03848" w:rsidRDefault="00B70A29" w:rsidP="008B76F2">
      <w:pPr>
        <w:pStyle w:val="1"/>
        <w:shd w:val="clear" w:color="auto" w:fill="FFFFFF"/>
        <w:spacing w:before="0" w:beforeAutospacing="0" w:after="0" w:afterAutospacing="0"/>
        <w:jc w:val="both"/>
        <w:textAlignment w:val="baseline"/>
        <w:rPr>
          <w:lang w:val="uk-UA"/>
        </w:rPr>
      </w:pPr>
      <w:r w:rsidRPr="00C03848">
        <w:rPr>
          <w:lang w:val="uk-UA"/>
        </w:rPr>
        <w:t xml:space="preserve">Добросовісне розкриття інформації зобов'язаною особою або співробітником або директором такої зобов'язаної особи відповідно до </w:t>
      </w:r>
      <w:r w:rsidR="00AC3A3E" w:rsidRPr="00C03848">
        <w:rPr>
          <w:lang w:val="uk-UA"/>
        </w:rPr>
        <w:t>статей</w:t>
      </w:r>
      <w:r w:rsidRPr="00C03848">
        <w:rPr>
          <w:lang w:val="uk-UA"/>
        </w:rPr>
        <w:t xml:space="preserve"> 33 і 34 не становить порушення будь-яких обмежень стосовно розкриття інформації, які визначаються контрактом або будь-якими законодавчими, регулятивними або адміністративними положеннями, і не </w:t>
      </w:r>
      <w:r w:rsidR="00AC3A3E" w:rsidRPr="00C03848">
        <w:rPr>
          <w:lang w:val="uk-UA"/>
        </w:rPr>
        <w:t>повинно</w:t>
      </w:r>
      <w:r w:rsidRPr="00C03848">
        <w:rPr>
          <w:lang w:val="uk-UA"/>
        </w:rPr>
        <w:t xml:space="preserve"> тягнути за собою</w:t>
      </w:r>
      <w:r w:rsidR="00775BAC" w:rsidRPr="00C03848">
        <w:rPr>
          <w:lang w:val="uk-UA"/>
        </w:rPr>
        <w:t xml:space="preserve"> жодної відповідальності з боку </w:t>
      </w:r>
      <w:r w:rsidRPr="00C03848">
        <w:rPr>
          <w:lang w:val="uk-UA"/>
        </w:rPr>
        <w:t>зобов'</w:t>
      </w:r>
      <w:r w:rsidR="00775BAC" w:rsidRPr="00C03848">
        <w:rPr>
          <w:lang w:val="uk-UA"/>
        </w:rPr>
        <w:t xml:space="preserve">язаної особи або її директорів </w:t>
      </w:r>
      <w:r w:rsidRPr="00C03848">
        <w:rPr>
          <w:lang w:val="uk-UA"/>
        </w:rPr>
        <w:t>або співробітників, навіть у тих випадках, коли вони не були точно інформовані про основну злочинну діяльність і незалежно від того чи насправді сталася незаконна діяльність.</w:t>
      </w:r>
    </w:p>
    <w:p w:rsidR="00623E31" w:rsidRPr="00C03848" w:rsidRDefault="00623E31"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38</w:t>
      </w:r>
    </w:p>
    <w:p w:rsidR="00F226A0" w:rsidRPr="00C03848" w:rsidRDefault="00F226A0" w:rsidP="008B76F2">
      <w:pPr>
        <w:pStyle w:val="1"/>
        <w:shd w:val="clear" w:color="auto" w:fill="FFFFFF"/>
        <w:spacing w:before="0" w:beforeAutospacing="0" w:after="0" w:afterAutospacing="0"/>
        <w:jc w:val="both"/>
        <w:textAlignment w:val="baseline"/>
        <w:rPr>
          <w:lang w:val="uk-UA"/>
        </w:rPr>
      </w:pPr>
    </w:p>
    <w:p w:rsidR="00B70A29" w:rsidRPr="00C03848" w:rsidRDefault="00B70A29" w:rsidP="008B76F2">
      <w:pPr>
        <w:pStyle w:val="1"/>
        <w:shd w:val="clear" w:color="auto" w:fill="FFFFFF"/>
        <w:spacing w:before="0" w:beforeAutospacing="0" w:after="0" w:afterAutospacing="0"/>
        <w:jc w:val="both"/>
        <w:textAlignment w:val="baseline"/>
        <w:rPr>
          <w:lang w:val="uk-UA"/>
        </w:rPr>
      </w:pPr>
      <w:r w:rsidRPr="00C03848">
        <w:rPr>
          <w:lang w:val="uk-UA"/>
        </w:rPr>
        <w:t xml:space="preserve">Держави-члени повинні забезпечити, щоб особи, у тому числі співробітники та представники зобов'язаної особи, які повідомляють про підозри у відмиванні </w:t>
      </w:r>
      <w:r w:rsidR="00F226A0" w:rsidRPr="00C03848">
        <w:rPr>
          <w:lang w:val="uk-UA"/>
        </w:rPr>
        <w:t xml:space="preserve">грошей </w:t>
      </w:r>
      <w:r w:rsidRPr="00C03848">
        <w:rPr>
          <w:lang w:val="uk-UA"/>
        </w:rPr>
        <w:t>або фінансуванні тероризму всередин</w:t>
      </w:r>
      <w:r w:rsidR="00F226A0" w:rsidRPr="00C03848">
        <w:rPr>
          <w:lang w:val="uk-UA"/>
        </w:rPr>
        <w:t>і організації або</w:t>
      </w:r>
      <w:r w:rsidRPr="00C03848">
        <w:rPr>
          <w:lang w:val="uk-UA"/>
        </w:rPr>
        <w:t xml:space="preserve"> FIU</w:t>
      </w:r>
      <w:r w:rsidR="00F226A0" w:rsidRPr="00C03848">
        <w:rPr>
          <w:lang w:val="uk-UA"/>
        </w:rPr>
        <w:t xml:space="preserve">, </w:t>
      </w:r>
      <w:r w:rsidRPr="00C03848">
        <w:rPr>
          <w:lang w:val="uk-UA"/>
        </w:rPr>
        <w:t>були захищені від впливу загроз чи ворожих дій, і, зокрема, від несп</w:t>
      </w:r>
      <w:r w:rsidR="00F226A0" w:rsidRPr="00C03848">
        <w:rPr>
          <w:lang w:val="uk-UA"/>
        </w:rPr>
        <w:t xml:space="preserve">риятливих або дискримінаційних дій відносно зайнятості </w:t>
      </w:r>
      <w:r w:rsidRPr="00C03848">
        <w:rPr>
          <w:lang w:val="uk-UA"/>
        </w:rPr>
        <w:t xml:space="preserve">і </w:t>
      </w:r>
      <w:r w:rsidR="00F226A0" w:rsidRPr="00C03848">
        <w:rPr>
          <w:lang w:val="uk-UA"/>
        </w:rPr>
        <w:t>п</w:t>
      </w:r>
      <w:r w:rsidRPr="00C03848">
        <w:rPr>
          <w:lang w:val="uk-UA"/>
        </w:rPr>
        <w:t>рацевлаштування.</w:t>
      </w:r>
    </w:p>
    <w:p w:rsidR="00B70A29" w:rsidRPr="00C03848" w:rsidRDefault="00B70A29" w:rsidP="008B76F2">
      <w:pPr>
        <w:pStyle w:val="1"/>
        <w:shd w:val="clear" w:color="auto" w:fill="FFFFFF"/>
        <w:spacing w:before="0" w:beforeAutospacing="0" w:after="0" w:afterAutospacing="0"/>
        <w:jc w:val="both"/>
        <w:textAlignment w:val="baseline"/>
        <w:rPr>
          <w:lang w:val="uk-UA"/>
        </w:rPr>
      </w:pPr>
    </w:p>
    <w:p w:rsidR="00623E31" w:rsidRPr="00C03848" w:rsidRDefault="00623E31" w:rsidP="008B76F2">
      <w:pPr>
        <w:pStyle w:val="1"/>
        <w:shd w:val="clear" w:color="auto" w:fill="FFFFFF"/>
        <w:spacing w:before="0" w:beforeAutospacing="0" w:after="0" w:afterAutospacing="0"/>
        <w:jc w:val="both"/>
        <w:textAlignment w:val="baseline"/>
        <w:rPr>
          <w:lang w:val="uk-UA"/>
        </w:rPr>
      </w:pPr>
    </w:p>
    <w:p w:rsidR="00C07AC9" w:rsidRPr="00C03848" w:rsidRDefault="00A5729D" w:rsidP="008B76F2">
      <w:pPr>
        <w:pStyle w:val="ti-section-1"/>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РОЗДІЛ</w:t>
      </w:r>
      <w:r w:rsidR="00C07AC9" w:rsidRPr="00C03848">
        <w:rPr>
          <w:rStyle w:val="italic"/>
          <w:bCs/>
          <w:iCs/>
          <w:bdr w:val="none" w:sz="0" w:space="0" w:color="auto" w:frame="1"/>
          <w:lang w:val="uk-UA"/>
        </w:rPr>
        <w:t xml:space="preserve"> 2</w:t>
      </w:r>
    </w:p>
    <w:p w:rsidR="00F226A0" w:rsidRPr="00C03848" w:rsidRDefault="00F226A0" w:rsidP="008B76F2">
      <w:pPr>
        <w:pStyle w:val="ti-section-2"/>
        <w:shd w:val="clear" w:color="auto" w:fill="FFFFFF"/>
        <w:spacing w:before="0" w:beforeAutospacing="0" w:after="0" w:afterAutospacing="0"/>
        <w:jc w:val="center"/>
        <w:textAlignment w:val="baseline"/>
        <w:rPr>
          <w:bCs/>
          <w:lang w:val="uk-UA"/>
        </w:rPr>
      </w:pPr>
      <w:r w:rsidRPr="00C03848">
        <w:rPr>
          <w:bCs/>
          <w:lang w:val="uk-UA"/>
        </w:rPr>
        <w:t>Заборона розкриття</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39</w:t>
      </w:r>
    </w:p>
    <w:p w:rsidR="00623E31" w:rsidRPr="00C03848" w:rsidRDefault="00623E31" w:rsidP="008B76F2">
      <w:pPr>
        <w:pStyle w:val="ti-art"/>
        <w:shd w:val="clear" w:color="auto" w:fill="FFFFFF"/>
        <w:spacing w:before="0" w:beforeAutospacing="0" w:after="0" w:afterAutospacing="0"/>
        <w:jc w:val="center"/>
        <w:textAlignment w:val="baseline"/>
        <w:rPr>
          <w:iCs/>
          <w:lang w:val="uk-UA"/>
        </w:rPr>
      </w:pPr>
    </w:p>
    <w:p w:rsidR="001912EF" w:rsidRPr="00C03848" w:rsidRDefault="001912EF" w:rsidP="008B76F2">
      <w:pPr>
        <w:pStyle w:val="1"/>
        <w:shd w:val="clear" w:color="auto" w:fill="FFFFFF"/>
        <w:spacing w:before="0" w:beforeAutospacing="0" w:after="0" w:afterAutospacing="0"/>
        <w:jc w:val="both"/>
        <w:textAlignment w:val="baseline"/>
        <w:rPr>
          <w:lang w:val="uk-UA"/>
        </w:rPr>
      </w:pPr>
      <w:r w:rsidRPr="00C03848">
        <w:rPr>
          <w:lang w:val="uk-UA"/>
        </w:rPr>
        <w:t>1.    Зобов'язані особи та їх керівники та співробітники не повинні розкривати клієнту, якого це стосується, або іншим третім особам той факт, що інформація передається, буде чи була</w:t>
      </w:r>
      <w:r w:rsidR="00AC3A3E" w:rsidRPr="00C03848">
        <w:rPr>
          <w:lang w:val="uk-UA"/>
        </w:rPr>
        <w:t xml:space="preserve"> повідомлена відповідно до Стат</w:t>
      </w:r>
      <w:r w:rsidRPr="00C03848">
        <w:rPr>
          <w:lang w:val="uk-UA"/>
        </w:rPr>
        <w:t xml:space="preserve">ей 33 або 34, або що здійснюється, може </w:t>
      </w:r>
      <w:r w:rsidR="00AC3A3E" w:rsidRPr="00C03848">
        <w:rPr>
          <w:lang w:val="uk-UA"/>
        </w:rPr>
        <w:t>здійснюватися</w:t>
      </w:r>
      <w:r w:rsidRPr="00C03848">
        <w:rPr>
          <w:lang w:val="uk-UA"/>
        </w:rPr>
        <w:t xml:space="preserve"> або був здійснений аналіз по факту відмивання грошей або фінансування терористичної діяльності.</w:t>
      </w:r>
    </w:p>
    <w:p w:rsidR="001912EF" w:rsidRPr="00C03848" w:rsidRDefault="001912EF" w:rsidP="008B76F2">
      <w:pPr>
        <w:pStyle w:val="1"/>
        <w:shd w:val="clear" w:color="auto" w:fill="FFFFFF"/>
        <w:spacing w:before="0" w:beforeAutospacing="0" w:after="0" w:afterAutospacing="0"/>
        <w:jc w:val="both"/>
        <w:textAlignment w:val="baseline"/>
        <w:rPr>
          <w:lang w:val="uk-UA"/>
        </w:rPr>
      </w:pPr>
      <w:r w:rsidRPr="00C03848">
        <w:rPr>
          <w:lang w:val="uk-UA"/>
        </w:rPr>
        <w:t xml:space="preserve">2.   Заборона, викладена в пункті 1, не </w:t>
      </w:r>
      <w:r w:rsidR="003A3C4F" w:rsidRPr="00C03848">
        <w:rPr>
          <w:lang w:val="uk-UA"/>
        </w:rPr>
        <w:t>стосується</w:t>
      </w:r>
      <w:r w:rsidRPr="00C03848">
        <w:rPr>
          <w:lang w:val="uk-UA"/>
        </w:rPr>
        <w:t xml:space="preserve"> розкриття компетентному органу, </w:t>
      </w:r>
      <w:r w:rsidR="003A3C4F" w:rsidRPr="00C03848">
        <w:rPr>
          <w:lang w:val="uk-UA"/>
        </w:rPr>
        <w:t>включаючи</w:t>
      </w:r>
      <w:r w:rsidRPr="00C03848">
        <w:rPr>
          <w:lang w:val="uk-UA"/>
        </w:rPr>
        <w:t xml:space="preserve"> саморегул</w:t>
      </w:r>
      <w:r w:rsidR="003A3C4F" w:rsidRPr="00C03848">
        <w:rPr>
          <w:lang w:val="uk-UA"/>
        </w:rPr>
        <w:t>юючі</w:t>
      </w:r>
      <w:r w:rsidRPr="00C03848">
        <w:rPr>
          <w:lang w:val="uk-UA"/>
        </w:rPr>
        <w:t xml:space="preserve"> орган</w:t>
      </w:r>
      <w:r w:rsidR="003A3C4F" w:rsidRPr="00C03848">
        <w:rPr>
          <w:lang w:val="uk-UA"/>
        </w:rPr>
        <w:t>и</w:t>
      </w:r>
      <w:r w:rsidRPr="00C03848">
        <w:rPr>
          <w:lang w:val="uk-UA"/>
        </w:rPr>
        <w:t xml:space="preserve">, або розкриття для </w:t>
      </w:r>
      <w:r w:rsidR="003A3C4F" w:rsidRPr="00C03848">
        <w:rPr>
          <w:lang w:val="uk-UA"/>
        </w:rPr>
        <w:t xml:space="preserve">правоохоронних </w:t>
      </w:r>
      <w:r w:rsidRPr="00C03848">
        <w:rPr>
          <w:lang w:val="uk-UA"/>
        </w:rPr>
        <w:t>цілей.</w:t>
      </w:r>
    </w:p>
    <w:p w:rsidR="00A0024B" w:rsidRPr="00C03848" w:rsidRDefault="00A0024B" w:rsidP="008B76F2">
      <w:pPr>
        <w:pStyle w:val="1"/>
        <w:shd w:val="clear" w:color="auto" w:fill="FFFFFF"/>
        <w:spacing w:before="0" w:beforeAutospacing="0" w:after="0" w:afterAutospacing="0"/>
        <w:jc w:val="both"/>
        <w:textAlignment w:val="baseline"/>
        <w:rPr>
          <w:lang w:val="uk-UA"/>
        </w:rPr>
      </w:pPr>
      <w:r w:rsidRPr="00C03848">
        <w:rPr>
          <w:lang w:val="uk-UA"/>
        </w:rPr>
        <w:t>3.   Заборона, ви</w:t>
      </w:r>
      <w:r w:rsidR="00A47D60" w:rsidRPr="00C03848">
        <w:rPr>
          <w:lang w:val="uk-UA"/>
        </w:rPr>
        <w:t>кладена в пункті 1, не повинна перешкоджа</w:t>
      </w:r>
      <w:r w:rsidRPr="00C03848">
        <w:rPr>
          <w:lang w:val="uk-UA"/>
        </w:rPr>
        <w:t>ти роз</w:t>
      </w:r>
      <w:r w:rsidR="00A47D60" w:rsidRPr="00C03848">
        <w:rPr>
          <w:lang w:val="uk-UA"/>
        </w:rPr>
        <w:t>критт</w:t>
      </w:r>
      <w:r w:rsidRPr="00C03848">
        <w:rPr>
          <w:lang w:val="uk-UA"/>
        </w:rPr>
        <w:t xml:space="preserve">ю між кредитними </w:t>
      </w:r>
      <w:r w:rsidR="00A47D60" w:rsidRPr="00C03848">
        <w:rPr>
          <w:lang w:val="uk-UA"/>
        </w:rPr>
        <w:t>установа</w:t>
      </w:r>
      <w:r w:rsidRPr="00C03848">
        <w:rPr>
          <w:lang w:val="uk-UA"/>
        </w:rPr>
        <w:t xml:space="preserve">ми та фінансовими установами або між цими установами та їх філіалами і </w:t>
      </w:r>
      <w:r w:rsidR="00A47D60" w:rsidRPr="00C03848">
        <w:rPr>
          <w:lang w:val="uk-UA"/>
        </w:rPr>
        <w:t xml:space="preserve">підконтрольними </w:t>
      </w:r>
      <w:r w:rsidRPr="00C03848">
        <w:rPr>
          <w:lang w:val="uk-UA"/>
        </w:rPr>
        <w:t xml:space="preserve">дочірніми </w:t>
      </w:r>
      <w:r w:rsidR="00A47D60" w:rsidRPr="00C03848">
        <w:rPr>
          <w:lang w:val="uk-UA"/>
        </w:rPr>
        <w:t>підприємствами</w:t>
      </w:r>
      <w:r w:rsidRPr="00C03848">
        <w:rPr>
          <w:lang w:val="uk-UA"/>
        </w:rPr>
        <w:t xml:space="preserve">, </w:t>
      </w:r>
      <w:r w:rsidR="00A47D60" w:rsidRPr="00C03848">
        <w:rPr>
          <w:lang w:val="uk-UA"/>
        </w:rPr>
        <w:t>які розташовані</w:t>
      </w:r>
      <w:r w:rsidRPr="00C03848">
        <w:rPr>
          <w:lang w:val="uk-UA"/>
        </w:rPr>
        <w:t xml:space="preserve"> в третіх країнах, за</w:t>
      </w:r>
      <w:r w:rsidR="00A47D60" w:rsidRPr="00C03848">
        <w:rPr>
          <w:lang w:val="uk-UA"/>
        </w:rPr>
        <w:t xml:space="preserve"> умови, що ці філіали і підконтрольні дочірні</w:t>
      </w:r>
      <w:r w:rsidRPr="00C03848">
        <w:rPr>
          <w:lang w:val="uk-UA"/>
        </w:rPr>
        <w:t xml:space="preserve"> </w:t>
      </w:r>
      <w:r w:rsidR="008C3E19" w:rsidRPr="00C03848">
        <w:rPr>
          <w:lang w:val="uk-UA"/>
        </w:rPr>
        <w:t xml:space="preserve">підприємства </w:t>
      </w:r>
      <w:r w:rsidRPr="00C03848">
        <w:rPr>
          <w:lang w:val="uk-UA"/>
        </w:rPr>
        <w:t>повністю в</w:t>
      </w:r>
      <w:r w:rsidR="008C3E19" w:rsidRPr="00C03848">
        <w:rPr>
          <w:lang w:val="uk-UA"/>
        </w:rPr>
        <w:t>ідповіда</w:t>
      </w:r>
      <w:r w:rsidRPr="00C03848">
        <w:rPr>
          <w:lang w:val="uk-UA"/>
        </w:rPr>
        <w:t xml:space="preserve">ють </w:t>
      </w:r>
      <w:r w:rsidR="00AC3A3E" w:rsidRPr="00C03848">
        <w:rPr>
          <w:lang w:val="uk-UA"/>
        </w:rPr>
        <w:t>загально груповій</w:t>
      </w:r>
      <w:r w:rsidR="008C3E19" w:rsidRPr="00C03848">
        <w:rPr>
          <w:lang w:val="uk-UA"/>
        </w:rPr>
        <w:t xml:space="preserve"> політиці та процедурам</w:t>
      </w:r>
      <w:r w:rsidRPr="00C03848">
        <w:rPr>
          <w:lang w:val="uk-UA"/>
        </w:rPr>
        <w:t xml:space="preserve">, </w:t>
      </w:r>
      <w:r w:rsidR="008C3E19" w:rsidRPr="00C03848">
        <w:rPr>
          <w:lang w:val="uk-UA"/>
        </w:rPr>
        <w:t>включаючи</w:t>
      </w:r>
      <w:r w:rsidRPr="00C03848">
        <w:rPr>
          <w:lang w:val="uk-UA"/>
        </w:rPr>
        <w:t xml:space="preserve"> процедури обміну інформацією всередині групи, відповідно до Статті 45, і що політика і процедури всієї групи відповідають вимогам, викладеним в цій Директиві.</w:t>
      </w:r>
    </w:p>
    <w:p w:rsidR="008C3E19" w:rsidRPr="00C03848" w:rsidRDefault="008C3E19" w:rsidP="008B76F2">
      <w:pPr>
        <w:pStyle w:val="1"/>
        <w:shd w:val="clear" w:color="auto" w:fill="FFFFFF"/>
        <w:spacing w:before="0" w:beforeAutospacing="0" w:after="0" w:afterAutospacing="0"/>
        <w:jc w:val="both"/>
        <w:textAlignment w:val="baseline"/>
        <w:rPr>
          <w:lang w:val="uk-UA"/>
        </w:rPr>
      </w:pPr>
      <w:r w:rsidRPr="00C03848">
        <w:rPr>
          <w:lang w:val="uk-UA"/>
        </w:rPr>
        <w:t xml:space="preserve">4.  Заборона, викладена в пункті 1, не повинна </w:t>
      </w:r>
      <w:r w:rsidR="00DA2BCE" w:rsidRPr="00C03848">
        <w:rPr>
          <w:lang w:val="uk-UA"/>
        </w:rPr>
        <w:t>перешкоджа</w:t>
      </w:r>
      <w:r w:rsidRPr="00C03848">
        <w:rPr>
          <w:lang w:val="uk-UA"/>
        </w:rPr>
        <w:t xml:space="preserve">ти розкриттю між зобов'язаними особами, згаданими у пункті (3) (а) і (b) Статті 2 (1), або </w:t>
      </w:r>
      <w:r w:rsidR="00DA2BCE" w:rsidRPr="00C03848">
        <w:rPr>
          <w:lang w:val="uk-UA"/>
        </w:rPr>
        <w:t>суб’єкт</w:t>
      </w:r>
      <w:r w:rsidRPr="00C03848">
        <w:rPr>
          <w:lang w:val="uk-UA"/>
        </w:rPr>
        <w:t>ами з третіх країн, які накладають вимоги, еквівалентні тим, що викладені в цій Директиві, які виконують свої професійні дії, будь то в якості співробітників чи ні, всередині т</w:t>
      </w:r>
      <w:r w:rsidR="00DA2BCE" w:rsidRPr="00C03848">
        <w:rPr>
          <w:lang w:val="uk-UA"/>
        </w:rPr>
        <w:t>іє</w:t>
      </w:r>
      <w:r w:rsidRPr="00C03848">
        <w:rPr>
          <w:lang w:val="uk-UA"/>
        </w:rPr>
        <w:t xml:space="preserve">ї ж самої юридичної особи або більшої структури, до якої належить людина і яка </w:t>
      </w:r>
      <w:r w:rsidR="00DA2BCE" w:rsidRPr="00C03848">
        <w:rPr>
          <w:lang w:val="uk-UA"/>
        </w:rPr>
        <w:t>ма</w:t>
      </w:r>
      <w:r w:rsidRPr="00C03848">
        <w:rPr>
          <w:lang w:val="uk-UA"/>
        </w:rPr>
        <w:t xml:space="preserve">є спільну власність, управління або контроль </w:t>
      </w:r>
      <w:r w:rsidR="00DA2BCE" w:rsidRPr="00C03848">
        <w:rPr>
          <w:lang w:val="uk-UA"/>
        </w:rPr>
        <w:t xml:space="preserve">за </w:t>
      </w:r>
      <w:r w:rsidRPr="00C03848">
        <w:rPr>
          <w:lang w:val="uk-UA"/>
        </w:rPr>
        <w:t>дотримання</w:t>
      </w:r>
      <w:r w:rsidR="00DA2BCE" w:rsidRPr="00C03848">
        <w:rPr>
          <w:lang w:val="uk-UA"/>
        </w:rPr>
        <w:t>м</w:t>
      </w:r>
      <w:r w:rsidRPr="00C03848">
        <w:rPr>
          <w:lang w:val="uk-UA"/>
        </w:rPr>
        <w:t xml:space="preserve"> відповідності.</w:t>
      </w:r>
    </w:p>
    <w:p w:rsidR="00053EDA" w:rsidRPr="00C03848" w:rsidRDefault="00053EDA" w:rsidP="008B76F2">
      <w:pPr>
        <w:pStyle w:val="1"/>
        <w:shd w:val="clear" w:color="auto" w:fill="FFFFFF"/>
        <w:spacing w:before="0" w:beforeAutospacing="0" w:after="0" w:afterAutospacing="0"/>
        <w:jc w:val="both"/>
        <w:textAlignment w:val="baseline"/>
        <w:rPr>
          <w:lang w:val="uk-UA"/>
        </w:rPr>
      </w:pPr>
      <w:r w:rsidRPr="00C03848">
        <w:rPr>
          <w:lang w:val="uk-UA"/>
        </w:rPr>
        <w:t xml:space="preserve">5.    Для зобов'язаних осіб, зазначених у підпунктах (1), (2), (3) (а) і (b) Статті 2 (1) у випадках, пов'язаних з тим же клієнтом і тією ж самою транзакцією за участю двох або більше зобов'язаних осіб, заборона, викладена в пункті 1 цієї Статті не повинна перешкоджати розкриттю між відповідними зобов'язаними особами за умови, що вони </w:t>
      </w:r>
      <w:r w:rsidR="00AC3A3E" w:rsidRPr="00C03848">
        <w:rPr>
          <w:lang w:val="uk-UA"/>
        </w:rPr>
        <w:t>функціонують</w:t>
      </w:r>
      <w:r w:rsidRPr="00C03848">
        <w:rPr>
          <w:lang w:val="uk-UA"/>
        </w:rPr>
        <w:t xml:space="preserve"> в державі-члені, або особи в третій країні, яка встановлює вимоги, еквівалентні тим, які викладені в цій Директиві, і що вони належать до тієї ж самої </w:t>
      </w:r>
      <w:r w:rsidRPr="00C03848">
        <w:rPr>
          <w:lang w:val="uk-UA"/>
        </w:rPr>
        <w:lastRenderedPageBreak/>
        <w:t>професійної категорії, і на них поширюються зобов'язання щодо професійної таємниці та захисту персональних даних.</w:t>
      </w:r>
    </w:p>
    <w:p w:rsidR="005230E1" w:rsidRPr="00C03848" w:rsidRDefault="005230E1" w:rsidP="008B76F2">
      <w:pPr>
        <w:pStyle w:val="1"/>
        <w:shd w:val="clear" w:color="auto" w:fill="FFFFFF"/>
        <w:spacing w:before="0" w:beforeAutospacing="0" w:after="0" w:afterAutospacing="0"/>
        <w:jc w:val="both"/>
        <w:textAlignment w:val="baseline"/>
        <w:rPr>
          <w:lang w:val="uk-UA"/>
        </w:rPr>
      </w:pPr>
      <w:r w:rsidRPr="00C03848">
        <w:rPr>
          <w:lang w:val="uk-UA"/>
        </w:rPr>
        <w:t>6.   У випадку,  якщо зобов'язані особи, зазначені в пункті (3) (а) і (b) Статті 2 (1), намагаються відмовити клієнта від участі в незаконній діяльності, це не повинно становити розкриття за змістом пункту 1 цієї Статті.</w:t>
      </w:r>
    </w:p>
    <w:p w:rsidR="003D66C6" w:rsidRPr="00C03848" w:rsidRDefault="003D66C6" w:rsidP="008B76F2">
      <w:pPr>
        <w:pStyle w:val="1"/>
        <w:shd w:val="clear" w:color="auto" w:fill="FFFFFF"/>
        <w:spacing w:before="0" w:beforeAutospacing="0" w:after="0" w:afterAutospacing="0"/>
        <w:jc w:val="both"/>
        <w:textAlignment w:val="baseline"/>
        <w:rPr>
          <w:lang w:val="uk-UA"/>
        </w:rPr>
      </w:pPr>
    </w:p>
    <w:p w:rsidR="00C07AC9" w:rsidRPr="00C03848" w:rsidRDefault="00B272FB" w:rsidP="008B76F2">
      <w:pPr>
        <w:pStyle w:val="ti-section-1"/>
        <w:shd w:val="clear" w:color="auto" w:fill="FFFFFF"/>
        <w:spacing w:before="0" w:beforeAutospacing="0" w:after="0" w:afterAutospacing="0"/>
        <w:jc w:val="center"/>
        <w:textAlignment w:val="baseline"/>
        <w:rPr>
          <w:bCs/>
          <w:lang w:val="uk-UA"/>
        </w:rPr>
      </w:pPr>
      <w:r w:rsidRPr="00C03848">
        <w:rPr>
          <w:bCs/>
          <w:lang w:val="uk-UA"/>
        </w:rPr>
        <w:t>ГЛАВА</w:t>
      </w:r>
      <w:r w:rsidR="00C07AC9" w:rsidRPr="00C03848">
        <w:rPr>
          <w:bCs/>
          <w:lang w:val="uk-UA"/>
        </w:rPr>
        <w:t xml:space="preserve"> V</w:t>
      </w:r>
    </w:p>
    <w:p w:rsidR="005230E1" w:rsidRPr="00C03848" w:rsidRDefault="005230E1" w:rsidP="008B76F2">
      <w:pPr>
        <w:pStyle w:val="ti-section-2"/>
        <w:shd w:val="clear" w:color="auto" w:fill="FFFFFF"/>
        <w:spacing w:before="0" w:beforeAutospacing="0" w:after="0" w:afterAutospacing="0"/>
        <w:jc w:val="center"/>
        <w:textAlignment w:val="baseline"/>
        <w:rPr>
          <w:bCs/>
          <w:lang w:val="uk-UA"/>
        </w:rPr>
      </w:pPr>
      <w:r w:rsidRPr="00C03848">
        <w:rPr>
          <w:bCs/>
          <w:lang w:val="uk-UA"/>
        </w:rPr>
        <w:t>ЗАХИСТ ДАНИХ, ЗБЕР</w:t>
      </w:r>
      <w:r w:rsidR="00405FF8" w:rsidRPr="00C03848">
        <w:rPr>
          <w:bCs/>
          <w:lang w:val="uk-UA"/>
        </w:rPr>
        <w:t>ІГА</w:t>
      </w:r>
      <w:r w:rsidRPr="00C03848">
        <w:rPr>
          <w:bCs/>
          <w:lang w:val="uk-UA"/>
        </w:rPr>
        <w:t xml:space="preserve">ННЯ </w:t>
      </w:r>
      <w:r w:rsidR="00405FF8" w:rsidRPr="00C03848">
        <w:rPr>
          <w:bCs/>
          <w:lang w:val="uk-UA"/>
        </w:rPr>
        <w:t>ДОКУМЕНТАЦІЇ</w:t>
      </w:r>
      <w:r w:rsidRPr="00C03848">
        <w:rPr>
          <w:bCs/>
          <w:lang w:val="uk-UA"/>
        </w:rPr>
        <w:t xml:space="preserve"> І СТАТИСТИЧНІ ДАНІ</w:t>
      </w:r>
    </w:p>
    <w:p w:rsidR="00C07AC9" w:rsidRPr="00C03848" w:rsidRDefault="005230E1" w:rsidP="008B76F2">
      <w:pPr>
        <w:pStyle w:val="ti-art"/>
        <w:shd w:val="clear" w:color="auto" w:fill="FFFFFF"/>
        <w:spacing w:before="0" w:beforeAutospacing="0" w:after="0" w:afterAutospacing="0"/>
        <w:jc w:val="center"/>
        <w:textAlignment w:val="baseline"/>
        <w:rPr>
          <w:iCs/>
          <w:lang w:val="uk-UA"/>
        </w:rPr>
      </w:pPr>
      <w:r w:rsidRPr="00C03848">
        <w:rPr>
          <w:iCs/>
          <w:lang w:val="uk-UA"/>
        </w:rPr>
        <w:t xml:space="preserve"> </w:t>
      </w:r>
      <w:r w:rsidR="002C54D7" w:rsidRPr="00C03848">
        <w:rPr>
          <w:iCs/>
          <w:lang w:val="uk-UA"/>
        </w:rPr>
        <w:t>Стаття</w:t>
      </w:r>
      <w:r w:rsidR="00C07AC9" w:rsidRPr="00C03848">
        <w:rPr>
          <w:iCs/>
          <w:lang w:val="uk-UA"/>
        </w:rPr>
        <w:t xml:space="preserve"> 40</w:t>
      </w:r>
    </w:p>
    <w:p w:rsidR="003D66C6" w:rsidRPr="00C03848" w:rsidRDefault="003D66C6" w:rsidP="008B76F2">
      <w:pPr>
        <w:pStyle w:val="ti-art"/>
        <w:shd w:val="clear" w:color="auto" w:fill="FFFFFF"/>
        <w:spacing w:before="0" w:beforeAutospacing="0" w:after="0" w:afterAutospacing="0"/>
        <w:jc w:val="center"/>
        <w:textAlignment w:val="baseline"/>
        <w:rPr>
          <w:iCs/>
          <w:lang w:val="uk-UA"/>
        </w:rPr>
      </w:pPr>
    </w:p>
    <w:p w:rsidR="00BD5CF8" w:rsidRPr="00C03848" w:rsidRDefault="00BD5CF8"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вимагати, щоб зобов'язані особи зберігали  наступні документи та інформацію відповідно до національного законодавства для цілей запобігання, виявлення та розслідування FIU або іншими компетентними органами, відмивання грошей або фінансування тероризму:</w:t>
      </w:r>
    </w:p>
    <w:p w:rsidR="00C07AC9" w:rsidRPr="00C03848" w:rsidRDefault="00C07AC9" w:rsidP="008B76F2">
      <w:pPr>
        <w:spacing w:after="0" w:line="240" w:lineRule="auto"/>
        <w:rPr>
          <w:rFonts w:ascii="Times New Roman" w:hAnsi="Times New Roman" w:cs="Times New Roman"/>
          <w:vanish/>
          <w:sz w:val="24"/>
          <w:szCs w:val="24"/>
          <w:lang w:val="uk-UA"/>
        </w:rPr>
      </w:pPr>
    </w:p>
    <w:tbl>
      <w:tblPr>
        <w:tblW w:w="5177"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423"/>
      </w:tblGrid>
      <w:tr w:rsidR="00BD5CF8" w:rsidRPr="00C03848" w:rsidTr="00BD5CF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D5CF8" w:rsidRPr="00C03848" w:rsidRDefault="00BD5CF8" w:rsidP="008B76F2">
            <w:pPr>
              <w:pStyle w:val="1"/>
              <w:spacing w:before="0" w:beforeAutospacing="0" w:after="0" w:afterAutospacing="0"/>
              <w:jc w:val="both"/>
              <w:textAlignment w:val="baseline"/>
              <w:rPr>
                <w:lang w:val="uk-UA" w:eastAsia="uk-UA"/>
              </w:rPr>
            </w:pPr>
            <w:r w:rsidRPr="00C03848">
              <w:rPr>
                <w:lang w:val="uk-UA" w:eastAsia="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D5CF8" w:rsidRPr="00C03848" w:rsidRDefault="00BD5CF8" w:rsidP="008B76F2">
            <w:pPr>
              <w:pStyle w:val="1"/>
              <w:spacing w:before="0" w:beforeAutospacing="0" w:after="0" w:afterAutospacing="0"/>
              <w:jc w:val="both"/>
              <w:textAlignment w:val="baseline"/>
              <w:rPr>
                <w:lang w:val="uk-UA" w:eastAsia="uk-UA"/>
              </w:rPr>
            </w:pPr>
            <w:r w:rsidRPr="00C03848">
              <w:rPr>
                <w:lang w:val="uk-UA" w:eastAsia="uk-UA"/>
              </w:rPr>
              <w:t>у разі здійснення належної перевірки клієнта, копію документів та відомості, які необхідні для виконання вимог стосовно належної перевірки клієнтів, які викладені у главі II, протягом п'яти років після закінчення ділових відносин з їх клієнтом або після дати випадкової транзакції;</w:t>
            </w:r>
          </w:p>
        </w:tc>
      </w:tr>
    </w:tbl>
    <w:p w:rsidR="00BD5CF8" w:rsidRPr="00C03848" w:rsidRDefault="00BD5CF8"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BD5CF8" w:rsidRPr="00C03848" w:rsidTr="00BD5CF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D5CF8" w:rsidRPr="00C03848" w:rsidRDefault="00BD5CF8" w:rsidP="008B76F2">
            <w:pPr>
              <w:pStyle w:val="1"/>
              <w:spacing w:before="0" w:beforeAutospacing="0" w:after="0" w:afterAutospacing="0"/>
              <w:jc w:val="both"/>
              <w:textAlignment w:val="baseline"/>
              <w:rPr>
                <w:lang w:val="uk-UA" w:eastAsia="uk-UA"/>
              </w:rPr>
            </w:pPr>
            <w:r w:rsidRPr="00C03848">
              <w:rPr>
                <w:lang w:val="uk-UA" w:eastAsia="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D5CF8" w:rsidRPr="00C03848" w:rsidRDefault="00BD5CF8" w:rsidP="008B76F2">
            <w:pPr>
              <w:pStyle w:val="1"/>
              <w:spacing w:before="0" w:beforeAutospacing="0" w:after="0" w:afterAutospacing="0"/>
              <w:jc w:val="both"/>
              <w:textAlignment w:val="baseline"/>
              <w:rPr>
                <w:lang w:val="uk-UA" w:eastAsia="uk-UA"/>
              </w:rPr>
            </w:pPr>
            <w:r w:rsidRPr="00C03848">
              <w:rPr>
                <w:lang w:val="uk-UA" w:eastAsia="uk-UA"/>
              </w:rPr>
              <w:t>підтверджуючих доказів і записів транзакцій, що складаються з оригінальних документів або копій, допустимих в судовому розгляді відповідно до чинного в країні національного законодавства, які необхідні для ідентифікації транзакцій, протягом п'яти років після закінчення ділових відносин з їх клієнтом або після дати випадкової транзакції.</w:t>
            </w:r>
          </w:p>
        </w:tc>
      </w:tr>
    </w:tbl>
    <w:p w:rsidR="00BD5CF8" w:rsidRPr="00C03848" w:rsidRDefault="00BD5CF8" w:rsidP="008B76F2">
      <w:pPr>
        <w:pStyle w:val="1"/>
        <w:shd w:val="clear" w:color="auto" w:fill="FFFFFF"/>
        <w:spacing w:before="0" w:beforeAutospacing="0" w:after="0" w:afterAutospacing="0"/>
        <w:jc w:val="both"/>
        <w:textAlignment w:val="baseline"/>
        <w:rPr>
          <w:lang w:val="uk-UA"/>
        </w:rPr>
      </w:pPr>
      <w:r w:rsidRPr="00C03848">
        <w:rPr>
          <w:lang w:val="uk-UA"/>
        </w:rPr>
        <w:t xml:space="preserve">Після закінчення термінів зберігання документації, зазначених у першому абзаці, держави-члени повинні гарантувати, що зобов'язані особи видалять особисті дані, якщо інше не передбачено національним законодавством, яке повинно визначити, за яких обставин зобов'язані особи можуть або повинні додатково зберігати дані. Держави-члени можуть дозволити або вимагати подальшого зберігання документів після того, як вони провели ретельну оцінку необхідності і пропорційності такого подальшого </w:t>
      </w:r>
      <w:r w:rsidR="006C731F" w:rsidRPr="00C03848">
        <w:rPr>
          <w:lang w:val="uk-UA"/>
        </w:rPr>
        <w:t>зберіг</w:t>
      </w:r>
      <w:r w:rsidRPr="00C03848">
        <w:rPr>
          <w:lang w:val="uk-UA"/>
        </w:rPr>
        <w:t xml:space="preserve">ання і вважати, що це виправдано, як необхідність для </w:t>
      </w:r>
      <w:r w:rsidR="006C731F" w:rsidRPr="00C03848">
        <w:rPr>
          <w:lang w:val="uk-UA"/>
        </w:rPr>
        <w:t>запобігання</w:t>
      </w:r>
      <w:r w:rsidRPr="00C03848">
        <w:rPr>
          <w:lang w:val="uk-UA"/>
        </w:rPr>
        <w:t xml:space="preserve">, виявлення або розслідування </w:t>
      </w:r>
      <w:r w:rsidR="006C731F" w:rsidRPr="00C03848">
        <w:rPr>
          <w:lang w:val="uk-UA"/>
        </w:rPr>
        <w:t xml:space="preserve">факту про </w:t>
      </w:r>
      <w:r w:rsidRPr="00C03848">
        <w:rPr>
          <w:lang w:val="uk-UA"/>
        </w:rPr>
        <w:t>відмивання грошей або фінансування тероризму. Таке подальше зберігання</w:t>
      </w:r>
      <w:r w:rsidR="006C731F" w:rsidRPr="00C03848">
        <w:rPr>
          <w:lang w:val="uk-UA"/>
        </w:rPr>
        <w:t xml:space="preserve"> документів</w:t>
      </w:r>
      <w:r w:rsidRPr="00C03848">
        <w:rPr>
          <w:lang w:val="uk-UA"/>
        </w:rPr>
        <w:t xml:space="preserve"> не повинно перевищувати п'яти </w:t>
      </w:r>
      <w:r w:rsidR="006C731F" w:rsidRPr="00C03848">
        <w:rPr>
          <w:lang w:val="uk-UA"/>
        </w:rPr>
        <w:t xml:space="preserve">додаткових </w:t>
      </w:r>
      <w:r w:rsidRPr="00C03848">
        <w:rPr>
          <w:lang w:val="uk-UA"/>
        </w:rPr>
        <w:t>років.</w:t>
      </w:r>
    </w:p>
    <w:p w:rsidR="00E9125D" w:rsidRPr="00C03848" w:rsidRDefault="00E9125D" w:rsidP="008B76F2">
      <w:pPr>
        <w:pStyle w:val="1"/>
        <w:shd w:val="clear" w:color="auto" w:fill="FFFFFF"/>
        <w:spacing w:before="0" w:beforeAutospacing="0" w:after="0" w:afterAutospacing="0"/>
        <w:jc w:val="both"/>
        <w:textAlignment w:val="baseline"/>
        <w:rPr>
          <w:lang w:val="uk-UA"/>
        </w:rPr>
      </w:pPr>
      <w:r w:rsidRPr="00C03848">
        <w:rPr>
          <w:lang w:val="uk-UA"/>
        </w:rPr>
        <w:t xml:space="preserve">2.    </w:t>
      </w:r>
      <w:r w:rsidR="00775BAC" w:rsidRPr="00C03848">
        <w:rPr>
          <w:lang w:val="uk-UA"/>
        </w:rPr>
        <w:t>У випадку</w:t>
      </w:r>
      <w:r w:rsidRPr="00C03848">
        <w:rPr>
          <w:lang w:val="uk-UA"/>
        </w:rPr>
        <w:t>,</w:t>
      </w:r>
      <w:r w:rsidR="00775BAC" w:rsidRPr="00C03848">
        <w:rPr>
          <w:lang w:val="uk-UA"/>
        </w:rPr>
        <w:t xml:space="preserve"> якщо</w:t>
      </w:r>
      <w:r w:rsidRPr="00C03848">
        <w:rPr>
          <w:lang w:val="uk-UA"/>
        </w:rPr>
        <w:t xml:space="preserve"> до 25 че</w:t>
      </w:r>
      <w:r w:rsidR="00775BAC" w:rsidRPr="00C03848">
        <w:rPr>
          <w:lang w:val="uk-UA"/>
        </w:rPr>
        <w:t>рвня 2015 року процесуальні дії</w:t>
      </w:r>
      <w:r w:rsidRPr="00C03848">
        <w:rPr>
          <w:lang w:val="uk-UA"/>
        </w:rPr>
        <w:t xml:space="preserve">, пов'язані з </w:t>
      </w:r>
      <w:r w:rsidR="00775BAC" w:rsidRPr="00C03848">
        <w:rPr>
          <w:lang w:val="uk-UA"/>
        </w:rPr>
        <w:t xml:space="preserve">запобіганням, </w:t>
      </w:r>
      <w:r w:rsidRPr="00C03848">
        <w:rPr>
          <w:lang w:val="uk-UA"/>
        </w:rPr>
        <w:t xml:space="preserve">виявленням, розслідуванням або кримінальним переслідуванням підозрюваних у відмиванні грошей або фінансуванні тероризму знаходяться на розгляді в державі-члені, і зобов'язана особа зберігає інформацію або документи, які </w:t>
      </w:r>
      <w:r w:rsidR="00B3289C" w:rsidRPr="00C03848">
        <w:rPr>
          <w:lang w:val="uk-UA"/>
        </w:rPr>
        <w:t>пов’язані з триваючим судовим процесом</w:t>
      </w:r>
      <w:r w:rsidRPr="00C03848">
        <w:rPr>
          <w:lang w:val="uk-UA"/>
        </w:rPr>
        <w:t xml:space="preserve">, то зобов'язана особа може зберегти цю інформацію або ці документи, відповідно до </w:t>
      </w:r>
      <w:r w:rsidR="00B3289C" w:rsidRPr="00C03848">
        <w:rPr>
          <w:lang w:val="uk-UA"/>
        </w:rPr>
        <w:t xml:space="preserve">положень </w:t>
      </w:r>
      <w:r w:rsidRPr="00C03848">
        <w:rPr>
          <w:lang w:val="uk-UA"/>
        </w:rPr>
        <w:t>національного законодавства протягом п'яти років з 25 червня 2015</w:t>
      </w:r>
      <w:r w:rsidR="00B3289C" w:rsidRPr="00C03848">
        <w:rPr>
          <w:lang w:val="uk-UA"/>
        </w:rPr>
        <w:t xml:space="preserve"> року</w:t>
      </w:r>
      <w:r w:rsidRPr="00C03848">
        <w:rPr>
          <w:lang w:val="uk-UA"/>
        </w:rPr>
        <w:t xml:space="preserve">. Держави-члени можуть без шкоди для національного кримінального </w:t>
      </w:r>
      <w:r w:rsidR="00B3289C" w:rsidRPr="00C03848">
        <w:rPr>
          <w:lang w:val="uk-UA"/>
        </w:rPr>
        <w:t xml:space="preserve">законодавства на </w:t>
      </w:r>
      <w:r w:rsidRPr="00C03848">
        <w:rPr>
          <w:lang w:val="uk-UA"/>
        </w:rPr>
        <w:t>доказ застосовний до триваючих кримінальних розслідувань та судових розглядів, дозволити або вимагати збереження такої інформації або документів протягом ще</w:t>
      </w:r>
      <w:r w:rsidR="00B3289C" w:rsidRPr="00C03848">
        <w:rPr>
          <w:lang w:val="uk-UA"/>
        </w:rPr>
        <w:t xml:space="preserve"> наступних</w:t>
      </w:r>
      <w:r w:rsidRPr="00C03848">
        <w:rPr>
          <w:lang w:val="uk-UA"/>
        </w:rPr>
        <w:t xml:space="preserve"> п'яти років, коли була встановлена необхідність і </w:t>
      </w:r>
      <w:r w:rsidR="00C14921" w:rsidRPr="00C03848">
        <w:rPr>
          <w:lang w:val="uk-UA"/>
        </w:rPr>
        <w:t>пропорцій</w:t>
      </w:r>
      <w:r w:rsidRPr="00C03848">
        <w:rPr>
          <w:lang w:val="uk-UA"/>
        </w:rPr>
        <w:t>ність такого подальшого утримання для запобігання, виявлення, розслідування або кримінального переслідування підозрюваних у відмиванні грошей або фінансуванні тероризму.</w:t>
      </w:r>
    </w:p>
    <w:p w:rsidR="006C731F" w:rsidRPr="00C03848" w:rsidRDefault="006C731F"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41</w:t>
      </w:r>
    </w:p>
    <w:p w:rsidR="00C14921" w:rsidRPr="00C03848" w:rsidRDefault="00C14921" w:rsidP="008B76F2">
      <w:pPr>
        <w:pStyle w:val="ti-art"/>
        <w:shd w:val="clear" w:color="auto" w:fill="FFFFFF"/>
        <w:spacing w:before="0" w:beforeAutospacing="0" w:after="0" w:afterAutospacing="0"/>
        <w:jc w:val="center"/>
        <w:textAlignment w:val="baseline"/>
        <w:rPr>
          <w:iCs/>
          <w:lang w:val="uk-UA"/>
        </w:rPr>
      </w:pPr>
    </w:p>
    <w:p w:rsidR="00C14921" w:rsidRPr="00C03848" w:rsidRDefault="00C14921" w:rsidP="008B76F2">
      <w:pPr>
        <w:pStyle w:val="1"/>
        <w:shd w:val="clear" w:color="auto" w:fill="FFFFFF"/>
        <w:spacing w:before="0" w:beforeAutospacing="0" w:after="0" w:afterAutospacing="0"/>
        <w:jc w:val="both"/>
        <w:textAlignment w:val="baseline"/>
        <w:rPr>
          <w:lang w:val="uk-UA"/>
        </w:rPr>
      </w:pPr>
      <w:r w:rsidRPr="00C03848">
        <w:rPr>
          <w:lang w:val="uk-UA"/>
        </w:rPr>
        <w:t>1.    На оброблення персональних даних відповідно до цієї Директиви поширюються вимоги Директиви 95/46/EC, як транспонованої в національне законодавство. На персональні дані, які обробляються відповідно до цієї Директиви Комісією  або ЄНО, поширюються положення Регламенту (ЕС) № 45/2001.</w:t>
      </w:r>
    </w:p>
    <w:p w:rsidR="00C14921" w:rsidRPr="00C03848" w:rsidRDefault="00C14921" w:rsidP="008B76F2">
      <w:pPr>
        <w:pStyle w:val="1"/>
        <w:shd w:val="clear" w:color="auto" w:fill="FFFFFF"/>
        <w:spacing w:before="0" w:beforeAutospacing="0" w:after="0" w:afterAutospacing="0"/>
        <w:jc w:val="both"/>
        <w:textAlignment w:val="baseline"/>
        <w:rPr>
          <w:lang w:val="uk-UA"/>
        </w:rPr>
      </w:pPr>
      <w:r w:rsidRPr="00C03848">
        <w:rPr>
          <w:lang w:val="uk-UA"/>
        </w:rPr>
        <w:lastRenderedPageBreak/>
        <w:t xml:space="preserve">2.    Персональні дані  повинні бути оброблені зобов'язаними особами на підставі </w:t>
      </w:r>
      <w:r w:rsidR="007E286B" w:rsidRPr="00C03848">
        <w:rPr>
          <w:lang w:val="uk-UA"/>
        </w:rPr>
        <w:t>положень дано</w:t>
      </w:r>
      <w:r w:rsidRPr="00C03848">
        <w:rPr>
          <w:lang w:val="uk-UA"/>
        </w:rPr>
        <w:t xml:space="preserve">ї Директиви тільки для цілей запобігання відмивання грошей і фінансування тероризму, згаданих в Статті 1, і не піддавати подальшій обробці таким чином, що є несумісним з </w:t>
      </w:r>
      <w:r w:rsidR="007E286B" w:rsidRPr="00C03848">
        <w:rPr>
          <w:lang w:val="uk-UA"/>
        </w:rPr>
        <w:t>зазначен</w:t>
      </w:r>
      <w:r w:rsidRPr="00C03848">
        <w:rPr>
          <w:lang w:val="uk-UA"/>
        </w:rPr>
        <w:t xml:space="preserve">ими цілями. Обробка персональних даних на основі </w:t>
      </w:r>
      <w:r w:rsidR="007E286B" w:rsidRPr="00C03848">
        <w:rPr>
          <w:lang w:val="uk-UA"/>
        </w:rPr>
        <w:t xml:space="preserve">положень даної </w:t>
      </w:r>
      <w:r w:rsidRPr="00C03848">
        <w:rPr>
          <w:lang w:val="uk-UA"/>
        </w:rPr>
        <w:t xml:space="preserve">Директиви для </w:t>
      </w:r>
      <w:r w:rsidR="003E62B9" w:rsidRPr="00C03848">
        <w:rPr>
          <w:lang w:val="uk-UA"/>
        </w:rPr>
        <w:t>будь-</w:t>
      </w:r>
      <w:r w:rsidRPr="00C03848">
        <w:rPr>
          <w:lang w:val="uk-UA"/>
        </w:rPr>
        <w:t>яких</w:t>
      </w:r>
      <w:r w:rsidR="003E62B9" w:rsidRPr="00C03848">
        <w:rPr>
          <w:lang w:val="uk-UA"/>
        </w:rPr>
        <w:t xml:space="preserve"> </w:t>
      </w:r>
      <w:r w:rsidRPr="00C03848">
        <w:rPr>
          <w:lang w:val="uk-UA"/>
        </w:rPr>
        <w:t>інших цілей</w:t>
      </w:r>
      <w:r w:rsidR="003E62B9" w:rsidRPr="00C03848">
        <w:rPr>
          <w:lang w:val="uk-UA"/>
        </w:rPr>
        <w:t>,</w:t>
      </w:r>
      <w:r w:rsidRPr="00C03848">
        <w:rPr>
          <w:lang w:val="uk-UA"/>
        </w:rPr>
        <w:t xml:space="preserve"> таких як коме</w:t>
      </w:r>
      <w:r w:rsidR="003E62B9" w:rsidRPr="00C03848">
        <w:rPr>
          <w:lang w:val="uk-UA"/>
        </w:rPr>
        <w:t>рційні цілі, має бути заборонена.</w:t>
      </w:r>
    </w:p>
    <w:p w:rsidR="003E62B9" w:rsidRPr="00C03848" w:rsidRDefault="003E62B9" w:rsidP="008B76F2">
      <w:pPr>
        <w:pStyle w:val="1"/>
        <w:shd w:val="clear" w:color="auto" w:fill="FFFFFF"/>
        <w:spacing w:before="0" w:beforeAutospacing="0" w:after="0" w:afterAutospacing="0"/>
        <w:jc w:val="both"/>
        <w:textAlignment w:val="baseline"/>
        <w:rPr>
          <w:lang w:val="uk-UA"/>
        </w:rPr>
      </w:pPr>
      <w:r w:rsidRPr="00C03848">
        <w:rPr>
          <w:lang w:val="uk-UA"/>
        </w:rPr>
        <w:t>3.    Зобов'язані особи повинні надавати нови</w:t>
      </w:r>
      <w:r w:rsidR="00E93C11" w:rsidRPr="00C03848">
        <w:rPr>
          <w:lang w:val="uk-UA"/>
        </w:rPr>
        <w:t>м</w:t>
      </w:r>
      <w:r w:rsidRPr="00C03848">
        <w:rPr>
          <w:lang w:val="uk-UA"/>
        </w:rPr>
        <w:t xml:space="preserve"> клієнт</w:t>
      </w:r>
      <w:r w:rsidR="00E93C11" w:rsidRPr="00C03848">
        <w:rPr>
          <w:lang w:val="uk-UA"/>
        </w:rPr>
        <w:t>ам</w:t>
      </w:r>
      <w:r w:rsidRPr="00C03848">
        <w:rPr>
          <w:lang w:val="uk-UA"/>
        </w:rPr>
        <w:t xml:space="preserve"> інформаці</w:t>
      </w:r>
      <w:r w:rsidR="00E93C11" w:rsidRPr="00C03848">
        <w:rPr>
          <w:lang w:val="uk-UA"/>
        </w:rPr>
        <w:t>ю</w:t>
      </w:r>
      <w:r w:rsidRPr="00C03848">
        <w:rPr>
          <w:lang w:val="uk-UA"/>
        </w:rPr>
        <w:t>,</w:t>
      </w:r>
      <w:r w:rsidR="00E93C11" w:rsidRPr="00C03848">
        <w:rPr>
          <w:lang w:val="uk-UA"/>
        </w:rPr>
        <w:t xml:space="preserve"> яка є</w:t>
      </w:r>
      <w:r w:rsidRPr="00C03848">
        <w:rPr>
          <w:lang w:val="uk-UA"/>
        </w:rPr>
        <w:t xml:space="preserve"> необх</w:t>
      </w:r>
      <w:r w:rsidR="00E93C11" w:rsidRPr="00C03848">
        <w:rPr>
          <w:lang w:val="uk-UA"/>
        </w:rPr>
        <w:t xml:space="preserve">ідною відповідно до Статті 10 </w:t>
      </w:r>
      <w:r w:rsidRPr="00C03848">
        <w:rPr>
          <w:lang w:val="uk-UA"/>
        </w:rPr>
        <w:t xml:space="preserve">Директиви 95/46/EC, перед тим, як встановити ділові відносини або виконати проведення випадкової транзакції. Ця інформація повинна зокрема включати в себе загальне повідомлення </w:t>
      </w:r>
      <w:r w:rsidR="00E93C11" w:rsidRPr="00C03848">
        <w:rPr>
          <w:lang w:val="uk-UA"/>
        </w:rPr>
        <w:t>стосовно правових</w:t>
      </w:r>
      <w:r w:rsidRPr="00C03848">
        <w:rPr>
          <w:lang w:val="uk-UA"/>
        </w:rPr>
        <w:t xml:space="preserve"> </w:t>
      </w:r>
      <w:r w:rsidR="00AC3A3E" w:rsidRPr="00C03848">
        <w:rPr>
          <w:lang w:val="uk-UA"/>
        </w:rPr>
        <w:t>обов’язків</w:t>
      </w:r>
      <w:r w:rsidRPr="00C03848">
        <w:rPr>
          <w:lang w:val="uk-UA"/>
        </w:rPr>
        <w:t xml:space="preserve"> зобов'язаних осіб відповідно до </w:t>
      </w:r>
      <w:r w:rsidR="00E93C11" w:rsidRPr="00C03848">
        <w:rPr>
          <w:lang w:val="uk-UA"/>
        </w:rPr>
        <w:t xml:space="preserve">положень даної Директиви з метою </w:t>
      </w:r>
      <w:r w:rsidRPr="00C03848">
        <w:rPr>
          <w:lang w:val="uk-UA"/>
        </w:rPr>
        <w:t>обробл</w:t>
      </w:r>
      <w:r w:rsidR="00E93C11" w:rsidRPr="00C03848">
        <w:rPr>
          <w:lang w:val="uk-UA"/>
        </w:rPr>
        <w:t>ення особистих даних</w:t>
      </w:r>
      <w:r w:rsidRPr="00C03848">
        <w:rPr>
          <w:lang w:val="uk-UA"/>
        </w:rPr>
        <w:t xml:space="preserve"> для цілей запобігання відмивання грошей і фінансування тероризму, </w:t>
      </w:r>
      <w:r w:rsidR="00E93C11" w:rsidRPr="00C03848">
        <w:rPr>
          <w:lang w:val="uk-UA"/>
        </w:rPr>
        <w:t>як зазначено в Статті</w:t>
      </w:r>
      <w:r w:rsidRPr="00C03848">
        <w:rPr>
          <w:lang w:val="uk-UA"/>
        </w:rPr>
        <w:t xml:space="preserve"> 1 </w:t>
      </w:r>
      <w:r w:rsidR="00E93C11" w:rsidRPr="00C03848">
        <w:rPr>
          <w:lang w:val="uk-UA"/>
        </w:rPr>
        <w:t>дано</w:t>
      </w:r>
      <w:r w:rsidRPr="00C03848">
        <w:rPr>
          <w:lang w:val="uk-UA"/>
        </w:rPr>
        <w:t>ї Директиви.</w:t>
      </w:r>
    </w:p>
    <w:p w:rsidR="00E93C11" w:rsidRPr="00C03848" w:rsidRDefault="00D8639E" w:rsidP="008B76F2">
      <w:pPr>
        <w:pStyle w:val="1"/>
        <w:shd w:val="clear" w:color="auto" w:fill="FFFFFF"/>
        <w:spacing w:before="0" w:beforeAutospacing="0" w:after="0" w:afterAutospacing="0"/>
        <w:jc w:val="both"/>
        <w:textAlignment w:val="baseline"/>
        <w:rPr>
          <w:lang w:val="uk-UA"/>
        </w:rPr>
      </w:pPr>
      <w:r w:rsidRPr="00C03848">
        <w:rPr>
          <w:lang w:val="uk-UA"/>
        </w:rPr>
        <w:t xml:space="preserve">4.  </w:t>
      </w:r>
      <w:r w:rsidR="008158FB" w:rsidRPr="00C03848">
        <w:rPr>
          <w:lang w:val="uk-UA"/>
        </w:rPr>
        <w:t>У процесі застосування</w:t>
      </w:r>
      <w:r w:rsidRPr="00C03848">
        <w:rPr>
          <w:lang w:val="uk-UA"/>
        </w:rPr>
        <w:t xml:space="preserve"> заборони на роз</w:t>
      </w:r>
      <w:r w:rsidR="008158FB" w:rsidRPr="00C03848">
        <w:rPr>
          <w:lang w:val="uk-UA"/>
        </w:rPr>
        <w:t>критт</w:t>
      </w:r>
      <w:r w:rsidRPr="00C03848">
        <w:rPr>
          <w:lang w:val="uk-UA"/>
        </w:rPr>
        <w:t xml:space="preserve">я, </w:t>
      </w:r>
      <w:r w:rsidR="008158FB" w:rsidRPr="00C03848">
        <w:rPr>
          <w:lang w:val="uk-UA"/>
        </w:rPr>
        <w:t>зазначеної</w:t>
      </w:r>
      <w:r w:rsidRPr="00C03848">
        <w:rPr>
          <w:lang w:val="uk-UA"/>
        </w:rPr>
        <w:t xml:space="preserve"> в Статті 39 (1), держави-члени повинні </w:t>
      </w:r>
      <w:r w:rsidR="008158FB" w:rsidRPr="00C03848">
        <w:rPr>
          <w:lang w:val="uk-UA"/>
        </w:rPr>
        <w:t>прийня</w:t>
      </w:r>
      <w:r w:rsidRPr="00C03848">
        <w:rPr>
          <w:lang w:val="uk-UA"/>
        </w:rPr>
        <w:t>ти законодавч</w:t>
      </w:r>
      <w:r w:rsidR="0051378A" w:rsidRPr="00C03848">
        <w:rPr>
          <w:lang w:val="uk-UA"/>
        </w:rPr>
        <w:t>і</w:t>
      </w:r>
      <w:r w:rsidRPr="00C03848">
        <w:rPr>
          <w:lang w:val="uk-UA"/>
        </w:rPr>
        <w:t xml:space="preserve"> заход</w:t>
      </w:r>
      <w:r w:rsidR="0051378A" w:rsidRPr="00C03848">
        <w:rPr>
          <w:lang w:val="uk-UA"/>
        </w:rPr>
        <w:t>и</w:t>
      </w:r>
      <w:r w:rsidRPr="00C03848">
        <w:rPr>
          <w:lang w:val="uk-UA"/>
        </w:rPr>
        <w:t>, які обмежують в цілому або в частині право суб'єкта на доступ до персональних даних, що відносяться до нього або до неї в тій мірі, що таке часткове або повне обмеження є необхідною і пропорційною мірою в демократичному суспільстві з належним урахуванням законних інтересів зацікавленої особи</w:t>
      </w:r>
      <w:r w:rsidR="008158FB" w:rsidRPr="00C03848">
        <w:rPr>
          <w:lang w:val="uk-UA"/>
        </w:rPr>
        <w:t>, щоб</w:t>
      </w:r>
      <w:r w:rsidRPr="00C03848">
        <w:rPr>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8158FB" w:rsidRPr="00C03848" w:rsidTr="008158F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158FB" w:rsidRPr="00C03848" w:rsidRDefault="008158FB" w:rsidP="008B76F2">
            <w:pPr>
              <w:pStyle w:val="1"/>
              <w:spacing w:before="0" w:beforeAutospacing="0" w:after="0" w:afterAutospacing="0"/>
              <w:jc w:val="both"/>
              <w:textAlignment w:val="baseline"/>
              <w:rPr>
                <w:lang w:val="uk-UA" w:eastAsia="uk-UA"/>
              </w:rPr>
            </w:pPr>
            <w:r w:rsidRPr="00C03848">
              <w:rPr>
                <w:lang w:val="uk-UA" w:eastAsia="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158FB" w:rsidRPr="00C03848" w:rsidRDefault="008158FB" w:rsidP="008B76F2">
            <w:pPr>
              <w:pStyle w:val="1"/>
              <w:spacing w:before="0" w:beforeAutospacing="0" w:after="0" w:afterAutospacing="0"/>
              <w:jc w:val="both"/>
              <w:textAlignment w:val="baseline"/>
              <w:rPr>
                <w:lang w:val="uk-UA" w:eastAsia="uk-UA"/>
              </w:rPr>
            </w:pPr>
            <w:r w:rsidRPr="00C03848">
              <w:rPr>
                <w:lang w:val="uk-UA" w:eastAsia="uk-UA"/>
              </w:rPr>
              <w:t>Надати можливість зобов'язаній особі або компетентному національному органу для виконання своїх завдань належним чином для цілей цієї Директиви; або</w:t>
            </w:r>
          </w:p>
        </w:tc>
      </w:tr>
    </w:tbl>
    <w:p w:rsidR="008158FB" w:rsidRPr="00C03848" w:rsidRDefault="008158FB"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8158FB" w:rsidRPr="00C03848" w:rsidTr="008158F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158FB" w:rsidRPr="00C03848" w:rsidRDefault="008158FB" w:rsidP="008B76F2">
            <w:pPr>
              <w:pStyle w:val="1"/>
              <w:spacing w:before="0" w:beforeAutospacing="0" w:after="0" w:afterAutospacing="0"/>
              <w:jc w:val="both"/>
              <w:textAlignment w:val="baseline"/>
              <w:rPr>
                <w:lang w:val="uk-UA" w:eastAsia="uk-UA"/>
              </w:rPr>
            </w:pPr>
            <w:r w:rsidRPr="00C03848">
              <w:rPr>
                <w:lang w:val="uk-UA" w:eastAsia="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158FB" w:rsidRPr="00C03848" w:rsidRDefault="008158FB" w:rsidP="008B76F2">
            <w:pPr>
              <w:pStyle w:val="1"/>
              <w:spacing w:before="0" w:beforeAutospacing="0" w:after="0" w:afterAutospacing="0"/>
              <w:jc w:val="both"/>
              <w:textAlignment w:val="baseline"/>
              <w:rPr>
                <w:lang w:val="uk-UA" w:eastAsia="uk-UA"/>
              </w:rPr>
            </w:pPr>
            <w:r w:rsidRPr="00C03848">
              <w:rPr>
                <w:lang w:val="uk-UA" w:eastAsia="uk-UA"/>
              </w:rPr>
              <w:t>уникнути перешкоджанню офіційним або юридичним запитам, аналізу, дослідженню та процедурам для цілей цієї Директиви і забезпечити, щоб попередження, дослідження і виявлення відмивання грошей і фінансування тероризму не були  під загрозою.</w:t>
            </w:r>
          </w:p>
        </w:tc>
      </w:tr>
    </w:tbl>
    <w:p w:rsidR="00C07AC9" w:rsidRPr="00C03848" w:rsidRDefault="00C07AC9" w:rsidP="008B76F2">
      <w:pPr>
        <w:spacing w:after="0" w:line="240" w:lineRule="auto"/>
        <w:rPr>
          <w:rFonts w:ascii="Times New Roman" w:hAnsi="Times New Roman" w:cs="Times New Roman"/>
          <w:vanish/>
          <w:sz w:val="24"/>
          <w:szCs w:val="24"/>
          <w:lang w:val="uk-UA"/>
        </w:rPr>
      </w:pPr>
    </w:p>
    <w:p w:rsidR="008158FB" w:rsidRPr="00C03848" w:rsidRDefault="008158FB" w:rsidP="008B76F2">
      <w:pPr>
        <w:pStyle w:val="ti-art"/>
        <w:shd w:val="clear" w:color="auto" w:fill="FFFFFF"/>
        <w:spacing w:before="0" w:beforeAutospacing="0" w:after="0" w:afterAutospacing="0"/>
        <w:jc w:val="center"/>
        <w:textAlignment w:val="baseline"/>
        <w:rPr>
          <w:iCs/>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42</w:t>
      </w:r>
    </w:p>
    <w:p w:rsidR="00C14921" w:rsidRPr="00C03848" w:rsidRDefault="00C14921" w:rsidP="008B76F2">
      <w:pPr>
        <w:pStyle w:val="ti-art"/>
        <w:shd w:val="clear" w:color="auto" w:fill="FFFFFF"/>
        <w:spacing w:before="0" w:beforeAutospacing="0" w:after="0" w:afterAutospacing="0"/>
        <w:jc w:val="center"/>
        <w:textAlignment w:val="baseline"/>
        <w:rPr>
          <w:iCs/>
          <w:lang w:val="uk-UA"/>
        </w:rPr>
      </w:pPr>
    </w:p>
    <w:p w:rsidR="00FE7AD2" w:rsidRPr="00C03848" w:rsidRDefault="00FE7AD2" w:rsidP="008B76F2">
      <w:pPr>
        <w:pStyle w:val="1"/>
        <w:shd w:val="clear" w:color="auto" w:fill="FFFFFF"/>
        <w:spacing w:before="0" w:beforeAutospacing="0" w:after="0" w:afterAutospacing="0"/>
        <w:jc w:val="both"/>
        <w:textAlignment w:val="baseline"/>
        <w:rPr>
          <w:lang w:val="uk-UA"/>
        </w:rPr>
      </w:pPr>
      <w:r w:rsidRPr="00C03848">
        <w:rPr>
          <w:lang w:val="uk-UA"/>
        </w:rPr>
        <w:t>Держави-члени повинні вимагати, щоб їх зобов'язані особи мали системи, які дозволяють їм повною мірою й оперативно реагувати на запити своїх FIU або інших органів, відповідно до</w:t>
      </w:r>
      <w:r w:rsidR="00A44F76" w:rsidRPr="00C03848">
        <w:rPr>
          <w:lang w:val="uk-UA"/>
        </w:rPr>
        <w:t xml:space="preserve"> положень</w:t>
      </w:r>
      <w:r w:rsidRPr="00C03848">
        <w:rPr>
          <w:lang w:val="uk-UA"/>
        </w:rPr>
        <w:t xml:space="preserve"> їх національного законодавства щодо того, чи вони підтримують або підтримували протягом п'ятирічного </w:t>
      </w:r>
      <w:r w:rsidR="00AC3A3E" w:rsidRPr="00C03848">
        <w:rPr>
          <w:lang w:val="uk-UA"/>
        </w:rPr>
        <w:t>періоду</w:t>
      </w:r>
      <w:r w:rsidRPr="00C03848">
        <w:rPr>
          <w:lang w:val="uk-UA"/>
        </w:rPr>
        <w:t xml:space="preserve"> до цього запита ділові відносини з зазначеними особами, а також про ха</w:t>
      </w:r>
      <w:r w:rsidR="00A44F76" w:rsidRPr="00C03848">
        <w:rPr>
          <w:lang w:val="uk-UA"/>
        </w:rPr>
        <w:t>рактер цих відносин по захищеним</w:t>
      </w:r>
      <w:r w:rsidRPr="00C03848">
        <w:rPr>
          <w:lang w:val="uk-UA"/>
        </w:rPr>
        <w:t xml:space="preserve"> каналам і способом, що забезпечує повну конфіденційність запитів.</w:t>
      </w:r>
    </w:p>
    <w:p w:rsidR="00C14921" w:rsidRPr="00C03848" w:rsidRDefault="00C14921"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43</w:t>
      </w:r>
    </w:p>
    <w:p w:rsidR="00C14921" w:rsidRPr="00C03848" w:rsidRDefault="00C14921" w:rsidP="008B76F2">
      <w:pPr>
        <w:pStyle w:val="ti-art"/>
        <w:shd w:val="clear" w:color="auto" w:fill="FFFFFF"/>
        <w:spacing w:before="0" w:beforeAutospacing="0" w:after="0" w:afterAutospacing="0"/>
        <w:jc w:val="center"/>
        <w:textAlignment w:val="baseline"/>
        <w:rPr>
          <w:iCs/>
          <w:lang w:val="uk-UA"/>
        </w:rPr>
      </w:pPr>
    </w:p>
    <w:p w:rsidR="001B2F50" w:rsidRPr="00C03848" w:rsidRDefault="001B2F50" w:rsidP="008B76F2">
      <w:pPr>
        <w:pStyle w:val="1"/>
        <w:shd w:val="clear" w:color="auto" w:fill="FFFFFF"/>
        <w:spacing w:before="0" w:beforeAutospacing="0" w:after="0" w:afterAutospacing="0"/>
        <w:jc w:val="both"/>
        <w:textAlignment w:val="baseline"/>
        <w:rPr>
          <w:lang w:val="uk-UA"/>
        </w:rPr>
      </w:pPr>
      <w:r w:rsidRPr="00C03848">
        <w:rPr>
          <w:lang w:val="uk-UA"/>
        </w:rPr>
        <w:t>Обробка персональних даних на основі цієї Директиви для цілей запобігання відмивання грошей і фінансування тероризму, зазначених в Статті 1,  повинна вважатись, питанням суспільного інтересу відповідно до  Директиви  95/46/EC.</w:t>
      </w:r>
    </w:p>
    <w:p w:rsidR="001B2F50" w:rsidRPr="00C03848" w:rsidRDefault="001B2F50" w:rsidP="008B76F2">
      <w:pPr>
        <w:pStyle w:val="1"/>
        <w:shd w:val="clear" w:color="auto" w:fill="FFFFFF"/>
        <w:spacing w:before="0" w:beforeAutospacing="0" w:after="0" w:afterAutospacing="0"/>
        <w:jc w:val="both"/>
        <w:textAlignment w:val="baseline"/>
        <w:rPr>
          <w:lang w:val="uk-UA"/>
        </w:rPr>
      </w:pPr>
    </w:p>
    <w:p w:rsidR="00C14921" w:rsidRPr="00C03848" w:rsidRDefault="00C14921"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44</w:t>
      </w:r>
    </w:p>
    <w:p w:rsidR="00C14921" w:rsidRPr="00C03848" w:rsidRDefault="00C14921" w:rsidP="008B76F2">
      <w:pPr>
        <w:pStyle w:val="ti-art"/>
        <w:shd w:val="clear" w:color="auto" w:fill="FFFFFF"/>
        <w:spacing w:before="0" w:beforeAutospacing="0" w:after="0" w:afterAutospacing="0"/>
        <w:jc w:val="center"/>
        <w:textAlignment w:val="baseline"/>
        <w:rPr>
          <w:iCs/>
          <w:lang w:val="uk-UA"/>
        </w:rPr>
      </w:pPr>
    </w:p>
    <w:p w:rsidR="001B2F50" w:rsidRPr="00C03848" w:rsidRDefault="001B2F50"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з метою сприяння підготовці оцінювання ризику відповідно до Статті 7, забезпечити, що вони в змозі проаналізувати ефективність своїх систем по боротьбі з відмиванням грошей або фінансуванням тероризму, шляхом підтримання комплексних статистичних даних з питань, що стосується ефективності таких систем.</w:t>
      </w:r>
    </w:p>
    <w:p w:rsidR="001B2F50" w:rsidRPr="00C03848" w:rsidRDefault="001B2F50" w:rsidP="008B76F2">
      <w:pPr>
        <w:pStyle w:val="1"/>
        <w:shd w:val="clear" w:color="auto" w:fill="FFFFFF"/>
        <w:spacing w:before="0" w:beforeAutospacing="0" w:after="0" w:afterAutospacing="0"/>
        <w:jc w:val="both"/>
        <w:textAlignment w:val="baseline"/>
        <w:rPr>
          <w:lang w:val="uk-UA"/>
        </w:rPr>
      </w:pPr>
      <w:r w:rsidRPr="00C03848">
        <w:rPr>
          <w:lang w:val="uk-UA"/>
        </w:rPr>
        <w:t>2.   </w:t>
      </w:r>
      <w:r w:rsidRPr="00C03848">
        <w:rPr>
          <w:rStyle w:val="hps"/>
          <w:lang w:val="uk-UA"/>
        </w:rPr>
        <w:t>Статистичні дані</w:t>
      </w:r>
      <w:r w:rsidRPr="00C03848">
        <w:rPr>
          <w:lang w:val="uk-UA"/>
        </w:rPr>
        <w:t>, зазначені в пункті</w:t>
      </w:r>
      <w:r w:rsidRPr="00C03848">
        <w:rPr>
          <w:rStyle w:val="apple-converted-space"/>
          <w:lang w:val="uk-UA"/>
        </w:rPr>
        <w:t> </w:t>
      </w:r>
      <w:r w:rsidRPr="00C03848">
        <w:rPr>
          <w:rStyle w:val="hps"/>
          <w:lang w:val="uk-UA"/>
        </w:rPr>
        <w:t>1</w:t>
      </w:r>
      <w:r w:rsidRPr="00C03848">
        <w:rPr>
          <w:lang w:val="uk-UA"/>
        </w:rPr>
        <w:t>, повинні включати</w:t>
      </w:r>
      <w:r w:rsidRPr="00C03848">
        <w:rPr>
          <w:rStyle w:val="hps"/>
          <w:lang w:val="uk-UA"/>
        </w:rPr>
        <w:t>:</w:t>
      </w:r>
      <w:r w:rsidRPr="00C03848">
        <w:rPr>
          <w:lang w:val="uk-UA"/>
        </w:rPr>
        <w:t xml:space="preserve">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2D0AFA" w:rsidRPr="00C03848" w:rsidTr="002D0AF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D0AFA" w:rsidRPr="00C03848" w:rsidRDefault="002D0AFA" w:rsidP="008B76F2">
            <w:pPr>
              <w:pStyle w:val="1"/>
              <w:spacing w:before="0" w:beforeAutospacing="0" w:after="0" w:afterAutospacing="0"/>
              <w:jc w:val="both"/>
              <w:textAlignment w:val="baseline"/>
              <w:rPr>
                <w:lang w:val="uk-UA" w:eastAsia="uk-UA"/>
              </w:rPr>
            </w:pPr>
            <w:r w:rsidRPr="00C03848">
              <w:rPr>
                <w:lang w:val="uk-UA" w:eastAsia="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D0AFA" w:rsidRPr="00C03848" w:rsidRDefault="002D0AFA" w:rsidP="008B76F2">
            <w:pPr>
              <w:pStyle w:val="1"/>
              <w:spacing w:before="0" w:beforeAutospacing="0" w:after="0" w:afterAutospacing="0"/>
              <w:jc w:val="both"/>
              <w:textAlignment w:val="baseline"/>
              <w:rPr>
                <w:lang w:val="uk-UA" w:eastAsia="uk-UA"/>
              </w:rPr>
            </w:pPr>
            <w:r w:rsidRPr="00C03848">
              <w:rPr>
                <w:lang w:val="uk-UA" w:eastAsia="uk-UA"/>
              </w:rPr>
              <w:t xml:space="preserve">дані, що характеризують вимірювання розміру і важливості різних секторів, які </w:t>
            </w:r>
            <w:r w:rsidR="00F226BB" w:rsidRPr="00C03848">
              <w:rPr>
                <w:lang w:val="uk-UA" w:eastAsia="uk-UA"/>
              </w:rPr>
              <w:t xml:space="preserve">охоплені </w:t>
            </w:r>
            <w:r w:rsidRPr="00C03848">
              <w:rPr>
                <w:lang w:val="uk-UA" w:eastAsia="uk-UA"/>
              </w:rPr>
              <w:t>сфер</w:t>
            </w:r>
            <w:r w:rsidR="00F226BB" w:rsidRPr="00C03848">
              <w:rPr>
                <w:lang w:val="uk-UA" w:eastAsia="uk-UA"/>
              </w:rPr>
              <w:t>ою дії</w:t>
            </w:r>
            <w:r w:rsidRPr="00C03848">
              <w:rPr>
                <w:lang w:val="uk-UA" w:eastAsia="uk-UA"/>
              </w:rPr>
              <w:t xml:space="preserve"> цієї Директиви, у тому числі кількість юридичних і фізичних осіб та економічне значення кожного сектора;</w:t>
            </w:r>
          </w:p>
        </w:tc>
      </w:tr>
    </w:tbl>
    <w:p w:rsidR="002D0AFA" w:rsidRPr="00C03848" w:rsidRDefault="002D0AF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431"/>
        <w:gridCol w:w="9029"/>
      </w:tblGrid>
      <w:tr w:rsidR="002D0AFA" w:rsidRPr="00C03848" w:rsidTr="002D0AF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D0AFA" w:rsidRPr="00C03848" w:rsidRDefault="002D0AFA" w:rsidP="008B76F2">
            <w:pPr>
              <w:pStyle w:val="1"/>
              <w:spacing w:before="0" w:beforeAutospacing="0" w:after="0" w:afterAutospacing="0"/>
              <w:jc w:val="both"/>
              <w:textAlignment w:val="baseline"/>
              <w:rPr>
                <w:lang w:val="uk-UA" w:eastAsia="uk-UA"/>
              </w:rPr>
            </w:pPr>
            <w:r w:rsidRPr="00C03848">
              <w:rPr>
                <w:lang w:val="uk-UA" w:eastAsia="uk-UA"/>
              </w:rPr>
              <w:lastRenderedPageBreak/>
              <w:t>(b)</w:t>
            </w:r>
          </w:p>
        </w:tc>
        <w:tc>
          <w:tcPr>
            <w:tcW w:w="4772"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D0AFA" w:rsidRPr="00C03848" w:rsidRDefault="00814AB5" w:rsidP="0051378A">
            <w:pPr>
              <w:pStyle w:val="1"/>
              <w:spacing w:before="0" w:beforeAutospacing="0" w:after="0" w:afterAutospacing="0"/>
              <w:jc w:val="both"/>
              <w:textAlignment w:val="baseline"/>
              <w:rPr>
                <w:lang w:val="uk-UA" w:eastAsia="uk-UA"/>
              </w:rPr>
            </w:pPr>
            <w:r w:rsidRPr="00C03848">
              <w:rPr>
                <w:lang w:val="uk-UA" w:eastAsia="uk-UA"/>
              </w:rPr>
              <w:t>д</w:t>
            </w:r>
            <w:r w:rsidR="002D0AFA" w:rsidRPr="00C03848">
              <w:rPr>
                <w:lang w:val="uk-UA" w:eastAsia="uk-UA"/>
              </w:rPr>
              <w:t>ані</w:t>
            </w:r>
            <w:r w:rsidR="00F226BB" w:rsidRPr="00C03848">
              <w:rPr>
                <w:lang w:val="uk-UA" w:eastAsia="uk-UA"/>
              </w:rPr>
              <w:t>, що характеризують</w:t>
            </w:r>
            <w:r w:rsidR="002D0AFA" w:rsidRPr="00C03848">
              <w:rPr>
                <w:lang w:val="uk-UA" w:eastAsia="uk-UA"/>
              </w:rPr>
              <w:t xml:space="preserve"> вимірювання</w:t>
            </w:r>
            <w:r w:rsidR="0051378A" w:rsidRPr="00C03848">
              <w:rPr>
                <w:lang w:val="uk-UA" w:eastAsia="uk-UA"/>
              </w:rPr>
              <w:t>,</w:t>
            </w:r>
            <w:r w:rsidR="002D0AFA" w:rsidRPr="00C03848">
              <w:rPr>
                <w:lang w:val="uk-UA" w:eastAsia="uk-UA"/>
              </w:rPr>
              <w:t xml:space="preserve"> звіт</w:t>
            </w:r>
            <w:r w:rsidR="00F226BB" w:rsidRPr="00C03848">
              <w:rPr>
                <w:lang w:val="uk-UA" w:eastAsia="uk-UA"/>
              </w:rPr>
              <w:t>ування</w:t>
            </w:r>
            <w:r w:rsidR="002D0AFA" w:rsidRPr="00C03848">
              <w:rPr>
                <w:lang w:val="uk-UA" w:eastAsia="uk-UA"/>
              </w:rPr>
              <w:t>, розслідування та судові фази національного режиму БВГ/ПФТ</w:t>
            </w:r>
            <w:r w:rsidR="00F226BB" w:rsidRPr="00C03848">
              <w:rPr>
                <w:lang w:val="uk-UA" w:eastAsia="uk-UA"/>
              </w:rPr>
              <w:t xml:space="preserve">, включаючи </w:t>
            </w:r>
            <w:r w:rsidR="002D0AFA" w:rsidRPr="00C03848">
              <w:rPr>
                <w:lang w:val="uk-UA" w:eastAsia="uk-UA"/>
              </w:rPr>
              <w:t>кіл</w:t>
            </w:r>
            <w:r w:rsidR="00F226BB" w:rsidRPr="00C03848">
              <w:rPr>
                <w:lang w:val="uk-UA" w:eastAsia="uk-UA"/>
              </w:rPr>
              <w:t xml:space="preserve">ькість </w:t>
            </w:r>
            <w:r w:rsidR="0051378A" w:rsidRPr="00C03848">
              <w:rPr>
                <w:lang w:val="uk-UA" w:eastAsia="uk-UA"/>
              </w:rPr>
              <w:t>звітів</w:t>
            </w:r>
            <w:r w:rsidR="00F226BB" w:rsidRPr="00C03848">
              <w:rPr>
                <w:lang w:val="uk-UA" w:eastAsia="uk-UA"/>
              </w:rPr>
              <w:t xml:space="preserve"> про підозрілі</w:t>
            </w:r>
            <w:r w:rsidR="002D0AFA" w:rsidRPr="00C03848">
              <w:rPr>
                <w:lang w:val="uk-UA" w:eastAsia="uk-UA"/>
              </w:rPr>
              <w:t xml:space="preserve"> транзакці</w:t>
            </w:r>
            <w:r w:rsidR="00F226BB" w:rsidRPr="00C03848">
              <w:rPr>
                <w:lang w:val="uk-UA" w:eastAsia="uk-UA"/>
              </w:rPr>
              <w:t>ї</w:t>
            </w:r>
            <w:r w:rsidR="002D0AFA" w:rsidRPr="00C03848">
              <w:rPr>
                <w:lang w:val="uk-UA" w:eastAsia="uk-UA"/>
              </w:rPr>
              <w:t xml:space="preserve">, </w:t>
            </w:r>
            <w:r w:rsidR="00F226BB" w:rsidRPr="00C03848">
              <w:rPr>
                <w:lang w:val="uk-UA" w:eastAsia="uk-UA"/>
              </w:rPr>
              <w:t>надіслані</w:t>
            </w:r>
            <w:r w:rsidR="002D0AFA" w:rsidRPr="00C03848">
              <w:rPr>
                <w:lang w:val="uk-UA" w:eastAsia="uk-UA"/>
              </w:rPr>
              <w:t xml:space="preserve"> FIU, наступн</w:t>
            </w:r>
            <w:r w:rsidR="0051378A" w:rsidRPr="00C03848">
              <w:rPr>
                <w:lang w:val="uk-UA" w:eastAsia="uk-UA"/>
              </w:rPr>
              <w:t>і дії у відповідь на зазначені</w:t>
            </w:r>
            <w:r w:rsidR="002D0AFA" w:rsidRPr="00C03848">
              <w:rPr>
                <w:lang w:val="uk-UA" w:eastAsia="uk-UA"/>
              </w:rPr>
              <w:t xml:space="preserve"> </w:t>
            </w:r>
            <w:r w:rsidR="0051378A" w:rsidRPr="00C03848">
              <w:rPr>
                <w:lang w:val="uk-UA" w:eastAsia="uk-UA"/>
              </w:rPr>
              <w:t>звіти</w:t>
            </w:r>
            <w:r w:rsidR="002D0AFA" w:rsidRPr="00C03848">
              <w:rPr>
                <w:lang w:val="uk-UA" w:eastAsia="uk-UA"/>
              </w:rPr>
              <w:t xml:space="preserve"> і, на щорічній осно</w:t>
            </w:r>
            <w:r w:rsidR="00F226BB" w:rsidRPr="00C03848">
              <w:rPr>
                <w:lang w:val="uk-UA" w:eastAsia="uk-UA"/>
              </w:rPr>
              <w:t xml:space="preserve">ві, кількість розслідуваних </w:t>
            </w:r>
            <w:r w:rsidR="002D0AFA" w:rsidRPr="00C03848">
              <w:rPr>
                <w:lang w:val="uk-UA" w:eastAsia="uk-UA"/>
              </w:rPr>
              <w:t>в</w:t>
            </w:r>
            <w:r w:rsidR="00F226BB" w:rsidRPr="00C03848">
              <w:rPr>
                <w:lang w:val="uk-UA" w:eastAsia="uk-UA"/>
              </w:rPr>
              <w:t>ипадків</w:t>
            </w:r>
            <w:r w:rsidR="002D0AFA" w:rsidRPr="00C03848">
              <w:rPr>
                <w:lang w:val="uk-UA" w:eastAsia="uk-UA"/>
              </w:rPr>
              <w:t xml:space="preserve">, число осіб, по яким порушено кримінальну справу, кількість осіб, засуджених за відмивання грошей або фінансування тероризму,  злочинів, видів </w:t>
            </w:r>
            <w:r w:rsidR="00F226BB" w:rsidRPr="00C03848">
              <w:rPr>
                <w:lang w:val="uk-UA" w:eastAsia="uk-UA"/>
              </w:rPr>
              <w:t xml:space="preserve">предикативних </w:t>
            </w:r>
            <w:r w:rsidR="002D0AFA" w:rsidRPr="00C03848">
              <w:rPr>
                <w:lang w:val="uk-UA" w:eastAsia="uk-UA"/>
              </w:rPr>
              <w:t xml:space="preserve">правопорушень, </w:t>
            </w:r>
            <w:r w:rsidR="00F226BB" w:rsidRPr="00C03848">
              <w:rPr>
                <w:lang w:val="uk-UA" w:eastAsia="uk-UA"/>
              </w:rPr>
              <w:t>за наявності такої</w:t>
            </w:r>
            <w:r w:rsidR="002D0AFA" w:rsidRPr="00C03848">
              <w:rPr>
                <w:lang w:val="uk-UA" w:eastAsia="uk-UA"/>
              </w:rPr>
              <w:t xml:space="preserve"> інформаці</w:t>
            </w:r>
            <w:r w:rsidR="00F226BB" w:rsidRPr="00C03848">
              <w:rPr>
                <w:lang w:val="uk-UA" w:eastAsia="uk-UA"/>
              </w:rPr>
              <w:t xml:space="preserve">ї, та вартість </w:t>
            </w:r>
            <w:r w:rsidR="002D0AFA" w:rsidRPr="00C03848">
              <w:rPr>
                <w:lang w:val="uk-UA" w:eastAsia="uk-UA"/>
              </w:rPr>
              <w:t>майна в євро, яка була заморожена, затримана або конфіскована;</w:t>
            </w:r>
          </w:p>
        </w:tc>
      </w:tr>
    </w:tbl>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tbl>
      <w:tblPr>
        <w:tblW w:w="5177"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423"/>
      </w:tblGrid>
      <w:tr w:rsidR="00761E63" w:rsidRPr="00C03848" w:rsidTr="00761E6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61E63" w:rsidRPr="00C03848" w:rsidRDefault="00761E63" w:rsidP="008B76F2">
            <w:pPr>
              <w:pStyle w:val="1"/>
              <w:spacing w:before="0" w:beforeAutospacing="0" w:after="0" w:afterAutospacing="0"/>
              <w:jc w:val="both"/>
              <w:textAlignment w:val="baseline"/>
              <w:rPr>
                <w:lang w:val="uk-UA" w:eastAsia="uk-UA"/>
              </w:rPr>
            </w:pPr>
            <w:r w:rsidRPr="00C03848">
              <w:rPr>
                <w:lang w:val="uk-UA" w:eastAsia="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61E63" w:rsidRPr="00C03848" w:rsidRDefault="00761E63" w:rsidP="00FE105F">
            <w:pPr>
              <w:pStyle w:val="1"/>
              <w:spacing w:before="0" w:beforeAutospacing="0" w:after="0" w:afterAutospacing="0"/>
              <w:jc w:val="both"/>
              <w:textAlignment w:val="baseline"/>
              <w:rPr>
                <w:lang w:val="uk-UA" w:eastAsia="uk-UA"/>
              </w:rPr>
            </w:pPr>
            <w:r w:rsidRPr="00C03848">
              <w:rPr>
                <w:lang w:val="uk-UA" w:eastAsia="uk-UA"/>
              </w:rPr>
              <w:t xml:space="preserve">за наявності, дані, що ідентифікують число і відсоток звітів, в результаті подальшого розслідування, разом з річним звітом зобов'язаним особам, в якому деталізується корисність і </w:t>
            </w:r>
            <w:r w:rsidR="00FE105F" w:rsidRPr="00C03848">
              <w:rPr>
                <w:lang w:val="uk-UA" w:eastAsia="uk-UA"/>
              </w:rPr>
              <w:t>подальші дії за звітами</w:t>
            </w:r>
            <w:r w:rsidRPr="00C03848">
              <w:rPr>
                <w:lang w:val="uk-UA" w:eastAsia="uk-UA"/>
              </w:rPr>
              <w:t>, які вони представили;</w:t>
            </w:r>
          </w:p>
        </w:tc>
      </w:tr>
    </w:tbl>
    <w:p w:rsidR="00761E63" w:rsidRPr="00C03848" w:rsidRDefault="00761E63"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761E63" w:rsidRPr="00C03848" w:rsidTr="00761E6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61E63" w:rsidRPr="00C03848" w:rsidRDefault="00761E63" w:rsidP="008B76F2">
            <w:pPr>
              <w:pStyle w:val="1"/>
              <w:spacing w:before="0" w:beforeAutospacing="0" w:after="0" w:afterAutospacing="0"/>
              <w:jc w:val="both"/>
              <w:textAlignment w:val="baseline"/>
              <w:rPr>
                <w:lang w:val="uk-UA" w:eastAsia="uk-UA"/>
              </w:rPr>
            </w:pPr>
            <w:r w:rsidRPr="00C03848">
              <w:rPr>
                <w:lang w:val="uk-UA" w:eastAsia="uk-UA"/>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761E63" w:rsidRPr="00C03848" w:rsidRDefault="00761E63" w:rsidP="008B76F2">
            <w:pPr>
              <w:pStyle w:val="1"/>
              <w:spacing w:before="0" w:beforeAutospacing="0" w:after="0" w:afterAutospacing="0"/>
              <w:jc w:val="both"/>
              <w:textAlignment w:val="baseline"/>
              <w:rPr>
                <w:lang w:val="uk-UA" w:eastAsia="uk-UA"/>
              </w:rPr>
            </w:pPr>
            <w:r w:rsidRPr="00C03848">
              <w:rPr>
                <w:lang w:val="uk-UA" w:eastAsia="uk-UA"/>
              </w:rPr>
              <w:t>дані про кількість транскордонних запитів на надання інформації, які були надіслані, отримані, в яких було відмовлено і частково або повністю на них були надані відповіді FIU.</w:t>
            </w:r>
          </w:p>
        </w:tc>
      </w:tr>
    </w:tbl>
    <w:p w:rsidR="00761E63" w:rsidRPr="00C03848" w:rsidRDefault="00761E63" w:rsidP="008B76F2">
      <w:pPr>
        <w:pStyle w:val="1"/>
        <w:shd w:val="clear" w:color="auto" w:fill="FFFFFF"/>
        <w:spacing w:before="0" w:beforeAutospacing="0" w:after="0" w:afterAutospacing="0"/>
        <w:jc w:val="both"/>
        <w:textAlignment w:val="baseline"/>
        <w:rPr>
          <w:lang w:val="uk-UA"/>
        </w:rPr>
      </w:pPr>
      <w:r w:rsidRPr="00C03848">
        <w:rPr>
          <w:lang w:val="uk-UA"/>
        </w:rPr>
        <w:t>3.    Держави-члени повинні забезпечити публікацію зведеного огляду статистичної інформації.</w:t>
      </w:r>
    </w:p>
    <w:p w:rsidR="00761E63" w:rsidRPr="00C03848" w:rsidRDefault="00761E63" w:rsidP="008B76F2">
      <w:pPr>
        <w:pStyle w:val="1"/>
        <w:shd w:val="clear" w:color="auto" w:fill="FFFFFF"/>
        <w:spacing w:before="0" w:beforeAutospacing="0" w:after="0" w:afterAutospacing="0"/>
        <w:jc w:val="both"/>
        <w:textAlignment w:val="baseline"/>
        <w:rPr>
          <w:lang w:val="uk-UA"/>
        </w:rPr>
      </w:pPr>
      <w:r w:rsidRPr="00C03848">
        <w:rPr>
          <w:lang w:val="uk-UA"/>
        </w:rPr>
        <w:t>4.    Держави-члени повинні передати Комісії статистичну інформацію, зазначену в пункті 2.</w:t>
      </w:r>
    </w:p>
    <w:p w:rsidR="00761E63" w:rsidRPr="00C03848" w:rsidRDefault="00761E63" w:rsidP="008B76F2">
      <w:pPr>
        <w:pStyle w:val="ti-section-1"/>
        <w:shd w:val="clear" w:color="auto" w:fill="FFFFFF"/>
        <w:spacing w:before="0" w:beforeAutospacing="0" w:after="0" w:afterAutospacing="0"/>
        <w:jc w:val="center"/>
        <w:textAlignment w:val="baseline"/>
        <w:rPr>
          <w:bCs/>
          <w:lang w:val="uk-UA"/>
        </w:rPr>
      </w:pPr>
    </w:p>
    <w:p w:rsidR="00C07AC9" w:rsidRPr="00C03848" w:rsidRDefault="00B272FB" w:rsidP="008B76F2">
      <w:pPr>
        <w:pStyle w:val="ti-section-1"/>
        <w:shd w:val="clear" w:color="auto" w:fill="FFFFFF"/>
        <w:spacing w:before="0" w:beforeAutospacing="0" w:after="0" w:afterAutospacing="0"/>
        <w:jc w:val="center"/>
        <w:textAlignment w:val="baseline"/>
        <w:rPr>
          <w:bCs/>
          <w:lang w:val="uk-UA"/>
        </w:rPr>
      </w:pPr>
      <w:r w:rsidRPr="00C03848">
        <w:rPr>
          <w:bCs/>
          <w:lang w:val="uk-UA"/>
        </w:rPr>
        <w:t>ГЛАВА</w:t>
      </w:r>
      <w:r w:rsidR="00C07AC9" w:rsidRPr="00C03848">
        <w:rPr>
          <w:bCs/>
          <w:lang w:val="uk-UA"/>
        </w:rPr>
        <w:t xml:space="preserve"> VI</w:t>
      </w:r>
    </w:p>
    <w:p w:rsidR="00C07AC9" w:rsidRPr="00C03848" w:rsidRDefault="00761E63" w:rsidP="008B76F2">
      <w:pPr>
        <w:pStyle w:val="ti-section-2"/>
        <w:shd w:val="clear" w:color="auto" w:fill="FFFFFF"/>
        <w:spacing w:before="0" w:beforeAutospacing="0" w:after="0" w:afterAutospacing="0"/>
        <w:jc w:val="center"/>
        <w:textAlignment w:val="baseline"/>
        <w:rPr>
          <w:bCs/>
          <w:lang w:val="uk-UA"/>
        </w:rPr>
      </w:pPr>
      <w:r w:rsidRPr="00C03848">
        <w:rPr>
          <w:rStyle w:val="bold"/>
          <w:bCs/>
          <w:bdr w:val="none" w:sz="0" w:space="0" w:color="auto" w:frame="1"/>
          <w:lang w:val="uk-UA"/>
        </w:rPr>
        <w:t>ПОЛІТИКА, ПРОЦЕДУРИ ТА НАГЛЯД</w:t>
      </w:r>
    </w:p>
    <w:p w:rsidR="00C07AC9" w:rsidRPr="00C03848" w:rsidRDefault="00A5729D" w:rsidP="008B76F2">
      <w:pPr>
        <w:pStyle w:val="ti-section-1"/>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РОЗДІЛ</w:t>
      </w:r>
      <w:r w:rsidR="00C07AC9" w:rsidRPr="00C03848">
        <w:rPr>
          <w:rStyle w:val="italic"/>
          <w:bCs/>
          <w:iCs/>
          <w:bdr w:val="none" w:sz="0" w:space="0" w:color="auto" w:frame="1"/>
          <w:lang w:val="uk-UA"/>
        </w:rPr>
        <w:t xml:space="preserve"> 1</w:t>
      </w:r>
    </w:p>
    <w:p w:rsidR="00761E63" w:rsidRPr="00C03848" w:rsidRDefault="00761E63" w:rsidP="008B76F2">
      <w:pPr>
        <w:pStyle w:val="ti-section-2"/>
        <w:shd w:val="clear" w:color="auto" w:fill="FFFFFF"/>
        <w:spacing w:before="0" w:beforeAutospacing="0" w:after="0" w:afterAutospacing="0"/>
        <w:jc w:val="center"/>
        <w:textAlignment w:val="baseline"/>
        <w:rPr>
          <w:bCs/>
          <w:lang w:val="uk-UA"/>
        </w:rPr>
      </w:pPr>
      <w:r w:rsidRPr="00C03848">
        <w:rPr>
          <w:bCs/>
          <w:lang w:val="uk-UA"/>
        </w:rPr>
        <w:t>Внутрішні процедури, навчання і зворотній зв'язок</w:t>
      </w:r>
    </w:p>
    <w:p w:rsidR="00C07AC9" w:rsidRPr="00C03848" w:rsidRDefault="00761E63" w:rsidP="008B76F2">
      <w:pPr>
        <w:pStyle w:val="ti-art"/>
        <w:shd w:val="clear" w:color="auto" w:fill="FFFFFF"/>
        <w:spacing w:before="0" w:beforeAutospacing="0" w:after="0" w:afterAutospacing="0"/>
        <w:jc w:val="center"/>
        <w:textAlignment w:val="baseline"/>
        <w:rPr>
          <w:iCs/>
          <w:lang w:val="uk-UA"/>
        </w:rPr>
      </w:pPr>
      <w:r w:rsidRPr="00C03848">
        <w:rPr>
          <w:iCs/>
          <w:lang w:val="uk-UA"/>
        </w:rPr>
        <w:t xml:space="preserve"> </w:t>
      </w:r>
      <w:r w:rsidR="002C54D7" w:rsidRPr="00C03848">
        <w:rPr>
          <w:iCs/>
          <w:lang w:val="uk-UA"/>
        </w:rPr>
        <w:t>Стаття</w:t>
      </w:r>
      <w:r w:rsidR="00C07AC9" w:rsidRPr="00C03848">
        <w:rPr>
          <w:iCs/>
          <w:lang w:val="uk-UA"/>
        </w:rPr>
        <w:t xml:space="preserve"> 45</w:t>
      </w:r>
    </w:p>
    <w:p w:rsidR="003F2715" w:rsidRPr="00C03848" w:rsidRDefault="003F2715" w:rsidP="008B76F2">
      <w:pPr>
        <w:pStyle w:val="1"/>
        <w:shd w:val="clear" w:color="auto" w:fill="FFFFFF"/>
        <w:spacing w:before="0" w:beforeAutospacing="0" w:after="0" w:afterAutospacing="0"/>
        <w:jc w:val="both"/>
        <w:textAlignment w:val="baseline"/>
        <w:rPr>
          <w:lang w:val="uk-UA"/>
        </w:rPr>
      </w:pPr>
    </w:p>
    <w:p w:rsidR="005C4AD8" w:rsidRPr="00C03848" w:rsidRDefault="005C4AD8"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вимагати, щоб зобов'язані особи, які є частиною групи, здійснювали політику і процедури всієї групи, в тому числі політику в сфері захисту даних і процедури для спільного користування інформацією всередині групи для цілей БВГ/ПФТ. Зазначена політика і процедури повинні бути реалізовані ефективно на рівні галузей і підконтрольних дочірніх підприємств в державах-членах і в третіх країнах.</w:t>
      </w:r>
    </w:p>
    <w:p w:rsidR="005C4AD8" w:rsidRPr="00C03848" w:rsidRDefault="005C4AD8" w:rsidP="008B76F2">
      <w:pPr>
        <w:pStyle w:val="1"/>
        <w:shd w:val="clear" w:color="auto" w:fill="FFFFFF"/>
        <w:spacing w:before="0" w:beforeAutospacing="0" w:after="0" w:afterAutospacing="0"/>
        <w:jc w:val="both"/>
        <w:textAlignment w:val="baseline"/>
        <w:rPr>
          <w:lang w:val="uk-UA"/>
        </w:rPr>
      </w:pPr>
      <w:r w:rsidRPr="00C03848">
        <w:rPr>
          <w:lang w:val="uk-UA"/>
        </w:rPr>
        <w:t xml:space="preserve">2.    Держави-члени повинні вимагати, щоб зобов'язані особи, які </w:t>
      </w:r>
      <w:r w:rsidR="009A1832" w:rsidRPr="00C03848">
        <w:rPr>
          <w:lang w:val="uk-UA"/>
        </w:rPr>
        <w:t>управля</w:t>
      </w:r>
      <w:r w:rsidRPr="00C03848">
        <w:rPr>
          <w:lang w:val="uk-UA"/>
        </w:rPr>
        <w:t xml:space="preserve">ють </w:t>
      </w:r>
      <w:r w:rsidR="009A1832" w:rsidRPr="00C03848">
        <w:rPr>
          <w:lang w:val="uk-UA"/>
        </w:rPr>
        <w:t xml:space="preserve">організаціями в </w:t>
      </w:r>
      <w:r w:rsidRPr="00C03848">
        <w:rPr>
          <w:lang w:val="uk-UA"/>
        </w:rPr>
        <w:t>інш</w:t>
      </w:r>
      <w:r w:rsidR="009A1832" w:rsidRPr="00C03848">
        <w:rPr>
          <w:lang w:val="uk-UA"/>
        </w:rPr>
        <w:t>ій</w:t>
      </w:r>
      <w:r w:rsidRPr="00C03848">
        <w:rPr>
          <w:lang w:val="uk-UA"/>
        </w:rPr>
        <w:t xml:space="preserve"> держав</w:t>
      </w:r>
      <w:r w:rsidR="009A1832" w:rsidRPr="00C03848">
        <w:rPr>
          <w:lang w:val="uk-UA"/>
        </w:rPr>
        <w:t>і</w:t>
      </w:r>
      <w:r w:rsidRPr="00C03848">
        <w:rPr>
          <w:lang w:val="uk-UA"/>
        </w:rPr>
        <w:t>-член</w:t>
      </w:r>
      <w:r w:rsidR="009A1832" w:rsidRPr="00C03848">
        <w:rPr>
          <w:lang w:val="uk-UA"/>
        </w:rPr>
        <w:t>і</w:t>
      </w:r>
      <w:r w:rsidRPr="00C03848">
        <w:rPr>
          <w:lang w:val="uk-UA"/>
        </w:rPr>
        <w:t xml:space="preserve">, забезпечували, щоб ці </w:t>
      </w:r>
      <w:r w:rsidR="009A1832" w:rsidRPr="00C03848">
        <w:rPr>
          <w:lang w:val="uk-UA"/>
        </w:rPr>
        <w:t>організації</w:t>
      </w:r>
      <w:r w:rsidRPr="00C03848">
        <w:rPr>
          <w:lang w:val="uk-UA"/>
        </w:rPr>
        <w:t xml:space="preserve"> поважали національні положення і закони цієї іншої держави-члена, які транспонують цю Директиву.</w:t>
      </w:r>
    </w:p>
    <w:p w:rsidR="00AE2069" w:rsidRPr="00C03848" w:rsidRDefault="00AE2069" w:rsidP="008B76F2">
      <w:pPr>
        <w:pStyle w:val="1"/>
        <w:shd w:val="clear" w:color="auto" w:fill="FFFFFF"/>
        <w:spacing w:before="0" w:beforeAutospacing="0" w:after="0" w:afterAutospacing="0"/>
        <w:jc w:val="both"/>
        <w:textAlignment w:val="baseline"/>
        <w:rPr>
          <w:lang w:val="uk-UA"/>
        </w:rPr>
      </w:pPr>
      <w:r w:rsidRPr="00C03848">
        <w:rPr>
          <w:lang w:val="uk-UA"/>
        </w:rPr>
        <w:t xml:space="preserve">3.    Держави-члени повинні </w:t>
      </w:r>
      <w:r w:rsidR="009D0ED5" w:rsidRPr="00C03848">
        <w:rPr>
          <w:lang w:val="uk-UA"/>
        </w:rPr>
        <w:t>забезпечи</w:t>
      </w:r>
      <w:r w:rsidRPr="00C03848">
        <w:rPr>
          <w:lang w:val="uk-UA"/>
        </w:rPr>
        <w:t xml:space="preserve">ти, що </w:t>
      </w:r>
      <w:r w:rsidR="009D0ED5" w:rsidRPr="00C03848">
        <w:rPr>
          <w:lang w:val="uk-UA"/>
        </w:rPr>
        <w:t>у випадку</w:t>
      </w:r>
      <w:r w:rsidRPr="00C03848">
        <w:rPr>
          <w:lang w:val="uk-UA"/>
        </w:rPr>
        <w:t xml:space="preserve">, </w:t>
      </w:r>
      <w:r w:rsidR="009D0ED5" w:rsidRPr="00C03848">
        <w:rPr>
          <w:lang w:val="uk-UA"/>
        </w:rPr>
        <w:t>якщо</w:t>
      </w:r>
      <w:r w:rsidRPr="00C03848">
        <w:rPr>
          <w:lang w:val="uk-UA"/>
        </w:rPr>
        <w:t xml:space="preserve"> зобов'язані особи мають філії або дочірні компанії </w:t>
      </w:r>
      <w:r w:rsidR="009D0ED5" w:rsidRPr="00C03848">
        <w:rPr>
          <w:lang w:val="uk-UA"/>
        </w:rPr>
        <w:t xml:space="preserve">з контрольним пакетом </w:t>
      </w:r>
      <w:r w:rsidRPr="00C03848">
        <w:rPr>
          <w:lang w:val="uk-UA"/>
        </w:rPr>
        <w:t>акцій,  розташован</w:t>
      </w:r>
      <w:r w:rsidR="009D0ED5" w:rsidRPr="00C03848">
        <w:rPr>
          <w:lang w:val="uk-UA"/>
        </w:rPr>
        <w:t>і</w:t>
      </w:r>
      <w:r w:rsidRPr="00C03848">
        <w:rPr>
          <w:lang w:val="uk-UA"/>
        </w:rPr>
        <w:t xml:space="preserve"> в третіх країнах, </w:t>
      </w:r>
      <w:r w:rsidR="009D0ED5" w:rsidRPr="00C03848">
        <w:rPr>
          <w:lang w:val="uk-UA"/>
        </w:rPr>
        <w:t>в яких</w:t>
      </w:r>
      <w:r w:rsidRPr="00C03848">
        <w:rPr>
          <w:lang w:val="uk-UA"/>
        </w:rPr>
        <w:t xml:space="preserve"> мінімальні вимоги </w:t>
      </w:r>
      <w:r w:rsidR="009D0ED5" w:rsidRPr="00C03848">
        <w:rPr>
          <w:lang w:val="uk-UA"/>
        </w:rPr>
        <w:t>в сфері БВГ</w:t>
      </w:r>
      <w:r w:rsidRPr="00C03848">
        <w:rPr>
          <w:lang w:val="uk-UA"/>
        </w:rPr>
        <w:t xml:space="preserve">/ПФТ є менш суворими, ніж </w:t>
      </w:r>
      <w:r w:rsidR="009D0ED5" w:rsidRPr="00C03848">
        <w:rPr>
          <w:lang w:val="uk-UA"/>
        </w:rPr>
        <w:t>в</w:t>
      </w:r>
      <w:r w:rsidRPr="00C03848">
        <w:rPr>
          <w:lang w:val="uk-UA"/>
        </w:rPr>
        <w:t xml:space="preserve"> держав</w:t>
      </w:r>
      <w:r w:rsidR="009D0ED5" w:rsidRPr="00C03848">
        <w:rPr>
          <w:lang w:val="uk-UA"/>
        </w:rPr>
        <w:t>і</w:t>
      </w:r>
      <w:r w:rsidRPr="00C03848">
        <w:rPr>
          <w:lang w:val="uk-UA"/>
        </w:rPr>
        <w:t xml:space="preserve">-члені, </w:t>
      </w:r>
      <w:r w:rsidR="009D0ED5" w:rsidRPr="00C03848">
        <w:rPr>
          <w:lang w:val="uk-UA"/>
        </w:rPr>
        <w:t>їх</w:t>
      </w:r>
      <w:r w:rsidRPr="00C03848">
        <w:rPr>
          <w:lang w:val="uk-UA"/>
        </w:rPr>
        <w:t xml:space="preserve"> філії та дочірні</w:t>
      </w:r>
      <w:r w:rsidR="009D0ED5" w:rsidRPr="00C03848">
        <w:rPr>
          <w:lang w:val="uk-UA"/>
        </w:rPr>
        <w:t xml:space="preserve"> </w:t>
      </w:r>
      <w:r w:rsidRPr="00C03848">
        <w:rPr>
          <w:lang w:val="uk-UA"/>
        </w:rPr>
        <w:t>компані</w:t>
      </w:r>
      <w:r w:rsidR="009D0ED5" w:rsidRPr="00C03848">
        <w:rPr>
          <w:lang w:val="uk-UA"/>
        </w:rPr>
        <w:t>ї</w:t>
      </w:r>
      <w:r w:rsidRPr="00C03848">
        <w:rPr>
          <w:lang w:val="uk-UA"/>
        </w:rPr>
        <w:t xml:space="preserve"> з контрольним пакетом акцій, </w:t>
      </w:r>
      <w:r w:rsidR="009D0ED5" w:rsidRPr="00C03848">
        <w:rPr>
          <w:lang w:val="uk-UA"/>
        </w:rPr>
        <w:t xml:space="preserve">які </w:t>
      </w:r>
      <w:r w:rsidRPr="00C03848">
        <w:rPr>
          <w:lang w:val="uk-UA"/>
        </w:rPr>
        <w:t>розташован</w:t>
      </w:r>
      <w:r w:rsidR="009D0ED5" w:rsidRPr="00C03848">
        <w:rPr>
          <w:lang w:val="uk-UA"/>
        </w:rPr>
        <w:t>і</w:t>
      </w:r>
      <w:r w:rsidRPr="00C03848">
        <w:rPr>
          <w:lang w:val="uk-UA"/>
        </w:rPr>
        <w:t xml:space="preserve"> в третій країні, реалізують вимоги держави-члена в тому числі захисту даних у тій мірі,  як це  дозволяє закон третьої  країни.</w:t>
      </w:r>
    </w:p>
    <w:p w:rsidR="00C711B4" w:rsidRPr="00C03848" w:rsidRDefault="00C711B4" w:rsidP="008B76F2">
      <w:pPr>
        <w:pStyle w:val="1"/>
        <w:shd w:val="clear" w:color="auto" w:fill="FFFFFF"/>
        <w:spacing w:before="0" w:beforeAutospacing="0" w:after="0" w:afterAutospacing="0"/>
        <w:jc w:val="both"/>
        <w:textAlignment w:val="baseline"/>
        <w:rPr>
          <w:lang w:val="uk-UA"/>
        </w:rPr>
      </w:pPr>
      <w:r w:rsidRPr="00C03848">
        <w:rPr>
          <w:lang w:val="uk-UA"/>
        </w:rPr>
        <w:t>4.   Держави-члени та ЄНО повинні інформувати один одного про випадки, в яких закон третьої країни не дозволяє реалізацію політики і процедур, які вимагаються відповідно до пункту 1. У таких випадках, можуть бути прийняті узгоджені дії з метою розв'язання проблеми.</w:t>
      </w:r>
    </w:p>
    <w:p w:rsidR="00147B12" w:rsidRPr="00C03848" w:rsidRDefault="00147B12" w:rsidP="008B76F2">
      <w:pPr>
        <w:pStyle w:val="1"/>
        <w:shd w:val="clear" w:color="auto" w:fill="FFFFFF"/>
        <w:spacing w:before="0" w:beforeAutospacing="0" w:after="0" w:afterAutospacing="0"/>
        <w:jc w:val="both"/>
        <w:textAlignment w:val="baseline"/>
        <w:rPr>
          <w:lang w:val="uk-UA"/>
        </w:rPr>
      </w:pPr>
      <w:r w:rsidRPr="00C03848">
        <w:rPr>
          <w:lang w:val="uk-UA"/>
        </w:rPr>
        <w:t>5.   Держави-члени повинні вимагати, щоб у випадку, якщо закон</w:t>
      </w:r>
      <w:r w:rsidR="000A4D6E" w:rsidRPr="00C03848">
        <w:rPr>
          <w:lang w:val="uk-UA"/>
        </w:rPr>
        <w:t>одавство</w:t>
      </w:r>
      <w:r w:rsidRPr="00C03848">
        <w:rPr>
          <w:lang w:val="uk-UA"/>
        </w:rPr>
        <w:t xml:space="preserve"> третьої країни не дозволяє </w:t>
      </w:r>
      <w:r w:rsidR="000A4D6E" w:rsidRPr="00C03848">
        <w:rPr>
          <w:lang w:val="uk-UA"/>
        </w:rPr>
        <w:t xml:space="preserve">реалізацію політики </w:t>
      </w:r>
      <w:r w:rsidRPr="00C03848">
        <w:rPr>
          <w:lang w:val="uk-UA"/>
        </w:rPr>
        <w:t xml:space="preserve">і процедур, </w:t>
      </w:r>
      <w:r w:rsidR="000A4D6E" w:rsidRPr="00C03848">
        <w:rPr>
          <w:lang w:val="uk-UA"/>
        </w:rPr>
        <w:t>які вимагаються</w:t>
      </w:r>
      <w:r w:rsidRPr="00C03848">
        <w:rPr>
          <w:lang w:val="uk-UA"/>
        </w:rPr>
        <w:t xml:space="preserve"> відповідно до пункту 1, зобов'язані особи </w:t>
      </w:r>
      <w:r w:rsidR="000A4D6E" w:rsidRPr="00C03848">
        <w:rPr>
          <w:lang w:val="uk-UA"/>
        </w:rPr>
        <w:t>забезпечують</w:t>
      </w:r>
      <w:r w:rsidRPr="00C03848">
        <w:rPr>
          <w:lang w:val="uk-UA"/>
        </w:rPr>
        <w:t>, що</w:t>
      </w:r>
      <w:r w:rsidR="000A4D6E" w:rsidRPr="00C03848">
        <w:rPr>
          <w:lang w:val="uk-UA"/>
        </w:rPr>
        <w:t>б</w:t>
      </w:r>
      <w:r w:rsidRPr="00C03848">
        <w:rPr>
          <w:lang w:val="uk-UA"/>
        </w:rPr>
        <w:t xml:space="preserve"> філії та </w:t>
      </w:r>
      <w:r w:rsidR="000A4D6E" w:rsidRPr="00C03848">
        <w:rPr>
          <w:lang w:val="uk-UA"/>
        </w:rPr>
        <w:t>дочірні підприємства з контрольним пакетом акцій в цій третій країні застосовували</w:t>
      </w:r>
      <w:r w:rsidRPr="00C03848">
        <w:rPr>
          <w:lang w:val="uk-UA"/>
        </w:rPr>
        <w:t xml:space="preserve"> додаткові заходи </w:t>
      </w:r>
      <w:r w:rsidR="000A4D6E" w:rsidRPr="00C03848">
        <w:rPr>
          <w:lang w:val="uk-UA"/>
        </w:rPr>
        <w:t>з метою</w:t>
      </w:r>
      <w:r w:rsidRPr="00C03848">
        <w:rPr>
          <w:lang w:val="uk-UA"/>
        </w:rPr>
        <w:t xml:space="preserve"> ефективного управління ризиком відмивання грошей або фінан</w:t>
      </w:r>
      <w:r w:rsidR="000A4D6E" w:rsidRPr="00C03848">
        <w:rPr>
          <w:lang w:val="uk-UA"/>
        </w:rPr>
        <w:t>сування тероризму, та інформувал</w:t>
      </w:r>
      <w:r w:rsidRPr="00C03848">
        <w:rPr>
          <w:lang w:val="uk-UA"/>
        </w:rPr>
        <w:t xml:space="preserve">и компетентні органи своєї держави-члена. Якщо додаткові заходи не є достатніми, компетентні органи Держави-члени повинні здійснювати додаткові </w:t>
      </w:r>
      <w:r w:rsidR="000A4D6E" w:rsidRPr="00C03848">
        <w:rPr>
          <w:lang w:val="uk-UA"/>
        </w:rPr>
        <w:t>наглядов</w:t>
      </w:r>
      <w:r w:rsidRPr="00C03848">
        <w:rPr>
          <w:lang w:val="uk-UA"/>
        </w:rPr>
        <w:t xml:space="preserve">і дії, </w:t>
      </w:r>
      <w:r w:rsidR="000A4D6E" w:rsidRPr="00C03848">
        <w:rPr>
          <w:lang w:val="uk-UA"/>
        </w:rPr>
        <w:t>включаючи</w:t>
      </w:r>
      <w:r w:rsidRPr="00C03848">
        <w:rPr>
          <w:lang w:val="uk-UA"/>
        </w:rPr>
        <w:t xml:space="preserve"> вим</w:t>
      </w:r>
      <w:r w:rsidR="000A4D6E" w:rsidRPr="00C03848">
        <w:rPr>
          <w:lang w:val="uk-UA"/>
        </w:rPr>
        <w:t>огу</w:t>
      </w:r>
      <w:r w:rsidRPr="00C03848">
        <w:rPr>
          <w:lang w:val="uk-UA"/>
        </w:rPr>
        <w:t xml:space="preserve">, щоб </w:t>
      </w:r>
      <w:r w:rsidRPr="00C03848">
        <w:rPr>
          <w:lang w:val="uk-UA"/>
        </w:rPr>
        <w:lastRenderedPageBreak/>
        <w:t>група не встановлю</w:t>
      </w:r>
      <w:r w:rsidR="000A4D6E" w:rsidRPr="00C03848">
        <w:rPr>
          <w:lang w:val="uk-UA"/>
        </w:rPr>
        <w:t>вала</w:t>
      </w:r>
      <w:r w:rsidRPr="00C03848">
        <w:rPr>
          <w:lang w:val="uk-UA"/>
        </w:rPr>
        <w:t xml:space="preserve"> або припиня</w:t>
      </w:r>
      <w:r w:rsidR="000A4D6E" w:rsidRPr="00C03848">
        <w:rPr>
          <w:lang w:val="uk-UA"/>
        </w:rPr>
        <w:t>ла</w:t>
      </w:r>
      <w:r w:rsidRPr="00C03848">
        <w:rPr>
          <w:lang w:val="uk-UA"/>
        </w:rPr>
        <w:t xml:space="preserve"> ділові відносини, і не здійсню</w:t>
      </w:r>
      <w:r w:rsidR="000A4D6E" w:rsidRPr="00C03848">
        <w:rPr>
          <w:lang w:val="uk-UA"/>
        </w:rPr>
        <w:t>вала</w:t>
      </w:r>
      <w:r w:rsidRPr="00C03848">
        <w:rPr>
          <w:lang w:val="uk-UA"/>
        </w:rPr>
        <w:t xml:space="preserve"> транзакції і, </w:t>
      </w:r>
      <w:r w:rsidR="000A4D6E" w:rsidRPr="00C03848">
        <w:rPr>
          <w:lang w:val="uk-UA"/>
        </w:rPr>
        <w:t>у</w:t>
      </w:r>
      <w:r w:rsidRPr="00C03848">
        <w:rPr>
          <w:lang w:val="uk-UA"/>
        </w:rPr>
        <w:t xml:space="preserve"> необхідн</w:t>
      </w:r>
      <w:r w:rsidR="000A4D6E" w:rsidRPr="00C03848">
        <w:rPr>
          <w:lang w:val="uk-UA"/>
        </w:rPr>
        <w:t>их випадках</w:t>
      </w:r>
      <w:r w:rsidRPr="00C03848">
        <w:rPr>
          <w:lang w:val="uk-UA"/>
        </w:rPr>
        <w:t>, проха</w:t>
      </w:r>
      <w:r w:rsidR="000A4D6E" w:rsidRPr="00C03848">
        <w:rPr>
          <w:lang w:val="uk-UA"/>
        </w:rPr>
        <w:t>ла</w:t>
      </w:r>
      <w:r w:rsidRPr="00C03848">
        <w:rPr>
          <w:lang w:val="uk-UA"/>
        </w:rPr>
        <w:t xml:space="preserve"> груп</w:t>
      </w:r>
      <w:r w:rsidR="000A4D6E" w:rsidRPr="00C03848">
        <w:rPr>
          <w:lang w:val="uk-UA"/>
        </w:rPr>
        <w:t>у</w:t>
      </w:r>
      <w:r w:rsidRPr="00C03848">
        <w:rPr>
          <w:lang w:val="uk-UA"/>
        </w:rPr>
        <w:t xml:space="preserve"> закрити свої операції в третій країні.</w:t>
      </w:r>
    </w:p>
    <w:p w:rsidR="000A4D6E" w:rsidRPr="00C03848" w:rsidRDefault="00C07AC9" w:rsidP="008B76F2">
      <w:pPr>
        <w:pStyle w:val="1"/>
        <w:shd w:val="clear" w:color="auto" w:fill="FFFFFF"/>
        <w:spacing w:before="0" w:beforeAutospacing="0" w:after="0" w:afterAutospacing="0"/>
        <w:jc w:val="both"/>
        <w:textAlignment w:val="baseline"/>
        <w:rPr>
          <w:lang w:val="uk-UA"/>
        </w:rPr>
      </w:pPr>
      <w:r w:rsidRPr="00C03848">
        <w:rPr>
          <w:lang w:val="uk-UA"/>
        </w:rPr>
        <w:t>6.   </w:t>
      </w:r>
      <w:r w:rsidR="00A65B54" w:rsidRPr="00C03848">
        <w:rPr>
          <w:lang w:val="uk-UA"/>
        </w:rPr>
        <w:t>ЄНО</w:t>
      </w:r>
      <w:r w:rsidR="000A4D6E" w:rsidRPr="00C03848">
        <w:rPr>
          <w:lang w:val="uk-UA"/>
        </w:rPr>
        <w:t xml:space="preserve"> повинні розробити проекти нормативно-технічних стандартів, що визначають тип додаткових заходів, з</w:t>
      </w:r>
      <w:r w:rsidR="002F0073" w:rsidRPr="00C03848">
        <w:rPr>
          <w:lang w:val="uk-UA"/>
        </w:rPr>
        <w:t>азначе</w:t>
      </w:r>
      <w:r w:rsidR="000A4D6E" w:rsidRPr="00C03848">
        <w:rPr>
          <w:lang w:val="uk-UA"/>
        </w:rPr>
        <w:t xml:space="preserve">них у пункті 5, </w:t>
      </w:r>
      <w:r w:rsidR="002F0073" w:rsidRPr="00C03848">
        <w:rPr>
          <w:lang w:val="uk-UA"/>
        </w:rPr>
        <w:t>та мінімальн</w:t>
      </w:r>
      <w:r w:rsidR="00890272" w:rsidRPr="00C03848">
        <w:rPr>
          <w:lang w:val="uk-UA"/>
        </w:rPr>
        <w:t>і</w:t>
      </w:r>
      <w:r w:rsidR="000A4D6E" w:rsidRPr="00C03848">
        <w:rPr>
          <w:lang w:val="uk-UA"/>
        </w:rPr>
        <w:t xml:space="preserve"> ді</w:t>
      </w:r>
      <w:r w:rsidR="00890272" w:rsidRPr="00C03848">
        <w:rPr>
          <w:lang w:val="uk-UA"/>
        </w:rPr>
        <w:t>ї</w:t>
      </w:r>
      <w:r w:rsidR="000A4D6E" w:rsidRPr="00C03848">
        <w:rPr>
          <w:lang w:val="uk-UA"/>
        </w:rPr>
        <w:t>, як</w:t>
      </w:r>
      <w:r w:rsidR="00890272" w:rsidRPr="00C03848">
        <w:rPr>
          <w:lang w:val="uk-UA"/>
        </w:rPr>
        <w:t>і</w:t>
      </w:r>
      <w:r w:rsidR="000A4D6E" w:rsidRPr="00C03848">
        <w:rPr>
          <w:lang w:val="uk-UA"/>
        </w:rPr>
        <w:t xml:space="preserve"> повинн</w:t>
      </w:r>
      <w:r w:rsidR="00890272" w:rsidRPr="00C03848">
        <w:rPr>
          <w:lang w:val="uk-UA"/>
        </w:rPr>
        <w:t>і</w:t>
      </w:r>
      <w:r w:rsidR="000A4D6E" w:rsidRPr="00C03848">
        <w:rPr>
          <w:lang w:val="uk-UA"/>
        </w:rPr>
        <w:t xml:space="preserve"> бути виконан</w:t>
      </w:r>
      <w:r w:rsidR="00890272" w:rsidRPr="00C03848">
        <w:rPr>
          <w:lang w:val="uk-UA"/>
        </w:rPr>
        <w:t>і</w:t>
      </w:r>
      <w:r w:rsidR="000A4D6E" w:rsidRPr="00C03848">
        <w:rPr>
          <w:lang w:val="uk-UA"/>
        </w:rPr>
        <w:t xml:space="preserve">  кредитною </w:t>
      </w:r>
      <w:r w:rsidR="00890272" w:rsidRPr="00C03848">
        <w:rPr>
          <w:lang w:val="uk-UA"/>
        </w:rPr>
        <w:t>установо</w:t>
      </w:r>
      <w:r w:rsidR="000A4D6E" w:rsidRPr="00C03848">
        <w:rPr>
          <w:lang w:val="uk-UA"/>
        </w:rPr>
        <w:t xml:space="preserve">ю </w:t>
      </w:r>
      <w:r w:rsidR="00890272" w:rsidRPr="00C03848">
        <w:rPr>
          <w:lang w:val="uk-UA"/>
        </w:rPr>
        <w:t>та</w:t>
      </w:r>
      <w:r w:rsidR="000A4D6E" w:rsidRPr="00C03848">
        <w:rPr>
          <w:lang w:val="uk-UA"/>
        </w:rPr>
        <w:t xml:space="preserve"> фінансовою установою, </w:t>
      </w:r>
      <w:r w:rsidR="00890272" w:rsidRPr="00C03848">
        <w:rPr>
          <w:lang w:val="uk-UA"/>
        </w:rPr>
        <w:t>якщо</w:t>
      </w:r>
      <w:r w:rsidR="000A4D6E" w:rsidRPr="00C03848">
        <w:rPr>
          <w:lang w:val="uk-UA"/>
        </w:rPr>
        <w:t xml:space="preserve"> закон</w:t>
      </w:r>
      <w:r w:rsidR="00890272" w:rsidRPr="00C03848">
        <w:rPr>
          <w:lang w:val="uk-UA"/>
        </w:rPr>
        <w:t>одавство</w:t>
      </w:r>
      <w:r w:rsidR="000A4D6E" w:rsidRPr="00C03848">
        <w:rPr>
          <w:lang w:val="uk-UA"/>
        </w:rPr>
        <w:t xml:space="preserve"> третьої країни не дозволяє здійснення заходів, необхідних відповідно до пунктів 1 і 3.</w:t>
      </w:r>
    </w:p>
    <w:p w:rsidR="00D4181A" w:rsidRPr="00C03848" w:rsidRDefault="00D4181A" w:rsidP="008B76F2">
      <w:pPr>
        <w:pStyle w:val="1"/>
        <w:shd w:val="clear" w:color="auto" w:fill="FFFFFF"/>
        <w:spacing w:before="0" w:beforeAutospacing="0" w:after="0" w:afterAutospacing="0"/>
        <w:jc w:val="both"/>
        <w:textAlignment w:val="baseline"/>
        <w:rPr>
          <w:lang w:val="uk-UA"/>
        </w:rPr>
      </w:pPr>
      <w:r w:rsidRPr="00C03848">
        <w:rPr>
          <w:lang w:val="uk-UA"/>
        </w:rPr>
        <w:t>ЄНО повинні представити проекти нормативно-технічних стандартів, зазначених у першому абзаці, Комісії до 26 грудня 2016 року.</w:t>
      </w:r>
    </w:p>
    <w:p w:rsidR="00C07AC9" w:rsidRPr="00C03848" w:rsidRDefault="00C07AC9" w:rsidP="008B76F2">
      <w:pPr>
        <w:pStyle w:val="1"/>
        <w:shd w:val="clear" w:color="auto" w:fill="FFFFFF"/>
        <w:spacing w:before="0" w:beforeAutospacing="0" w:after="0" w:afterAutospacing="0"/>
        <w:jc w:val="both"/>
        <w:textAlignment w:val="baseline"/>
        <w:rPr>
          <w:lang w:val="uk-UA"/>
        </w:rPr>
      </w:pPr>
      <w:r w:rsidRPr="00C03848">
        <w:rPr>
          <w:lang w:val="uk-UA"/>
        </w:rPr>
        <w:t>7.   </w:t>
      </w:r>
      <w:r w:rsidR="00D4181A" w:rsidRPr="00C03848">
        <w:rPr>
          <w:lang w:val="uk-UA"/>
        </w:rPr>
        <w:t xml:space="preserve">Комісії делегуються повноваження щодо прийняття </w:t>
      </w:r>
      <w:r w:rsidR="00AC3A3E" w:rsidRPr="00C03848">
        <w:rPr>
          <w:lang w:val="uk-UA"/>
        </w:rPr>
        <w:t>норма</w:t>
      </w:r>
      <w:r w:rsidR="00D4181A" w:rsidRPr="00C03848">
        <w:rPr>
          <w:lang w:val="uk-UA"/>
        </w:rPr>
        <w:t xml:space="preserve">тивно-технічних стандартів, зазначених в пункті </w:t>
      </w:r>
      <w:r w:rsidRPr="00C03848">
        <w:rPr>
          <w:lang w:val="uk-UA"/>
        </w:rPr>
        <w:t xml:space="preserve">6 </w:t>
      </w:r>
      <w:r w:rsidR="00D4181A" w:rsidRPr="00C03848">
        <w:rPr>
          <w:lang w:val="uk-UA"/>
        </w:rPr>
        <w:t>даної</w:t>
      </w:r>
      <w:r w:rsidRPr="00C03848">
        <w:rPr>
          <w:lang w:val="uk-UA"/>
        </w:rPr>
        <w:t xml:space="preserve"> </w:t>
      </w:r>
      <w:r w:rsidR="002C54D7" w:rsidRPr="00C03848">
        <w:rPr>
          <w:lang w:val="uk-UA"/>
        </w:rPr>
        <w:t>Статт</w:t>
      </w:r>
      <w:r w:rsidR="00D4181A" w:rsidRPr="00C03848">
        <w:rPr>
          <w:lang w:val="uk-UA"/>
        </w:rPr>
        <w:t xml:space="preserve">і у відповідності із </w:t>
      </w:r>
      <w:r w:rsidR="002C54D7" w:rsidRPr="00C03848">
        <w:rPr>
          <w:lang w:val="uk-UA"/>
        </w:rPr>
        <w:t>Стаття</w:t>
      </w:r>
      <w:r w:rsidR="00D4181A" w:rsidRPr="00C03848">
        <w:rPr>
          <w:lang w:val="uk-UA"/>
        </w:rPr>
        <w:t>ми з</w:t>
      </w:r>
      <w:r w:rsidRPr="00C03848">
        <w:rPr>
          <w:lang w:val="uk-UA"/>
        </w:rPr>
        <w:t xml:space="preserve"> 10 </w:t>
      </w:r>
      <w:r w:rsidR="00D4181A" w:rsidRPr="00C03848">
        <w:rPr>
          <w:lang w:val="uk-UA"/>
        </w:rPr>
        <w:t>по</w:t>
      </w:r>
      <w:r w:rsidRPr="00C03848">
        <w:rPr>
          <w:lang w:val="uk-UA"/>
        </w:rPr>
        <w:t xml:space="preserve"> 14 </w:t>
      </w:r>
      <w:r w:rsidR="000A4D6E" w:rsidRPr="00C03848">
        <w:rPr>
          <w:lang w:val="uk-UA"/>
        </w:rPr>
        <w:t>Регламентів</w:t>
      </w:r>
      <w:r w:rsidRPr="00C03848">
        <w:rPr>
          <w:lang w:val="uk-UA"/>
        </w:rPr>
        <w:t xml:space="preserve"> (EU) No 1093/2010, (EU) No 1094/2010 </w:t>
      </w:r>
      <w:r w:rsidR="000A4D6E" w:rsidRPr="00C03848">
        <w:rPr>
          <w:lang w:val="uk-UA"/>
        </w:rPr>
        <w:t>та</w:t>
      </w:r>
      <w:r w:rsidRPr="00C03848">
        <w:rPr>
          <w:lang w:val="uk-UA"/>
        </w:rPr>
        <w:t xml:space="preserve"> (EU) No 1095/2010.</w:t>
      </w:r>
    </w:p>
    <w:p w:rsidR="00D4181A" w:rsidRPr="00C03848" w:rsidRDefault="00D4181A" w:rsidP="008B76F2">
      <w:pPr>
        <w:pStyle w:val="1"/>
        <w:shd w:val="clear" w:color="auto" w:fill="FFFFFF"/>
        <w:spacing w:before="0" w:beforeAutospacing="0" w:after="0" w:afterAutospacing="0"/>
        <w:jc w:val="both"/>
        <w:textAlignment w:val="baseline"/>
        <w:rPr>
          <w:lang w:val="uk-UA"/>
        </w:rPr>
      </w:pPr>
      <w:r w:rsidRPr="00C03848">
        <w:rPr>
          <w:lang w:val="uk-UA"/>
        </w:rPr>
        <w:t xml:space="preserve">8.    Держави-члени повинні забезпечити обмін інформацією у рамках групи. Інформація про підозри, що кошти є прибутком від злочинної діяльності або пов'язані з фінансуванням тероризму, </w:t>
      </w:r>
      <w:r w:rsidR="0071010F" w:rsidRPr="00C03848">
        <w:rPr>
          <w:lang w:val="uk-UA"/>
        </w:rPr>
        <w:t>яка була</w:t>
      </w:r>
      <w:r w:rsidRPr="00C03848">
        <w:rPr>
          <w:lang w:val="uk-UA"/>
        </w:rPr>
        <w:t xml:space="preserve"> </w:t>
      </w:r>
      <w:r w:rsidR="00AC3A3E" w:rsidRPr="00C03848">
        <w:rPr>
          <w:lang w:val="uk-UA"/>
        </w:rPr>
        <w:t>повідомлена</w:t>
      </w:r>
      <w:r w:rsidRPr="00C03848">
        <w:rPr>
          <w:lang w:val="uk-UA"/>
        </w:rPr>
        <w:t xml:space="preserve"> FIU,  повинна бути розділена в групі, якщо інше не вказано FIU.</w:t>
      </w:r>
    </w:p>
    <w:p w:rsidR="0071010F" w:rsidRPr="00C03848" w:rsidRDefault="0071010F" w:rsidP="008B76F2">
      <w:pPr>
        <w:pStyle w:val="1"/>
        <w:shd w:val="clear" w:color="auto" w:fill="FFFFFF"/>
        <w:spacing w:before="0" w:beforeAutospacing="0" w:after="0" w:afterAutospacing="0"/>
        <w:jc w:val="both"/>
        <w:textAlignment w:val="baseline"/>
        <w:rPr>
          <w:lang w:val="uk-UA"/>
        </w:rPr>
      </w:pPr>
      <w:r w:rsidRPr="00C03848">
        <w:rPr>
          <w:lang w:val="uk-UA"/>
        </w:rPr>
        <w:t>9.   Держави-члени можуть вимагати від емітентів електронних грошей, як визначено в пункті (3) Статті 2 Директиви 2009/110/EC і постачальників платіжних послуг, як це визначено в пункті (9) Статті 4 Директиви 2007/64/ЕС, які створюються на їх території в формі, відмінній від філії, і головний офіс якої розташований в іншій державі-члені, призначити центральний контактний пункт на своїй території, щоб забезпечити від імені призначаючої організації дотримання правил в сфері БВГ/ПФТ і сприяти здійсненню нагляду компетентними органами, включаючи шляхом надання компетентним органам  документів та інформації за запитом.</w:t>
      </w:r>
    </w:p>
    <w:p w:rsidR="00D4181A" w:rsidRPr="00C03848" w:rsidRDefault="0071010F" w:rsidP="008B76F2">
      <w:pPr>
        <w:pStyle w:val="1"/>
        <w:shd w:val="clear" w:color="auto" w:fill="FFFFFF"/>
        <w:spacing w:before="0" w:beforeAutospacing="0" w:after="0" w:afterAutospacing="0"/>
        <w:jc w:val="both"/>
        <w:textAlignment w:val="baseline"/>
        <w:rPr>
          <w:lang w:val="uk-UA"/>
        </w:rPr>
      </w:pPr>
      <w:r w:rsidRPr="00C03848">
        <w:rPr>
          <w:lang w:val="uk-UA"/>
        </w:rPr>
        <w:t>10.   ЄНО повинні розробити проекти норм</w:t>
      </w:r>
      <w:r w:rsidR="0015410E" w:rsidRPr="00C03848">
        <w:rPr>
          <w:lang w:val="uk-UA"/>
        </w:rPr>
        <w:t>ативно-технічних стандартів стосовно критеріїв для визначення обставин, за яких призначення центрального контактного пункту відповідно до пункту 9 є доречним, і якими повинні бути функції центральних контактних точок.</w:t>
      </w:r>
    </w:p>
    <w:p w:rsidR="0015410E" w:rsidRPr="00C03848" w:rsidRDefault="0015410E" w:rsidP="008B76F2">
      <w:pPr>
        <w:pStyle w:val="1"/>
        <w:shd w:val="clear" w:color="auto" w:fill="FFFFFF"/>
        <w:spacing w:before="0" w:beforeAutospacing="0" w:after="0" w:afterAutospacing="0"/>
        <w:jc w:val="both"/>
        <w:textAlignment w:val="baseline"/>
        <w:rPr>
          <w:lang w:val="uk-UA"/>
        </w:rPr>
      </w:pPr>
      <w:r w:rsidRPr="00C03848">
        <w:rPr>
          <w:lang w:val="uk-UA"/>
        </w:rPr>
        <w:t>ЄНО повинні представити проекти нормативно-технічних стандартів, зазначених у першому абзаці, Комісії до 26 червня 2016 року.</w:t>
      </w:r>
    </w:p>
    <w:p w:rsidR="0015410E" w:rsidRPr="00C03848" w:rsidRDefault="00C07AC9" w:rsidP="008B76F2">
      <w:pPr>
        <w:pStyle w:val="1"/>
        <w:shd w:val="clear" w:color="auto" w:fill="FFFFFF"/>
        <w:spacing w:before="0" w:beforeAutospacing="0" w:after="0" w:afterAutospacing="0"/>
        <w:jc w:val="both"/>
        <w:textAlignment w:val="baseline"/>
        <w:rPr>
          <w:lang w:val="uk-UA"/>
        </w:rPr>
      </w:pPr>
      <w:r w:rsidRPr="00C03848">
        <w:rPr>
          <w:lang w:val="uk-UA"/>
        </w:rPr>
        <w:t>11.   </w:t>
      </w:r>
      <w:r w:rsidR="0015410E" w:rsidRPr="00C03848">
        <w:rPr>
          <w:lang w:val="uk-UA"/>
        </w:rPr>
        <w:t>Комісі</w:t>
      </w:r>
      <w:r w:rsidR="00234715" w:rsidRPr="00C03848">
        <w:rPr>
          <w:lang w:val="uk-UA"/>
        </w:rPr>
        <w:t xml:space="preserve">ї делегуються повноваження щодо </w:t>
      </w:r>
      <w:r w:rsidR="0015410E" w:rsidRPr="00C03848">
        <w:rPr>
          <w:lang w:val="uk-UA"/>
        </w:rPr>
        <w:t>прийняття нормативно-технічних стандартів, зазначених в пункті 10 даної Статті у відповідності із Статтями з 10 по 14 Регламентів (EU) No 1093/2010, (EU) No 1094/2010 та (EU) No 1095/2010.</w:t>
      </w:r>
    </w:p>
    <w:p w:rsidR="00761E63" w:rsidRPr="00C03848" w:rsidRDefault="00761E63"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46</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2E4A2A" w:rsidRPr="00C03848" w:rsidRDefault="002E4A2A" w:rsidP="008B76F2">
      <w:pPr>
        <w:pStyle w:val="1"/>
        <w:shd w:val="clear" w:color="auto" w:fill="FFFFFF"/>
        <w:spacing w:before="0" w:beforeAutospacing="0" w:after="0" w:afterAutospacing="0"/>
        <w:jc w:val="both"/>
        <w:textAlignment w:val="baseline"/>
        <w:rPr>
          <w:lang w:val="uk-UA"/>
        </w:rPr>
      </w:pPr>
      <w:r w:rsidRPr="00C03848">
        <w:rPr>
          <w:lang w:val="uk-UA"/>
        </w:rPr>
        <w:t xml:space="preserve">1.    Держави-члени повинні вимагати, щоб зобов'язані особи вживали </w:t>
      </w:r>
      <w:r w:rsidR="00636689" w:rsidRPr="00C03848">
        <w:rPr>
          <w:lang w:val="uk-UA"/>
        </w:rPr>
        <w:t xml:space="preserve">належні </w:t>
      </w:r>
      <w:r w:rsidRPr="00C03848">
        <w:rPr>
          <w:lang w:val="uk-UA"/>
        </w:rPr>
        <w:t>заходи, пропорційні їх ризикам, характеру і розміру, з тим щоб їх співробітники були інформовані про положення, прийняті відповідно до цієї Директиви, у тому числі відповідних вимог захисту даних.</w:t>
      </w:r>
    </w:p>
    <w:p w:rsidR="002E4A2A" w:rsidRPr="00C03848" w:rsidRDefault="00731254" w:rsidP="008B76F2">
      <w:pPr>
        <w:pStyle w:val="1"/>
        <w:shd w:val="clear" w:color="auto" w:fill="FFFFFF"/>
        <w:spacing w:before="0" w:beforeAutospacing="0" w:after="0" w:afterAutospacing="0"/>
        <w:jc w:val="both"/>
        <w:textAlignment w:val="baseline"/>
        <w:rPr>
          <w:lang w:val="uk-UA"/>
        </w:rPr>
      </w:pPr>
      <w:r w:rsidRPr="00C03848">
        <w:rPr>
          <w:lang w:val="uk-UA"/>
        </w:rPr>
        <w:t>Зазначен</w:t>
      </w:r>
      <w:r w:rsidR="002E4A2A" w:rsidRPr="00C03848">
        <w:rPr>
          <w:lang w:val="uk-UA"/>
        </w:rPr>
        <w:t>і заходи</w:t>
      </w:r>
      <w:r w:rsidRPr="00C03848">
        <w:rPr>
          <w:lang w:val="uk-UA"/>
        </w:rPr>
        <w:t xml:space="preserve"> повинні</w:t>
      </w:r>
      <w:r w:rsidR="002E4A2A" w:rsidRPr="00C03848">
        <w:rPr>
          <w:lang w:val="uk-UA"/>
        </w:rPr>
        <w:t xml:space="preserve"> включа</w:t>
      </w:r>
      <w:r w:rsidRPr="00C03848">
        <w:rPr>
          <w:lang w:val="uk-UA"/>
        </w:rPr>
        <w:t>ти</w:t>
      </w:r>
      <w:r w:rsidR="002E4A2A" w:rsidRPr="00C03848">
        <w:rPr>
          <w:lang w:val="uk-UA"/>
        </w:rPr>
        <w:t xml:space="preserve"> участь своїх співробітників у спеціальних по</w:t>
      </w:r>
      <w:r w:rsidR="00636689" w:rsidRPr="00C03848">
        <w:rPr>
          <w:lang w:val="uk-UA"/>
        </w:rPr>
        <w:t>стій</w:t>
      </w:r>
      <w:r w:rsidR="002E4A2A" w:rsidRPr="00C03848">
        <w:rPr>
          <w:lang w:val="uk-UA"/>
        </w:rPr>
        <w:t>них навчальних програмах, щоб допомогти їм розпізнавати операції, які можуть бути пов'язані з відмиванням грошей або фінансуванням тероризму, та проінструктувати їх про те, як</w:t>
      </w:r>
      <w:r w:rsidR="00636689" w:rsidRPr="00C03848">
        <w:rPr>
          <w:lang w:val="uk-UA"/>
        </w:rPr>
        <w:t>им чином</w:t>
      </w:r>
      <w:r w:rsidR="002E4A2A" w:rsidRPr="00C03848">
        <w:rPr>
          <w:lang w:val="uk-UA"/>
        </w:rPr>
        <w:t xml:space="preserve"> діяти в таких випадках.</w:t>
      </w:r>
    </w:p>
    <w:p w:rsidR="002E4A2A" w:rsidRPr="00C03848" w:rsidRDefault="002E4A2A" w:rsidP="008B76F2">
      <w:pPr>
        <w:pStyle w:val="1"/>
        <w:shd w:val="clear" w:color="auto" w:fill="FFFFFF"/>
        <w:spacing w:before="0" w:beforeAutospacing="0" w:after="0" w:afterAutospacing="0"/>
        <w:jc w:val="both"/>
        <w:textAlignment w:val="baseline"/>
        <w:rPr>
          <w:lang w:val="uk-UA"/>
        </w:rPr>
      </w:pPr>
      <w:bookmarkStart w:id="7" w:name="o287"/>
      <w:bookmarkEnd w:id="7"/>
      <w:r w:rsidRPr="00C03848">
        <w:rPr>
          <w:lang w:val="uk-UA"/>
        </w:rPr>
        <w:t xml:space="preserve">Якщо фізична особа, яка підпадає під будь-яку з категорій, перелічених у пункті (3) Статті 2 (1), </w:t>
      </w:r>
      <w:r w:rsidR="00636689" w:rsidRPr="00C03848">
        <w:rPr>
          <w:lang w:val="uk-UA"/>
        </w:rPr>
        <w:t>здійсню</w:t>
      </w:r>
      <w:r w:rsidRPr="00C03848">
        <w:rPr>
          <w:lang w:val="uk-UA"/>
        </w:rPr>
        <w:t>є професійну діяльність в якості працівника юридичної особи, зобов'язання</w:t>
      </w:r>
      <w:r w:rsidR="00636689" w:rsidRPr="00C03848">
        <w:rPr>
          <w:lang w:val="uk-UA"/>
        </w:rPr>
        <w:t xml:space="preserve">, визначені </w:t>
      </w:r>
      <w:r w:rsidRPr="00C03848">
        <w:rPr>
          <w:lang w:val="uk-UA"/>
        </w:rPr>
        <w:t>в цьому розділі</w:t>
      </w:r>
      <w:r w:rsidR="00636689" w:rsidRPr="00C03848">
        <w:rPr>
          <w:lang w:val="uk-UA"/>
        </w:rPr>
        <w:t xml:space="preserve">, </w:t>
      </w:r>
      <w:r w:rsidRPr="00C03848">
        <w:rPr>
          <w:lang w:val="uk-UA"/>
        </w:rPr>
        <w:t>повинні застосовуватись до цієї юридичної особи, а не</w:t>
      </w:r>
      <w:r w:rsidR="00752F2F" w:rsidRPr="00C03848">
        <w:rPr>
          <w:lang w:val="uk-UA"/>
        </w:rPr>
        <w:t xml:space="preserve"> до </w:t>
      </w:r>
      <w:r w:rsidRPr="00C03848">
        <w:rPr>
          <w:lang w:val="uk-UA"/>
        </w:rPr>
        <w:t>фізичн</w:t>
      </w:r>
      <w:r w:rsidR="00752F2F" w:rsidRPr="00C03848">
        <w:rPr>
          <w:lang w:val="uk-UA"/>
        </w:rPr>
        <w:t>ої особи.</w:t>
      </w:r>
    </w:p>
    <w:p w:rsidR="00752F2F" w:rsidRPr="00C03848" w:rsidRDefault="00752F2F" w:rsidP="008B76F2">
      <w:pPr>
        <w:pStyle w:val="1"/>
        <w:shd w:val="clear" w:color="auto" w:fill="FFFFFF"/>
        <w:spacing w:before="0" w:beforeAutospacing="0" w:after="0" w:afterAutospacing="0"/>
        <w:jc w:val="both"/>
        <w:textAlignment w:val="baseline"/>
        <w:rPr>
          <w:lang w:val="uk-UA"/>
        </w:rPr>
      </w:pPr>
      <w:r w:rsidRPr="00C03848">
        <w:rPr>
          <w:lang w:val="uk-UA"/>
        </w:rPr>
        <w:t xml:space="preserve">2.  Держави-члени повинні забезпечити, щоб зобов'язані особи мали доступ до найактуальнішої </w:t>
      </w:r>
      <w:r w:rsidR="00636689" w:rsidRPr="00C03848">
        <w:rPr>
          <w:lang w:val="uk-UA"/>
        </w:rPr>
        <w:t xml:space="preserve">оновленої </w:t>
      </w:r>
      <w:r w:rsidRPr="00C03848">
        <w:rPr>
          <w:lang w:val="uk-UA"/>
        </w:rPr>
        <w:t>інформації про практику осіб, які здійснюють відмивання грошей і фінансують тероризм, та про показники виявлення підозрілих транзакцій.</w:t>
      </w:r>
    </w:p>
    <w:p w:rsidR="00752F2F" w:rsidRPr="00C03848" w:rsidRDefault="00752F2F" w:rsidP="008B76F2">
      <w:pPr>
        <w:pStyle w:val="1"/>
        <w:shd w:val="clear" w:color="auto" w:fill="FFFFFF"/>
        <w:spacing w:before="0" w:beforeAutospacing="0" w:after="0" w:afterAutospacing="0"/>
        <w:jc w:val="both"/>
        <w:textAlignment w:val="baseline"/>
        <w:rPr>
          <w:lang w:val="uk-UA"/>
        </w:rPr>
      </w:pPr>
      <w:r w:rsidRPr="00C03848">
        <w:rPr>
          <w:lang w:val="uk-UA"/>
        </w:rPr>
        <w:lastRenderedPageBreak/>
        <w:t xml:space="preserve">3.   Держави-члени повинні забезпечити, </w:t>
      </w:r>
      <w:r w:rsidR="00636689" w:rsidRPr="00C03848">
        <w:rPr>
          <w:lang w:val="uk-UA"/>
        </w:rPr>
        <w:t xml:space="preserve">щоб, </w:t>
      </w:r>
      <w:r w:rsidRPr="00C03848">
        <w:rPr>
          <w:lang w:val="uk-UA"/>
        </w:rPr>
        <w:t xml:space="preserve">у можливих випадках, своєчасний зворотній зв'язок щодо ефективності </w:t>
      </w:r>
      <w:r w:rsidR="00636689" w:rsidRPr="00C03848">
        <w:rPr>
          <w:lang w:val="uk-UA"/>
        </w:rPr>
        <w:t xml:space="preserve">звіті </w:t>
      </w:r>
      <w:r w:rsidRPr="00C03848">
        <w:rPr>
          <w:lang w:val="uk-UA"/>
        </w:rPr>
        <w:t xml:space="preserve">і </w:t>
      </w:r>
      <w:r w:rsidR="00636689" w:rsidRPr="00C03848">
        <w:rPr>
          <w:lang w:val="uk-UA"/>
        </w:rPr>
        <w:t xml:space="preserve">подальших </w:t>
      </w:r>
      <w:r w:rsidRPr="00C03848">
        <w:rPr>
          <w:lang w:val="uk-UA"/>
        </w:rPr>
        <w:t>ді</w:t>
      </w:r>
      <w:r w:rsidR="00636689" w:rsidRPr="00C03848">
        <w:rPr>
          <w:lang w:val="uk-UA"/>
        </w:rPr>
        <w:t>й</w:t>
      </w:r>
      <w:r w:rsidRPr="00C03848">
        <w:rPr>
          <w:lang w:val="uk-UA"/>
        </w:rPr>
        <w:t xml:space="preserve"> після </w:t>
      </w:r>
      <w:r w:rsidR="00636689" w:rsidRPr="00C03848">
        <w:rPr>
          <w:lang w:val="uk-UA"/>
        </w:rPr>
        <w:t xml:space="preserve">за звітами </w:t>
      </w:r>
      <w:r w:rsidRPr="00C03848">
        <w:rPr>
          <w:lang w:val="uk-UA"/>
        </w:rPr>
        <w:t>про підозри стосовно відмивання грошей або фінансування тероризму надавався зобов'язаним особам.</w:t>
      </w:r>
    </w:p>
    <w:p w:rsidR="00752F2F" w:rsidRPr="00C03848" w:rsidRDefault="00752F2F" w:rsidP="008B76F2">
      <w:pPr>
        <w:pStyle w:val="1"/>
        <w:shd w:val="clear" w:color="auto" w:fill="FFFFFF"/>
        <w:spacing w:before="0" w:beforeAutospacing="0" w:after="0" w:afterAutospacing="0"/>
        <w:jc w:val="both"/>
        <w:textAlignment w:val="baseline"/>
        <w:rPr>
          <w:lang w:val="uk-UA"/>
        </w:rPr>
      </w:pPr>
      <w:r w:rsidRPr="00C03848">
        <w:rPr>
          <w:lang w:val="uk-UA"/>
        </w:rPr>
        <w:t xml:space="preserve">4.    Держави-члени повинні вимагати, </w:t>
      </w:r>
      <w:r w:rsidR="00140188" w:rsidRPr="00C03848">
        <w:rPr>
          <w:lang w:val="uk-UA"/>
        </w:rPr>
        <w:t>у</w:t>
      </w:r>
      <w:r w:rsidRPr="00C03848">
        <w:rPr>
          <w:lang w:val="uk-UA"/>
        </w:rPr>
        <w:t xml:space="preserve"> доречн</w:t>
      </w:r>
      <w:r w:rsidR="00140188" w:rsidRPr="00C03848">
        <w:rPr>
          <w:lang w:val="uk-UA"/>
        </w:rPr>
        <w:t>их випадках</w:t>
      </w:r>
      <w:r w:rsidRPr="00C03848">
        <w:rPr>
          <w:lang w:val="uk-UA"/>
        </w:rPr>
        <w:t xml:space="preserve">, </w:t>
      </w:r>
      <w:r w:rsidR="00140188" w:rsidRPr="00C03848">
        <w:rPr>
          <w:lang w:val="uk-UA"/>
        </w:rPr>
        <w:t xml:space="preserve">щоб </w:t>
      </w:r>
      <w:r w:rsidRPr="00C03848">
        <w:rPr>
          <w:lang w:val="uk-UA"/>
        </w:rPr>
        <w:t xml:space="preserve">зобов'язані особи встановлювали члена правління, відповідального за реалізацію законів, </w:t>
      </w:r>
      <w:r w:rsidR="00140188" w:rsidRPr="00C03848">
        <w:rPr>
          <w:lang w:val="uk-UA"/>
        </w:rPr>
        <w:t>регламентів</w:t>
      </w:r>
      <w:r w:rsidRPr="00C03848">
        <w:rPr>
          <w:lang w:val="uk-UA"/>
        </w:rPr>
        <w:t xml:space="preserve"> та адміністративних положень, необхідних для виконання </w:t>
      </w:r>
      <w:r w:rsidR="00140188" w:rsidRPr="00C03848">
        <w:rPr>
          <w:lang w:val="uk-UA"/>
        </w:rPr>
        <w:t>положень дано</w:t>
      </w:r>
      <w:r w:rsidRPr="00C03848">
        <w:rPr>
          <w:lang w:val="uk-UA"/>
        </w:rPr>
        <w:t>ї Директиви.</w:t>
      </w:r>
    </w:p>
    <w:p w:rsidR="00636689" w:rsidRPr="00C03848" w:rsidRDefault="00636689" w:rsidP="008B76F2">
      <w:pPr>
        <w:pStyle w:val="1"/>
        <w:shd w:val="clear" w:color="auto" w:fill="FFFFFF"/>
        <w:spacing w:before="0" w:beforeAutospacing="0" w:after="0" w:afterAutospacing="0"/>
        <w:jc w:val="both"/>
        <w:textAlignment w:val="baseline"/>
        <w:rPr>
          <w:lang w:val="uk-UA"/>
        </w:rPr>
      </w:pPr>
    </w:p>
    <w:p w:rsidR="00C07AC9" w:rsidRPr="00C03848" w:rsidRDefault="00A5729D" w:rsidP="008B76F2">
      <w:pPr>
        <w:pStyle w:val="ti-section-1"/>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РОЗДІЛ</w:t>
      </w:r>
      <w:r w:rsidR="00C07AC9" w:rsidRPr="00C03848">
        <w:rPr>
          <w:rStyle w:val="italic"/>
          <w:bCs/>
          <w:iCs/>
          <w:bdr w:val="none" w:sz="0" w:space="0" w:color="auto" w:frame="1"/>
          <w:lang w:val="uk-UA"/>
        </w:rPr>
        <w:t xml:space="preserve"> 2</w:t>
      </w:r>
    </w:p>
    <w:p w:rsidR="00C07AC9" w:rsidRPr="00C03848" w:rsidRDefault="00761E63" w:rsidP="008B76F2">
      <w:pPr>
        <w:pStyle w:val="ti-section-2"/>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Нагляд</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47</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B84F59" w:rsidRPr="00C03848" w:rsidRDefault="00B84F59"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забезпечити, щоб пункти обміну</w:t>
      </w:r>
      <w:r w:rsidR="00140188" w:rsidRPr="00C03848">
        <w:rPr>
          <w:lang w:val="uk-UA"/>
        </w:rPr>
        <w:t xml:space="preserve"> валюти та пункти </w:t>
      </w:r>
      <w:r w:rsidRPr="00C03848">
        <w:rPr>
          <w:lang w:val="uk-UA"/>
        </w:rPr>
        <w:t xml:space="preserve">переведення чеків в готівку </w:t>
      </w:r>
      <w:r w:rsidR="00140188" w:rsidRPr="00C03848">
        <w:rPr>
          <w:lang w:val="uk-UA"/>
        </w:rPr>
        <w:t>і трасти</w:t>
      </w:r>
      <w:r w:rsidRPr="00C03848">
        <w:rPr>
          <w:lang w:val="uk-UA"/>
        </w:rPr>
        <w:t xml:space="preserve"> </w:t>
      </w:r>
      <w:r w:rsidR="00140188" w:rsidRPr="00C03848">
        <w:rPr>
          <w:lang w:val="uk-UA"/>
        </w:rPr>
        <w:t>або</w:t>
      </w:r>
      <w:r w:rsidRPr="00C03848">
        <w:rPr>
          <w:lang w:val="uk-UA"/>
        </w:rPr>
        <w:t xml:space="preserve"> постачальники послуг</w:t>
      </w:r>
      <w:r w:rsidR="00140188" w:rsidRPr="00C03848">
        <w:rPr>
          <w:lang w:val="uk-UA"/>
        </w:rPr>
        <w:t xml:space="preserve"> компаніям</w:t>
      </w:r>
      <w:r w:rsidRPr="00C03848">
        <w:rPr>
          <w:lang w:val="uk-UA"/>
        </w:rPr>
        <w:t xml:space="preserve"> проходили ліцензування або були зареєстровані, а </w:t>
      </w:r>
      <w:r w:rsidR="00140188" w:rsidRPr="00C03848">
        <w:rPr>
          <w:lang w:val="uk-UA"/>
        </w:rPr>
        <w:t>також регулювання діяльності постачальників послуг в сфері азартних ігор</w:t>
      </w:r>
      <w:r w:rsidRPr="00C03848">
        <w:rPr>
          <w:lang w:val="uk-UA"/>
        </w:rPr>
        <w:t>.</w:t>
      </w:r>
    </w:p>
    <w:p w:rsidR="00B84F59" w:rsidRPr="00C03848" w:rsidRDefault="00B84F59" w:rsidP="008B76F2">
      <w:pPr>
        <w:pStyle w:val="1"/>
        <w:shd w:val="clear" w:color="auto" w:fill="FFFFFF"/>
        <w:spacing w:before="0" w:beforeAutospacing="0" w:after="0" w:afterAutospacing="0"/>
        <w:jc w:val="both"/>
        <w:textAlignment w:val="baseline"/>
        <w:rPr>
          <w:lang w:val="uk-UA"/>
        </w:rPr>
      </w:pPr>
      <w:r w:rsidRPr="00C03848">
        <w:rPr>
          <w:lang w:val="uk-UA"/>
        </w:rPr>
        <w:t xml:space="preserve">2.    Держави-члени повинні вимагати від компетентних органів, щоб особи, які виконують функції управління в організаціях, зазначених у пункті 1, або є бенефіціарними власниками таких </w:t>
      </w:r>
      <w:r w:rsidR="00140188" w:rsidRPr="00C03848">
        <w:rPr>
          <w:lang w:val="uk-UA"/>
        </w:rPr>
        <w:t>організацій, були гідними</w:t>
      </w:r>
      <w:r w:rsidRPr="00C03848">
        <w:rPr>
          <w:lang w:val="uk-UA"/>
        </w:rPr>
        <w:t xml:space="preserve"> і доброчесн</w:t>
      </w:r>
      <w:r w:rsidR="00140188" w:rsidRPr="00C03848">
        <w:rPr>
          <w:lang w:val="uk-UA"/>
        </w:rPr>
        <w:t>ими</w:t>
      </w:r>
      <w:r w:rsidRPr="00C03848">
        <w:rPr>
          <w:lang w:val="uk-UA"/>
        </w:rPr>
        <w:t xml:space="preserve">  особ</w:t>
      </w:r>
      <w:r w:rsidR="00140188" w:rsidRPr="00C03848">
        <w:rPr>
          <w:lang w:val="uk-UA"/>
        </w:rPr>
        <w:t>ами</w:t>
      </w:r>
      <w:r w:rsidRPr="00C03848">
        <w:rPr>
          <w:lang w:val="uk-UA"/>
        </w:rPr>
        <w:t>.</w:t>
      </w:r>
    </w:p>
    <w:p w:rsidR="00B84F59" w:rsidRPr="00C03848" w:rsidRDefault="00B84F59" w:rsidP="008B76F2">
      <w:pPr>
        <w:pStyle w:val="1"/>
        <w:shd w:val="clear" w:color="auto" w:fill="FFFFFF"/>
        <w:spacing w:before="0" w:beforeAutospacing="0" w:after="0" w:afterAutospacing="0"/>
        <w:jc w:val="both"/>
        <w:textAlignment w:val="baseline"/>
        <w:rPr>
          <w:lang w:val="uk-UA"/>
        </w:rPr>
      </w:pPr>
      <w:r w:rsidRPr="00C03848">
        <w:rPr>
          <w:lang w:val="uk-UA"/>
        </w:rPr>
        <w:t xml:space="preserve">3.    </w:t>
      </w:r>
      <w:r w:rsidR="00140188" w:rsidRPr="00C03848">
        <w:rPr>
          <w:lang w:val="uk-UA"/>
        </w:rPr>
        <w:t>Стосовно</w:t>
      </w:r>
      <w:r w:rsidRPr="00C03848">
        <w:rPr>
          <w:lang w:val="uk-UA"/>
        </w:rPr>
        <w:t xml:space="preserve"> зобов'язаних осіб, зазначених у пункті (3) (а), (b) і (d) Статті 2 (1), держави-члени повинні </w:t>
      </w:r>
      <w:r w:rsidR="00140188" w:rsidRPr="00C03848">
        <w:rPr>
          <w:lang w:val="uk-UA"/>
        </w:rPr>
        <w:t>забезпечи</w:t>
      </w:r>
      <w:r w:rsidRPr="00C03848">
        <w:rPr>
          <w:lang w:val="uk-UA"/>
        </w:rPr>
        <w:t>ти, що</w:t>
      </w:r>
      <w:r w:rsidR="00140188" w:rsidRPr="00C03848">
        <w:rPr>
          <w:lang w:val="uk-UA"/>
        </w:rPr>
        <w:t>б</w:t>
      </w:r>
      <w:r w:rsidRPr="00C03848">
        <w:rPr>
          <w:lang w:val="uk-UA"/>
        </w:rPr>
        <w:t xml:space="preserve"> компетентні органи вжива</w:t>
      </w:r>
      <w:r w:rsidR="00140188" w:rsidRPr="00C03848">
        <w:rPr>
          <w:lang w:val="uk-UA"/>
        </w:rPr>
        <w:t>ли</w:t>
      </w:r>
      <w:r w:rsidRPr="00C03848">
        <w:rPr>
          <w:lang w:val="uk-UA"/>
        </w:rPr>
        <w:t xml:space="preserve"> необхідн</w:t>
      </w:r>
      <w:r w:rsidR="00140188" w:rsidRPr="00C03848">
        <w:rPr>
          <w:lang w:val="uk-UA"/>
        </w:rPr>
        <w:t>і</w:t>
      </w:r>
      <w:r w:rsidRPr="00C03848">
        <w:rPr>
          <w:lang w:val="uk-UA"/>
        </w:rPr>
        <w:t xml:space="preserve"> заход</w:t>
      </w:r>
      <w:r w:rsidR="00140188" w:rsidRPr="00C03848">
        <w:rPr>
          <w:lang w:val="uk-UA"/>
        </w:rPr>
        <w:t xml:space="preserve">и з метою </w:t>
      </w:r>
      <w:r w:rsidRPr="00C03848">
        <w:rPr>
          <w:lang w:val="uk-UA"/>
        </w:rPr>
        <w:t>запобі</w:t>
      </w:r>
      <w:r w:rsidR="00140188" w:rsidRPr="00C03848">
        <w:rPr>
          <w:lang w:val="uk-UA"/>
        </w:rPr>
        <w:t>гання, щоб злочинці</w:t>
      </w:r>
      <w:r w:rsidRPr="00C03848">
        <w:rPr>
          <w:lang w:val="uk-UA"/>
        </w:rPr>
        <w:t>,</w:t>
      </w:r>
      <w:r w:rsidR="00140188" w:rsidRPr="00C03848">
        <w:rPr>
          <w:lang w:val="uk-UA"/>
        </w:rPr>
        <w:t xml:space="preserve"> </w:t>
      </w:r>
      <w:r w:rsidRPr="00C03848">
        <w:rPr>
          <w:lang w:val="uk-UA"/>
        </w:rPr>
        <w:t>засуджен</w:t>
      </w:r>
      <w:r w:rsidR="00140188" w:rsidRPr="00C03848">
        <w:rPr>
          <w:lang w:val="uk-UA"/>
        </w:rPr>
        <w:t>і</w:t>
      </w:r>
      <w:r w:rsidRPr="00C03848">
        <w:rPr>
          <w:lang w:val="uk-UA"/>
        </w:rPr>
        <w:t xml:space="preserve"> у відповідних </w:t>
      </w:r>
      <w:r w:rsidR="00140188" w:rsidRPr="00C03848">
        <w:rPr>
          <w:lang w:val="uk-UA"/>
        </w:rPr>
        <w:t>сфер</w:t>
      </w:r>
      <w:r w:rsidRPr="00C03848">
        <w:rPr>
          <w:lang w:val="uk-UA"/>
        </w:rPr>
        <w:t>ах</w:t>
      </w:r>
      <w:r w:rsidR="00140188" w:rsidRPr="00C03848">
        <w:rPr>
          <w:lang w:val="uk-UA"/>
        </w:rPr>
        <w:t xml:space="preserve"> </w:t>
      </w:r>
      <w:r w:rsidRPr="00C03848">
        <w:rPr>
          <w:lang w:val="uk-UA"/>
        </w:rPr>
        <w:t>або їх</w:t>
      </w:r>
      <w:r w:rsidR="00140188" w:rsidRPr="00C03848">
        <w:rPr>
          <w:lang w:val="uk-UA"/>
        </w:rPr>
        <w:t xml:space="preserve"> партнери виконували управлінські </w:t>
      </w:r>
      <w:r w:rsidRPr="00C03848">
        <w:rPr>
          <w:lang w:val="uk-UA"/>
        </w:rPr>
        <w:t>функції або</w:t>
      </w:r>
      <w:r w:rsidR="00140188" w:rsidRPr="00C03848">
        <w:rPr>
          <w:lang w:val="uk-UA"/>
        </w:rPr>
        <w:t xml:space="preserve"> були</w:t>
      </w:r>
      <w:r w:rsidRPr="00C03848">
        <w:rPr>
          <w:lang w:val="uk-UA"/>
        </w:rPr>
        <w:t xml:space="preserve">  </w:t>
      </w:r>
      <w:r w:rsidR="00AF7A61" w:rsidRPr="00C03848">
        <w:rPr>
          <w:lang w:val="uk-UA"/>
        </w:rPr>
        <w:t>бенефіціар</w:t>
      </w:r>
      <w:r w:rsidRPr="00C03848">
        <w:rPr>
          <w:lang w:val="uk-UA"/>
        </w:rPr>
        <w:t>ними власниками цих зобов'язаних осіб.</w:t>
      </w:r>
    </w:p>
    <w:p w:rsidR="00B84F59" w:rsidRPr="00C03848" w:rsidRDefault="00B84F59" w:rsidP="008B76F2">
      <w:pPr>
        <w:pStyle w:val="HTMLPreformatted"/>
        <w:shd w:val="clear" w:color="auto" w:fill="FFFFFF"/>
        <w:textAlignment w:val="baseline"/>
        <w:rPr>
          <w:rFonts w:ascii="Times New Roman" w:hAnsi="Times New Roman" w:cs="Times New Roman"/>
          <w:sz w:val="24"/>
          <w:szCs w:val="24"/>
        </w:rPr>
      </w:pPr>
      <w:r w:rsidRPr="00C03848">
        <w:rPr>
          <w:rFonts w:ascii="Times New Roman" w:hAnsi="Times New Roman" w:cs="Times New Roman"/>
          <w:sz w:val="24"/>
          <w:szCs w:val="24"/>
        </w:rPr>
        <w:t xml:space="preserve">     </w:t>
      </w:r>
    </w:p>
    <w:p w:rsidR="00761E63" w:rsidRPr="00C03848" w:rsidRDefault="00761E63"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48</w:t>
      </w:r>
    </w:p>
    <w:p w:rsidR="00140188" w:rsidRPr="00C03848" w:rsidRDefault="00140188" w:rsidP="008B76F2">
      <w:pPr>
        <w:pStyle w:val="1"/>
        <w:shd w:val="clear" w:color="auto" w:fill="FFFFFF"/>
        <w:spacing w:before="0" w:beforeAutospacing="0" w:after="0" w:afterAutospacing="0"/>
        <w:jc w:val="both"/>
        <w:textAlignment w:val="baseline"/>
        <w:rPr>
          <w:lang w:val="uk-UA"/>
        </w:rPr>
      </w:pPr>
    </w:p>
    <w:p w:rsidR="0099155A" w:rsidRPr="00C03848" w:rsidRDefault="0099155A"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вимагати від компетентних органів здійснення ефективного моніторингу та вжиття заходів, необхідних для забезпечення відповідності вимогам цієї Директиви.</w:t>
      </w:r>
    </w:p>
    <w:p w:rsidR="005B724B" w:rsidRPr="00C03848" w:rsidRDefault="005B724B" w:rsidP="008B76F2">
      <w:pPr>
        <w:pStyle w:val="1"/>
        <w:shd w:val="clear" w:color="auto" w:fill="FFFFFF"/>
        <w:spacing w:before="0" w:beforeAutospacing="0" w:after="0" w:afterAutospacing="0"/>
        <w:jc w:val="both"/>
        <w:textAlignment w:val="baseline"/>
        <w:rPr>
          <w:lang w:val="uk-UA"/>
        </w:rPr>
      </w:pPr>
      <w:r w:rsidRPr="00C03848">
        <w:rPr>
          <w:lang w:val="uk-UA"/>
        </w:rPr>
        <w:t>2. Держави-члени повинні забезпечити, щоб компетентні органи мали достатні повноваження, включаючи імперативні повноваження щодо надання будь-якої інформації, яка відноситься до моніторингу відповідності, та  здійснювати перевірки, і мати достатні фінансові, людські та технічні ресурси для виконання своїх функцій. Держави-члени повинні забезпечити, щоб персонал цих органів підтримува</w:t>
      </w:r>
      <w:r w:rsidR="00DF1DDB" w:rsidRPr="00C03848">
        <w:rPr>
          <w:lang w:val="uk-UA"/>
        </w:rPr>
        <w:t xml:space="preserve">в </w:t>
      </w:r>
      <w:r w:rsidRPr="00C03848">
        <w:rPr>
          <w:lang w:val="uk-UA"/>
        </w:rPr>
        <w:t>висок</w:t>
      </w:r>
      <w:r w:rsidR="00DF1DDB" w:rsidRPr="00C03848">
        <w:rPr>
          <w:lang w:val="uk-UA"/>
        </w:rPr>
        <w:t>ий рівень професійних</w:t>
      </w:r>
      <w:r w:rsidRPr="00C03848">
        <w:rPr>
          <w:lang w:val="uk-UA"/>
        </w:rPr>
        <w:t xml:space="preserve"> стандарт</w:t>
      </w:r>
      <w:r w:rsidR="00DF1DDB" w:rsidRPr="00C03848">
        <w:rPr>
          <w:lang w:val="uk-UA"/>
        </w:rPr>
        <w:t>ів</w:t>
      </w:r>
      <w:r w:rsidRPr="00C03848">
        <w:rPr>
          <w:lang w:val="uk-UA"/>
        </w:rPr>
        <w:t xml:space="preserve">, включаючи стандарти конфіденційності та захисту даних, що вони </w:t>
      </w:r>
      <w:r w:rsidR="00DF1DDB" w:rsidRPr="00C03848">
        <w:rPr>
          <w:lang w:val="uk-UA"/>
        </w:rPr>
        <w:t>є</w:t>
      </w:r>
      <w:r w:rsidRPr="00C03848">
        <w:rPr>
          <w:lang w:val="uk-UA"/>
        </w:rPr>
        <w:t xml:space="preserve"> </w:t>
      </w:r>
      <w:r w:rsidR="00DF1DDB" w:rsidRPr="00C03848">
        <w:rPr>
          <w:lang w:val="uk-UA"/>
        </w:rPr>
        <w:t>чесними та</w:t>
      </w:r>
      <w:r w:rsidRPr="00C03848">
        <w:rPr>
          <w:lang w:val="uk-UA"/>
        </w:rPr>
        <w:t xml:space="preserve"> </w:t>
      </w:r>
      <w:r w:rsidR="00DF1DDB" w:rsidRPr="00C03848">
        <w:rPr>
          <w:lang w:val="uk-UA"/>
        </w:rPr>
        <w:t xml:space="preserve">володіють </w:t>
      </w:r>
      <w:r w:rsidRPr="00C03848">
        <w:rPr>
          <w:lang w:val="uk-UA"/>
        </w:rPr>
        <w:t>відповідн</w:t>
      </w:r>
      <w:r w:rsidR="00DF1DDB" w:rsidRPr="00C03848">
        <w:rPr>
          <w:lang w:val="uk-UA"/>
        </w:rPr>
        <w:t>ими</w:t>
      </w:r>
      <w:r w:rsidRPr="00C03848">
        <w:rPr>
          <w:lang w:val="uk-UA"/>
        </w:rPr>
        <w:t xml:space="preserve"> навичк</w:t>
      </w:r>
      <w:r w:rsidR="00DF1DDB" w:rsidRPr="00C03848">
        <w:rPr>
          <w:lang w:val="uk-UA"/>
        </w:rPr>
        <w:t>ам</w:t>
      </w:r>
      <w:r w:rsidRPr="00C03848">
        <w:rPr>
          <w:lang w:val="uk-UA"/>
        </w:rPr>
        <w:t>и.</w:t>
      </w:r>
    </w:p>
    <w:p w:rsidR="00C62669" w:rsidRPr="00C03848" w:rsidRDefault="00C62669" w:rsidP="008B76F2">
      <w:pPr>
        <w:pStyle w:val="1"/>
        <w:shd w:val="clear" w:color="auto" w:fill="FFFFFF"/>
        <w:spacing w:before="0" w:beforeAutospacing="0" w:after="0" w:afterAutospacing="0"/>
        <w:jc w:val="both"/>
        <w:textAlignment w:val="baseline"/>
        <w:rPr>
          <w:lang w:val="uk-UA"/>
        </w:rPr>
      </w:pPr>
      <w:r w:rsidRPr="00C03848">
        <w:rPr>
          <w:lang w:val="uk-UA"/>
        </w:rPr>
        <w:t>3.  У разі кредитних установ, фінансових установ і постачальників послуг в сфері азартних ігор компетентні органи повинні мати розширені наглядові повноваження.</w:t>
      </w:r>
    </w:p>
    <w:p w:rsidR="00C62669" w:rsidRPr="00C03848" w:rsidRDefault="00C62669" w:rsidP="008B76F2">
      <w:pPr>
        <w:pStyle w:val="1"/>
        <w:shd w:val="clear" w:color="auto" w:fill="FFFFFF"/>
        <w:spacing w:before="0" w:beforeAutospacing="0" w:after="0" w:afterAutospacing="0"/>
        <w:jc w:val="both"/>
        <w:textAlignment w:val="baseline"/>
        <w:rPr>
          <w:lang w:val="uk-UA"/>
        </w:rPr>
      </w:pPr>
      <w:r w:rsidRPr="00C03848">
        <w:rPr>
          <w:lang w:val="uk-UA"/>
        </w:rPr>
        <w:t xml:space="preserve">4.  Держави-члени повинні забезпечити, щоб компетентні органи держав-членів, в яких зобов'язана особа управляє організаціями, </w:t>
      </w:r>
      <w:r w:rsidR="006C1956" w:rsidRPr="00C03848">
        <w:rPr>
          <w:lang w:val="uk-UA"/>
        </w:rPr>
        <w:t xml:space="preserve">контролювали, </w:t>
      </w:r>
      <w:r w:rsidRPr="00C03848">
        <w:rPr>
          <w:lang w:val="uk-UA"/>
        </w:rPr>
        <w:t xml:space="preserve">щоб ці установи поважали національні положення </w:t>
      </w:r>
      <w:r w:rsidR="006C1956" w:rsidRPr="00C03848">
        <w:rPr>
          <w:lang w:val="uk-UA"/>
        </w:rPr>
        <w:t xml:space="preserve">законодавства </w:t>
      </w:r>
      <w:r w:rsidRPr="00C03848">
        <w:rPr>
          <w:lang w:val="uk-UA"/>
        </w:rPr>
        <w:t xml:space="preserve">тієї держави-члена, яка  транспонує цю Директиву. У разі </w:t>
      </w:r>
      <w:r w:rsidR="006C1956" w:rsidRPr="00C03848">
        <w:rPr>
          <w:lang w:val="uk-UA"/>
        </w:rPr>
        <w:t>організацій</w:t>
      </w:r>
      <w:r w:rsidRPr="00C03848">
        <w:rPr>
          <w:lang w:val="uk-UA"/>
        </w:rPr>
        <w:t>, зазначених у Статті</w:t>
      </w:r>
      <w:r w:rsidR="006C1956" w:rsidRPr="00C03848">
        <w:rPr>
          <w:lang w:val="uk-UA"/>
        </w:rPr>
        <w:t xml:space="preserve"> 45</w:t>
      </w:r>
      <w:r w:rsidRPr="00C03848">
        <w:rPr>
          <w:lang w:val="uk-UA"/>
        </w:rPr>
        <w:t xml:space="preserve">(9), такий нагляд може включати в себе прийняття відповідних та пропорційних заходів </w:t>
      </w:r>
      <w:r w:rsidR="006C1956" w:rsidRPr="00C03848">
        <w:rPr>
          <w:lang w:val="uk-UA"/>
        </w:rPr>
        <w:t>з метою</w:t>
      </w:r>
      <w:r w:rsidRPr="00C03848">
        <w:rPr>
          <w:lang w:val="uk-UA"/>
        </w:rPr>
        <w:t xml:space="preserve"> вирішення серйозних недоліків, які вимагають негайних засобів правового захисту. </w:t>
      </w:r>
      <w:r w:rsidR="006C1956" w:rsidRPr="00C03848">
        <w:rPr>
          <w:lang w:val="uk-UA"/>
        </w:rPr>
        <w:t>Зазначен</w:t>
      </w:r>
      <w:r w:rsidRPr="00C03848">
        <w:rPr>
          <w:lang w:val="uk-UA"/>
        </w:rPr>
        <w:t>і заходи повинні носити тимчасовий характер і припиняться</w:t>
      </w:r>
      <w:r w:rsidR="006C1956" w:rsidRPr="00C03848">
        <w:rPr>
          <w:lang w:val="uk-UA"/>
        </w:rPr>
        <w:t xml:space="preserve">, </w:t>
      </w:r>
      <w:r w:rsidRPr="00C03848">
        <w:rPr>
          <w:lang w:val="uk-UA"/>
        </w:rPr>
        <w:t xml:space="preserve">коли виявлені порушення будуть вирішені, у тому числі за сприянням або у співпраці з компетентними органами держави-члена </w:t>
      </w:r>
      <w:r w:rsidR="006C1956" w:rsidRPr="00C03848">
        <w:rPr>
          <w:lang w:val="uk-UA"/>
        </w:rPr>
        <w:t xml:space="preserve">походження </w:t>
      </w:r>
      <w:r w:rsidRPr="00C03848">
        <w:rPr>
          <w:lang w:val="uk-UA"/>
        </w:rPr>
        <w:t>зобов'язаної особи, відповідно до Статті 45 (2).</w:t>
      </w:r>
    </w:p>
    <w:p w:rsidR="00325948" w:rsidRPr="00C03848" w:rsidRDefault="00325948" w:rsidP="008B76F2">
      <w:pPr>
        <w:pStyle w:val="1"/>
        <w:shd w:val="clear" w:color="auto" w:fill="FFFFFF"/>
        <w:spacing w:before="0" w:beforeAutospacing="0" w:after="0" w:afterAutospacing="0"/>
        <w:jc w:val="both"/>
        <w:textAlignment w:val="baseline"/>
        <w:rPr>
          <w:lang w:val="uk-UA"/>
        </w:rPr>
      </w:pPr>
      <w:r w:rsidRPr="00C03848">
        <w:rPr>
          <w:lang w:val="uk-UA"/>
        </w:rPr>
        <w:t>5.   Держави-члени повинні забезпечити, що компетентні органи держави-члена, в якій зобов'язана особа управляє організаціями, повинні співпрацювати з компетентними органами держави-члена, в якій зобов'язана особа має головний офіс з метою забезпечення здійснення ефективного нагляду за виконанням вимог цієї Директиви.</w:t>
      </w:r>
    </w:p>
    <w:p w:rsidR="00325948" w:rsidRPr="00C03848" w:rsidRDefault="00325948" w:rsidP="008B76F2">
      <w:pPr>
        <w:pStyle w:val="1"/>
        <w:shd w:val="clear" w:color="auto" w:fill="FFFFFF"/>
        <w:spacing w:before="0" w:beforeAutospacing="0" w:after="0" w:afterAutospacing="0"/>
        <w:jc w:val="both"/>
        <w:textAlignment w:val="baseline"/>
        <w:rPr>
          <w:lang w:val="uk-UA"/>
        </w:rPr>
      </w:pPr>
      <w:r w:rsidRPr="00C03848">
        <w:rPr>
          <w:lang w:val="uk-UA"/>
        </w:rPr>
        <w:lastRenderedPageBreak/>
        <w:t>6.   Держави-члени повинні забезпечити, що при застосуванні підходу на основі ризику до здійснення нагляду, компетентні органи: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325948" w:rsidRPr="00C03848" w:rsidTr="0032594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25948" w:rsidRPr="00C03848" w:rsidRDefault="00325948"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25948" w:rsidRPr="00C03848" w:rsidRDefault="00325948" w:rsidP="008B76F2">
            <w:pPr>
              <w:pStyle w:val="1"/>
              <w:spacing w:before="0" w:beforeAutospacing="0" w:after="0" w:afterAutospacing="0"/>
              <w:jc w:val="both"/>
              <w:textAlignment w:val="baseline"/>
              <w:rPr>
                <w:lang w:val="uk-UA"/>
              </w:rPr>
            </w:pPr>
            <w:r w:rsidRPr="00C03848">
              <w:rPr>
                <w:lang w:val="uk-UA"/>
              </w:rPr>
              <w:t>мають чітке розуміння ризиків відмивання грошей і фінансування тероризму, які присутні в їх державі-члені;</w:t>
            </w:r>
          </w:p>
        </w:tc>
      </w:tr>
    </w:tbl>
    <w:p w:rsidR="00325948" w:rsidRPr="00C03848" w:rsidRDefault="00325948"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325948" w:rsidRPr="00C03848" w:rsidTr="0032594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25948" w:rsidRPr="00C03848" w:rsidRDefault="00325948"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25948" w:rsidRPr="00C03848" w:rsidRDefault="00325948" w:rsidP="008B76F2">
            <w:pPr>
              <w:pStyle w:val="1"/>
              <w:spacing w:before="0" w:beforeAutospacing="0" w:after="0" w:afterAutospacing="0"/>
              <w:jc w:val="both"/>
              <w:textAlignment w:val="baseline"/>
              <w:rPr>
                <w:lang w:val="uk-UA"/>
              </w:rPr>
            </w:pPr>
            <w:r w:rsidRPr="00C03848">
              <w:rPr>
                <w:lang w:val="uk-UA"/>
              </w:rPr>
              <w:t xml:space="preserve">мають </w:t>
            </w:r>
            <w:r w:rsidR="00C20DEF" w:rsidRPr="00C03848">
              <w:rPr>
                <w:lang w:val="uk-UA"/>
              </w:rPr>
              <w:t xml:space="preserve">локальний та дистанційний доступ </w:t>
            </w:r>
            <w:r w:rsidRPr="00C03848">
              <w:rPr>
                <w:lang w:val="uk-UA"/>
              </w:rPr>
              <w:t xml:space="preserve">до всієї відповідної інформації </w:t>
            </w:r>
            <w:r w:rsidR="00C20DEF" w:rsidRPr="00C03848">
              <w:rPr>
                <w:lang w:val="uk-UA"/>
              </w:rPr>
              <w:t>стосовно</w:t>
            </w:r>
            <w:r w:rsidRPr="00C03848">
              <w:rPr>
                <w:lang w:val="uk-UA"/>
              </w:rPr>
              <w:t xml:space="preserve"> конкретних внутрішніх і міжнародних ризиків, пов'язаних з клієнтами, продуктами та послугами зобов'язаних осіб; і</w:t>
            </w:r>
          </w:p>
        </w:tc>
      </w:tr>
    </w:tbl>
    <w:p w:rsidR="00325948" w:rsidRPr="00C03848" w:rsidRDefault="00325948"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325948" w:rsidRPr="00C03848" w:rsidTr="0032594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25948" w:rsidRPr="00C03848" w:rsidRDefault="00325948"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25948" w:rsidRPr="00C03848" w:rsidRDefault="00C20DEF" w:rsidP="008B76F2">
            <w:pPr>
              <w:pStyle w:val="1"/>
              <w:spacing w:before="0" w:beforeAutospacing="0" w:after="0" w:afterAutospacing="0"/>
              <w:jc w:val="both"/>
              <w:textAlignment w:val="baseline"/>
              <w:rPr>
                <w:lang w:val="uk-UA"/>
              </w:rPr>
            </w:pPr>
            <w:r w:rsidRPr="00C03848">
              <w:rPr>
                <w:lang w:val="uk-UA"/>
              </w:rPr>
              <w:t>встановлю</w:t>
            </w:r>
            <w:r w:rsidR="00325948" w:rsidRPr="00C03848">
              <w:rPr>
                <w:lang w:val="uk-UA"/>
              </w:rPr>
              <w:t xml:space="preserve">ють частоту та інтенсивність </w:t>
            </w:r>
            <w:r w:rsidRPr="00C03848">
              <w:rPr>
                <w:lang w:val="uk-UA"/>
              </w:rPr>
              <w:t>нагляду на місці та дистанційного нагляду н</w:t>
            </w:r>
            <w:r w:rsidR="00325948" w:rsidRPr="00C03848">
              <w:rPr>
                <w:lang w:val="uk-UA"/>
              </w:rPr>
              <w:t>а</w:t>
            </w:r>
            <w:r w:rsidRPr="00C03848">
              <w:rPr>
                <w:lang w:val="uk-UA"/>
              </w:rPr>
              <w:t xml:space="preserve"> основі</w:t>
            </w:r>
            <w:r w:rsidR="00325948" w:rsidRPr="00C03848">
              <w:rPr>
                <w:lang w:val="uk-UA"/>
              </w:rPr>
              <w:t xml:space="preserve"> профілем ризику зобов'язаних осіб </w:t>
            </w:r>
            <w:r w:rsidRPr="00C03848">
              <w:rPr>
                <w:lang w:val="uk-UA"/>
              </w:rPr>
              <w:t>та на основі</w:t>
            </w:r>
            <w:r w:rsidR="00325948" w:rsidRPr="00C03848">
              <w:rPr>
                <w:lang w:val="uk-UA"/>
              </w:rPr>
              <w:t xml:space="preserve"> ризик</w:t>
            </w:r>
            <w:r w:rsidRPr="00C03848">
              <w:rPr>
                <w:lang w:val="uk-UA"/>
              </w:rPr>
              <w:t>ів</w:t>
            </w:r>
            <w:r w:rsidR="00325948" w:rsidRPr="00C03848">
              <w:rPr>
                <w:lang w:val="uk-UA"/>
              </w:rPr>
              <w:t xml:space="preserve"> відмивання грошей і фінансування тероризму в цій державі-члені.</w:t>
            </w:r>
          </w:p>
        </w:tc>
      </w:tr>
    </w:tbl>
    <w:p w:rsidR="00E61AC6" w:rsidRPr="00C03848" w:rsidRDefault="00E61AC6" w:rsidP="008B76F2">
      <w:pPr>
        <w:pStyle w:val="1"/>
        <w:shd w:val="clear" w:color="auto" w:fill="FFFFFF"/>
        <w:spacing w:before="0" w:beforeAutospacing="0" w:after="0" w:afterAutospacing="0"/>
        <w:jc w:val="both"/>
        <w:textAlignment w:val="baseline"/>
        <w:rPr>
          <w:lang w:val="uk-UA"/>
        </w:rPr>
      </w:pPr>
      <w:r w:rsidRPr="00C03848">
        <w:rPr>
          <w:lang w:val="uk-UA"/>
        </w:rPr>
        <w:t>7.    Оцінка профіля ризику відмивання грошей і фінансува</w:t>
      </w:r>
      <w:r w:rsidR="005170ED" w:rsidRPr="00C03848">
        <w:rPr>
          <w:lang w:val="uk-UA"/>
        </w:rPr>
        <w:t xml:space="preserve">ння тероризму зобов'язаних осіб, включаючи </w:t>
      </w:r>
      <w:r w:rsidRPr="00C03848">
        <w:rPr>
          <w:lang w:val="uk-UA"/>
        </w:rPr>
        <w:t>ризик</w:t>
      </w:r>
      <w:r w:rsidR="005170ED" w:rsidRPr="00C03848">
        <w:rPr>
          <w:lang w:val="uk-UA"/>
        </w:rPr>
        <w:t>и</w:t>
      </w:r>
      <w:r w:rsidRPr="00C03848">
        <w:rPr>
          <w:lang w:val="uk-UA"/>
        </w:rPr>
        <w:t xml:space="preserve"> недотримання Директиви, повинна переглядатися, як періодично, так і коли є важливі події або зміни в їх управлінні </w:t>
      </w:r>
      <w:r w:rsidR="005170ED" w:rsidRPr="00C03848">
        <w:rPr>
          <w:lang w:val="uk-UA"/>
        </w:rPr>
        <w:t>та операціях</w:t>
      </w:r>
      <w:r w:rsidRPr="00C03848">
        <w:rPr>
          <w:lang w:val="uk-UA"/>
        </w:rPr>
        <w:t>.</w:t>
      </w:r>
    </w:p>
    <w:p w:rsidR="00E61AC6" w:rsidRPr="00C03848" w:rsidRDefault="00E61AC6" w:rsidP="008B76F2">
      <w:pPr>
        <w:pStyle w:val="1"/>
        <w:shd w:val="clear" w:color="auto" w:fill="FFFFFF"/>
        <w:spacing w:before="0" w:beforeAutospacing="0" w:after="0" w:afterAutospacing="0"/>
        <w:jc w:val="both"/>
        <w:textAlignment w:val="baseline"/>
        <w:rPr>
          <w:lang w:val="uk-UA"/>
        </w:rPr>
      </w:pPr>
      <w:r w:rsidRPr="00C03848">
        <w:rPr>
          <w:lang w:val="uk-UA"/>
        </w:rPr>
        <w:t xml:space="preserve">8.   Держави-члени повинні </w:t>
      </w:r>
      <w:r w:rsidR="005170ED" w:rsidRPr="00C03848">
        <w:rPr>
          <w:lang w:val="uk-UA"/>
        </w:rPr>
        <w:t>забезпечи</w:t>
      </w:r>
      <w:r w:rsidRPr="00C03848">
        <w:rPr>
          <w:lang w:val="uk-UA"/>
        </w:rPr>
        <w:t xml:space="preserve">ти, що компетентні органи беруть до уваги ступінь свободи дій, </w:t>
      </w:r>
      <w:r w:rsidR="005170ED" w:rsidRPr="00C03848">
        <w:rPr>
          <w:lang w:val="uk-UA"/>
        </w:rPr>
        <w:t>яка</w:t>
      </w:r>
      <w:r w:rsidRPr="00C03848">
        <w:rPr>
          <w:lang w:val="uk-UA"/>
        </w:rPr>
        <w:t xml:space="preserve"> дозволен</w:t>
      </w:r>
      <w:r w:rsidR="005170ED" w:rsidRPr="00C03848">
        <w:rPr>
          <w:lang w:val="uk-UA"/>
        </w:rPr>
        <w:t>а</w:t>
      </w:r>
      <w:r w:rsidRPr="00C03848">
        <w:rPr>
          <w:lang w:val="uk-UA"/>
        </w:rPr>
        <w:t xml:space="preserve"> зобов'язаній особі, і відповідно переглядають оцінку ризику, що лежить в основі цієї свободи дій, та адекватності і реалізації внутрішньої політики, </w:t>
      </w:r>
      <w:r w:rsidR="005170ED" w:rsidRPr="00C03848">
        <w:rPr>
          <w:lang w:val="uk-UA"/>
        </w:rPr>
        <w:t>контролю</w:t>
      </w:r>
      <w:r w:rsidRPr="00C03848">
        <w:rPr>
          <w:lang w:val="uk-UA"/>
        </w:rPr>
        <w:t xml:space="preserve"> і процедур.</w:t>
      </w:r>
    </w:p>
    <w:p w:rsidR="00E61AC6" w:rsidRPr="00C03848" w:rsidRDefault="00E61AC6" w:rsidP="008B76F2">
      <w:pPr>
        <w:pStyle w:val="1"/>
        <w:shd w:val="clear" w:color="auto" w:fill="FFFFFF"/>
        <w:spacing w:before="0" w:beforeAutospacing="0" w:after="0" w:afterAutospacing="0"/>
        <w:jc w:val="both"/>
        <w:textAlignment w:val="baseline"/>
        <w:rPr>
          <w:lang w:val="uk-UA"/>
        </w:rPr>
      </w:pPr>
      <w:r w:rsidRPr="00C03848">
        <w:rPr>
          <w:lang w:val="uk-UA"/>
        </w:rPr>
        <w:t xml:space="preserve">9.  У разі зобов'язаних осіб, згаданих у пункті (3) (а), (b) і (d) Статті 2 (1), держави-члени можуть дозволити </w:t>
      </w:r>
      <w:r w:rsidR="005170ED" w:rsidRPr="00C03848">
        <w:rPr>
          <w:lang w:val="uk-UA"/>
        </w:rPr>
        <w:t xml:space="preserve">виконувати </w:t>
      </w:r>
      <w:r w:rsidRPr="00C03848">
        <w:rPr>
          <w:lang w:val="uk-UA"/>
        </w:rPr>
        <w:t>функції, зазначені у пункті 1 цієї Статті,</w:t>
      </w:r>
      <w:r w:rsidR="005170ED" w:rsidRPr="00C03848">
        <w:rPr>
          <w:lang w:val="uk-UA"/>
        </w:rPr>
        <w:t xml:space="preserve"> саморегулюючим </w:t>
      </w:r>
      <w:r w:rsidRPr="00C03848">
        <w:rPr>
          <w:lang w:val="uk-UA"/>
        </w:rPr>
        <w:t xml:space="preserve">органам, за умови, що ці </w:t>
      </w:r>
      <w:r w:rsidR="005170ED" w:rsidRPr="00C03848">
        <w:rPr>
          <w:lang w:val="uk-UA"/>
        </w:rPr>
        <w:t xml:space="preserve">саморегулюючі </w:t>
      </w:r>
      <w:r w:rsidRPr="00C03848">
        <w:rPr>
          <w:lang w:val="uk-UA"/>
        </w:rPr>
        <w:t>органи дотримують</w:t>
      </w:r>
      <w:r w:rsidR="005170ED" w:rsidRPr="00C03848">
        <w:rPr>
          <w:lang w:val="uk-UA"/>
        </w:rPr>
        <w:t>ся</w:t>
      </w:r>
      <w:r w:rsidRPr="00C03848">
        <w:rPr>
          <w:lang w:val="uk-UA"/>
        </w:rPr>
        <w:t xml:space="preserve"> пункт</w:t>
      </w:r>
      <w:r w:rsidR="005170ED" w:rsidRPr="00C03848">
        <w:rPr>
          <w:lang w:val="uk-UA"/>
        </w:rPr>
        <w:t>у</w:t>
      </w:r>
      <w:r w:rsidRPr="00C03848">
        <w:rPr>
          <w:lang w:val="uk-UA"/>
        </w:rPr>
        <w:t xml:space="preserve"> 2 цієї Статті.</w:t>
      </w:r>
    </w:p>
    <w:p w:rsidR="00E61AC6" w:rsidRPr="00C03848" w:rsidRDefault="00E61AC6" w:rsidP="008B76F2">
      <w:pPr>
        <w:pStyle w:val="1"/>
        <w:shd w:val="clear" w:color="auto" w:fill="FFFFFF"/>
        <w:spacing w:before="0" w:beforeAutospacing="0" w:after="0" w:afterAutospacing="0"/>
        <w:jc w:val="both"/>
        <w:textAlignment w:val="baseline"/>
        <w:rPr>
          <w:lang w:val="uk-UA"/>
        </w:rPr>
      </w:pPr>
      <w:r w:rsidRPr="00C03848">
        <w:rPr>
          <w:lang w:val="uk-UA"/>
        </w:rPr>
        <w:t>10. До 26 червня 2017 року, ЄНО повинні видати керівні вказівки адресовані компетентним органам відповідно до Статті 16 Регламенту (</w:t>
      </w:r>
      <w:r w:rsidR="0005422D" w:rsidRPr="00C03848">
        <w:rPr>
          <w:lang w:val="uk-UA"/>
        </w:rPr>
        <w:t>EU</w:t>
      </w:r>
      <w:r w:rsidRPr="00C03848">
        <w:rPr>
          <w:lang w:val="uk-UA"/>
        </w:rPr>
        <w:t xml:space="preserve">) </w:t>
      </w:r>
      <w:r w:rsidR="0005422D" w:rsidRPr="00C03848">
        <w:rPr>
          <w:lang w:val="uk-UA"/>
        </w:rPr>
        <w:t>No 1093/2010</w:t>
      </w:r>
      <w:r w:rsidRPr="00C03848">
        <w:rPr>
          <w:lang w:val="uk-UA"/>
        </w:rPr>
        <w:t>,</w:t>
      </w:r>
      <w:r w:rsidR="0005422D" w:rsidRPr="00C03848">
        <w:rPr>
          <w:lang w:val="uk-UA"/>
        </w:rPr>
        <w:t xml:space="preserve"> (EU</w:t>
      </w:r>
      <w:r w:rsidRPr="00C03848">
        <w:rPr>
          <w:lang w:val="uk-UA"/>
        </w:rPr>
        <w:t xml:space="preserve">) </w:t>
      </w:r>
      <w:r w:rsidR="0005422D" w:rsidRPr="00C03848">
        <w:rPr>
          <w:lang w:val="uk-UA"/>
        </w:rPr>
        <w:t>No 1094/2010 та (EU) No</w:t>
      </w:r>
      <w:r w:rsidRPr="00C03848">
        <w:rPr>
          <w:lang w:val="uk-UA"/>
        </w:rPr>
        <w:t xml:space="preserve"> 1095/2010 </w:t>
      </w:r>
      <w:r w:rsidR="0005422D" w:rsidRPr="00C03848">
        <w:rPr>
          <w:lang w:val="uk-UA"/>
        </w:rPr>
        <w:t>про</w:t>
      </w:r>
      <w:r w:rsidRPr="00C03848">
        <w:rPr>
          <w:lang w:val="uk-UA"/>
        </w:rPr>
        <w:t xml:space="preserve"> характеристики підходу </w:t>
      </w:r>
      <w:r w:rsidR="0005422D" w:rsidRPr="00C03848">
        <w:rPr>
          <w:lang w:val="uk-UA"/>
        </w:rPr>
        <w:t xml:space="preserve">до здійснення нагляду, </w:t>
      </w:r>
      <w:r w:rsidRPr="00C03848">
        <w:rPr>
          <w:lang w:val="uk-UA"/>
        </w:rPr>
        <w:t>заснованому на ризику</w:t>
      </w:r>
      <w:r w:rsidR="00D91B0A" w:rsidRPr="00C03848">
        <w:rPr>
          <w:lang w:val="uk-UA"/>
        </w:rPr>
        <w:t>,</w:t>
      </w:r>
      <w:r w:rsidRPr="00C03848">
        <w:rPr>
          <w:lang w:val="uk-UA"/>
        </w:rPr>
        <w:t xml:space="preserve"> та крок</w:t>
      </w:r>
      <w:r w:rsidR="00D91B0A" w:rsidRPr="00C03848">
        <w:rPr>
          <w:lang w:val="uk-UA"/>
        </w:rPr>
        <w:t>и</w:t>
      </w:r>
      <w:r w:rsidRPr="00C03848">
        <w:rPr>
          <w:lang w:val="uk-UA"/>
        </w:rPr>
        <w:t xml:space="preserve">, </w:t>
      </w:r>
      <w:r w:rsidR="00D91B0A" w:rsidRPr="00C03848">
        <w:rPr>
          <w:lang w:val="uk-UA"/>
        </w:rPr>
        <w:t xml:space="preserve">які необхідно </w:t>
      </w:r>
      <w:r w:rsidRPr="00C03848">
        <w:rPr>
          <w:lang w:val="uk-UA"/>
        </w:rPr>
        <w:t>здійсн</w:t>
      </w:r>
      <w:r w:rsidR="00D91B0A" w:rsidRPr="00C03848">
        <w:rPr>
          <w:lang w:val="uk-UA"/>
        </w:rPr>
        <w:t>ити</w:t>
      </w:r>
      <w:r w:rsidRPr="00C03848">
        <w:rPr>
          <w:lang w:val="uk-UA"/>
        </w:rPr>
        <w:t xml:space="preserve"> при </w:t>
      </w:r>
      <w:r w:rsidR="00D91B0A" w:rsidRPr="00C03848">
        <w:rPr>
          <w:lang w:val="uk-UA"/>
        </w:rPr>
        <w:t>здійсн</w:t>
      </w:r>
      <w:r w:rsidRPr="00C03848">
        <w:rPr>
          <w:lang w:val="uk-UA"/>
        </w:rPr>
        <w:t>енні нагляду на основі</w:t>
      </w:r>
      <w:r w:rsidR="00D91B0A" w:rsidRPr="00C03848">
        <w:rPr>
          <w:lang w:val="uk-UA"/>
        </w:rPr>
        <w:t xml:space="preserve"> врахування ризику</w:t>
      </w:r>
      <w:r w:rsidRPr="00C03848">
        <w:rPr>
          <w:lang w:val="uk-UA"/>
        </w:rPr>
        <w:t xml:space="preserve">. </w:t>
      </w:r>
      <w:r w:rsidR="00E200F1" w:rsidRPr="00C03848">
        <w:rPr>
          <w:lang w:val="uk-UA"/>
        </w:rPr>
        <w:t xml:space="preserve">Особливо необхідно </w:t>
      </w:r>
      <w:r w:rsidRPr="00C03848">
        <w:rPr>
          <w:lang w:val="uk-UA"/>
        </w:rPr>
        <w:t xml:space="preserve">враховувати </w:t>
      </w:r>
      <w:r w:rsidR="00E200F1" w:rsidRPr="00C03848">
        <w:rPr>
          <w:lang w:val="uk-UA"/>
        </w:rPr>
        <w:t>характер</w:t>
      </w:r>
      <w:r w:rsidRPr="00C03848">
        <w:rPr>
          <w:lang w:val="uk-UA"/>
        </w:rPr>
        <w:t xml:space="preserve"> і розмір бізнесу, і, при необхідності</w:t>
      </w:r>
      <w:r w:rsidR="00E200F1" w:rsidRPr="00C03848">
        <w:rPr>
          <w:lang w:val="uk-UA"/>
        </w:rPr>
        <w:t xml:space="preserve"> та пропорційності, визначення конкретних</w:t>
      </w:r>
      <w:r w:rsidRPr="00C03848">
        <w:rPr>
          <w:lang w:val="uk-UA"/>
        </w:rPr>
        <w:t xml:space="preserve"> заході</w:t>
      </w:r>
      <w:r w:rsidR="00E200F1" w:rsidRPr="00C03848">
        <w:rPr>
          <w:lang w:val="uk-UA"/>
        </w:rPr>
        <w:t>в</w:t>
      </w:r>
      <w:r w:rsidRPr="00C03848">
        <w:rPr>
          <w:lang w:val="uk-UA"/>
        </w:rPr>
        <w:t>.</w:t>
      </w:r>
    </w:p>
    <w:p w:rsidR="00761E63" w:rsidRPr="00C03848" w:rsidRDefault="00761E63" w:rsidP="008B76F2">
      <w:pPr>
        <w:pStyle w:val="1"/>
        <w:shd w:val="clear" w:color="auto" w:fill="FFFFFF"/>
        <w:spacing w:before="0" w:beforeAutospacing="0" w:after="0" w:afterAutospacing="0"/>
        <w:jc w:val="both"/>
        <w:textAlignment w:val="baseline"/>
        <w:rPr>
          <w:lang w:val="uk-UA"/>
        </w:rPr>
      </w:pPr>
    </w:p>
    <w:p w:rsidR="00C07AC9" w:rsidRPr="00C03848" w:rsidRDefault="00A5729D" w:rsidP="008B76F2">
      <w:pPr>
        <w:pStyle w:val="ti-section-1"/>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РОЗДІЛ</w:t>
      </w:r>
      <w:r w:rsidR="00C07AC9" w:rsidRPr="00C03848">
        <w:rPr>
          <w:rStyle w:val="italic"/>
          <w:bCs/>
          <w:iCs/>
          <w:bdr w:val="none" w:sz="0" w:space="0" w:color="auto" w:frame="1"/>
          <w:lang w:val="uk-UA"/>
        </w:rPr>
        <w:t xml:space="preserve"> 3</w:t>
      </w:r>
    </w:p>
    <w:p w:rsidR="00C07AC9" w:rsidRPr="00C03848" w:rsidRDefault="00325948" w:rsidP="008B76F2">
      <w:pPr>
        <w:pStyle w:val="ti-section-2"/>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Спів</w:t>
      </w:r>
      <w:r w:rsidR="002E7B3B" w:rsidRPr="00C03848">
        <w:rPr>
          <w:rStyle w:val="italic"/>
          <w:bCs/>
          <w:iCs/>
          <w:bdr w:val="none" w:sz="0" w:space="0" w:color="auto" w:frame="1"/>
          <w:lang w:val="uk-UA"/>
        </w:rPr>
        <w:t>робітництво</w:t>
      </w:r>
    </w:p>
    <w:p w:rsidR="00C07AC9" w:rsidRPr="00C03848" w:rsidRDefault="00325948" w:rsidP="008B76F2">
      <w:pPr>
        <w:pStyle w:val="ti-section-1"/>
        <w:shd w:val="clear" w:color="auto" w:fill="FFFFFF"/>
        <w:spacing w:before="0" w:beforeAutospacing="0" w:after="0" w:afterAutospacing="0"/>
        <w:jc w:val="center"/>
        <w:textAlignment w:val="baseline"/>
        <w:rPr>
          <w:bCs/>
          <w:lang w:val="uk-UA"/>
        </w:rPr>
      </w:pPr>
      <w:r w:rsidRPr="00C03848">
        <w:rPr>
          <w:rStyle w:val="expanded"/>
          <w:bCs/>
          <w:bdr w:val="none" w:sz="0" w:space="0" w:color="auto" w:frame="1"/>
          <w:lang w:val="uk-UA"/>
        </w:rPr>
        <w:t>ПІД</w:t>
      </w:r>
      <w:r w:rsidR="00A5729D" w:rsidRPr="00C03848">
        <w:rPr>
          <w:rStyle w:val="expanded"/>
          <w:bCs/>
          <w:bdr w:val="none" w:sz="0" w:space="0" w:color="auto" w:frame="1"/>
          <w:lang w:val="uk-UA"/>
        </w:rPr>
        <w:t>РОЗДІЛ</w:t>
      </w:r>
      <w:r w:rsidR="00C07AC9" w:rsidRPr="00C03848">
        <w:rPr>
          <w:rStyle w:val="expanded"/>
          <w:bCs/>
          <w:bdr w:val="none" w:sz="0" w:space="0" w:color="auto" w:frame="1"/>
          <w:lang w:val="uk-UA"/>
        </w:rPr>
        <w:t xml:space="preserve"> I</w:t>
      </w:r>
    </w:p>
    <w:p w:rsidR="00C07AC9" w:rsidRPr="00C03848" w:rsidRDefault="00E200F1" w:rsidP="008B76F2">
      <w:pPr>
        <w:pStyle w:val="ti-section-2"/>
        <w:shd w:val="clear" w:color="auto" w:fill="FFFFFF"/>
        <w:spacing w:before="0" w:beforeAutospacing="0" w:after="0" w:afterAutospacing="0"/>
        <w:jc w:val="center"/>
        <w:textAlignment w:val="baseline"/>
        <w:rPr>
          <w:bCs/>
          <w:lang w:val="uk-UA"/>
        </w:rPr>
      </w:pPr>
      <w:r w:rsidRPr="00C03848">
        <w:rPr>
          <w:rStyle w:val="expanded"/>
          <w:bCs/>
          <w:bdr w:val="none" w:sz="0" w:space="0" w:color="auto" w:frame="1"/>
          <w:lang w:val="uk-UA"/>
        </w:rPr>
        <w:t>Національн</w:t>
      </w:r>
      <w:r w:rsidR="00C408A8" w:rsidRPr="00C03848">
        <w:rPr>
          <w:rStyle w:val="expanded"/>
          <w:bCs/>
          <w:bdr w:val="none" w:sz="0" w:space="0" w:color="auto" w:frame="1"/>
          <w:lang w:val="uk-UA"/>
        </w:rPr>
        <w:t>е</w:t>
      </w:r>
      <w:r w:rsidRPr="00C03848">
        <w:rPr>
          <w:rStyle w:val="expanded"/>
          <w:bCs/>
          <w:bdr w:val="none" w:sz="0" w:space="0" w:color="auto" w:frame="1"/>
          <w:lang w:val="uk-UA"/>
        </w:rPr>
        <w:t xml:space="preserve"> с</w:t>
      </w:r>
      <w:r w:rsidR="00C408A8" w:rsidRPr="00C03848">
        <w:rPr>
          <w:rStyle w:val="expanded"/>
          <w:bCs/>
          <w:bdr w:val="none" w:sz="0" w:space="0" w:color="auto" w:frame="1"/>
          <w:lang w:val="uk-UA"/>
        </w:rPr>
        <w:t>півробітництво</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49</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27198F" w:rsidRPr="00C03848" w:rsidRDefault="0027198F" w:rsidP="008B76F2">
      <w:pPr>
        <w:pStyle w:val="1"/>
        <w:shd w:val="clear" w:color="auto" w:fill="FFFFFF"/>
        <w:spacing w:before="0" w:beforeAutospacing="0" w:after="0" w:afterAutospacing="0"/>
        <w:jc w:val="both"/>
        <w:textAlignment w:val="baseline"/>
        <w:rPr>
          <w:lang w:val="uk-UA"/>
        </w:rPr>
      </w:pPr>
      <w:r w:rsidRPr="00C03848">
        <w:rPr>
          <w:lang w:val="uk-UA"/>
        </w:rPr>
        <w:t>Держави-члени повинні забезпечити, що політи</w:t>
      </w:r>
      <w:r w:rsidR="002E7B3B" w:rsidRPr="00C03848">
        <w:rPr>
          <w:lang w:val="uk-UA"/>
        </w:rPr>
        <w:t>чні діячі</w:t>
      </w:r>
      <w:r w:rsidRPr="00C03848">
        <w:rPr>
          <w:lang w:val="uk-UA"/>
        </w:rPr>
        <w:t>, FIU, наглядові та інші компетентні органи залучені до БВГ/ПФТ мають ефективні механізми, що дозволяють їм співпрацювати і координувати всередині країни розроблення і та реалізацію політики та діяльності по боротьбі з відмиванням грошей і фінансуванням тероризму, у тому числі з метою виконання своїх зобов'язань відповідно до Статті 7.</w:t>
      </w:r>
    </w:p>
    <w:p w:rsidR="0027198F" w:rsidRPr="00C03848" w:rsidRDefault="0027198F" w:rsidP="008B76F2">
      <w:pPr>
        <w:pStyle w:val="1"/>
        <w:shd w:val="clear" w:color="auto" w:fill="FFFFFF"/>
        <w:spacing w:before="0" w:beforeAutospacing="0" w:after="0" w:afterAutospacing="0"/>
        <w:jc w:val="both"/>
        <w:textAlignment w:val="baseline"/>
        <w:rPr>
          <w:lang w:val="uk-UA"/>
        </w:rPr>
      </w:pPr>
    </w:p>
    <w:p w:rsidR="00761E63" w:rsidRPr="00C03848" w:rsidRDefault="00761E63" w:rsidP="008B76F2">
      <w:pPr>
        <w:pStyle w:val="1"/>
        <w:shd w:val="clear" w:color="auto" w:fill="FFFFFF"/>
        <w:spacing w:before="0" w:beforeAutospacing="0" w:after="0" w:afterAutospacing="0"/>
        <w:jc w:val="both"/>
        <w:textAlignment w:val="baseline"/>
        <w:rPr>
          <w:lang w:val="uk-UA"/>
        </w:rPr>
      </w:pPr>
    </w:p>
    <w:p w:rsidR="00C07AC9" w:rsidRPr="00C03848" w:rsidRDefault="00761E63" w:rsidP="008B76F2">
      <w:pPr>
        <w:pStyle w:val="ti-section-1"/>
        <w:shd w:val="clear" w:color="auto" w:fill="FFFFFF"/>
        <w:spacing w:before="0" w:beforeAutospacing="0" w:after="0" w:afterAutospacing="0"/>
        <w:jc w:val="center"/>
        <w:textAlignment w:val="baseline"/>
        <w:rPr>
          <w:bCs/>
          <w:lang w:val="uk-UA"/>
        </w:rPr>
      </w:pPr>
      <w:r w:rsidRPr="00C03848">
        <w:rPr>
          <w:rStyle w:val="expanded"/>
          <w:bCs/>
          <w:bdr w:val="none" w:sz="0" w:space="0" w:color="auto" w:frame="1"/>
          <w:lang w:val="uk-UA"/>
        </w:rPr>
        <w:t>ПІД</w:t>
      </w:r>
      <w:r w:rsidR="00A5729D" w:rsidRPr="00C03848">
        <w:rPr>
          <w:rStyle w:val="expanded"/>
          <w:bCs/>
          <w:bdr w:val="none" w:sz="0" w:space="0" w:color="auto" w:frame="1"/>
          <w:lang w:val="uk-UA"/>
        </w:rPr>
        <w:t>РОЗДІЛ</w:t>
      </w:r>
      <w:r w:rsidR="00C07AC9" w:rsidRPr="00C03848">
        <w:rPr>
          <w:rStyle w:val="expanded"/>
          <w:bCs/>
          <w:bdr w:val="none" w:sz="0" w:space="0" w:color="auto" w:frame="1"/>
          <w:lang w:val="uk-UA"/>
        </w:rPr>
        <w:t xml:space="preserve"> II</w:t>
      </w:r>
    </w:p>
    <w:p w:rsidR="00C07AC9" w:rsidRPr="00C03848" w:rsidRDefault="00FD371B" w:rsidP="008B76F2">
      <w:pPr>
        <w:pStyle w:val="ti-section-2"/>
        <w:shd w:val="clear" w:color="auto" w:fill="FFFFFF"/>
        <w:spacing w:before="0" w:beforeAutospacing="0" w:after="0" w:afterAutospacing="0"/>
        <w:jc w:val="center"/>
        <w:textAlignment w:val="baseline"/>
        <w:rPr>
          <w:bCs/>
          <w:lang w:val="uk-UA"/>
        </w:rPr>
      </w:pPr>
      <w:r w:rsidRPr="00C03848">
        <w:rPr>
          <w:rStyle w:val="expanded"/>
          <w:bCs/>
          <w:bdr w:val="none" w:sz="0" w:space="0" w:color="auto" w:frame="1"/>
          <w:lang w:val="uk-UA"/>
        </w:rPr>
        <w:t>Спів</w:t>
      </w:r>
      <w:r w:rsidR="00C408A8" w:rsidRPr="00C03848">
        <w:rPr>
          <w:rStyle w:val="expanded"/>
          <w:bCs/>
          <w:bdr w:val="none" w:sz="0" w:space="0" w:color="auto" w:frame="1"/>
          <w:lang w:val="uk-UA"/>
        </w:rPr>
        <w:t>робітництво</w:t>
      </w:r>
      <w:r w:rsidRPr="00C03848">
        <w:rPr>
          <w:rStyle w:val="expanded"/>
          <w:bCs/>
          <w:bdr w:val="none" w:sz="0" w:space="0" w:color="auto" w:frame="1"/>
          <w:lang w:val="uk-UA"/>
        </w:rPr>
        <w:t xml:space="preserve"> з</w:t>
      </w:r>
      <w:r w:rsidR="00C07AC9" w:rsidRPr="00C03848">
        <w:rPr>
          <w:rStyle w:val="expanded"/>
          <w:bCs/>
          <w:bdr w:val="none" w:sz="0" w:space="0" w:color="auto" w:frame="1"/>
          <w:lang w:val="uk-UA"/>
        </w:rPr>
        <w:t xml:space="preserve"> </w:t>
      </w:r>
      <w:r w:rsidR="00A65B54" w:rsidRPr="00C03848">
        <w:rPr>
          <w:rStyle w:val="expanded"/>
          <w:bCs/>
          <w:bdr w:val="none" w:sz="0" w:space="0" w:color="auto" w:frame="1"/>
          <w:lang w:val="uk-UA"/>
        </w:rPr>
        <w:t>ЄНО</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50</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27198F" w:rsidRPr="00C03848" w:rsidRDefault="0027198F" w:rsidP="008B76F2">
      <w:pPr>
        <w:pStyle w:val="1"/>
        <w:shd w:val="clear" w:color="auto" w:fill="FFFFFF"/>
        <w:spacing w:before="0" w:beforeAutospacing="0" w:after="0" w:afterAutospacing="0"/>
        <w:jc w:val="both"/>
        <w:textAlignment w:val="baseline"/>
        <w:rPr>
          <w:lang w:val="uk-UA"/>
        </w:rPr>
      </w:pPr>
      <w:r w:rsidRPr="00C03848">
        <w:rPr>
          <w:lang w:val="uk-UA"/>
        </w:rPr>
        <w:t>Компетентні органи повинні забезпечити ЄНО усією інформацією, необхідною, щоб дозволити їм виконувати свої обов'язки відповідно до положень цієї Директиви.</w:t>
      </w:r>
    </w:p>
    <w:p w:rsidR="0027198F" w:rsidRPr="00C03848" w:rsidRDefault="0027198F" w:rsidP="008B76F2">
      <w:pPr>
        <w:pStyle w:val="1"/>
        <w:shd w:val="clear" w:color="auto" w:fill="FFFFFF"/>
        <w:spacing w:before="0" w:beforeAutospacing="0" w:after="0" w:afterAutospacing="0"/>
        <w:jc w:val="both"/>
        <w:textAlignment w:val="baseline"/>
        <w:rPr>
          <w:lang w:val="uk-UA"/>
        </w:rPr>
      </w:pPr>
    </w:p>
    <w:p w:rsidR="00761E63" w:rsidRPr="00C03848" w:rsidRDefault="00761E63" w:rsidP="008B76F2">
      <w:pPr>
        <w:pStyle w:val="1"/>
        <w:shd w:val="clear" w:color="auto" w:fill="FFFFFF"/>
        <w:spacing w:before="0" w:beforeAutospacing="0" w:after="0" w:afterAutospacing="0"/>
        <w:jc w:val="both"/>
        <w:textAlignment w:val="baseline"/>
        <w:rPr>
          <w:lang w:val="uk-UA"/>
        </w:rPr>
      </w:pPr>
    </w:p>
    <w:p w:rsidR="00C07AC9" w:rsidRPr="00C03848" w:rsidRDefault="00761E63" w:rsidP="008B76F2">
      <w:pPr>
        <w:pStyle w:val="ti-section-1"/>
        <w:shd w:val="clear" w:color="auto" w:fill="FFFFFF"/>
        <w:spacing w:before="0" w:beforeAutospacing="0" w:after="0" w:afterAutospacing="0"/>
        <w:jc w:val="center"/>
        <w:textAlignment w:val="baseline"/>
        <w:rPr>
          <w:bCs/>
          <w:lang w:val="uk-UA"/>
        </w:rPr>
      </w:pPr>
      <w:r w:rsidRPr="00C03848">
        <w:rPr>
          <w:rStyle w:val="expanded"/>
          <w:bCs/>
          <w:bdr w:val="none" w:sz="0" w:space="0" w:color="auto" w:frame="1"/>
          <w:lang w:val="uk-UA"/>
        </w:rPr>
        <w:t>ПІДР</w:t>
      </w:r>
      <w:r w:rsidR="00A5729D" w:rsidRPr="00C03848">
        <w:rPr>
          <w:rStyle w:val="expanded"/>
          <w:bCs/>
          <w:bdr w:val="none" w:sz="0" w:space="0" w:color="auto" w:frame="1"/>
          <w:lang w:val="uk-UA"/>
        </w:rPr>
        <w:t>ОЗДІЛ</w:t>
      </w:r>
      <w:r w:rsidR="00C07AC9" w:rsidRPr="00C03848">
        <w:rPr>
          <w:rStyle w:val="expanded"/>
          <w:bCs/>
          <w:bdr w:val="none" w:sz="0" w:space="0" w:color="auto" w:frame="1"/>
          <w:lang w:val="uk-UA"/>
        </w:rPr>
        <w:t xml:space="preserve"> III</w:t>
      </w:r>
    </w:p>
    <w:p w:rsidR="00C07AC9" w:rsidRPr="00C03848" w:rsidRDefault="0027198F" w:rsidP="008B76F2">
      <w:pPr>
        <w:pStyle w:val="ti-section-2"/>
        <w:shd w:val="clear" w:color="auto" w:fill="FFFFFF"/>
        <w:spacing w:before="0" w:beforeAutospacing="0" w:after="0" w:afterAutospacing="0"/>
        <w:jc w:val="center"/>
        <w:textAlignment w:val="baseline"/>
        <w:rPr>
          <w:bCs/>
          <w:lang w:val="uk-UA"/>
        </w:rPr>
      </w:pPr>
      <w:r w:rsidRPr="00C03848">
        <w:rPr>
          <w:rStyle w:val="expanded"/>
          <w:bCs/>
          <w:bdr w:val="none" w:sz="0" w:space="0" w:color="auto" w:frame="1"/>
          <w:lang w:val="uk-UA"/>
        </w:rPr>
        <w:t>Співробітництво між FIU та з</w:t>
      </w:r>
      <w:r w:rsidR="00C07AC9" w:rsidRPr="00C03848">
        <w:rPr>
          <w:rStyle w:val="expanded"/>
          <w:bCs/>
          <w:bdr w:val="none" w:sz="0" w:space="0" w:color="auto" w:frame="1"/>
          <w:lang w:val="uk-UA"/>
        </w:rPr>
        <w:t xml:space="preserve"> </w:t>
      </w:r>
      <w:r w:rsidRPr="00C03848">
        <w:rPr>
          <w:rStyle w:val="expanded"/>
          <w:bCs/>
          <w:bdr w:val="none" w:sz="0" w:space="0" w:color="auto" w:frame="1"/>
          <w:lang w:val="uk-UA"/>
        </w:rPr>
        <w:t>Комісією</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51</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463BF4" w:rsidRPr="00C03848" w:rsidRDefault="00463BF4" w:rsidP="008B76F2">
      <w:pPr>
        <w:pStyle w:val="1"/>
        <w:shd w:val="clear" w:color="auto" w:fill="FFFFFF"/>
        <w:spacing w:before="0" w:beforeAutospacing="0" w:after="0" w:afterAutospacing="0"/>
        <w:jc w:val="both"/>
        <w:textAlignment w:val="baseline"/>
        <w:rPr>
          <w:lang w:val="uk-UA"/>
        </w:rPr>
      </w:pPr>
      <w:r w:rsidRPr="00C03848">
        <w:rPr>
          <w:lang w:val="uk-UA"/>
        </w:rPr>
        <w:t xml:space="preserve">Комісія може надати таку допомогу, яка може бути необхідною для сприяння координації, включаючи обмін інформацією між FIU в рамках Союзу. Це може охоплювати регулярне скликання </w:t>
      </w:r>
      <w:r w:rsidR="00AC3A3E" w:rsidRPr="00C03848">
        <w:rPr>
          <w:lang w:val="uk-UA"/>
        </w:rPr>
        <w:t>засідань</w:t>
      </w:r>
      <w:r w:rsidRPr="00C03848">
        <w:rPr>
          <w:lang w:val="uk-UA"/>
        </w:rPr>
        <w:t xml:space="preserve"> «платформи FIU ЄС», що складається з представників</w:t>
      </w:r>
      <w:r w:rsidR="002A3611" w:rsidRPr="00C03848">
        <w:rPr>
          <w:lang w:val="uk-UA"/>
        </w:rPr>
        <w:t xml:space="preserve"> держав-членів </w:t>
      </w:r>
      <w:r w:rsidRPr="00C03848">
        <w:rPr>
          <w:lang w:val="uk-UA"/>
        </w:rPr>
        <w:t xml:space="preserve">FIU, з метою сприяння співробітництву між FIU, обміну поглядами та надання консультацій з питань імплементації, які є актуальними для FIU, і </w:t>
      </w:r>
      <w:r w:rsidR="002A3611" w:rsidRPr="00C03848">
        <w:rPr>
          <w:lang w:val="uk-UA"/>
        </w:rPr>
        <w:t>звіту</w:t>
      </w:r>
      <w:r w:rsidRPr="00C03848">
        <w:rPr>
          <w:lang w:val="uk-UA"/>
        </w:rPr>
        <w:t xml:space="preserve">ючим </w:t>
      </w:r>
      <w:r w:rsidR="002A3611" w:rsidRPr="00C03848">
        <w:rPr>
          <w:lang w:val="uk-UA"/>
        </w:rPr>
        <w:t>суб’єкт</w:t>
      </w:r>
      <w:r w:rsidRPr="00C03848">
        <w:rPr>
          <w:lang w:val="uk-UA"/>
        </w:rPr>
        <w:t xml:space="preserve">ам, а також з питань співробітництва, </w:t>
      </w:r>
      <w:r w:rsidR="002A3611" w:rsidRPr="00C03848">
        <w:rPr>
          <w:lang w:val="uk-UA"/>
        </w:rPr>
        <w:t>таких</w:t>
      </w:r>
      <w:r w:rsidRPr="00C03848">
        <w:rPr>
          <w:lang w:val="uk-UA"/>
        </w:rPr>
        <w:t xml:space="preserve"> як ефективна </w:t>
      </w:r>
      <w:r w:rsidR="002A3611" w:rsidRPr="00C03848">
        <w:rPr>
          <w:lang w:val="uk-UA"/>
        </w:rPr>
        <w:t xml:space="preserve">співпраця </w:t>
      </w:r>
      <w:r w:rsidRPr="00C03848">
        <w:rPr>
          <w:lang w:val="uk-UA"/>
        </w:rPr>
        <w:t xml:space="preserve">FIU, виявлення підозрілих транзакцій </w:t>
      </w:r>
      <w:r w:rsidR="002A3611" w:rsidRPr="00C03848">
        <w:rPr>
          <w:lang w:val="uk-UA"/>
        </w:rPr>
        <w:t>у транскордонно</w:t>
      </w:r>
      <w:r w:rsidRPr="00C03848">
        <w:rPr>
          <w:lang w:val="uk-UA"/>
        </w:rPr>
        <w:t>м</w:t>
      </w:r>
      <w:r w:rsidR="002A3611" w:rsidRPr="00C03848">
        <w:rPr>
          <w:lang w:val="uk-UA"/>
        </w:rPr>
        <w:t>у</w:t>
      </w:r>
      <w:r w:rsidRPr="00C03848">
        <w:rPr>
          <w:lang w:val="uk-UA"/>
        </w:rPr>
        <w:t xml:space="preserve"> вимір</w:t>
      </w:r>
      <w:r w:rsidR="002A3611" w:rsidRPr="00C03848">
        <w:rPr>
          <w:lang w:val="uk-UA"/>
        </w:rPr>
        <w:t>і</w:t>
      </w:r>
      <w:r w:rsidRPr="00C03848">
        <w:rPr>
          <w:lang w:val="uk-UA"/>
        </w:rPr>
        <w:t>, стандартизація форматів звітності через FIU.net або його наступни</w:t>
      </w:r>
      <w:r w:rsidR="002A3611" w:rsidRPr="00C03848">
        <w:rPr>
          <w:lang w:val="uk-UA"/>
        </w:rPr>
        <w:t>х версій</w:t>
      </w:r>
      <w:r w:rsidRPr="00C03848">
        <w:rPr>
          <w:lang w:val="uk-UA"/>
        </w:rPr>
        <w:t>, спільний аналіз транскордонних випадків, і виявл</w:t>
      </w:r>
      <w:r w:rsidR="002A3611" w:rsidRPr="00C03848">
        <w:rPr>
          <w:lang w:val="uk-UA"/>
        </w:rPr>
        <w:t>ення тенденцій і чинників, які пов’язані з</w:t>
      </w:r>
      <w:r w:rsidRPr="00C03848">
        <w:rPr>
          <w:lang w:val="uk-UA"/>
        </w:rPr>
        <w:t xml:space="preserve"> оцінювання</w:t>
      </w:r>
      <w:r w:rsidR="002A3611" w:rsidRPr="00C03848">
        <w:rPr>
          <w:lang w:val="uk-UA"/>
        </w:rPr>
        <w:t>м</w:t>
      </w:r>
      <w:r w:rsidRPr="00C03848">
        <w:rPr>
          <w:lang w:val="uk-UA"/>
        </w:rPr>
        <w:t xml:space="preserve"> ризиків відмивання грошей і фінансування тероризму на національному та наднаціональному рівні.</w:t>
      </w:r>
    </w:p>
    <w:p w:rsidR="00463BF4" w:rsidRPr="00C03848" w:rsidRDefault="00463BF4"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52</w:t>
      </w:r>
    </w:p>
    <w:p w:rsidR="00580BF9" w:rsidRPr="00C03848" w:rsidRDefault="00580BF9" w:rsidP="008B76F2">
      <w:pPr>
        <w:pStyle w:val="1"/>
        <w:shd w:val="clear" w:color="auto" w:fill="FFFFFF"/>
        <w:spacing w:before="0" w:beforeAutospacing="0" w:after="0" w:afterAutospacing="0"/>
        <w:jc w:val="both"/>
        <w:textAlignment w:val="baseline"/>
        <w:rPr>
          <w:lang w:val="uk-UA"/>
        </w:rPr>
      </w:pPr>
    </w:p>
    <w:p w:rsidR="00580BF9" w:rsidRPr="00C03848" w:rsidRDefault="00580BF9" w:rsidP="008B76F2">
      <w:pPr>
        <w:pStyle w:val="1"/>
        <w:shd w:val="clear" w:color="auto" w:fill="FFFFFF"/>
        <w:spacing w:before="0" w:beforeAutospacing="0" w:after="0" w:afterAutospacing="0"/>
        <w:jc w:val="both"/>
        <w:textAlignment w:val="baseline"/>
        <w:rPr>
          <w:lang w:val="uk-UA"/>
        </w:rPr>
      </w:pPr>
      <w:r w:rsidRPr="00C03848">
        <w:rPr>
          <w:lang w:val="uk-UA"/>
        </w:rPr>
        <w:t>Держави-члени повинні забезпечити, що FIU будуть співпрацювати один з одним в максимально можливій мірі, незалежно від їх організаційного статусу.</w:t>
      </w:r>
    </w:p>
    <w:p w:rsidR="00761E63" w:rsidRPr="00C03848" w:rsidRDefault="00761E63"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53</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B25384" w:rsidRPr="00C03848" w:rsidRDefault="00B25384"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забезпечити, щоб FIU обмінювались спонтанно або за запитом, будь-якою інформацією, яка може мати відношення до обробки або аналізу інформації FIU, пов'язаної з відмиванням грошей або фінансуванням тероризму, та фізичною або юридичною особою, що бере участь, навіть якщо тип предикативних злочинів, які можуть бути залучені, не визначені на момент обміну.</w:t>
      </w:r>
    </w:p>
    <w:p w:rsidR="00B25384" w:rsidRPr="00C03848" w:rsidRDefault="00B25384" w:rsidP="008B76F2">
      <w:pPr>
        <w:pStyle w:val="1"/>
        <w:shd w:val="clear" w:color="auto" w:fill="FFFFFF"/>
        <w:spacing w:before="0" w:beforeAutospacing="0" w:after="0" w:afterAutospacing="0"/>
        <w:jc w:val="both"/>
        <w:textAlignment w:val="baseline"/>
        <w:rPr>
          <w:lang w:val="uk-UA"/>
        </w:rPr>
      </w:pPr>
      <w:r w:rsidRPr="00C03848">
        <w:rPr>
          <w:lang w:val="uk-UA"/>
        </w:rPr>
        <w:t>Запит повинен містити релевантні факти, довідкову інформацію, причини для запиту і спосіб використання запитуваної інформації. Можуть застосовуватись різні механізми обміну, якщо це погоджено між FIU, зокрема, щодо обміну через FIU.net або його наступних версій.</w:t>
      </w:r>
    </w:p>
    <w:p w:rsidR="00B25384" w:rsidRPr="00C03848" w:rsidRDefault="00B25384" w:rsidP="008B76F2">
      <w:pPr>
        <w:pStyle w:val="1"/>
        <w:shd w:val="clear" w:color="auto" w:fill="FFFFFF"/>
        <w:spacing w:before="0" w:beforeAutospacing="0" w:after="0" w:afterAutospacing="0"/>
        <w:jc w:val="both"/>
        <w:textAlignment w:val="baseline"/>
        <w:rPr>
          <w:lang w:val="uk-UA"/>
        </w:rPr>
      </w:pPr>
      <w:r w:rsidRPr="00C03848">
        <w:rPr>
          <w:lang w:val="uk-UA"/>
        </w:rPr>
        <w:t>Якщо FIU отримує звіт відповідно до пункту (а) першого абзацу Статті 33 (1), яка стосується іншої держави-члена, вона негайно направляє його в FIU цієї держави-члена.</w:t>
      </w:r>
    </w:p>
    <w:p w:rsidR="00B25384" w:rsidRPr="00C03848" w:rsidRDefault="00B25384" w:rsidP="008B76F2">
      <w:pPr>
        <w:pStyle w:val="1"/>
        <w:shd w:val="clear" w:color="auto" w:fill="FFFFFF"/>
        <w:spacing w:before="0" w:beforeAutospacing="0" w:after="0" w:afterAutospacing="0"/>
        <w:jc w:val="both"/>
        <w:textAlignment w:val="baseline"/>
        <w:rPr>
          <w:lang w:val="uk-UA"/>
        </w:rPr>
      </w:pPr>
      <w:r w:rsidRPr="00C03848">
        <w:rPr>
          <w:lang w:val="uk-UA"/>
        </w:rPr>
        <w:t xml:space="preserve">2.    Держави-члени повинні гарантувати, що від FIU, до якого надісланий запит, вимагається використовувати весь спектр наявних повноважень, які він зазвичай буде використовувати всередині країни для прийому та аналізу інформації, коли він відповідає на запит про надання інформації, зазначеної в пункті 1, іншому FIU. FIU, до якого </w:t>
      </w:r>
      <w:r w:rsidR="000109A5" w:rsidRPr="00C03848">
        <w:rPr>
          <w:lang w:val="uk-UA"/>
        </w:rPr>
        <w:t>надісланий</w:t>
      </w:r>
      <w:r w:rsidRPr="00C03848">
        <w:rPr>
          <w:lang w:val="uk-UA"/>
        </w:rPr>
        <w:t xml:space="preserve"> запит, повинен </w:t>
      </w:r>
      <w:r w:rsidR="000109A5" w:rsidRPr="00C03848">
        <w:rPr>
          <w:lang w:val="uk-UA"/>
        </w:rPr>
        <w:t xml:space="preserve">своєчасно </w:t>
      </w:r>
      <w:r w:rsidRPr="00C03848">
        <w:rPr>
          <w:lang w:val="uk-UA"/>
        </w:rPr>
        <w:t>відповісти.</w:t>
      </w:r>
    </w:p>
    <w:p w:rsidR="00B25384" w:rsidRPr="00C03848" w:rsidRDefault="000109A5" w:rsidP="008B76F2">
      <w:pPr>
        <w:pStyle w:val="1"/>
        <w:shd w:val="clear" w:color="auto" w:fill="FFFFFF"/>
        <w:spacing w:before="0" w:beforeAutospacing="0" w:after="0" w:afterAutospacing="0"/>
        <w:jc w:val="both"/>
        <w:textAlignment w:val="baseline"/>
        <w:rPr>
          <w:lang w:val="uk-UA"/>
        </w:rPr>
      </w:pPr>
      <w:r w:rsidRPr="00C03848">
        <w:rPr>
          <w:lang w:val="uk-UA"/>
        </w:rPr>
        <w:t xml:space="preserve">Якщо </w:t>
      </w:r>
      <w:r w:rsidR="00B25384" w:rsidRPr="00C03848">
        <w:rPr>
          <w:lang w:val="uk-UA"/>
        </w:rPr>
        <w:t xml:space="preserve">FIU прагне отримати додаткову інформацію від зобов'язаної особи, створеної в іншій державі-члені, яка працює на своїй території, </w:t>
      </w:r>
      <w:r w:rsidRPr="00C03848">
        <w:rPr>
          <w:lang w:val="uk-UA"/>
        </w:rPr>
        <w:t>запит</w:t>
      </w:r>
      <w:r w:rsidR="00B25384" w:rsidRPr="00C03848">
        <w:rPr>
          <w:lang w:val="uk-UA"/>
        </w:rPr>
        <w:t xml:space="preserve"> повин</w:t>
      </w:r>
      <w:r w:rsidRPr="00C03848">
        <w:rPr>
          <w:lang w:val="uk-UA"/>
        </w:rPr>
        <w:t>е</w:t>
      </w:r>
      <w:r w:rsidR="00B25384" w:rsidRPr="00C03848">
        <w:rPr>
          <w:lang w:val="uk-UA"/>
        </w:rPr>
        <w:t>н бути адресовани</w:t>
      </w:r>
      <w:r w:rsidRPr="00C03848">
        <w:rPr>
          <w:lang w:val="uk-UA"/>
        </w:rPr>
        <w:t>й</w:t>
      </w:r>
      <w:r w:rsidR="00B25384" w:rsidRPr="00C03848">
        <w:rPr>
          <w:lang w:val="uk-UA"/>
        </w:rPr>
        <w:t xml:space="preserve"> FIU держави-члена, на території якої </w:t>
      </w:r>
      <w:r w:rsidRPr="00C03848">
        <w:rPr>
          <w:lang w:val="uk-UA"/>
        </w:rPr>
        <w:t xml:space="preserve">заснована </w:t>
      </w:r>
      <w:r w:rsidR="00B25384" w:rsidRPr="00C03848">
        <w:rPr>
          <w:lang w:val="uk-UA"/>
        </w:rPr>
        <w:t>зобов'язана особа. Це</w:t>
      </w:r>
      <w:r w:rsidRPr="00C03848">
        <w:rPr>
          <w:lang w:val="uk-UA"/>
        </w:rPr>
        <w:t>й</w:t>
      </w:r>
      <w:r w:rsidR="00B25384" w:rsidRPr="00C03848">
        <w:rPr>
          <w:lang w:val="uk-UA"/>
        </w:rPr>
        <w:t xml:space="preserve"> FIU повин</w:t>
      </w:r>
      <w:r w:rsidRPr="00C03848">
        <w:rPr>
          <w:lang w:val="uk-UA"/>
        </w:rPr>
        <w:t>ен</w:t>
      </w:r>
      <w:r w:rsidR="00B25384" w:rsidRPr="00C03848">
        <w:rPr>
          <w:lang w:val="uk-UA"/>
        </w:rPr>
        <w:t xml:space="preserve"> передати запити і відповіді в найкоротші терміни.</w:t>
      </w:r>
    </w:p>
    <w:p w:rsidR="00B25384" w:rsidRPr="00C03848" w:rsidRDefault="00B25384" w:rsidP="008B76F2">
      <w:pPr>
        <w:pStyle w:val="1"/>
        <w:shd w:val="clear" w:color="auto" w:fill="FFFFFF"/>
        <w:spacing w:before="0" w:beforeAutospacing="0" w:after="0" w:afterAutospacing="0"/>
        <w:jc w:val="both"/>
        <w:textAlignment w:val="baseline"/>
        <w:rPr>
          <w:lang w:val="uk-UA"/>
        </w:rPr>
      </w:pPr>
      <w:r w:rsidRPr="00C03848">
        <w:rPr>
          <w:lang w:val="uk-UA"/>
        </w:rPr>
        <w:t>3.   FIU може відмовитися від обміну інформацією тільки у виняткових випадках, коли обмін м</w:t>
      </w:r>
      <w:r w:rsidR="000109A5" w:rsidRPr="00C03848">
        <w:rPr>
          <w:lang w:val="uk-UA"/>
        </w:rPr>
        <w:t>оже суперечити основоположним принципам</w:t>
      </w:r>
      <w:r w:rsidRPr="00C03848">
        <w:rPr>
          <w:lang w:val="uk-UA"/>
        </w:rPr>
        <w:t xml:space="preserve"> свого національного законодавства. Ці винятки повинні бути точно визначені шляхом, який запобігає зловживанню і надмірн</w:t>
      </w:r>
      <w:r w:rsidR="000109A5" w:rsidRPr="00C03848">
        <w:rPr>
          <w:lang w:val="uk-UA"/>
        </w:rPr>
        <w:t>ому</w:t>
      </w:r>
      <w:r w:rsidRPr="00C03848">
        <w:rPr>
          <w:lang w:val="uk-UA"/>
        </w:rPr>
        <w:t xml:space="preserve"> обмеженн</w:t>
      </w:r>
      <w:r w:rsidR="000109A5" w:rsidRPr="00C03848">
        <w:rPr>
          <w:lang w:val="uk-UA"/>
        </w:rPr>
        <w:t>ю</w:t>
      </w:r>
      <w:r w:rsidRPr="00C03848">
        <w:rPr>
          <w:lang w:val="uk-UA"/>
        </w:rPr>
        <w:t xml:space="preserve"> </w:t>
      </w:r>
      <w:r w:rsidR="000109A5" w:rsidRPr="00C03848">
        <w:rPr>
          <w:lang w:val="uk-UA"/>
        </w:rPr>
        <w:t>стосовно</w:t>
      </w:r>
      <w:r w:rsidRPr="00C03848">
        <w:rPr>
          <w:lang w:val="uk-UA"/>
        </w:rPr>
        <w:t xml:space="preserve"> вільн</w:t>
      </w:r>
      <w:r w:rsidR="000109A5" w:rsidRPr="00C03848">
        <w:rPr>
          <w:lang w:val="uk-UA"/>
        </w:rPr>
        <w:t>ого</w:t>
      </w:r>
      <w:r w:rsidRPr="00C03848">
        <w:rPr>
          <w:lang w:val="uk-UA"/>
        </w:rPr>
        <w:t xml:space="preserve"> обмін</w:t>
      </w:r>
      <w:r w:rsidR="000109A5" w:rsidRPr="00C03848">
        <w:rPr>
          <w:lang w:val="uk-UA"/>
        </w:rPr>
        <w:t>у</w:t>
      </w:r>
      <w:r w:rsidRPr="00C03848">
        <w:rPr>
          <w:lang w:val="uk-UA"/>
        </w:rPr>
        <w:t xml:space="preserve"> інформацією для аналітичних цілей.</w:t>
      </w:r>
    </w:p>
    <w:p w:rsidR="00761E63" w:rsidRPr="00C03848" w:rsidRDefault="00761E63"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54</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BE1D9E" w:rsidRPr="00C03848" w:rsidRDefault="00BE1D9E" w:rsidP="008B76F2">
      <w:pPr>
        <w:pStyle w:val="1"/>
        <w:shd w:val="clear" w:color="auto" w:fill="FFFFFF"/>
        <w:spacing w:before="0" w:beforeAutospacing="0" w:after="0" w:afterAutospacing="0"/>
        <w:jc w:val="both"/>
        <w:textAlignment w:val="baseline"/>
        <w:rPr>
          <w:lang w:val="uk-UA"/>
        </w:rPr>
      </w:pPr>
      <w:r w:rsidRPr="00C03848">
        <w:rPr>
          <w:lang w:val="uk-UA"/>
        </w:rPr>
        <w:t>Інформація та документи, отримані відповідно до Статей 52 і 53, повинні бути використані для виконання завдань FIU, викладених в цій Директиві. При обміні інформацією і</w:t>
      </w:r>
      <w:r w:rsidR="00AC3A3E" w:rsidRPr="00C03848">
        <w:rPr>
          <w:lang w:val="uk-UA"/>
        </w:rPr>
        <w:t xml:space="preserve"> документами відповідно до Стат</w:t>
      </w:r>
      <w:r w:rsidRPr="00C03848">
        <w:rPr>
          <w:lang w:val="uk-UA"/>
        </w:rPr>
        <w:t>ей 52 і 53 передаючий FIU може накласти обмеження і умови використання цієї інформації. Приймаючий FIU повинен відповідати тим обмеженням і умовам.</w:t>
      </w:r>
    </w:p>
    <w:p w:rsidR="00761E63" w:rsidRPr="00C03848" w:rsidRDefault="00761E63"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lastRenderedPageBreak/>
        <w:t>Стаття</w:t>
      </w:r>
      <w:r w:rsidR="00C07AC9" w:rsidRPr="00C03848">
        <w:rPr>
          <w:iCs/>
          <w:lang w:val="uk-UA"/>
        </w:rPr>
        <w:t xml:space="preserve"> 55</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693A6A" w:rsidRPr="00C03848" w:rsidRDefault="00693A6A"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забезпечити, що інформація, якою обмі</w:t>
      </w:r>
      <w:r w:rsidR="00AC3A3E" w:rsidRPr="00C03848">
        <w:rPr>
          <w:lang w:val="uk-UA"/>
        </w:rPr>
        <w:t>нюються у відповідності до Стат</w:t>
      </w:r>
      <w:r w:rsidRPr="00C03848">
        <w:rPr>
          <w:lang w:val="uk-UA"/>
        </w:rPr>
        <w:t>ей 52 і 53, використовується тільки для цілей, для яких на неї надсилається запит або надається, і що будь-яке поширення цієї інформації одержуючим FIU до будь-якого іншого органу, установи чи відділу, або будь-яке використання цієї інформації для цілей окрім тих, які були затверджені спочатку, є предметом попередньої згоди FIU, що надає цю інформацію.</w:t>
      </w:r>
    </w:p>
    <w:p w:rsidR="00693A6A" w:rsidRPr="00C03848" w:rsidRDefault="00693A6A" w:rsidP="008B76F2">
      <w:pPr>
        <w:pStyle w:val="1"/>
        <w:shd w:val="clear" w:color="auto" w:fill="FFFFFF"/>
        <w:spacing w:before="0" w:beforeAutospacing="0" w:after="0" w:afterAutospacing="0"/>
        <w:jc w:val="both"/>
        <w:textAlignment w:val="baseline"/>
        <w:rPr>
          <w:lang w:val="uk-UA"/>
        </w:rPr>
      </w:pPr>
      <w:r w:rsidRPr="00C03848">
        <w:rPr>
          <w:lang w:val="uk-UA"/>
        </w:rPr>
        <w:t>2.    Держави-члени повинні забезпечити, що попередн</w:t>
      </w:r>
      <w:r w:rsidR="00E844D1" w:rsidRPr="00C03848">
        <w:rPr>
          <w:lang w:val="uk-UA"/>
        </w:rPr>
        <w:t>я</w:t>
      </w:r>
      <w:r w:rsidRPr="00C03848">
        <w:rPr>
          <w:lang w:val="uk-UA"/>
        </w:rPr>
        <w:t xml:space="preserve"> згод</w:t>
      </w:r>
      <w:r w:rsidR="00E844D1" w:rsidRPr="00C03848">
        <w:rPr>
          <w:lang w:val="uk-UA"/>
        </w:rPr>
        <w:t>а</w:t>
      </w:r>
      <w:r w:rsidRPr="00C03848">
        <w:rPr>
          <w:lang w:val="uk-UA"/>
        </w:rPr>
        <w:t xml:space="preserve"> FIU на запит стосовно поширення інформації компетентним органам надається оперативно і в максимально можливій мірі. FIU, якому надсилається запит, не повинен відмовляти в її згоді на таке розповсюдження, якщо це не буде виходити за рамки застосування його положень в сфері БВГ/ПФТ, які могли б призвести до порушення кримінального розслідування, явно не відповідало  б законним інтересам фізичної або юридичної особи або держави-члена FIU, якому надсилається запит, або в іншому випадку не відповідало б основоположним принципам національного законодавства цієї держави-члена. Будь-яка така відмова у наданні згоди повинна бути відповідним чином пояснена.</w:t>
      </w:r>
    </w:p>
    <w:p w:rsidR="00761E63" w:rsidRPr="00C03848" w:rsidRDefault="00761E63"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56</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204ADC" w:rsidRPr="00C03848" w:rsidRDefault="00204ADC"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вимагати, щоб  їх FIU використовували захищені канали зв'язку між собою і заохочували використання FIU.net або його наступних версій.</w:t>
      </w:r>
    </w:p>
    <w:p w:rsidR="00204ADC" w:rsidRPr="00C03848" w:rsidRDefault="00204ADC" w:rsidP="008B76F2">
      <w:pPr>
        <w:pStyle w:val="1"/>
        <w:shd w:val="clear" w:color="auto" w:fill="FFFFFF"/>
        <w:spacing w:before="0" w:beforeAutospacing="0" w:after="0" w:afterAutospacing="0"/>
        <w:jc w:val="both"/>
        <w:textAlignment w:val="baseline"/>
        <w:rPr>
          <w:lang w:val="uk-UA"/>
        </w:rPr>
      </w:pPr>
      <w:r w:rsidRPr="00C03848">
        <w:rPr>
          <w:lang w:val="uk-UA"/>
        </w:rPr>
        <w:t xml:space="preserve">2.  Держави-члени повинні забезпечити, що для того, щоб виконувати свої завдання, як викладено в цій Директиві, їх FIU співпрацюють у </w:t>
      </w:r>
      <w:r w:rsidR="00A906A1" w:rsidRPr="00C03848">
        <w:rPr>
          <w:lang w:val="uk-UA"/>
        </w:rPr>
        <w:t xml:space="preserve">процесі застосування </w:t>
      </w:r>
      <w:r w:rsidRPr="00C03848">
        <w:rPr>
          <w:lang w:val="uk-UA"/>
        </w:rPr>
        <w:t xml:space="preserve">найсучасніших технологій відповідно до </w:t>
      </w:r>
      <w:r w:rsidR="00A906A1" w:rsidRPr="00C03848">
        <w:rPr>
          <w:lang w:val="uk-UA"/>
        </w:rPr>
        <w:t xml:space="preserve">положень </w:t>
      </w:r>
      <w:r w:rsidRPr="00C03848">
        <w:rPr>
          <w:lang w:val="uk-UA"/>
        </w:rPr>
        <w:t xml:space="preserve">їх національного законодавства. </w:t>
      </w:r>
      <w:r w:rsidR="00A906A1" w:rsidRPr="00C03848">
        <w:rPr>
          <w:lang w:val="uk-UA"/>
        </w:rPr>
        <w:t>Зазначен</w:t>
      </w:r>
      <w:r w:rsidRPr="00C03848">
        <w:rPr>
          <w:lang w:val="uk-UA"/>
        </w:rPr>
        <w:t xml:space="preserve">і  технології повинні дозволяти FIU узгоджувати їх </w:t>
      </w:r>
      <w:r w:rsidR="00A906A1" w:rsidRPr="00C03848">
        <w:rPr>
          <w:lang w:val="uk-UA"/>
        </w:rPr>
        <w:t>інформацію</w:t>
      </w:r>
      <w:r w:rsidRPr="00C03848">
        <w:rPr>
          <w:lang w:val="uk-UA"/>
        </w:rPr>
        <w:t xml:space="preserve"> з </w:t>
      </w:r>
      <w:r w:rsidR="00A906A1" w:rsidRPr="00C03848">
        <w:rPr>
          <w:lang w:val="uk-UA"/>
        </w:rPr>
        <w:t>інформацією</w:t>
      </w:r>
      <w:r w:rsidRPr="00C03848">
        <w:rPr>
          <w:lang w:val="uk-UA"/>
        </w:rPr>
        <w:t xml:space="preserve"> інших FIU в анонімному вигляді, забезпечуючи повний захист персональних даних з метою виявлення </w:t>
      </w:r>
      <w:r w:rsidR="00A906A1" w:rsidRPr="00C03848">
        <w:rPr>
          <w:lang w:val="uk-UA"/>
        </w:rPr>
        <w:t xml:space="preserve">суб’єктів </w:t>
      </w:r>
      <w:r w:rsidRPr="00C03848">
        <w:rPr>
          <w:lang w:val="uk-UA"/>
        </w:rPr>
        <w:t>інтересів FIU в інших державах-членах та визначення їх доходів і коштів.</w:t>
      </w:r>
    </w:p>
    <w:p w:rsidR="00E844D1" w:rsidRPr="00C03848" w:rsidRDefault="00E844D1" w:rsidP="008B76F2">
      <w:pPr>
        <w:pStyle w:val="1"/>
        <w:shd w:val="clear" w:color="auto" w:fill="FFFFFF"/>
        <w:spacing w:before="0" w:beforeAutospacing="0" w:after="0" w:afterAutospacing="0"/>
        <w:jc w:val="both"/>
        <w:textAlignment w:val="baseline"/>
        <w:rPr>
          <w:lang w:val="uk-UA"/>
        </w:rPr>
      </w:pPr>
    </w:p>
    <w:p w:rsidR="00204ADC" w:rsidRPr="00C03848" w:rsidRDefault="00204ADC"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 57</w:t>
      </w:r>
    </w:p>
    <w:p w:rsidR="00204ADC" w:rsidRPr="00C03848" w:rsidRDefault="00204ADC" w:rsidP="008B76F2">
      <w:pPr>
        <w:pStyle w:val="1"/>
        <w:shd w:val="clear" w:color="auto" w:fill="FFFFFF"/>
        <w:spacing w:before="0" w:beforeAutospacing="0" w:after="0" w:afterAutospacing="0"/>
        <w:jc w:val="both"/>
        <w:textAlignment w:val="baseline"/>
        <w:rPr>
          <w:lang w:val="uk-UA"/>
        </w:rPr>
      </w:pPr>
      <w:r w:rsidRPr="00C03848">
        <w:rPr>
          <w:lang w:val="uk-UA"/>
        </w:rPr>
        <w:t xml:space="preserve">Відмінності між національними </w:t>
      </w:r>
      <w:r w:rsidR="00A906A1" w:rsidRPr="00C03848">
        <w:rPr>
          <w:lang w:val="uk-UA"/>
        </w:rPr>
        <w:t>правовим визначенням</w:t>
      </w:r>
      <w:r w:rsidRPr="00C03848">
        <w:rPr>
          <w:lang w:val="uk-UA"/>
        </w:rPr>
        <w:t xml:space="preserve"> податкових злочинів не повинні перешкоджати здатності FIU обмінюватись інформацією або надавати допомогу іншим FIU в максимально можливій мірі відповідно до їх національного законодавства.</w:t>
      </w:r>
    </w:p>
    <w:p w:rsidR="00761E63" w:rsidRPr="00C03848" w:rsidRDefault="00761E63" w:rsidP="008B76F2">
      <w:pPr>
        <w:pStyle w:val="1"/>
        <w:shd w:val="clear" w:color="auto" w:fill="FFFFFF"/>
        <w:spacing w:before="0" w:beforeAutospacing="0" w:after="0" w:afterAutospacing="0"/>
        <w:jc w:val="both"/>
        <w:textAlignment w:val="baseline"/>
        <w:rPr>
          <w:lang w:val="uk-UA"/>
        </w:rPr>
      </w:pPr>
    </w:p>
    <w:p w:rsidR="00C07AC9" w:rsidRPr="00C03848" w:rsidRDefault="00A5729D" w:rsidP="008B76F2">
      <w:pPr>
        <w:pStyle w:val="ti-section-1"/>
        <w:shd w:val="clear" w:color="auto" w:fill="FFFFFF"/>
        <w:spacing w:before="0" w:beforeAutospacing="0" w:after="0" w:afterAutospacing="0"/>
        <w:jc w:val="center"/>
        <w:textAlignment w:val="baseline"/>
        <w:rPr>
          <w:bCs/>
          <w:lang w:val="uk-UA"/>
        </w:rPr>
      </w:pPr>
      <w:r w:rsidRPr="00C03848">
        <w:rPr>
          <w:rStyle w:val="italic"/>
          <w:bCs/>
          <w:iCs/>
          <w:bdr w:val="none" w:sz="0" w:space="0" w:color="auto" w:frame="1"/>
          <w:lang w:val="uk-UA"/>
        </w:rPr>
        <w:t>РОЗДІЛ</w:t>
      </w:r>
      <w:r w:rsidR="00C07AC9" w:rsidRPr="00C03848">
        <w:rPr>
          <w:rStyle w:val="italic"/>
          <w:bCs/>
          <w:iCs/>
          <w:bdr w:val="none" w:sz="0" w:space="0" w:color="auto" w:frame="1"/>
          <w:lang w:val="uk-UA"/>
        </w:rPr>
        <w:t xml:space="preserve"> 4</w:t>
      </w:r>
    </w:p>
    <w:p w:rsidR="00616C56" w:rsidRPr="00C03848" w:rsidRDefault="00616C56" w:rsidP="008B76F2">
      <w:pPr>
        <w:pStyle w:val="ti-art"/>
        <w:shd w:val="clear" w:color="auto" w:fill="FFFFFF"/>
        <w:spacing w:before="0" w:beforeAutospacing="0" w:after="0" w:afterAutospacing="0"/>
        <w:jc w:val="center"/>
        <w:textAlignment w:val="baseline"/>
        <w:rPr>
          <w:bCs/>
          <w:lang w:val="uk-UA"/>
        </w:rPr>
      </w:pPr>
      <w:r w:rsidRPr="00C03848">
        <w:rPr>
          <w:bCs/>
          <w:lang w:val="uk-UA"/>
        </w:rPr>
        <w:t>Санкції</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58</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637C13" w:rsidRPr="00C03848" w:rsidRDefault="00637C13"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забезпечити, що зобов'язані особи можуть бути притягнуті до відповідальності за порушення національних положень в процесі транспонування положень даної Директиви в</w:t>
      </w:r>
      <w:r w:rsidR="00AC3A3E" w:rsidRPr="00C03848">
        <w:rPr>
          <w:lang w:val="uk-UA"/>
        </w:rPr>
        <w:t>ідповідно до цієї Статті і Стат</w:t>
      </w:r>
      <w:r w:rsidRPr="00C03848">
        <w:rPr>
          <w:lang w:val="uk-UA"/>
        </w:rPr>
        <w:t>ей з 59 по 61. Будь-яка санкція або міра, які виникають внаслідок вищезазначеного, повинні бути ефективними, пропорційними та мати стримуючий вплив.</w:t>
      </w:r>
    </w:p>
    <w:p w:rsidR="007D0470" w:rsidRPr="00C03848" w:rsidRDefault="007D0470" w:rsidP="008B76F2">
      <w:pPr>
        <w:pStyle w:val="1"/>
        <w:shd w:val="clear" w:color="auto" w:fill="FFFFFF"/>
        <w:spacing w:before="0" w:beforeAutospacing="0" w:after="0" w:afterAutospacing="0"/>
        <w:jc w:val="both"/>
        <w:textAlignment w:val="baseline"/>
        <w:rPr>
          <w:lang w:val="uk-UA"/>
        </w:rPr>
      </w:pPr>
      <w:r w:rsidRPr="00C03848">
        <w:rPr>
          <w:lang w:val="uk-UA"/>
        </w:rPr>
        <w:t xml:space="preserve">2.   Без обмеження права держав-членів передбачати і застосовувати кримінальні санкції, держави-члени повинні встановити правила стосовно адміністративних санкцій та заходів і забезпечити, щоб їх компетентні органи могли накладати такі санкції і заходи щодо порушень положень національного законодавства, </w:t>
      </w:r>
      <w:r w:rsidR="00AC3A3E" w:rsidRPr="00C03848">
        <w:rPr>
          <w:lang w:val="uk-UA"/>
        </w:rPr>
        <w:t>транспонуючи</w:t>
      </w:r>
      <w:r w:rsidRPr="00C03848">
        <w:rPr>
          <w:lang w:val="uk-UA"/>
        </w:rPr>
        <w:t xml:space="preserve"> цю Директиву, і повинні гарантувати, щоб вони застосовувались.</w:t>
      </w:r>
    </w:p>
    <w:p w:rsidR="007D0470" w:rsidRPr="00C03848" w:rsidRDefault="007D0470" w:rsidP="008B76F2">
      <w:pPr>
        <w:pStyle w:val="1"/>
        <w:shd w:val="clear" w:color="auto" w:fill="FFFFFF"/>
        <w:spacing w:before="0" w:beforeAutospacing="0" w:after="0" w:afterAutospacing="0"/>
        <w:jc w:val="both"/>
        <w:textAlignment w:val="baseline"/>
        <w:rPr>
          <w:lang w:val="uk-UA"/>
        </w:rPr>
      </w:pPr>
      <w:r w:rsidRPr="00C03848">
        <w:rPr>
          <w:lang w:val="uk-UA"/>
        </w:rPr>
        <w:t xml:space="preserve">Держави-члени можуть прийняти рішення не встановлювати правила для адміністративних санкцій або заходів за порушення, які підлягають кримінальному </w:t>
      </w:r>
      <w:r w:rsidR="00485D47" w:rsidRPr="00C03848">
        <w:rPr>
          <w:lang w:val="uk-UA"/>
        </w:rPr>
        <w:t>покаранню в їх національному законодавст</w:t>
      </w:r>
      <w:r w:rsidRPr="00C03848">
        <w:rPr>
          <w:lang w:val="uk-UA"/>
        </w:rPr>
        <w:t>ві. У цьому випадку, держави-члени повинні повідомляти Комісії відповідні положення кримінального законодавства.</w:t>
      </w:r>
    </w:p>
    <w:p w:rsidR="00637C13" w:rsidRPr="00C03848" w:rsidRDefault="00637C13" w:rsidP="008B76F2">
      <w:pPr>
        <w:pStyle w:val="1"/>
        <w:shd w:val="clear" w:color="auto" w:fill="FFFFFF"/>
        <w:spacing w:before="0" w:beforeAutospacing="0" w:after="0" w:afterAutospacing="0"/>
        <w:jc w:val="both"/>
        <w:textAlignment w:val="baseline"/>
        <w:rPr>
          <w:lang w:val="uk-UA"/>
        </w:rPr>
      </w:pPr>
    </w:p>
    <w:p w:rsidR="00AC56E0" w:rsidRPr="00C03848" w:rsidRDefault="00AC56E0" w:rsidP="008B76F2">
      <w:pPr>
        <w:pStyle w:val="1"/>
        <w:shd w:val="clear" w:color="auto" w:fill="FFFFFF"/>
        <w:spacing w:before="0" w:beforeAutospacing="0" w:after="0" w:afterAutospacing="0"/>
        <w:jc w:val="both"/>
        <w:textAlignment w:val="baseline"/>
        <w:rPr>
          <w:lang w:val="uk-UA"/>
        </w:rPr>
      </w:pPr>
      <w:r w:rsidRPr="00C03848">
        <w:rPr>
          <w:lang w:val="uk-UA"/>
        </w:rPr>
        <w:t>3. Держави-члени повинні забезпечити, що, якщо зобов'язання поширюються на юридичних осіб у разі порушення національних положень, які транспонують цю Директиву, санкції і заходи можуть бути застосовані до членів органу управління та інших фізичних осіб, які відповідно до національного законодавства несуть відповідальність за порушення.</w:t>
      </w:r>
    </w:p>
    <w:p w:rsidR="00AC56E0" w:rsidRPr="00C03848" w:rsidRDefault="00AC56E0" w:rsidP="008B76F2">
      <w:pPr>
        <w:pStyle w:val="1"/>
        <w:shd w:val="clear" w:color="auto" w:fill="FFFFFF"/>
        <w:spacing w:before="0" w:beforeAutospacing="0" w:after="0" w:afterAutospacing="0"/>
        <w:jc w:val="both"/>
        <w:textAlignment w:val="baseline"/>
        <w:rPr>
          <w:lang w:val="uk-UA"/>
        </w:rPr>
      </w:pPr>
      <w:r w:rsidRPr="00C03848">
        <w:rPr>
          <w:lang w:val="uk-UA"/>
        </w:rPr>
        <w:t>4.    Держави-члени повинні забезпечити, щоб компетентні органи мали всі наглядові та слідчі повноваження, які необхідні для здійснення своїх функцій.</w:t>
      </w:r>
    </w:p>
    <w:p w:rsidR="00AC56E0" w:rsidRPr="00C03848" w:rsidRDefault="00AC56E0" w:rsidP="008B76F2">
      <w:pPr>
        <w:pStyle w:val="1"/>
        <w:shd w:val="clear" w:color="auto" w:fill="FFFFFF"/>
        <w:spacing w:before="0" w:beforeAutospacing="0" w:after="0" w:afterAutospacing="0"/>
        <w:jc w:val="both"/>
        <w:textAlignment w:val="baseline"/>
        <w:rPr>
          <w:lang w:val="uk-UA"/>
        </w:rPr>
      </w:pPr>
      <w:r w:rsidRPr="00C03848">
        <w:rPr>
          <w:lang w:val="uk-UA"/>
        </w:rPr>
        <w:t>5.   Компетентні органи повинні здійснювати свої повноваження, щоб  накладати адміністративні санкції і заходи відповідно до цієї Директиви і національного законодавства в будь-якому з наступних способів:</w:t>
      </w:r>
    </w:p>
    <w:tbl>
      <w:tblPr>
        <w:tblW w:w="3719"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5"/>
        <w:gridCol w:w="6511"/>
      </w:tblGrid>
      <w:tr w:rsidR="00C07AC9" w:rsidRPr="00C03848" w:rsidTr="00AC56E0">
        <w:tc>
          <w:tcPr>
            <w:tcW w:w="373"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AC56E0" w:rsidP="008B76F2">
            <w:pPr>
              <w:pStyle w:val="1"/>
              <w:spacing w:before="0" w:beforeAutospacing="0" w:after="0" w:afterAutospacing="0"/>
              <w:jc w:val="both"/>
              <w:textAlignment w:val="baseline"/>
              <w:rPr>
                <w:lang w:val="uk-UA"/>
              </w:rPr>
            </w:pPr>
            <w:r w:rsidRPr="00C03848">
              <w:rPr>
                <w:lang w:val="uk-UA"/>
              </w:rPr>
              <w:t>прямо</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4879"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5"/>
        <w:gridCol w:w="8616"/>
      </w:tblGrid>
      <w:tr w:rsidR="00C07AC9" w:rsidRPr="00C03848" w:rsidTr="00AC56E0">
        <w:tc>
          <w:tcPr>
            <w:tcW w:w="333"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AC56E0" w:rsidP="008B76F2">
            <w:pPr>
              <w:pStyle w:val="1"/>
              <w:spacing w:before="0" w:beforeAutospacing="0" w:after="0" w:afterAutospacing="0"/>
              <w:jc w:val="both"/>
              <w:textAlignment w:val="baseline"/>
              <w:rPr>
                <w:lang w:val="uk-UA"/>
              </w:rPr>
            </w:pPr>
            <w:r w:rsidRPr="00C03848">
              <w:rPr>
                <w:lang w:val="uk-UA"/>
              </w:rPr>
              <w:t>у співробітництві з іншими органами влади</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419"/>
        <w:gridCol w:w="9041"/>
      </w:tblGrid>
      <w:tr w:rsidR="00417EAE" w:rsidRPr="00C03848" w:rsidTr="00417EA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17EAE" w:rsidRPr="00C03848" w:rsidRDefault="00417EAE"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17EAE" w:rsidRPr="00C03848" w:rsidRDefault="00417EAE" w:rsidP="008B76F2">
            <w:pPr>
              <w:pStyle w:val="1"/>
              <w:spacing w:before="0" w:beforeAutospacing="0" w:after="0" w:afterAutospacing="0"/>
              <w:jc w:val="both"/>
              <w:textAlignment w:val="baseline"/>
              <w:rPr>
                <w:lang w:val="uk-UA"/>
              </w:rPr>
            </w:pPr>
            <w:r w:rsidRPr="00C03848">
              <w:rPr>
                <w:lang w:val="uk-UA"/>
              </w:rPr>
              <w:t>під їх відповідальність шляхом делегації повноважень таким іншим органам;</w:t>
            </w:r>
          </w:p>
        </w:tc>
      </w:tr>
    </w:tbl>
    <w:p w:rsidR="00417EAE" w:rsidRPr="00C03848" w:rsidRDefault="00417EAE"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611"/>
        <w:gridCol w:w="8849"/>
      </w:tblGrid>
      <w:tr w:rsidR="00417EAE" w:rsidRPr="00C03848" w:rsidTr="00417EA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17EAE" w:rsidRPr="00C03848" w:rsidRDefault="00417EAE" w:rsidP="008B76F2">
            <w:pPr>
              <w:pStyle w:val="1"/>
              <w:spacing w:before="0" w:beforeAutospacing="0" w:after="0" w:afterAutospacing="0"/>
              <w:jc w:val="both"/>
              <w:textAlignment w:val="baseline"/>
              <w:rPr>
                <w:lang w:val="uk-UA"/>
              </w:rPr>
            </w:pPr>
            <w:r w:rsidRPr="00C03848">
              <w:rPr>
                <w:lang w:val="uk-UA"/>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17EAE" w:rsidRPr="00C03848" w:rsidRDefault="00417EAE" w:rsidP="008B76F2">
            <w:pPr>
              <w:pStyle w:val="1"/>
              <w:spacing w:before="0" w:beforeAutospacing="0" w:after="0" w:afterAutospacing="0"/>
              <w:jc w:val="both"/>
              <w:textAlignment w:val="baseline"/>
              <w:rPr>
                <w:lang w:val="uk-UA"/>
              </w:rPr>
            </w:pPr>
            <w:r w:rsidRPr="00C03848">
              <w:rPr>
                <w:lang w:val="uk-UA"/>
              </w:rPr>
              <w:t>шляхом з</w:t>
            </w:r>
            <w:r w:rsidR="00F84093" w:rsidRPr="00C03848">
              <w:rPr>
                <w:lang w:val="uk-UA"/>
              </w:rPr>
              <w:t>верне</w:t>
            </w:r>
            <w:r w:rsidRPr="00C03848">
              <w:rPr>
                <w:lang w:val="uk-UA"/>
              </w:rPr>
              <w:t>ння до компетентних судових органів.</w:t>
            </w:r>
          </w:p>
        </w:tc>
      </w:tr>
    </w:tbl>
    <w:p w:rsidR="00417EAE" w:rsidRPr="00C03848" w:rsidRDefault="00F84093" w:rsidP="008B76F2">
      <w:pPr>
        <w:pStyle w:val="1"/>
        <w:shd w:val="clear" w:color="auto" w:fill="FFFFFF"/>
        <w:spacing w:before="0" w:beforeAutospacing="0" w:after="0" w:afterAutospacing="0"/>
        <w:jc w:val="both"/>
        <w:textAlignment w:val="baseline"/>
        <w:rPr>
          <w:lang w:val="uk-UA"/>
        </w:rPr>
      </w:pPr>
      <w:r w:rsidRPr="00C03848">
        <w:rPr>
          <w:lang w:val="uk-UA"/>
        </w:rPr>
        <w:t>У процесі здійснення</w:t>
      </w:r>
      <w:r w:rsidR="00417EAE" w:rsidRPr="00C03848">
        <w:rPr>
          <w:lang w:val="uk-UA"/>
        </w:rPr>
        <w:t xml:space="preserve"> своїх повноважень накладати ад</w:t>
      </w:r>
      <w:r w:rsidRPr="00C03848">
        <w:rPr>
          <w:lang w:val="uk-UA"/>
        </w:rPr>
        <w:t xml:space="preserve">міністративні санкції і заходи, </w:t>
      </w:r>
      <w:r w:rsidR="00417EAE" w:rsidRPr="00C03848">
        <w:rPr>
          <w:lang w:val="uk-UA"/>
        </w:rPr>
        <w:t>компетентні органи повинні тісно співпрацювати з метою забезпечення того, щоб ці адміністративні санкції або заходи привели до бажа</w:t>
      </w:r>
      <w:r w:rsidRPr="00C03848">
        <w:rPr>
          <w:lang w:val="uk-UA"/>
        </w:rPr>
        <w:t>них результатів та</w:t>
      </w:r>
      <w:r w:rsidR="00417EAE" w:rsidRPr="00C03848">
        <w:rPr>
          <w:lang w:val="uk-UA"/>
        </w:rPr>
        <w:t xml:space="preserve"> координ</w:t>
      </w:r>
      <w:r w:rsidRPr="00C03848">
        <w:rPr>
          <w:lang w:val="uk-UA"/>
        </w:rPr>
        <w:t>увати</w:t>
      </w:r>
      <w:r w:rsidR="00417EAE" w:rsidRPr="00C03848">
        <w:rPr>
          <w:lang w:val="uk-UA"/>
        </w:rPr>
        <w:t xml:space="preserve"> їх ді</w:t>
      </w:r>
      <w:r w:rsidRPr="00C03848">
        <w:rPr>
          <w:lang w:val="uk-UA"/>
        </w:rPr>
        <w:t>ї</w:t>
      </w:r>
      <w:r w:rsidR="00417EAE" w:rsidRPr="00C03848">
        <w:rPr>
          <w:lang w:val="uk-UA"/>
        </w:rPr>
        <w:t xml:space="preserve"> при роботі з транскордонними випадками.</w:t>
      </w:r>
    </w:p>
    <w:p w:rsidR="00761E63" w:rsidRPr="00C03848" w:rsidRDefault="00761E63"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59</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7633F8" w:rsidRPr="00C03848" w:rsidRDefault="007633F8"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забезпечити, що ця Стаття застосовується принаймні до порушень з боку частини зобов'язаних осіб, і ці порушення є серйозними, повтор</w:t>
      </w:r>
      <w:r w:rsidR="00CD0FEA" w:rsidRPr="00C03848">
        <w:rPr>
          <w:lang w:val="uk-UA"/>
        </w:rPr>
        <w:t>ними</w:t>
      </w:r>
      <w:r w:rsidRPr="00C03848">
        <w:rPr>
          <w:lang w:val="uk-UA"/>
        </w:rPr>
        <w:t>, систематичн</w:t>
      </w:r>
      <w:r w:rsidR="00CD0FEA" w:rsidRPr="00C03848">
        <w:rPr>
          <w:lang w:val="uk-UA"/>
        </w:rPr>
        <w:t>ими</w:t>
      </w:r>
      <w:r w:rsidRPr="00C03848">
        <w:rPr>
          <w:lang w:val="uk-UA"/>
        </w:rPr>
        <w:t xml:space="preserve"> або </w:t>
      </w:r>
      <w:r w:rsidR="00CD0FEA" w:rsidRPr="00C03848">
        <w:rPr>
          <w:lang w:val="uk-UA"/>
        </w:rPr>
        <w:t>їх поєднання</w:t>
      </w:r>
      <w:r w:rsidRPr="00C03848">
        <w:rPr>
          <w:lang w:val="uk-UA"/>
        </w:rPr>
        <w:t xml:space="preserve"> з вимогами, викладени</w:t>
      </w:r>
      <w:r w:rsidR="00CD0FEA" w:rsidRPr="00C03848">
        <w:rPr>
          <w:lang w:val="uk-UA"/>
        </w:rPr>
        <w:t>ми</w:t>
      </w:r>
      <w:r w:rsidRPr="00C03848">
        <w:rPr>
          <w:lang w:val="uk-UA"/>
        </w:rPr>
        <w:t xml:space="preserve"> 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9"/>
        <w:gridCol w:w="8811"/>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2C54D7" w:rsidP="008B76F2">
            <w:pPr>
              <w:pStyle w:val="1"/>
              <w:spacing w:before="0" w:beforeAutospacing="0" w:after="0" w:afterAutospacing="0"/>
              <w:jc w:val="both"/>
              <w:textAlignment w:val="baseline"/>
              <w:rPr>
                <w:lang w:val="uk-UA"/>
              </w:rPr>
            </w:pPr>
            <w:r w:rsidRPr="00C03848">
              <w:rPr>
                <w:lang w:val="uk-UA"/>
              </w:rPr>
              <w:t>Стаття</w:t>
            </w:r>
            <w:r w:rsidR="00CD0FEA" w:rsidRPr="00C03848">
              <w:rPr>
                <w:lang w:val="uk-UA"/>
              </w:rPr>
              <w:t>х з</w:t>
            </w:r>
            <w:r w:rsidR="00C07AC9" w:rsidRPr="00C03848">
              <w:rPr>
                <w:lang w:val="uk-UA"/>
              </w:rPr>
              <w:t xml:space="preserve"> 10 </w:t>
            </w:r>
            <w:r w:rsidR="00CD0FEA" w:rsidRPr="00C03848">
              <w:rPr>
                <w:lang w:val="uk-UA"/>
              </w:rPr>
              <w:t>по</w:t>
            </w:r>
            <w:r w:rsidR="00C07AC9" w:rsidRPr="00C03848">
              <w:rPr>
                <w:lang w:val="uk-UA"/>
              </w:rPr>
              <w:t xml:space="preserve"> 24 (</w:t>
            </w:r>
            <w:r w:rsidR="00CD0FEA" w:rsidRPr="00C03848">
              <w:rPr>
                <w:lang w:val="uk-UA"/>
              </w:rPr>
              <w:t>належна перевірка клієнтів</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9"/>
        <w:gridCol w:w="8891"/>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2C54D7" w:rsidP="008B76F2">
            <w:pPr>
              <w:pStyle w:val="1"/>
              <w:spacing w:before="0" w:beforeAutospacing="0" w:after="0" w:afterAutospacing="0"/>
              <w:jc w:val="both"/>
              <w:textAlignment w:val="baseline"/>
              <w:rPr>
                <w:lang w:val="uk-UA"/>
              </w:rPr>
            </w:pPr>
            <w:r w:rsidRPr="00C03848">
              <w:rPr>
                <w:lang w:val="uk-UA"/>
              </w:rPr>
              <w:t>Стаття</w:t>
            </w:r>
            <w:r w:rsidR="00CD0FEA" w:rsidRPr="00C03848">
              <w:rPr>
                <w:lang w:val="uk-UA"/>
              </w:rPr>
              <w:t>х</w:t>
            </w:r>
            <w:r w:rsidR="00C07AC9" w:rsidRPr="00C03848">
              <w:rPr>
                <w:lang w:val="uk-UA"/>
              </w:rPr>
              <w:t xml:space="preserve"> 33, 34</w:t>
            </w:r>
            <w:r w:rsidR="00CD0FEA" w:rsidRPr="00C03848">
              <w:rPr>
                <w:lang w:val="uk-UA"/>
              </w:rPr>
              <w:t xml:space="preserve"> та</w:t>
            </w:r>
            <w:r w:rsidR="00C07AC9" w:rsidRPr="00C03848">
              <w:rPr>
                <w:lang w:val="uk-UA"/>
              </w:rPr>
              <w:t xml:space="preserve"> 35 (</w:t>
            </w:r>
            <w:r w:rsidR="00CD0FEA" w:rsidRPr="00C03848">
              <w:rPr>
                <w:lang w:val="uk-UA"/>
              </w:rPr>
              <w:t>звітування про підозрілі транзакції</w:t>
            </w:r>
            <w:r w:rsidR="00C07AC9" w:rsidRPr="00C03848">
              <w:rPr>
                <w:lang w:val="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4659"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05"/>
        <w:gridCol w:w="8110"/>
      </w:tblGrid>
      <w:tr w:rsidR="00C07AC9" w:rsidRPr="00C03848" w:rsidTr="00CD0FEA">
        <w:tc>
          <w:tcPr>
            <w:tcW w:w="40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2C54D7" w:rsidP="008B76F2">
            <w:pPr>
              <w:pStyle w:val="1"/>
              <w:spacing w:before="0" w:beforeAutospacing="0" w:after="0" w:afterAutospacing="0"/>
              <w:jc w:val="both"/>
              <w:textAlignment w:val="baseline"/>
              <w:rPr>
                <w:lang w:val="uk-UA"/>
              </w:rPr>
            </w:pPr>
            <w:r w:rsidRPr="00C03848">
              <w:rPr>
                <w:lang w:val="uk-UA"/>
              </w:rPr>
              <w:t>Статт</w:t>
            </w:r>
            <w:r w:rsidR="00CD0FEA" w:rsidRPr="00C03848">
              <w:rPr>
                <w:lang w:val="uk-UA"/>
              </w:rPr>
              <w:t>і</w:t>
            </w:r>
            <w:r w:rsidR="006C7421" w:rsidRPr="00C03848">
              <w:rPr>
                <w:lang w:val="uk-UA"/>
              </w:rPr>
              <w:t xml:space="preserve"> 40 (</w:t>
            </w:r>
            <w:r w:rsidR="00CD0FEA" w:rsidRPr="00C03848">
              <w:rPr>
                <w:lang w:val="uk-UA"/>
              </w:rPr>
              <w:t>облік</w:t>
            </w:r>
            <w:r w:rsidR="006C7421" w:rsidRPr="00C03848">
              <w:rPr>
                <w:lang w:val="uk-UA"/>
              </w:rPr>
              <w:t>); та</w:t>
            </w:r>
          </w:p>
        </w:tc>
      </w:tr>
    </w:tbl>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89"/>
        <w:gridCol w:w="8671"/>
      </w:tblGrid>
      <w:tr w:rsidR="00C07AC9" w:rsidRPr="00C03848" w:rsidTr="00C07AC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07AC9" w:rsidP="008B76F2">
            <w:pPr>
              <w:pStyle w:val="1"/>
              <w:spacing w:before="0" w:beforeAutospacing="0" w:after="0" w:afterAutospacing="0"/>
              <w:jc w:val="both"/>
              <w:textAlignment w:val="baseline"/>
              <w:rPr>
                <w:lang w:val="uk-UA"/>
              </w:rPr>
            </w:pPr>
            <w:r w:rsidRPr="00C03848">
              <w:rPr>
                <w:lang w:val="uk-UA"/>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07AC9" w:rsidRPr="00C03848" w:rsidRDefault="00CD0FEA" w:rsidP="008B76F2">
            <w:pPr>
              <w:pStyle w:val="1"/>
              <w:spacing w:before="0" w:beforeAutospacing="0" w:after="0" w:afterAutospacing="0"/>
              <w:jc w:val="both"/>
              <w:textAlignment w:val="baseline"/>
              <w:rPr>
                <w:lang w:val="uk-UA"/>
              </w:rPr>
            </w:pPr>
            <w:r w:rsidRPr="00C03848">
              <w:rPr>
                <w:lang w:val="uk-UA"/>
              </w:rPr>
              <w:t>Статтях</w:t>
            </w:r>
            <w:r w:rsidR="00C07AC9" w:rsidRPr="00C03848">
              <w:rPr>
                <w:lang w:val="uk-UA"/>
              </w:rPr>
              <w:t xml:space="preserve"> 45 </w:t>
            </w:r>
            <w:r w:rsidR="006C7421" w:rsidRPr="00C03848">
              <w:rPr>
                <w:lang w:val="uk-UA"/>
              </w:rPr>
              <w:t>та</w:t>
            </w:r>
            <w:r w:rsidR="00C07AC9" w:rsidRPr="00C03848">
              <w:rPr>
                <w:lang w:val="uk-UA"/>
              </w:rPr>
              <w:t xml:space="preserve"> 46 (</w:t>
            </w:r>
            <w:r w:rsidR="006C7421" w:rsidRPr="00C03848">
              <w:rPr>
                <w:lang w:val="uk-UA"/>
              </w:rPr>
              <w:t>внутрішній контроль</w:t>
            </w:r>
            <w:r w:rsidR="00C07AC9" w:rsidRPr="00C03848">
              <w:rPr>
                <w:lang w:val="uk-UA"/>
              </w:rPr>
              <w:t>).</w:t>
            </w:r>
          </w:p>
        </w:tc>
      </w:tr>
    </w:tbl>
    <w:p w:rsidR="00CD0FEA" w:rsidRPr="00C03848" w:rsidRDefault="00CD0FEA" w:rsidP="008B76F2">
      <w:pPr>
        <w:pStyle w:val="1"/>
        <w:shd w:val="clear" w:color="auto" w:fill="FFFFFF"/>
        <w:spacing w:before="0" w:beforeAutospacing="0" w:after="0" w:afterAutospacing="0"/>
        <w:jc w:val="both"/>
        <w:textAlignment w:val="baseline"/>
        <w:rPr>
          <w:lang w:val="uk-UA"/>
        </w:rPr>
      </w:pPr>
      <w:r w:rsidRPr="00C03848">
        <w:rPr>
          <w:lang w:val="uk-UA"/>
        </w:rPr>
        <w:t>2.   Держави-члени повинні забезпечити, що у випадках, зазначених у пункті 1, адміністративні санкції і заходи, які можуть бути застосовані, включають принаймні наступне: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CD0FEA" w:rsidRPr="00C03848" w:rsidTr="00CD0FE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0FEA" w:rsidRPr="00C03848" w:rsidRDefault="00CD0FEA"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0FEA" w:rsidRPr="00C03848" w:rsidRDefault="00CD0FEA" w:rsidP="008B76F2">
            <w:pPr>
              <w:pStyle w:val="1"/>
              <w:spacing w:before="0" w:beforeAutospacing="0" w:after="0" w:afterAutospacing="0"/>
              <w:jc w:val="both"/>
              <w:textAlignment w:val="baseline"/>
              <w:rPr>
                <w:lang w:val="uk-UA"/>
              </w:rPr>
            </w:pPr>
            <w:r w:rsidRPr="00C03848">
              <w:rPr>
                <w:lang w:val="uk-UA"/>
              </w:rPr>
              <w:t>публічне твердження, яке ідентифікує фізичну або юридичну особу і характер порушення;</w:t>
            </w:r>
          </w:p>
        </w:tc>
      </w:tr>
    </w:tbl>
    <w:p w:rsidR="00CD0FEA" w:rsidRPr="00C03848" w:rsidRDefault="00CD0FE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CD0FEA" w:rsidRPr="00C03848" w:rsidTr="00CD0FE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0FEA" w:rsidRPr="00C03848" w:rsidRDefault="00CD0FEA"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0FEA" w:rsidRPr="00C03848" w:rsidRDefault="00CD0FEA" w:rsidP="008B76F2">
            <w:pPr>
              <w:pStyle w:val="1"/>
              <w:spacing w:before="0" w:beforeAutospacing="0" w:after="0" w:afterAutospacing="0"/>
              <w:jc w:val="both"/>
              <w:textAlignment w:val="baseline"/>
              <w:rPr>
                <w:lang w:val="uk-UA"/>
              </w:rPr>
            </w:pPr>
            <w:r w:rsidRPr="00C03848">
              <w:rPr>
                <w:lang w:val="uk-UA"/>
              </w:rPr>
              <w:t>порядок, який вимагає від фізичної або юридичної особи, припинити поведінку і відмовитися від повторення цієї поведінки;</w:t>
            </w:r>
          </w:p>
        </w:tc>
      </w:tr>
    </w:tbl>
    <w:p w:rsidR="00CD0FEA" w:rsidRPr="00C03848" w:rsidRDefault="00CD0FE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CD0FEA" w:rsidRPr="00C03848" w:rsidTr="00CD0FE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0FEA" w:rsidRPr="00C03848" w:rsidRDefault="00CD0FEA"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0FEA" w:rsidRPr="00C03848" w:rsidRDefault="00CD0FEA" w:rsidP="008B76F2">
            <w:pPr>
              <w:pStyle w:val="1"/>
              <w:spacing w:before="0" w:beforeAutospacing="0" w:after="0" w:afterAutospacing="0"/>
              <w:jc w:val="both"/>
              <w:textAlignment w:val="baseline"/>
              <w:rPr>
                <w:lang w:val="uk-UA"/>
              </w:rPr>
            </w:pPr>
            <w:r w:rsidRPr="00C03848">
              <w:rPr>
                <w:lang w:val="uk-UA"/>
              </w:rPr>
              <w:t>випадки, в яких до зобов'язаної особи застосовуються санкції, відкликання або призупинення дії дозволу;</w:t>
            </w:r>
          </w:p>
        </w:tc>
      </w:tr>
    </w:tbl>
    <w:p w:rsidR="00CD0FEA" w:rsidRPr="00C03848" w:rsidRDefault="00CD0FE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CD0FEA" w:rsidRPr="00C03848" w:rsidTr="00CD0FE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0FEA" w:rsidRPr="00C03848" w:rsidRDefault="00CD0FEA" w:rsidP="008B76F2">
            <w:pPr>
              <w:pStyle w:val="1"/>
              <w:spacing w:before="0" w:beforeAutospacing="0" w:after="0" w:afterAutospacing="0"/>
              <w:jc w:val="both"/>
              <w:textAlignment w:val="baseline"/>
              <w:rPr>
                <w:lang w:val="uk-UA"/>
              </w:rPr>
            </w:pPr>
            <w:r w:rsidRPr="00C03848">
              <w:rPr>
                <w:lang w:val="uk-UA"/>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0FEA" w:rsidRPr="00C03848" w:rsidRDefault="00CD0FEA" w:rsidP="008B76F2">
            <w:pPr>
              <w:pStyle w:val="1"/>
              <w:spacing w:before="0" w:beforeAutospacing="0" w:after="0" w:afterAutospacing="0"/>
              <w:jc w:val="both"/>
              <w:textAlignment w:val="baseline"/>
              <w:rPr>
                <w:lang w:val="uk-UA"/>
              </w:rPr>
            </w:pPr>
            <w:r w:rsidRPr="00C03848">
              <w:rPr>
                <w:lang w:val="uk-UA"/>
              </w:rPr>
              <w:t xml:space="preserve">тимчасова заборона </w:t>
            </w:r>
            <w:r w:rsidR="00164709" w:rsidRPr="00C03848">
              <w:rPr>
                <w:lang w:val="uk-UA"/>
              </w:rPr>
              <w:t>стосовно</w:t>
            </w:r>
            <w:r w:rsidRPr="00C03848">
              <w:rPr>
                <w:lang w:val="uk-UA"/>
              </w:rPr>
              <w:t xml:space="preserve"> будь-як</w:t>
            </w:r>
            <w:r w:rsidR="00164709" w:rsidRPr="00C03848">
              <w:rPr>
                <w:lang w:val="uk-UA"/>
              </w:rPr>
              <w:t>ої</w:t>
            </w:r>
            <w:r w:rsidRPr="00C03848">
              <w:rPr>
                <w:lang w:val="uk-UA"/>
              </w:rPr>
              <w:t xml:space="preserve"> особ</w:t>
            </w:r>
            <w:r w:rsidR="00164709" w:rsidRPr="00C03848">
              <w:rPr>
                <w:lang w:val="uk-UA"/>
              </w:rPr>
              <w:t>и</w:t>
            </w:r>
            <w:r w:rsidRPr="00C03848">
              <w:rPr>
                <w:lang w:val="uk-UA"/>
              </w:rPr>
              <w:t xml:space="preserve">, яка </w:t>
            </w:r>
            <w:r w:rsidR="00164709" w:rsidRPr="00C03848">
              <w:rPr>
                <w:lang w:val="uk-UA"/>
              </w:rPr>
              <w:t>викону</w:t>
            </w:r>
            <w:r w:rsidRPr="00C03848">
              <w:rPr>
                <w:lang w:val="uk-UA"/>
              </w:rPr>
              <w:t xml:space="preserve">є управлінські </w:t>
            </w:r>
            <w:r w:rsidR="00164709" w:rsidRPr="00C03848">
              <w:rPr>
                <w:lang w:val="uk-UA"/>
              </w:rPr>
              <w:t xml:space="preserve">функції </w:t>
            </w:r>
            <w:r w:rsidRPr="00C03848">
              <w:rPr>
                <w:lang w:val="uk-UA"/>
              </w:rPr>
              <w:t xml:space="preserve">зобов'язаної особи, або будь-якої іншої фізичної особи, яка притягається до відповідальності за порушення, здійснювати управлінські функції  зобов'язаних осіб; </w:t>
            </w:r>
          </w:p>
        </w:tc>
      </w:tr>
    </w:tbl>
    <w:p w:rsidR="00CD0FEA" w:rsidRPr="00C03848" w:rsidRDefault="00CD0FE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CD0FEA" w:rsidRPr="00C03848" w:rsidTr="00CD0FE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0FEA" w:rsidRPr="00C03848" w:rsidRDefault="00CD0FEA" w:rsidP="008B76F2">
            <w:pPr>
              <w:pStyle w:val="1"/>
              <w:spacing w:before="0" w:beforeAutospacing="0" w:after="0" w:afterAutospacing="0"/>
              <w:jc w:val="both"/>
              <w:textAlignment w:val="baseline"/>
              <w:rPr>
                <w:lang w:val="uk-UA"/>
              </w:rPr>
            </w:pPr>
            <w:r w:rsidRPr="00C03848">
              <w:rPr>
                <w:lang w:val="uk-UA"/>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D0FEA" w:rsidRPr="00C03848" w:rsidRDefault="00164709" w:rsidP="008B76F2">
            <w:pPr>
              <w:pStyle w:val="1"/>
              <w:spacing w:before="0" w:beforeAutospacing="0" w:after="0" w:afterAutospacing="0"/>
              <w:jc w:val="both"/>
              <w:textAlignment w:val="baseline"/>
              <w:rPr>
                <w:lang w:val="uk-UA"/>
              </w:rPr>
            </w:pPr>
            <w:r w:rsidRPr="00C03848">
              <w:rPr>
                <w:lang w:val="uk-UA"/>
              </w:rPr>
              <w:t>м</w:t>
            </w:r>
            <w:r w:rsidR="00CD0FEA" w:rsidRPr="00C03848">
              <w:rPr>
                <w:lang w:val="uk-UA"/>
              </w:rPr>
              <w:t>аксимальн</w:t>
            </w:r>
            <w:r w:rsidRPr="00C03848">
              <w:rPr>
                <w:lang w:val="uk-UA"/>
              </w:rPr>
              <w:t>ий розмір</w:t>
            </w:r>
            <w:r w:rsidR="00CD0FEA" w:rsidRPr="00C03848">
              <w:rPr>
                <w:lang w:val="uk-UA"/>
              </w:rPr>
              <w:t xml:space="preserve"> адміністративн</w:t>
            </w:r>
            <w:r w:rsidRPr="00C03848">
              <w:rPr>
                <w:lang w:val="uk-UA"/>
              </w:rPr>
              <w:t>ої</w:t>
            </w:r>
            <w:r w:rsidR="00CD0FEA" w:rsidRPr="00C03848">
              <w:rPr>
                <w:lang w:val="uk-UA"/>
              </w:rPr>
              <w:t xml:space="preserve"> грошов</w:t>
            </w:r>
            <w:r w:rsidRPr="00C03848">
              <w:rPr>
                <w:lang w:val="uk-UA"/>
              </w:rPr>
              <w:t>ої</w:t>
            </w:r>
            <w:r w:rsidR="00CD0FEA" w:rsidRPr="00C03848">
              <w:rPr>
                <w:lang w:val="uk-UA"/>
              </w:rPr>
              <w:t xml:space="preserve"> санкці</w:t>
            </w:r>
            <w:r w:rsidRPr="00C03848">
              <w:rPr>
                <w:lang w:val="uk-UA"/>
              </w:rPr>
              <w:t xml:space="preserve">ї </w:t>
            </w:r>
            <w:r w:rsidR="00CD0FEA" w:rsidRPr="00C03848">
              <w:rPr>
                <w:lang w:val="uk-UA"/>
              </w:rPr>
              <w:t xml:space="preserve">принаймні </w:t>
            </w:r>
            <w:r w:rsidRPr="00C03848">
              <w:rPr>
                <w:lang w:val="uk-UA"/>
              </w:rPr>
              <w:t xml:space="preserve"> у розмірі </w:t>
            </w:r>
            <w:r w:rsidR="00CD0FEA" w:rsidRPr="00C03848">
              <w:rPr>
                <w:lang w:val="uk-UA"/>
              </w:rPr>
              <w:t>подвійн</w:t>
            </w:r>
            <w:r w:rsidRPr="00C03848">
              <w:rPr>
                <w:lang w:val="uk-UA"/>
              </w:rPr>
              <w:t>ої</w:t>
            </w:r>
            <w:r w:rsidR="00CD0FEA" w:rsidRPr="00C03848">
              <w:rPr>
                <w:lang w:val="uk-UA"/>
              </w:rPr>
              <w:t xml:space="preserve"> сум</w:t>
            </w:r>
            <w:r w:rsidRPr="00C03848">
              <w:rPr>
                <w:lang w:val="uk-UA"/>
              </w:rPr>
              <w:t>и</w:t>
            </w:r>
            <w:r w:rsidR="00CD0FEA" w:rsidRPr="00C03848">
              <w:rPr>
                <w:lang w:val="uk-UA"/>
              </w:rPr>
              <w:t xml:space="preserve"> доходу, отриманого внаслідок порушення, </w:t>
            </w:r>
            <w:r w:rsidRPr="00C03848">
              <w:rPr>
                <w:lang w:val="uk-UA"/>
              </w:rPr>
              <w:t>у випадку</w:t>
            </w:r>
            <w:r w:rsidR="00CD0FEA" w:rsidRPr="00C03848">
              <w:rPr>
                <w:lang w:val="uk-UA"/>
              </w:rPr>
              <w:t xml:space="preserve">, </w:t>
            </w:r>
            <w:r w:rsidRPr="00C03848">
              <w:rPr>
                <w:lang w:val="uk-UA"/>
              </w:rPr>
              <w:t>якщо зазначений дохід</w:t>
            </w:r>
            <w:r w:rsidR="00CD0FEA" w:rsidRPr="00C03848">
              <w:rPr>
                <w:lang w:val="uk-UA"/>
              </w:rPr>
              <w:t xml:space="preserve"> може бути визначен</w:t>
            </w:r>
            <w:r w:rsidRPr="00C03848">
              <w:rPr>
                <w:lang w:val="uk-UA"/>
              </w:rPr>
              <w:t>ий</w:t>
            </w:r>
            <w:r w:rsidR="00CD0FEA" w:rsidRPr="00C03848">
              <w:rPr>
                <w:lang w:val="uk-UA"/>
              </w:rPr>
              <w:t>, або принаймні 1</w:t>
            </w:r>
            <w:r w:rsidRPr="00C03848">
              <w:rPr>
                <w:lang w:val="uk-UA"/>
              </w:rPr>
              <w:t xml:space="preserve"> </w:t>
            </w:r>
            <w:r w:rsidR="00CD0FEA" w:rsidRPr="00C03848">
              <w:rPr>
                <w:lang w:val="uk-UA"/>
              </w:rPr>
              <w:t xml:space="preserve">000  000 євро. </w:t>
            </w:r>
          </w:p>
        </w:tc>
      </w:tr>
    </w:tbl>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p w:rsidR="00164709" w:rsidRPr="00C03848" w:rsidRDefault="00164709" w:rsidP="008B76F2">
      <w:pPr>
        <w:pStyle w:val="1"/>
        <w:shd w:val="clear" w:color="auto" w:fill="FFFFFF"/>
        <w:spacing w:before="0" w:beforeAutospacing="0" w:after="0" w:afterAutospacing="0"/>
        <w:jc w:val="both"/>
        <w:textAlignment w:val="baseline"/>
        <w:rPr>
          <w:lang w:val="uk-UA"/>
        </w:rPr>
      </w:pPr>
      <w:r w:rsidRPr="00C03848">
        <w:rPr>
          <w:lang w:val="uk-UA"/>
        </w:rPr>
        <w:t>3.    Держави-члени повинні забезпечити, щоб шляхом часткового обмеження пункту 2 (е), якщо залученою зобов'язаною особою є кредитна установа або фінансова установа, такі санкції можуть також застосовуватись:</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164709" w:rsidRPr="00C03848" w:rsidTr="0016470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64709" w:rsidRPr="00C03848" w:rsidRDefault="00164709" w:rsidP="008B76F2">
            <w:pPr>
              <w:pStyle w:val="1"/>
              <w:spacing w:before="0" w:beforeAutospacing="0" w:after="0" w:afterAutospacing="0"/>
              <w:jc w:val="both"/>
              <w:textAlignment w:val="baseline"/>
              <w:rPr>
                <w:lang w:val="uk-UA"/>
              </w:rPr>
            </w:pPr>
            <w:r w:rsidRPr="00C03848">
              <w:rPr>
                <w:lang w:val="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64709" w:rsidRPr="00C03848" w:rsidRDefault="00164709" w:rsidP="008B76F2">
            <w:pPr>
              <w:pStyle w:val="1"/>
              <w:spacing w:before="0" w:beforeAutospacing="0" w:after="0" w:afterAutospacing="0"/>
              <w:jc w:val="both"/>
              <w:textAlignment w:val="baseline"/>
              <w:rPr>
                <w:lang w:val="uk-UA"/>
              </w:rPr>
            </w:pPr>
            <w:r w:rsidRPr="00C03848">
              <w:rPr>
                <w:lang w:val="uk-UA"/>
              </w:rPr>
              <w:t xml:space="preserve">у випадку юридичної особи, максимальні адміністративні грошові санкції принаймні 5 </w:t>
            </w:r>
            <w:r w:rsidRPr="00C03848">
              <w:rPr>
                <w:lang w:val="uk-UA"/>
              </w:rPr>
              <w:lastRenderedPageBreak/>
              <w:t xml:space="preserve">000 000 євро або 10% від загального річного обороту відповідно до останніх доступних </w:t>
            </w:r>
            <w:r w:rsidR="00BE33CC" w:rsidRPr="00C03848">
              <w:rPr>
                <w:lang w:val="uk-UA"/>
              </w:rPr>
              <w:t>звітів</w:t>
            </w:r>
            <w:r w:rsidRPr="00C03848">
              <w:rPr>
                <w:lang w:val="uk-UA"/>
              </w:rPr>
              <w:t xml:space="preserve">, затверджених органом управління; </w:t>
            </w:r>
            <w:r w:rsidR="00BE33CC" w:rsidRPr="00C03848">
              <w:rPr>
                <w:lang w:val="uk-UA"/>
              </w:rPr>
              <w:t>якщо</w:t>
            </w:r>
            <w:r w:rsidRPr="00C03848">
              <w:rPr>
                <w:lang w:val="uk-UA"/>
              </w:rPr>
              <w:t xml:space="preserve"> зобов'язан</w:t>
            </w:r>
            <w:r w:rsidR="00BE33CC" w:rsidRPr="00C03848">
              <w:rPr>
                <w:lang w:val="uk-UA"/>
              </w:rPr>
              <w:t>ою</w:t>
            </w:r>
            <w:r w:rsidRPr="00C03848">
              <w:rPr>
                <w:lang w:val="uk-UA"/>
              </w:rPr>
              <w:t xml:space="preserve"> особ</w:t>
            </w:r>
            <w:r w:rsidR="00BE33CC" w:rsidRPr="00C03848">
              <w:rPr>
                <w:lang w:val="uk-UA"/>
              </w:rPr>
              <w:t>ою</w:t>
            </w:r>
            <w:r w:rsidRPr="00C03848">
              <w:rPr>
                <w:lang w:val="uk-UA"/>
              </w:rPr>
              <w:t xml:space="preserve"> є материнська компанія або дочірня компанія материнської компанії, яка </w:t>
            </w:r>
            <w:r w:rsidR="00BE33CC" w:rsidRPr="00C03848">
              <w:rPr>
                <w:lang w:val="uk-UA"/>
              </w:rPr>
              <w:t>зобов’язана</w:t>
            </w:r>
            <w:r w:rsidRPr="00C03848">
              <w:rPr>
                <w:lang w:val="uk-UA"/>
              </w:rPr>
              <w:t xml:space="preserve"> п</w:t>
            </w:r>
            <w:r w:rsidR="00BE33CC" w:rsidRPr="00C03848">
              <w:rPr>
                <w:lang w:val="uk-UA"/>
              </w:rPr>
              <w:t>одавати</w:t>
            </w:r>
            <w:r w:rsidRPr="00C03848">
              <w:rPr>
                <w:lang w:val="uk-UA"/>
              </w:rPr>
              <w:t xml:space="preserve"> консолідован</w:t>
            </w:r>
            <w:r w:rsidR="00BE33CC" w:rsidRPr="00C03848">
              <w:rPr>
                <w:lang w:val="uk-UA"/>
              </w:rPr>
              <w:t>у</w:t>
            </w:r>
            <w:r w:rsidRPr="00C03848">
              <w:rPr>
                <w:lang w:val="uk-UA"/>
              </w:rPr>
              <w:t xml:space="preserve"> фінансов</w:t>
            </w:r>
            <w:r w:rsidR="00BE33CC" w:rsidRPr="00C03848">
              <w:rPr>
                <w:lang w:val="uk-UA"/>
              </w:rPr>
              <w:t>у</w:t>
            </w:r>
            <w:r w:rsidRPr="00C03848">
              <w:rPr>
                <w:lang w:val="uk-UA"/>
              </w:rPr>
              <w:t xml:space="preserve"> звітн</w:t>
            </w:r>
            <w:r w:rsidR="00BE33CC" w:rsidRPr="00C03848">
              <w:rPr>
                <w:lang w:val="uk-UA"/>
              </w:rPr>
              <w:t>і</w:t>
            </w:r>
            <w:r w:rsidRPr="00C03848">
              <w:rPr>
                <w:lang w:val="uk-UA"/>
              </w:rPr>
              <w:t>ст</w:t>
            </w:r>
            <w:r w:rsidR="00BE33CC" w:rsidRPr="00C03848">
              <w:rPr>
                <w:lang w:val="uk-UA"/>
              </w:rPr>
              <w:t>ь</w:t>
            </w:r>
            <w:r w:rsidRPr="00C03848">
              <w:rPr>
                <w:lang w:val="uk-UA"/>
              </w:rPr>
              <w:t xml:space="preserve"> відповідно до Статті 22 Директиви </w:t>
            </w:r>
            <w:r w:rsidR="00BE33CC" w:rsidRPr="00C03848">
              <w:rPr>
                <w:lang w:val="uk-UA"/>
              </w:rPr>
              <w:t>2013/34/EU</w:t>
            </w:r>
            <w:r w:rsidRPr="00C03848">
              <w:rPr>
                <w:lang w:val="uk-UA"/>
              </w:rPr>
              <w:t>, відповідний загальни</w:t>
            </w:r>
            <w:r w:rsidR="00BE33CC" w:rsidRPr="00C03848">
              <w:rPr>
                <w:lang w:val="uk-UA"/>
              </w:rPr>
              <w:t>м</w:t>
            </w:r>
            <w:r w:rsidRPr="00C03848">
              <w:rPr>
                <w:lang w:val="uk-UA"/>
              </w:rPr>
              <w:t xml:space="preserve"> річни</w:t>
            </w:r>
            <w:r w:rsidR="00BE33CC" w:rsidRPr="00C03848">
              <w:rPr>
                <w:lang w:val="uk-UA"/>
              </w:rPr>
              <w:t>м</w:t>
            </w:r>
            <w:r w:rsidRPr="00C03848">
              <w:rPr>
                <w:lang w:val="uk-UA"/>
              </w:rPr>
              <w:t xml:space="preserve"> оборот</w:t>
            </w:r>
            <w:r w:rsidR="00BE33CC" w:rsidRPr="00C03848">
              <w:rPr>
                <w:lang w:val="uk-UA"/>
              </w:rPr>
              <w:t>ом вважається</w:t>
            </w:r>
            <w:r w:rsidRPr="00C03848">
              <w:rPr>
                <w:lang w:val="uk-UA"/>
              </w:rPr>
              <w:t xml:space="preserve">  загальний річний оборот або відповідний вид доходу згідно з </w:t>
            </w:r>
            <w:r w:rsidR="00BE33CC" w:rsidRPr="00C03848">
              <w:rPr>
                <w:lang w:val="uk-UA"/>
              </w:rPr>
              <w:t>доречн</w:t>
            </w:r>
            <w:r w:rsidRPr="00C03848">
              <w:rPr>
                <w:lang w:val="uk-UA"/>
              </w:rPr>
              <w:t>ою Директив</w:t>
            </w:r>
            <w:r w:rsidR="00BE33CC" w:rsidRPr="00C03848">
              <w:rPr>
                <w:lang w:val="uk-UA"/>
              </w:rPr>
              <w:t xml:space="preserve">ою у сфері бухгалтерського обліку відповідно </w:t>
            </w:r>
            <w:r w:rsidRPr="00C03848">
              <w:rPr>
                <w:lang w:val="uk-UA"/>
              </w:rPr>
              <w:t>до</w:t>
            </w:r>
            <w:r w:rsidR="00AC3A3E" w:rsidRPr="00C03848">
              <w:rPr>
                <w:lang w:val="uk-UA"/>
              </w:rPr>
              <w:t xml:space="preserve"> останніх наявних консолідован</w:t>
            </w:r>
            <w:r w:rsidRPr="00C03848">
              <w:rPr>
                <w:lang w:val="uk-UA"/>
              </w:rPr>
              <w:t>их звіт</w:t>
            </w:r>
            <w:r w:rsidR="00BE33CC" w:rsidRPr="00C03848">
              <w:rPr>
                <w:lang w:val="uk-UA"/>
              </w:rPr>
              <w:t>ів</w:t>
            </w:r>
            <w:r w:rsidRPr="00C03848">
              <w:rPr>
                <w:lang w:val="uk-UA"/>
              </w:rPr>
              <w:t>, затверджени</w:t>
            </w:r>
            <w:r w:rsidR="00BE33CC" w:rsidRPr="00C03848">
              <w:rPr>
                <w:lang w:val="uk-UA"/>
              </w:rPr>
              <w:t>х</w:t>
            </w:r>
            <w:r w:rsidRPr="00C03848">
              <w:rPr>
                <w:lang w:val="uk-UA"/>
              </w:rPr>
              <w:t xml:space="preserve"> органом управління кінцевої материнської компанії;</w:t>
            </w:r>
          </w:p>
        </w:tc>
      </w:tr>
    </w:tbl>
    <w:p w:rsidR="00164709" w:rsidRPr="00C03848" w:rsidRDefault="0016470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164709" w:rsidRPr="00C03848" w:rsidTr="0016470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64709" w:rsidRPr="00C03848" w:rsidRDefault="00164709" w:rsidP="008B76F2">
            <w:pPr>
              <w:pStyle w:val="1"/>
              <w:spacing w:before="0" w:beforeAutospacing="0" w:after="0" w:afterAutospacing="0"/>
              <w:jc w:val="both"/>
              <w:textAlignment w:val="baseline"/>
              <w:rPr>
                <w:lang w:val="uk-UA"/>
              </w:rPr>
            </w:pPr>
            <w:r w:rsidRPr="00C03848">
              <w:rPr>
                <w:lang w:val="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64709" w:rsidRPr="00C03848" w:rsidRDefault="00164709" w:rsidP="008B76F2">
            <w:pPr>
              <w:pStyle w:val="1"/>
              <w:spacing w:before="0" w:beforeAutospacing="0" w:after="0" w:afterAutospacing="0"/>
              <w:jc w:val="both"/>
              <w:textAlignment w:val="baseline"/>
              <w:rPr>
                <w:lang w:val="uk-UA"/>
              </w:rPr>
            </w:pPr>
            <w:r w:rsidRPr="00C03848">
              <w:rPr>
                <w:lang w:val="uk-UA"/>
              </w:rPr>
              <w:t xml:space="preserve">у разі фізичної особи, максимальні адміністративні грошові санкції </w:t>
            </w:r>
            <w:r w:rsidR="00BE33CC" w:rsidRPr="00C03848">
              <w:rPr>
                <w:lang w:val="uk-UA"/>
              </w:rPr>
              <w:t xml:space="preserve"> у розмірі </w:t>
            </w:r>
            <w:r w:rsidRPr="00C03848">
              <w:rPr>
                <w:lang w:val="uk-UA"/>
              </w:rPr>
              <w:t xml:space="preserve">принаймні 5 000 000 </w:t>
            </w:r>
            <w:r w:rsidR="00BE33CC" w:rsidRPr="00C03848">
              <w:rPr>
                <w:lang w:val="uk-UA"/>
              </w:rPr>
              <w:t>євро</w:t>
            </w:r>
            <w:r w:rsidRPr="00C03848">
              <w:rPr>
                <w:lang w:val="uk-UA"/>
              </w:rPr>
              <w:t xml:space="preserve">, або в державах-членах, </w:t>
            </w:r>
            <w:r w:rsidR="00BE33CC" w:rsidRPr="00C03848">
              <w:rPr>
                <w:lang w:val="uk-UA"/>
              </w:rPr>
              <w:t>валютою яких</w:t>
            </w:r>
            <w:r w:rsidRPr="00C03848">
              <w:rPr>
                <w:lang w:val="uk-UA"/>
              </w:rPr>
              <w:t xml:space="preserve"> не є євро, відповідне значення в національній валюті на 25 червня 2015 року.</w:t>
            </w:r>
          </w:p>
        </w:tc>
      </w:tr>
    </w:tbl>
    <w:p w:rsidR="00164709" w:rsidRPr="00C03848" w:rsidRDefault="00164709" w:rsidP="008B76F2">
      <w:pPr>
        <w:pStyle w:val="1"/>
        <w:shd w:val="clear" w:color="auto" w:fill="FFFFFF"/>
        <w:spacing w:before="0" w:beforeAutospacing="0" w:after="0" w:afterAutospacing="0"/>
        <w:jc w:val="both"/>
        <w:textAlignment w:val="baseline"/>
        <w:rPr>
          <w:lang w:val="uk-UA"/>
        </w:rPr>
      </w:pPr>
      <w:r w:rsidRPr="00C03848">
        <w:rPr>
          <w:lang w:val="uk-UA"/>
        </w:rPr>
        <w:t xml:space="preserve">4.    Держави-члени можуть уповноважити компетентні органи накладати додаткові типи адміністративних санкцій в додаток до згаданих у </w:t>
      </w:r>
      <w:r w:rsidR="00BE33CC" w:rsidRPr="00C03848">
        <w:rPr>
          <w:lang w:val="uk-UA"/>
        </w:rPr>
        <w:t>під</w:t>
      </w:r>
      <w:r w:rsidRPr="00C03848">
        <w:rPr>
          <w:lang w:val="uk-UA"/>
        </w:rPr>
        <w:t xml:space="preserve">пунктах (а) - (d) </w:t>
      </w:r>
      <w:r w:rsidR="00BE33CC" w:rsidRPr="00C03848">
        <w:rPr>
          <w:lang w:val="uk-UA"/>
        </w:rPr>
        <w:t>пункт</w:t>
      </w:r>
      <w:r w:rsidRPr="00C03848">
        <w:rPr>
          <w:lang w:val="uk-UA"/>
        </w:rPr>
        <w:t xml:space="preserve">у 2 або накладати адміністративні фінансові санкції, які перевищують суми, зазначені в </w:t>
      </w:r>
      <w:r w:rsidR="00BE33CC" w:rsidRPr="00C03848">
        <w:rPr>
          <w:lang w:val="uk-UA"/>
        </w:rPr>
        <w:t>під</w:t>
      </w:r>
      <w:r w:rsidRPr="00C03848">
        <w:rPr>
          <w:lang w:val="uk-UA"/>
        </w:rPr>
        <w:t xml:space="preserve">пункті (е) </w:t>
      </w:r>
      <w:r w:rsidR="00BE33CC" w:rsidRPr="00C03848">
        <w:rPr>
          <w:lang w:val="uk-UA"/>
        </w:rPr>
        <w:t>пункт</w:t>
      </w:r>
      <w:r w:rsidRPr="00C03848">
        <w:rPr>
          <w:lang w:val="uk-UA"/>
        </w:rPr>
        <w:t xml:space="preserve">у 2 та </w:t>
      </w:r>
      <w:r w:rsidR="00BE33CC" w:rsidRPr="00C03848">
        <w:rPr>
          <w:lang w:val="uk-UA"/>
        </w:rPr>
        <w:t>пункт</w:t>
      </w:r>
      <w:r w:rsidRPr="00C03848">
        <w:rPr>
          <w:lang w:val="uk-UA"/>
        </w:rPr>
        <w:t>у 3.</w:t>
      </w:r>
    </w:p>
    <w:p w:rsidR="00761E63" w:rsidRPr="00C03848" w:rsidRDefault="00761E63"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60</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3A1100" w:rsidRPr="00C03848" w:rsidRDefault="003A1100"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забезпечити, що рішення про наклад</w:t>
      </w:r>
      <w:r w:rsidR="00CF52F4" w:rsidRPr="00C03848">
        <w:rPr>
          <w:lang w:val="uk-UA"/>
        </w:rPr>
        <w:t>а</w:t>
      </w:r>
      <w:r w:rsidRPr="00C03848">
        <w:rPr>
          <w:lang w:val="uk-UA"/>
        </w:rPr>
        <w:t>ння адміністративного стягнення або заходів за порушення національних положень, які транспонують цю Директиву, проти якого не існує апеляційного провадження, повинно бут</w:t>
      </w:r>
      <w:r w:rsidR="00AC3A3E" w:rsidRPr="00C03848">
        <w:rPr>
          <w:lang w:val="uk-UA"/>
        </w:rPr>
        <w:t>и опублікован</w:t>
      </w:r>
      <w:r w:rsidRPr="00C03848">
        <w:rPr>
          <w:lang w:val="uk-UA"/>
        </w:rPr>
        <w:t>о компетентними органами на їх офіційному сайті відразу після того, як особі, на яку накладена санкція,  повідомлено про це рішення. Опублікування повинно включати в себе принаймні, інформацію про тип і характер порушення і особистість відповідальної особи. Держави-члени не зобов'язані застосовувати цей підпункт до рішень стосовно застосування заходів, які  є  слідчого характеру.</w:t>
      </w:r>
    </w:p>
    <w:p w:rsidR="003A1100" w:rsidRPr="00C03848" w:rsidRDefault="003A1100" w:rsidP="008B76F2">
      <w:pPr>
        <w:pStyle w:val="1"/>
        <w:shd w:val="clear" w:color="auto" w:fill="FFFFFF"/>
        <w:spacing w:before="0" w:beforeAutospacing="0" w:after="0" w:afterAutospacing="0"/>
        <w:jc w:val="both"/>
        <w:textAlignment w:val="baseline"/>
        <w:rPr>
          <w:lang w:val="uk-UA"/>
        </w:rPr>
      </w:pPr>
      <w:r w:rsidRPr="00C03848">
        <w:rPr>
          <w:lang w:val="uk-UA"/>
        </w:rPr>
        <w:t xml:space="preserve">Якщо публікація особистості відповідальних осіб, згаданих у першому підпункті або персональні дані таких осіб </w:t>
      </w:r>
      <w:r w:rsidR="00FC40BD" w:rsidRPr="00C03848">
        <w:rPr>
          <w:lang w:val="uk-UA"/>
        </w:rPr>
        <w:t>вважа</w:t>
      </w:r>
      <w:r w:rsidRPr="00C03848">
        <w:rPr>
          <w:lang w:val="uk-UA"/>
        </w:rPr>
        <w:t xml:space="preserve">ються компетентним органом невідповідними після </w:t>
      </w:r>
      <w:r w:rsidR="00FC40BD" w:rsidRPr="00C03848">
        <w:rPr>
          <w:lang w:val="uk-UA"/>
        </w:rPr>
        <w:t xml:space="preserve">здійснення </w:t>
      </w:r>
      <w:r w:rsidRPr="00C03848">
        <w:rPr>
          <w:lang w:val="uk-UA"/>
        </w:rPr>
        <w:t>оцін</w:t>
      </w:r>
      <w:r w:rsidR="00FC40BD" w:rsidRPr="00C03848">
        <w:rPr>
          <w:lang w:val="uk-UA"/>
        </w:rPr>
        <w:t>ювання</w:t>
      </w:r>
      <w:r w:rsidRPr="00C03848">
        <w:rPr>
          <w:lang w:val="uk-UA"/>
        </w:rPr>
        <w:t xml:space="preserve"> на основі порівняння випадків, проаналізованих на пропорційності публікації таких</w:t>
      </w:r>
      <w:r w:rsidR="00FC40BD" w:rsidRPr="00C03848">
        <w:rPr>
          <w:lang w:val="uk-UA"/>
        </w:rPr>
        <w:t xml:space="preserve"> </w:t>
      </w:r>
      <w:r w:rsidRPr="00C03848">
        <w:rPr>
          <w:lang w:val="uk-UA"/>
        </w:rPr>
        <w:t xml:space="preserve">даних або,  </w:t>
      </w:r>
      <w:r w:rsidR="00D35B40" w:rsidRPr="00C03848">
        <w:rPr>
          <w:lang w:val="uk-UA"/>
        </w:rPr>
        <w:t>якщо</w:t>
      </w:r>
      <w:r w:rsidRPr="00C03848">
        <w:rPr>
          <w:lang w:val="uk-UA"/>
        </w:rPr>
        <w:t xml:space="preserve"> публікація ставить під загрозу стабільність фінансових ринків або триваюче розслідування, компетентні органи повинні:</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E63719" w:rsidRPr="00C03848" w:rsidTr="00E6371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63719" w:rsidRPr="00C03848" w:rsidRDefault="00E63719" w:rsidP="008B76F2">
            <w:pPr>
              <w:pStyle w:val="1"/>
              <w:spacing w:before="0" w:beforeAutospacing="0" w:after="0" w:afterAutospacing="0"/>
              <w:jc w:val="both"/>
              <w:textAlignment w:val="baseline"/>
              <w:rPr>
                <w:lang w:val="uk-UA" w:eastAsia="uk-UA"/>
              </w:rPr>
            </w:pPr>
            <w:r w:rsidRPr="00C03848">
              <w:rPr>
                <w:lang w:val="uk-UA" w:eastAsia="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63719" w:rsidRPr="00C03848" w:rsidRDefault="00E63719" w:rsidP="008B76F2">
            <w:pPr>
              <w:pStyle w:val="1"/>
              <w:spacing w:before="0" w:beforeAutospacing="0" w:after="0" w:afterAutospacing="0"/>
              <w:jc w:val="both"/>
              <w:textAlignment w:val="baseline"/>
              <w:rPr>
                <w:lang w:val="uk-UA" w:eastAsia="uk-UA"/>
              </w:rPr>
            </w:pPr>
            <w:r w:rsidRPr="00C03848">
              <w:rPr>
                <w:lang w:val="uk-UA" w:eastAsia="uk-UA"/>
              </w:rPr>
              <w:t xml:space="preserve">відкласти публікацію рішення про призначення адміністративної санкції або заходу до того моменту, коли причини </w:t>
            </w:r>
            <w:r w:rsidR="00246E25" w:rsidRPr="00C03848">
              <w:rPr>
                <w:lang w:val="uk-UA" w:eastAsia="uk-UA"/>
              </w:rPr>
              <w:t xml:space="preserve">відкладення </w:t>
            </w:r>
            <w:r w:rsidRPr="00C03848">
              <w:rPr>
                <w:lang w:val="uk-UA" w:eastAsia="uk-UA"/>
              </w:rPr>
              <w:t>публік</w:t>
            </w:r>
            <w:r w:rsidR="00246E25" w:rsidRPr="00C03848">
              <w:rPr>
                <w:lang w:val="uk-UA" w:eastAsia="uk-UA"/>
              </w:rPr>
              <w:t xml:space="preserve">ації </w:t>
            </w:r>
            <w:r w:rsidRPr="00C03848">
              <w:rPr>
                <w:lang w:val="uk-UA" w:eastAsia="uk-UA"/>
              </w:rPr>
              <w:t>перестануть існувати;</w:t>
            </w:r>
          </w:p>
        </w:tc>
      </w:tr>
    </w:tbl>
    <w:p w:rsidR="00E63719" w:rsidRPr="00C03848" w:rsidRDefault="00E63719" w:rsidP="008B76F2">
      <w:pPr>
        <w:spacing w:after="0" w:line="240" w:lineRule="auto"/>
        <w:rPr>
          <w:rFonts w:ascii="Times New Roman" w:hAnsi="Times New Roman" w:cs="Times New Roman"/>
          <w:vanish/>
          <w:sz w:val="24"/>
          <w:szCs w:val="24"/>
          <w:lang w:val="uk-UA"/>
        </w:rPr>
      </w:pPr>
    </w:p>
    <w:tbl>
      <w:tblPr>
        <w:tblW w:w="506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433"/>
        <w:gridCol w:w="9141"/>
      </w:tblGrid>
      <w:tr w:rsidR="00E63719" w:rsidRPr="00C03848" w:rsidTr="00E6371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63719" w:rsidRPr="00C03848" w:rsidRDefault="00E63719" w:rsidP="008B76F2">
            <w:pPr>
              <w:pStyle w:val="1"/>
              <w:spacing w:before="0" w:beforeAutospacing="0" w:after="0" w:afterAutospacing="0"/>
              <w:jc w:val="both"/>
              <w:textAlignment w:val="baseline"/>
              <w:rPr>
                <w:lang w:val="uk-UA" w:eastAsia="uk-UA"/>
              </w:rPr>
            </w:pPr>
            <w:r w:rsidRPr="00C03848">
              <w:rPr>
                <w:lang w:val="uk-UA" w:eastAsia="uk-UA"/>
              </w:rPr>
              <w:t>(b)</w:t>
            </w:r>
          </w:p>
        </w:tc>
        <w:tc>
          <w:tcPr>
            <w:tcW w:w="4774"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E63719" w:rsidRPr="00C03848" w:rsidRDefault="00E63719" w:rsidP="008B76F2">
            <w:pPr>
              <w:pStyle w:val="1"/>
              <w:spacing w:before="0" w:beforeAutospacing="0" w:after="0" w:afterAutospacing="0"/>
              <w:jc w:val="both"/>
              <w:textAlignment w:val="baseline"/>
              <w:rPr>
                <w:lang w:val="uk-UA" w:eastAsia="uk-UA"/>
              </w:rPr>
            </w:pPr>
            <w:r w:rsidRPr="00C03848">
              <w:rPr>
                <w:lang w:val="uk-UA" w:eastAsia="uk-UA"/>
              </w:rPr>
              <w:t xml:space="preserve">публікувати </w:t>
            </w:r>
            <w:r w:rsidR="00246E25" w:rsidRPr="00C03848">
              <w:rPr>
                <w:lang w:val="uk-UA" w:eastAsia="uk-UA"/>
              </w:rPr>
              <w:t>рішення про наклада</w:t>
            </w:r>
            <w:r w:rsidRPr="00C03848">
              <w:rPr>
                <w:lang w:val="uk-UA" w:eastAsia="uk-UA"/>
              </w:rPr>
              <w:t>ння адміністративно</w:t>
            </w:r>
            <w:r w:rsidR="00246E25" w:rsidRPr="00C03848">
              <w:rPr>
                <w:lang w:val="uk-UA" w:eastAsia="uk-UA"/>
              </w:rPr>
              <w:t>ї санкції</w:t>
            </w:r>
            <w:r w:rsidRPr="00C03848">
              <w:rPr>
                <w:lang w:val="uk-UA" w:eastAsia="uk-UA"/>
              </w:rPr>
              <w:t xml:space="preserve"> або заходу на анонімній основі в порядку, відповідно до </w:t>
            </w:r>
            <w:r w:rsidR="00246E25" w:rsidRPr="00C03848">
              <w:rPr>
                <w:lang w:val="uk-UA" w:eastAsia="uk-UA"/>
              </w:rPr>
              <w:t xml:space="preserve">положень </w:t>
            </w:r>
            <w:r w:rsidRPr="00C03848">
              <w:rPr>
                <w:lang w:val="uk-UA" w:eastAsia="uk-UA"/>
              </w:rPr>
              <w:t>національного законодавства, якщо така анонімна публікація забезпечує ефективний захист персональних даних осіб; у разі прийняття рішення про публікацію адміністративно</w:t>
            </w:r>
            <w:r w:rsidR="00246E25" w:rsidRPr="00C03848">
              <w:rPr>
                <w:lang w:val="uk-UA" w:eastAsia="uk-UA"/>
              </w:rPr>
              <w:t xml:space="preserve">ї санкції </w:t>
            </w:r>
            <w:r w:rsidRPr="00C03848">
              <w:rPr>
                <w:lang w:val="uk-UA" w:eastAsia="uk-UA"/>
              </w:rPr>
              <w:t>або заходу на анонімній основі, публікація відповідних даних може бути відкладена протягом розумного періоду часу, якщо передбачається, що протягом цьог</w:t>
            </w:r>
            <w:r w:rsidR="00246E25" w:rsidRPr="00C03848">
              <w:rPr>
                <w:lang w:val="uk-UA" w:eastAsia="uk-UA"/>
              </w:rPr>
              <w:t xml:space="preserve">о </w:t>
            </w:r>
            <w:r w:rsidR="00AC3A3E" w:rsidRPr="00C03848">
              <w:rPr>
                <w:lang w:val="uk-UA" w:eastAsia="uk-UA"/>
              </w:rPr>
              <w:t>обґрунтованого</w:t>
            </w:r>
            <w:r w:rsidR="00246E25" w:rsidRPr="00C03848">
              <w:rPr>
                <w:lang w:val="uk-UA" w:eastAsia="uk-UA"/>
              </w:rPr>
              <w:t xml:space="preserve"> періоду часу, </w:t>
            </w:r>
            <w:r w:rsidRPr="00C03848">
              <w:rPr>
                <w:lang w:val="uk-UA" w:eastAsia="uk-UA"/>
              </w:rPr>
              <w:t>причин</w:t>
            </w:r>
            <w:r w:rsidR="00AC3A3E" w:rsidRPr="00C03848">
              <w:rPr>
                <w:lang w:val="uk-UA" w:eastAsia="uk-UA"/>
              </w:rPr>
              <w:t>и анонімного опубліку</w:t>
            </w:r>
            <w:r w:rsidR="00246E25" w:rsidRPr="00C03848">
              <w:rPr>
                <w:lang w:val="uk-UA" w:eastAsia="uk-UA"/>
              </w:rPr>
              <w:t>вання пови</w:t>
            </w:r>
            <w:r w:rsidRPr="00C03848">
              <w:rPr>
                <w:lang w:val="uk-UA" w:eastAsia="uk-UA"/>
              </w:rPr>
              <w:t xml:space="preserve">нні </w:t>
            </w:r>
            <w:r w:rsidR="00246E25" w:rsidRPr="00C03848">
              <w:rPr>
                <w:lang w:val="uk-UA" w:eastAsia="uk-UA"/>
              </w:rPr>
              <w:t>припинити своє існування</w:t>
            </w:r>
            <w:r w:rsidRPr="00C03848">
              <w:rPr>
                <w:lang w:val="uk-UA" w:eastAsia="uk-UA"/>
              </w:rPr>
              <w:t>;</w:t>
            </w:r>
          </w:p>
        </w:tc>
      </w:tr>
    </w:tbl>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2"/>
        <w:gridCol w:w="9088"/>
      </w:tblGrid>
      <w:tr w:rsidR="000A3F02" w:rsidRPr="00C03848" w:rsidTr="000A3F0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3F02" w:rsidRPr="00C03848" w:rsidRDefault="000A3F02" w:rsidP="008B76F2">
            <w:pPr>
              <w:pStyle w:val="1"/>
              <w:spacing w:before="0" w:beforeAutospacing="0" w:after="0" w:afterAutospacing="0"/>
              <w:jc w:val="both"/>
              <w:textAlignment w:val="baseline"/>
              <w:rPr>
                <w:lang w:val="uk-UA"/>
              </w:rPr>
            </w:pPr>
            <w:r w:rsidRPr="00C03848">
              <w:rPr>
                <w:lang w:val="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A3F02" w:rsidRPr="00C03848" w:rsidRDefault="000A3F02" w:rsidP="008B76F2">
            <w:pPr>
              <w:pStyle w:val="1"/>
              <w:spacing w:before="0" w:beforeAutospacing="0" w:after="0" w:afterAutospacing="0"/>
              <w:jc w:val="both"/>
              <w:textAlignment w:val="baseline"/>
              <w:rPr>
                <w:lang w:val="uk-UA"/>
              </w:rPr>
            </w:pPr>
            <w:r w:rsidRPr="00C03848">
              <w:rPr>
                <w:lang w:val="uk-UA"/>
              </w:rPr>
              <w:t>не публікувати рішення про накладання адміністративної санкції або заходу у всіх у випадках, якщо варіанти, викладені в пунктах (а) і (b) розглядаються недостатніми для забезпечення:</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99"/>
              <w:gridCol w:w="8568"/>
            </w:tblGrid>
            <w:tr w:rsidR="000A3F02"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3F02" w:rsidRPr="00C03848" w:rsidRDefault="000A3F02" w:rsidP="008B76F2">
                  <w:pPr>
                    <w:pStyle w:val="1"/>
                    <w:spacing w:before="0" w:beforeAutospacing="0" w:after="0" w:afterAutospacing="0"/>
                    <w:jc w:val="both"/>
                    <w:textAlignment w:val="baseline"/>
                    <w:rPr>
                      <w:lang w:val="uk-UA" w:eastAsia="uk-UA"/>
                    </w:rPr>
                  </w:pPr>
                  <w:r w:rsidRPr="00C03848">
                    <w:rPr>
                      <w:lang w:val="uk-UA" w:eastAsia="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3F02" w:rsidRPr="00C03848" w:rsidRDefault="000A3F02" w:rsidP="008B76F2">
                  <w:pPr>
                    <w:pStyle w:val="1"/>
                    <w:spacing w:before="0" w:beforeAutospacing="0" w:after="0" w:afterAutospacing="0"/>
                    <w:jc w:val="both"/>
                    <w:textAlignment w:val="baseline"/>
                    <w:rPr>
                      <w:lang w:val="uk-UA" w:eastAsia="uk-UA"/>
                    </w:rPr>
                  </w:pPr>
                  <w:r w:rsidRPr="00C03848">
                    <w:rPr>
                      <w:lang w:val="uk-UA" w:eastAsia="uk-UA"/>
                    </w:rPr>
                    <w:t>що стабільність фінансових ринків могла би не бути поставлена під загрозу; або</w:t>
                  </w:r>
                </w:p>
              </w:tc>
            </w:tr>
            <w:tr w:rsidR="000A3F02"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3F02" w:rsidRPr="00C03848" w:rsidRDefault="000A3F02" w:rsidP="008B76F2">
                  <w:pPr>
                    <w:pStyle w:val="1"/>
                    <w:spacing w:before="0" w:beforeAutospacing="0" w:after="0" w:afterAutospacing="0"/>
                    <w:jc w:val="both"/>
                    <w:textAlignment w:val="baseline"/>
                    <w:rPr>
                      <w:lang w:val="uk-UA" w:eastAsia="uk-UA"/>
                    </w:rPr>
                  </w:pPr>
                  <w:r w:rsidRPr="00C03848">
                    <w:rPr>
                      <w:lang w:val="uk-UA" w:eastAsia="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A3F02" w:rsidRPr="00C03848" w:rsidRDefault="000A3F02" w:rsidP="008B76F2">
                  <w:pPr>
                    <w:pStyle w:val="1"/>
                    <w:spacing w:before="0" w:beforeAutospacing="0" w:after="0" w:afterAutospacing="0"/>
                    <w:jc w:val="both"/>
                    <w:textAlignment w:val="baseline"/>
                    <w:rPr>
                      <w:lang w:val="uk-UA" w:eastAsia="uk-UA"/>
                    </w:rPr>
                  </w:pPr>
                  <w:r w:rsidRPr="00C03848">
                    <w:rPr>
                      <w:lang w:val="uk-UA" w:eastAsia="uk-UA"/>
                    </w:rPr>
                    <w:t>пропорційність опублікування рішення по відношенню до  заходів, які є, як вважається,  незначного характеру.</w:t>
                  </w:r>
                </w:p>
              </w:tc>
            </w:tr>
          </w:tbl>
          <w:p w:rsidR="000A3F02" w:rsidRPr="00C03848" w:rsidRDefault="000A3F02" w:rsidP="008B76F2">
            <w:pPr>
              <w:pStyle w:val="1"/>
              <w:spacing w:before="0" w:beforeAutospacing="0" w:after="0" w:afterAutospacing="0"/>
              <w:jc w:val="both"/>
              <w:textAlignment w:val="baseline"/>
              <w:rPr>
                <w:lang w:val="uk-UA"/>
              </w:rPr>
            </w:pPr>
          </w:p>
        </w:tc>
      </w:tr>
    </w:tbl>
    <w:p w:rsidR="00076CFA" w:rsidRPr="00C03848" w:rsidRDefault="00076CFA" w:rsidP="008B76F2">
      <w:pPr>
        <w:pStyle w:val="1"/>
        <w:shd w:val="clear" w:color="auto" w:fill="FFFFFF"/>
        <w:spacing w:before="0" w:beforeAutospacing="0" w:after="0" w:afterAutospacing="0"/>
        <w:jc w:val="both"/>
        <w:textAlignment w:val="baseline"/>
        <w:rPr>
          <w:lang w:val="uk-UA"/>
        </w:rPr>
      </w:pPr>
      <w:r w:rsidRPr="00C03848">
        <w:rPr>
          <w:lang w:val="uk-UA"/>
        </w:rPr>
        <w:t xml:space="preserve">2.    </w:t>
      </w:r>
      <w:r w:rsidR="00CF52F4" w:rsidRPr="00C03848">
        <w:rPr>
          <w:lang w:val="uk-UA"/>
        </w:rPr>
        <w:t>Якщо</w:t>
      </w:r>
      <w:r w:rsidRPr="00C03848">
        <w:rPr>
          <w:lang w:val="uk-UA"/>
        </w:rPr>
        <w:t xml:space="preserve"> держави-члени дозволяють публікацію рішень, проти яких є оскарження, компетентні органи повинні також публікувати відразу, на своєму офіційному сайті таку інформацію і подальшу інформацію про результати такого оскарження. Крім того, будь-</w:t>
      </w:r>
      <w:r w:rsidRPr="00C03848">
        <w:rPr>
          <w:lang w:val="uk-UA"/>
        </w:rPr>
        <w:lastRenderedPageBreak/>
        <w:t>яке рішення, яке анулює попереднє рішення про накладання адміністративної санкції або заходів, також повинн</w:t>
      </w:r>
      <w:r w:rsidR="00CF52F4" w:rsidRPr="00C03848">
        <w:rPr>
          <w:lang w:val="uk-UA"/>
        </w:rPr>
        <w:t>о</w:t>
      </w:r>
      <w:r w:rsidRPr="00C03848">
        <w:rPr>
          <w:lang w:val="uk-UA"/>
        </w:rPr>
        <w:t xml:space="preserve"> бути опублікован</w:t>
      </w:r>
      <w:r w:rsidR="00CF52F4" w:rsidRPr="00C03848">
        <w:rPr>
          <w:lang w:val="uk-UA"/>
        </w:rPr>
        <w:t>е</w:t>
      </w:r>
      <w:r w:rsidRPr="00C03848">
        <w:rPr>
          <w:lang w:val="uk-UA"/>
        </w:rPr>
        <w:t>.</w:t>
      </w:r>
    </w:p>
    <w:p w:rsidR="00076CFA" w:rsidRPr="00C03848" w:rsidRDefault="00076CFA" w:rsidP="008B76F2">
      <w:pPr>
        <w:pStyle w:val="1"/>
        <w:shd w:val="clear" w:color="auto" w:fill="FFFFFF"/>
        <w:spacing w:before="0" w:beforeAutospacing="0" w:after="0" w:afterAutospacing="0"/>
        <w:jc w:val="both"/>
        <w:textAlignment w:val="baseline"/>
        <w:rPr>
          <w:lang w:val="uk-UA"/>
        </w:rPr>
      </w:pPr>
      <w:r w:rsidRPr="00C03848">
        <w:rPr>
          <w:lang w:val="uk-UA"/>
        </w:rPr>
        <w:t>3.    Компетентні органи повинні забезпечити, щоб будь-яка публікація відповідно до цієї Статті повинна залишатися на своєму офіційному сайті протягом п'яти років після її опублікування. Тим не менш, особисті дані, що містяться в публікації, повинні бути тільки на офіційному сайті компетентного органу на період, який необхідний у відповідності з діючими правилами захисту даних.</w:t>
      </w:r>
    </w:p>
    <w:p w:rsidR="00076CFA" w:rsidRPr="00C03848" w:rsidRDefault="00076CFA" w:rsidP="008B76F2">
      <w:pPr>
        <w:pStyle w:val="1"/>
        <w:shd w:val="clear" w:color="auto" w:fill="FFFFFF"/>
        <w:spacing w:before="0" w:beforeAutospacing="0" w:after="0" w:afterAutospacing="0"/>
        <w:jc w:val="both"/>
        <w:textAlignment w:val="baseline"/>
        <w:rPr>
          <w:lang w:val="uk-UA"/>
        </w:rPr>
      </w:pPr>
      <w:r w:rsidRPr="00C03848">
        <w:rPr>
          <w:lang w:val="uk-UA"/>
        </w:rPr>
        <w:t>4.   Держави-члени повинні забезпечити, що при визначенні виду та рівня адміністративних санкцій чи заходів, компетентні органи повинні брати до уваги всі відповідні обставини, включаючи, у доречних випадках:</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901"/>
        <w:gridCol w:w="8559"/>
      </w:tblGrid>
      <w:tr w:rsidR="00A1533A" w:rsidRPr="00C03848" w:rsidTr="00A1533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1533A" w:rsidRPr="00C03848" w:rsidRDefault="00A1533A" w:rsidP="008B76F2">
            <w:pPr>
              <w:pStyle w:val="1"/>
              <w:spacing w:before="0" w:beforeAutospacing="0" w:after="0" w:afterAutospacing="0"/>
              <w:jc w:val="both"/>
              <w:textAlignment w:val="baseline"/>
              <w:rPr>
                <w:lang w:val="uk-UA" w:eastAsia="uk-UA"/>
              </w:rPr>
            </w:pPr>
            <w:r w:rsidRPr="00C03848">
              <w:rPr>
                <w:lang w:val="uk-UA" w:eastAsia="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1533A" w:rsidRPr="00C03848" w:rsidRDefault="00A1533A" w:rsidP="008B76F2">
            <w:pPr>
              <w:pStyle w:val="1"/>
              <w:spacing w:before="0" w:beforeAutospacing="0" w:after="0" w:afterAutospacing="0"/>
              <w:jc w:val="both"/>
              <w:textAlignment w:val="baseline"/>
              <w:rPr>
                <w:lang w:val="uk-UA" w:eastAsia="uk-UA"/>
              </w:rPr>
            </w:pPr>
            <w:r w:rsidRPr="00C03848">
              <w:rPr>
                <w:lang w:val="uk-UA" w:eastAsia="uk-UA"/>
              </w:rPr>
              <w:t>тяжкість і тривалість порушення;</w:t>
            </w:r>
          </w:p>
        </w:tc>
      </w:tr>
    </w:tbl>
    <w:p w:rsidR="00A1533A" w:rsidRPr="00C03848" w:rsidRDefault="00A1533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A1533A" w:rsidRPr="00C03848" w:rsidTr="00A1533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1533A" w:rsidRPr="00C03848" w:rsidRDefault="00A1533A" w:rsidP="008B76F2">
            <w:pPr>
              <w:pStyle w:val="1"/>
              <w:spacing w:before="0" w:beforeAutospacing="0" w:after="0" w:afterAutospacing="0"/>
              <w:jc w:val="both"/>
              <w:textAlignment w:val="baseline"/>
              <w:rPr>
                <w:lang w:val="uk-UA" w:eastAsia="uk-UA"/>
              </w:rPr>
            </w:pPr>
            <w:r w:rsidRPr="00C03848">
              <w:rPr>
                <w:lang w:val="uk-UA" w:eastAsia="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1533A" w:rsidRPr="00C03848" w:rsidRDefault="00A1533A" w:rsidP="008B76F2">
            <w:pPr>
              <w:pStyle w:val="1"/>
              <w:spacing w:before="0" w:beforeAutospacing="0" w:after="0" w:afterAutospacing="0"/>
              <w:jc w:val="both"/>
              <w:textAlignment w:val="baseline"/>
              <w:rPr>
                <w:lang w:val="uk-UA" w:eastAsia="uk-UA"/>
              </w:rPr>
            </w:pPr>
            <w:r w:rsidRPr="00C03848">
              <w:rPr>
                <w:lang w:val="uk-UA" w:eastAsia="uk-UA"/>
              </w:rPr>
              <w:t>ступінь відповідальності фізичної або юридичної особи, яка притягається до відповідальності;</w:t>
            </w:r>
          </w:p>
        </w:tc>
      </w:tr>
    </w:tbl>
    <w:p w:rsidR="00A1533A" w:rsidRPr="00C03848" w:rsidRDefault="00A1533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A1533A" w:rsidRPr="00C03848" w:rsidTr="00A1533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1533A" w:rsidRPr="00C03848" w:rsidRDefault="00A1533A" w:rsidP="008B76F2">
            <w:pPr>
              <w:pStyle w:val="1"/>
              <w:spacing w:before="0" w:beforeAutospacing="0" w:after="0" w:afterAutospacing="0"/>
              <w:jc w:val="both"/>
              <w:textAlignment w:val="baseline"/>
              <w:rPr>
                <w:lang w:val="uk-UA" w:eastAsia="uk-UA"/>
              </w:rPr>
            </w:pPr>
            <w:r w:rsidRPr="00C03848">
              <w:rPr>
                <w:lang w:val="uk-UA" w:eastAsia="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1533A" w:rsidRPr="00C03848" w:rsidRDefault="00B00147" w:rsidP="008B76F2">
            <w:pPr>
              <w:pStyle w:val="1"/>
              <w:spacing w:before="0" w:beforeAutospacing="0" w:after="0" w:afterAutospacing="0"/>
              <w:jc w:val="both"/>
              <w:textAlignment w:val="baseline"/>
              <w:rPr>
                <w:lang w:val="uk-UA" w:eastAsia="uk-UA"/>
              </w:rPr>
            </w:pPr>
            <w:r w:rsidRPr="00C03848">
              <w:rPr>
                <w:lang w:val="uk-UA" w:eastAsia="uk-UA"/>
              </w:rPr>
              <w:t>ф</w:t>
            </w:r>
            <w:r w:rsidR="00A1533A" w:rsidRPr="00C03848">
              <w:rPr>
                <w:lang w:val="uk-UA" w:eastAsia="uk-UA"/>
              </w:rPr>
              <w:t>інансов</w:t>
            </w:r>
            <w:r w:rsidRPr="00C03848">
              <w:rPr>
                <w:lang w:val="uk-UA" w:eastAsia="uk-UA"/>
              </w:rPr>
              <w:t xml:space="preserve">ий стан </w:t>
            </w:r>
            <w:r w:rsidR="00A1533A" w:rsidRPr="00C03848">
              <w:rPr>
                <w:lang w:val="uk-UA" w:eastAsia="uk-UA"/>
              </w:rPr>
              <w:t>фіз</w:t>
            </w:r>
            <w:r w:rsidRPr="00C03848">
              <w:rPr>
                <w:lang w:val="uk-UA" w:eastAsia="uk-UA"/>
              </w:rPr>
              <w:t xml:space="preserve">ичної або юридичної особи, яка </w:t>
            </w:r>
            <w:r w:rsidR="00A1533A" w:rsidRPr="00C03848">
              <w:rPr>
                <w:lang w:val="uk-UA" w:eastAsia="uk-UA"/>
              </w:rPr>
              <w:t>несе відповідальність, як</w:t>
            </w:r>
            <w:r w:rsidRPr="00C03848">
              <w:rPr>
                <w:lang w:val="uk-UA" w:eastAsia="uk-UA"/>
              </w:rPr>
              <w:t>а визначається</w:t>
            </w:r>
            <w:r w:rsidR="00A1533A" w:rsidRPr="00C03848">
              <w:rPr>
                <w:lang w:val="uk-UA" w:eastAsia="uk-UA"/>
              </w:rPr>
              <w:t>, наприклад, загальним оборотом юридичної особи, яка притягається до відповідальності або річним доходом фізичної особи, яка притягається до відповідальності;</w:t>
            </w:r>
          </w:p>
        </w:tc>
      </w:tr>
    </w:tbl>
    <w:p w:rsidR="00A1533A" w:rsidRPr="00C03848" w:rsidRDefault="00A1533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A1533A" w:rsidRPr="00C03848" w:rsidTr="00A1533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1533A" w:rsidRPr="00C03848" w:rsidRDefault="00A1533A" w:rsidP="008B76F2">
            <w:pPr>
              <w:pStyle w:val="1"/>
              <w:spacing w:before="0" w:beforeAutospacing="0" w:after="0" w:afterAutospacing="0"/>
              <w:jc w:val="both"/>
              <w:textAlignment w:val="baseline"/>
              <w:rPr>
                <w:lang w:val="uk-UA" w:eastAsia="uk-UA"/>
              </w:rPr>
            </w:pPr>
            <w:r w:rsidRPr="00C03848">
              <w:rPr>
                <w:lang w:val="uk-UA" w:eastAsia="uk-UA"/>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1533A" w:rsidRPr="00C03848" w:rsidRDefault="00A1533A" w:rsidP="008B76F2">
            <w:pPr>
              <w:pStyle w:val="1"/>
              <w:spacing w:before="0" w:beforeAutospacing="0" w:after="0" w:afterAutospacing="0"/>
              <w:jc w:val="both"/>
              <w:textAlignment w:val="baseline"/>
              <w:rPr>
                <w:lang w:val="uk-UA" w:eastAsia="uk-UA"/>
              </w:rPr>
            </w:pPr>
            <w:r w:rsidRPr="00C03848">
              <w:rPr>
                <w:lang w:val="uk-UA" w:eastAsia="uk-UA"/>
              </w:rPr>
              <w:t>вигоду, отриману від порушення фізичною або юридичною особою, яка несе відповідальність, настільки вона може бути визначена;</w:t>
            </w:r>
          </w:p>
        </w:tc>
      </w:tr>
    </w:tbl>
    <w:p w:rsidR="00A1533A" w:rsidRPr="00C03848" w:rsidRDefault="00A1533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3"/>
        <w:gridCol w:w="9077"/>
      </w:tblGrid>
      <w:tr w:rsidR="00A1533A" w:rsidRPr="00C03848" w:rsidTr="00A1533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1533A" w:rsidRPr="00C03848" w:rsidRDefault="00A1533A" w:rsidP="008B76F2">
            <w:pPr>
              <w:pStyle w:val="1"/>
              <w:spacing w:before="0" w:beforeAutospacing="0" w:after="0" w:afterAutospacing="0"/>
              <w:jc w:val="both"/>
              <w:textAlignment w:val="baseline"/>
              <w:rPr>
                <w:lang w:val="uk-UA" w:eastAsia="uk-UA"/>
              </w:rPr>
            </w:pPr>
            <w:r w:rsidRPr="00C03848">
              <w:rPr>
                <w:lang w:val="uk-UA" w:eastAsia="uk-UA"/>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1533A" w:rsidRPr="00C03848" w:rsidRDefault="00B00147" w:rsidP="008B76F2">
            <w:pPr>
              <w:pStyle w:val="1"/>
              <w:spacing w:before="0" w:beforeAutospacing="0" w:after="0" w:afterAutospacing="0"/>
              <w:jc w:val="both"/>
              <w:textAlignment w:val="baseline"/>
              <w:rPr>
                <w:lang w:val="uk-UA" w:eastAsia="uk-UA"/>
              </w:rPr>
            </w:pPr>
            <w:r w:rsidRPr="00C03848">
              <w:rPr>
                <w:lang w:val="uk-UA" w:eastAsia="uk-UA"/>
              </w:rPr>
              <w:t>втрати третіх сторін</w:t>
            </w:r>
            <w:r w:rsidR="00A1533A" w:rsidRPr="00C03848">
              <w:rPr>
                <w:lang w:val="uk-UA" w:eastAsia="uk-UA"/>
              </w:rPr>
              <w:t>, викликані порушенням, настільки вони можуть бути визначені;</w:t>
            </w:r>
          </w:p>
        </w:tc>
      </w:tr>
    </w:tbl>
    <w:p w:rsidR="00A1533A" w:rsidRPr="00C03848" w:rsidRDefault="00A1533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45"/>
        <w:gridCol w:w="9115"/>
      </w:tblGrid>
      <w:tr w:rsidR="00A1533A" w:rsidRPr="00C03848" w:rsidTr="00A1533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1533A" w:rsidRPr="00C03848" w:rsidRDefault="00A1533A" w:rsidP="008B76F2">
            <w:pPr>
              <w:pStyle w:val="1"/>
              <w:spacing w:before="0" w:beforeAutospacing="0" w:after="0" w:afterAutospacing="0"/>
              <w:jc w:val="both"/>
              <w:textAlignment w:val="baseline"/>
              <w:rPr>
                <w:lang w:val="uk-UA" w:eastAsia="uk-UA"/>
              </w:rPr>
            </w:pPr>
            <w:r w:rsidRPr="00C03848">
              <w:rPr>
                <w:lang w:val="uk-UA" w:eastAsia="uk-UA"/>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1533A" w:rsidRPr="00C03848" w:rsidRDefault="00A1533A" w:rsidP="008B76F2">
            <w:pPr>
              <w:pStyle w:val="1"/>
              <w:spacing w:before="0" w:beforeAutospacing="0" w:after="0" w:afterAutospacing="0"/>
              <w:jc w:val="both"/>
              <w:textAlignment w:val="baseline"/>
              <w:rPr>
                <w:lang w:val="uk-UA" w:eastAsia="uk-UA"/>
              </w:rPr>
            </w:pPr>
            <w:r w:rsidRPr="00C03848">
              <w:rPr>
                <w:lang w:val="uk-UA" w:eastAsia="uk-UA"/>
              </w:rPr>
              <w:t>рівень співпраці фізичної або юридичної особи, яка  несе відповідальність, з компетентним органом;</w:t>
            </w:r>
          </w:p>
        </w:tc>
      </w:tr>
    </w:tbl>
    <w:p w:rsidR="00A1533A" w:rsidRPr="00C03848" w:rsidRDefault="00A1533A"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8"/>
        <w:gridCol w:w="9072"/>
      </w:tblGrid>
      <w:tr w:rsidR="00A1533A" w:rsidRPr="00C03848" w:rsidTr="00A1533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1533A" w:rsidRPr="00C03848" w:rsidRDefault="00A1533A" w:rsidP="008B76F2">
            <w:pPr>
              <w:pStyle w:val="1"/>
              <w:spacing w:before="0" w:beforeAutospacing="0" w:after="0" w:afterAutospacing="0"/>
              <w:jc w:val="both"/>
              <w:textAlignment w:val="baseline"/>
              <w:rPr>
                <w:lang w:val="uk-UA" w:eastAsia="uk-UA"/>
              </w:rPr>
            </w:pPr>
            <w:r w:rsidRPr="00C03848">
              <w:rPr>
                <w:lang w:val="uk-UA" w:eastAsia="uk-UA"/>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1533A" w:rsidRPr="00C03848" w:rsidRDefault="00A1533A" w:rsidP="008B76F2">
            <w:pPr>
              <w:pStyle w:val="1"/>
              <w:spacing w:before="0" w:beforeAutospacing="0" w:after="0" w:afterAutospacing="0"/>
              <w:jc w:val="both"/>
              <w:textAlignment w:val="baseline"/>
              <w:rPr>
                <w:lang w:val="uk-UA" w:eastAsia="uk-UA"/>
              </w:rPr>
            </w:pPr>
            <w:r w:rsidRPr="00C03848">
              <w:rPr>
                <w:lang w:val="uk-UA" w:eastAsia="uk-UA"/>
              </w:rPr>
              <w:t>попередні порушення з боку фізичної або юридичної особи, яка несе відповідальність.</w:t>
            </w:r>
          </w:p>
        </w:tc>
      </w:tr>
    </w:tbl>
    <w:p w:rsidR="00C07AC9" w:rsidRPr="00C03848" w:rsidRDefault="00A47DF1" w:rsidP="008B76F2">
      <w:pPr>
        <w:spacing w:after="0" w:line="240" w:lineRule="auto"/>
        <w:jc w:val="both"/>
        <w:rPr>
          <w:rFonts w:ascii="Times New Roman" w:hAnsi="Times New Roman" w:cs="Times New Roman"/>
          <w:vanish/>
          <w:sz w:val="24"/>
          <w:szCs w:val="24"/>
          <w:lang w:val="uk-UA"/>
        </w:rPr>
      </w:pPr>
      <w:r w:rsidRPr="00C03848">
        <w:rPr>
          <w:rFonts w:ascii="Times New Roman" w:hAnsi="Times New Roman" w:cs="Times New Roman"/>
          <w:sz w:val="24"/>
          <w:szCs w:val="24"/>
          <w:lang w:val="uk-UA"/>
        </w:rPr>
        <w:t>5.    Держави-члени повинні забезпечити, що юридичні особи можуть бути притягнуті до відповідальності за порушення, згадані в Статті 59 (1), вчинені в їх інтересах будь-якою особою, діючи індивідуально або в складі органу цієї юридичної особи, і маючі лідируючу позицію в рамках юридичної особи, на основі будь-чого наступного:</w:t>
      </w:r>
    </w:p>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p w:rsidR="00620599" w:rsidRPr="00C03848" w:rsidRDefault="00620599" w:rsidP="008B76F2">
      <w:pPr>
        <w:pStyle w:val="1"/>
        <w:shd w:val="clear" w:color="auto" w:fill="FFFFFF"/>
        <w:spacing w:before="0" w:beforeAutospacing="0" w:after="0" w:afterAutospacing="0"/>
        <w:jc w:val="both"/>
        <w:textAlignment w:val="baseline"/>
        <w:rPr>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676"/>
        <w:gridCol w:w="8784"/>
      </w:tblGrid>
      <w:tr w:rsidR="004D058F" w:rsidRPr="00C03848" w:rsidTr="004D058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D058F" w:rsidRPr="00C03848" w:rsidRDefault="004D058F" w:rsidP="008B76F2">
            <w:pPr>
              <w:pStyle w:val="1"/>
              <w:spacing w:before="0" w:beforeAutospacing="0" w:after="0" w:afterAutospacing="0"/>
              <w:jc w:val="both"/>
              <w:textAlignment w:val="baseline"/>
              <w:rPr>
                <w:lang w:val="uk-UA" w:eastAsia="uk-UA"/>
              </w:rPr>
            </w:pPr>
            <w:r w:rsidRPr="00C03848">
              <w:rPr>
                <w:lang w:val="uk-UA" w:eastAsia="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D058F" w:rsidRPr="00C03848" w:rsidRDefault="004D058F" w:rsidP="008B76F2">
            <w:pPr>
              <w:pStyle w:val="1"/>
              <w:spacing w:before="0" w:beforeAutospacing="0" w:after="0" w:afterAutospacing="0"/>
              <w:jc w:val="both"/>
              <w:textAlignment w:val="baseline"/>
              <w:rPr>
                <w:lang w:val="uk-UA" w:eastAsia="uk-UA"/>
              </w:rPr>
            </w:pPr>
            <w:r w:rsidRPr="00C03848">
              <w:rPr>
                <w:lang w:val="uk-UA" w:eastAsia="uk-UA"/>
              </w:rPr>
              <w:t>повноваження представляти юридичну особу;</w:t>
            </w:r>
          </w:p>
        </w:tc>
      </w:tr>
    </w:tbl>
    <w:p w:rsidR="004D058F" w:rsidRPr="00C03848" w:rsidRDefault="004D058F"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508"/>
        <w:gridCol w:w="8952"/>
      </w:tblGrid>
      <w:tr w:rsidR="004D058F" w:rsidRPr="00C03848" w:rsidTr="004D058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D058F" w:rsidRPr="00C03848" w:rsidRDefault="004D058F" w:rsidP="008B76F2">
            <w:pPr>
              <w:pStyle w:val="1"/>
              <w:spacing w:before="0" w:beforeAutospacing="0" w:after="0" w:afterAutospacing="0"/>
              <w:jc w:val="both"/>
              <w:textAlignment w:val="baseline"/>
              <w:rPr>
                <w:lang w:val="uk-UA" w:eastAsia="uk-UA"/>
              </w:rPr>
            </w:pPr>
            <w:r w:rsidRPr="00C03848">
              <w:rPr>
                <w:lang w:val="uk-UA" w:eastAsia="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D058F" w:rsidRPr="00C03848" w:rsidRDefault="004D058F" w:rsidP="008B76F2">
            <w:pPr>
              <w:pStyle w:val="1"/>
              <w:spacing w:before="0" w:beforeAutospacing="0" w:after="0" w:afterAutospacing="0"/>
              <w:jc w:val="both"/>
              <w:textAlignment w:val="baseline"/>
              <w:rPr>
                <w:lang w:val="uk-UA" w:eastAsia="uk-UA"/>
              </w:rPr>
            </w:pPr>
            <w:r w:rsidRPr="00C03848">
              <w:rPr>
                <w:lang w:val="uk-UA" w:eastAsia="uk-UA"/>
              </w:rPr>
              <w:t>повноваження приймати рішення від імені юридичної особи; або</w:t>
            </w:r>
          </w:p>
        </w:tc>
      </w:tr>
    </w:tbl>
    <w:p w:rsidR="004D058F" w:rsidRPr="00C03848" w:rsidRDefault="004D058F"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489"/>
        <w:gridCol w:w="8971"/>
      </w:tblGrid>
      <w:tr w:rsidR="004D058F" w:rsidRPr="00C03848" w:rsidTr="004D058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D058F" w:rsidRPr="00C03848" w:rsidRDefault="004D058F" w:rsidP="008B76F2">
            <w:pPr>
              <w:pStyle w:val="1"/>
              <w:spacing w:before="0" w:beforeAutospacing="0" w:after="0" w:afterAutospacing="0"/>
              <w:jc w:val="both"/>
              <w:textAlignment w:val="baseline"/>
              <w:rPr>
                <w:lang w:val="uk-UA" w:eastAsia="uk-UA"/>
              </w:rPr>
            </w:pPr>
            <w:r w:rsidRPr="00C03848">
              <w:rPr>
                <w:lang w:val="uk-UA" w:eastAsia="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D058F" w:rsidRPr="00C03848" w:rsidRDefault="004D058F" w:rsidP="008B76F2">
            <w:pPr>
              <w:pStyle w:val="1"/>
              <w:spacing w:before="0" w:beforeAutospacing="0" w:after="0" w:afterAutospacing="0"/>
              <w:jc w:val="both"/>
              <w:textAlignment w:val="baseline"/>
              <w:rPr>
                <w:lang w:val="uk-UA" w:eastAsia="uk-UA"/>
              </w:rPr>
            </w:pPr>
            <w:r w:rsidRPr="00C03848">
              <w:rPr>
                <w:lang w:val="uk-UA" w:eastAsia="uk-UA"/>
              </w:rPr>
              <w:t>повноваження  здійснювати контроль в рамках юридичної особи.</w:t>
            </w:r>
          </w:p>
        </w:tc>
      </w:tr>
    </w:tbl>
    <w:p w:rsidR="004D058F" w:rsidRPr="00C03848" w:rsidRDefault="004D058F" w:rsidP="008B76F2">
      <w:pPr>
        <w:pStyle w:val="1"/>
        <w:shd w:val="clear" w:color="auto" w:fill="FFFFFF"/>
        <w:spacing w:before="0" w:beforeAutospacing="0" w:after="0" w:afterAutospacing="0"/>
        <w:jc w:val="both"/>
        <w:textAlignment w:val="baseline"/>
        <w:rPr>
          <w:lang w:val="uk-UA"/>
        </w:rPr>
      </w:pPr>
      <w:r w:rsidRPr="00C03848">
        <w:rPr>
          <w:lang w:val="uk-UA"/>
        </w:rPr>
        <w:t>6.    Держави-члени повинні також забезпечити, що юридичні особи можуть бути притягнуті до відповідальності, коли відсутність нагляду або контролю з боку особи, зазначеної в пункті 5 цієї Статті,  дозволило здійснити одне з порушень, передбачених у Статті 59 (1) на користь цієї юридичної особи особою, під її керівництвом.</w:t>
      </w:r>
    </w:p>
    <w:p w:rsidR="00C07AC9" w:rsidRPr="00C03848" w:rsidRDefault="00C07AC9" w:rsidP="008B76F2">
      <w:pPr>
        <w:spacing w:after="0" w:line="240" w:lineRule="auto"/>
        <w:rPr>
          <w:rFonts w:ascii="Times New Roman" w:hAnsi="Times New Roman" w:cs="Times New Roman"/>
          <w:vanish/>
          <w:sz w:val="24"/>
          <w:szCs w:val="24"/>
          <w:lang w:val="uk-UA"/>
        </w:rPr>
      </w:pPr>
    </w:p>
    <w:p w:rsidR="00761E63" w:rsidRPr="00C03848" w:rsidRDefault="00761E63"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61</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0F43B7" w:rsidRPr="00C03848" w:rsidRDefault="000F43B7" w:rsidP="008B76F2">
      <w:pPr>
        <w:pStyle w:val="1"/>
        <w:shd w:val="clear" w:color="auto" w:fill="FFFFFF"/>
        <w:spacing w:before="0" w:beforeAutospacing="0" w:after="0" w:afterAutospacing="0"/>
        <w:jc w:val="both"/>
        <w:textAlignment w:val="baseline"/>
        <w:rPr>
          <w:lang w:val="uk-UA"/>
        </w:rPr>
      </w:pPr>
      <w:r w:rsidRPr="00C03848">
        <w:rPr>
          <w:lang w:val="uk-UA"/>
        </w:rPr>
        <w:t xml:space="preserve">1.    Держави-члени повинні забезпечити, що компетентні органи створюють ефективні та надійні механізми, які заохочують звітування в компетентні органи про потенційні або реальні порушення положень національного </w:t>
      </w:r>
      <w:r w:rsidR="00CF52F4" w:rsidRPr="00C03848">
        <w:rPr>
          <w:lang w:val="uk-UA"/>
        </w:rPr>
        <w:t xml:space="preserve">законодавства, що транспонують </w:t>
      </w:r>
      <w:r w:rsidRPr="00C03848">
        <w:rPr>
          <w:lang w:val="uk-UA"/>
        </w:rPr>
        <w:t>цю Директиву.</w:t>
      </w:r>
    </w:p>
    <w:p w:rsidR="000F43B7" w:rsidRPr="00C03848" w:rsidRDefault="000F43B7" w:rsidP="008B76F2">
      <w:pPr>
        <w:pStyle w:val="1"/>
        <w:shd w:val="clear" w:color="auto" w:fill="FFFFFF"/>
        <w:spacing w:before="0" w:beforeAutospacing="0" w:after="0" w:afterAutospacing="0"/>
        <w:jc w:val="both"/>
        <w:textAlignment w:val="baseline"/>
        <w:rPr>
          <w:lang w:val="uk-UA"/>
        </w:rPr>
      </w:pPr>
      <w:r w:rsidRPr="00C03848">
        <w:rPr>
          <w:lang w:val="uk-UA"/>
        </w:rPr>
        <w:t>2.    Механізми, які зазначені в абзаці 1, повинні включати в себе принаймні:</w:t>
      </w:r>
    </w:p>
    <w:p w:rsidR="00C07AC9" w:rsidRPr="00C03848" w:rsidRDefault="00C07AC9" w:rsidP="008B76F2">
      <w:pPr>
        <w:spacing w:after="0" w:line="240" w:lineRule="auto"/>
        <w:rPr>
          <w:rFonts w:ascii="Times New Roman" w:hAnsi="Times New Roman" w:cs="Times New Roman"/>
          <w:vanish/>
          <w:sz w:val="24"/>
          <w:szCs w:val="24"/>
          <w:lang w:val="uk-UA"/>
        </w:rPr>
      </w:pPr>
    </w:p>
    <w:p w:rsidR="00C07AC9" w:rsidRPr="00C03848" w:rsidRDefault="00C07AC9" w:rsidP="008B76F2">
      <w:pPr>
        <w:spacing w:after="0" w:line="240" w:lineRule="auto"/>
        <w:rPr>
          <w:rFonts w:ascii="Times New Roman" w:hAnsi="Times New Roman" w:cs="Times New Roman"/>
          <w:vanish/>
          <w:sz w:val="24"/>
          <w:szCs w:val="24"/>
          <w:lang w:val="uk-UA"/>
        </w:rPr>
      </w:pPr>
    </w:p>
    <w:tbl>
      <w:tblPr>
        <w:tblW w:w="5177"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448"/>
        <w:gridCol w:w="9347"/>
      </w:tblGrid>
      <w:tr w:rsidR="00660872" w:rsidRPr="00C03848" w:rsidTr="0066087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60872" w:rsidRPr="00C03848" w:rsidRDefault="00660872" w:rsidP="008B76F2">
            <w:pPr>
              <w:pStyle w:val="1"/>
              <w:spacing w:before="0" w:beforeAutospacing="0" w:after="0" w:afterAutospacing="0"/>
              <w:jc w:val="both"/>
              <w:textAlignment w:val="baseline"/>
              <w:rPr>
                <w:lang w:val="uk-UA" w:eastAsia="uk-UA"/>
              </w:rPr>
            </w:pPr>
            <w:r w:rsidRPr="00C03848">
              <w:rPr>
                <w:lang w:val="uk-UA" w:eastAsia="uk-UA"/>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60872" w:rsidRPr="00C03848" w:rsidRDefault="00660872" w:rsidP="008B76F2">
            <w:pPr>
              <w:pStyle w:val="1"/>
              <w:spacing w:before="0" w:beforeAutospacing="0" w:after="0" w:afterAutospacing="0"/>
              <w:jc w:val="both"/>
              <w:textAlignment w:val="baseline"/>
              <w:rPr>
                <w:lang w:val="uk-UA" w:eastAsia="uk-UA"/>
              </w:rPr>
            </w:pPr>
            <w:r w:rsidRPr="00C03848">
              <w:rPr>
                <w:lang w:val="uk-UA" w:eastAsia="uk-UA"/>
              </w:rPr>
              <w:t>конкретні процедури для отримання звітів про порушення та подальші дії;</w:t>
            </w:r>
          </w:p>
        </w:tc>
      </w:tr>
    </w:tbl>
    <w:p w:rsidR="00660872" w:rsidRPr="00C03848" w:rsidRDefault="00660872"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660872" w:rsidRPr="00C03848" w:rsidTr="0066087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60872" w:rsidRPr="00C03848" w:rsidRDefault="00660872" w:rsidP="008B76F2">
            <w:pPr>
              <w:pStyle w:val="1"/>
              <w:spacing w:before="0" w:beforeAutospacing="0" w:after="0" w:afterAutospacing="0"/>
              <w:jc w:val="both"/>
              <w:textAlignment w:val="baseline"/>
              <w:rPr>
                <w:lang w:val="uk-UA" w:eastAsia="uk-UA"/>
              </w:rPr>
            </w:pPr>
            <w:r w:rsidRPr="00C03848">
              <w:rPr>
                <w:lang w:val="uk-UA" w:eastAsia="uk-UA"/>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60872" w:rsidRPr="00C03848" w:rsidRDefault="00660872" w:rsidP="008B76F2">
            <w:pPr>
              <w:pStyle w:val="1"/>
              <w:spacing w:before="0" w:beforeAutospacing="0" w:after="0" w:afterAutospacing="0"/>
              <w:jc w:val="both"/>
              <w:textAlignment w:val="baseline"/>
              <w:rPr>
                <w:lang w:val="uk-UA" w:eastAsia="uk-UA"/>
              </w:rPr>
            </w:pPr>
            <w:r w:rsidRPr="00C03848">
              <w:rPr>
                <w:lang w:val="uk-UA" w:eastAsia="uk-UA"/>
              </w:rPr>
              <w:t>належний захист працівників або осіб в аналогічній позиції,  зобов'язаних осіб, які повідомляють про порушення, вчинені в межах зобов'язаної особи;</w:t>
            </w:r>
          </w:p>
        </w:tc>
      </w:tr>
    </w:tbl>
    <w:p w:rsidR="00660872" w:rsidRPr="00C03848" w:rsidRDefault="00660872" w:rsidP="008B76F2">
      <w:pPr>
        <w:spacing w:after="0" w:line="240" w:lineRule="auto"/>
        <w:rPr>
          <w:rFonts w:ascii="Times New Roman" w:hAnsi="Times New Roman" w:cs="Times New Roman"/>
          <w:vanish/>
          <w:sz w:val="24"/>
          <w:szCs w:val="24"/>
          <w:lang w:val="uk-UA"/>
        </w:rPr>
      </w:pPr>
    </w:p>
    <w:tbl>
      <w:tblPr>
        <w:tblW w:w="4763"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434"/>
        <w:gridCol w:w="8578"/>
      </w:tblGrid>
      <w:tr w:rsidR="00660872" w:rsidRPr="00C03848" w:rsidTr="00CF52F4">
        <w:tc>
          <w:tcPr>
            <w:tcW w:w="24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60872" w:rsidRPr="00C03848" w:rsidRDefault="00660872" w:rsidP="008B76F2">
            <w:pPr>
              <w:pStyle w:val="1"/>
              <w:spacing w:before="0" w:beforeAutospacing="0" w:after="0" w:afterAutospacing="0"/>
              <w:jc w:val="both"/>
              <w:textAlignment w:val="baseline"/>
              <w:rPr>
                <w:lang w:val="uk-UA" w:eastAsia="uk-UA"/>
              </w:rPr>
            </w:pPr>
            <w:r w:rsidRPr="00C03848">
              <w:rPr>
                <w:lang w:val="uk-UA" w:eastAsia="uk-UA"/>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60872" w:rsidRPr="00C03848" w:rsidRDefault="00660872" w:rsidP="008B76F2">
            <w:pPr>
              <w:pStyle w:val="1"/>
              <w:spacing w:before="0" w:beforeAutospacing="0" w:after="0" w:afterAutospacing="0"/>
              <w:jc w:val="both"/>
              <w:textAlignment w:val="baseline"/>
              <w:rPr>
                <w:lang w:val="uk-UA" w:eastAsia="uk-UA"/>
              </w:rPr>
            </w:pPr>
            <w:r w:rsidRPr="00C03848">
              <w:rPr>
                <w:lang w:val="uk-UA" w:eastAsia="uk-UA"/>
              </w:rPr>
              <w:t>належний захист обвинуваченого;</w:t>
            </w:r>
          </w:p>
        </w:tc>
      </w:tr>
    </w:tbl>
    <w:p w:rsidR="00660872" w:rsidRPr="00C03848" w:rsidRDefault="00660872"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85"/>
        <w:gridCol w:w="9075"/>
      </w:tblGrid>
      <w:tr w:rsidR="00660872" w:rsidRPr="00C03848" w:rsidTr="0066087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60872" w:rsidRPr="00C03848" w:rsidRDefault="00660872" w:rsidP="008B76F2">
            <w:pPr>
              <w:pStyle w:val="1"/>
              <w:spacing w:before="0" w:beforeAutospacing="0" w:after="0" w:afterAutospacing="0"/>
              <w:jc w:val="both"/>
              <w:textAlignment w:val="baseline"/>
              <w:rPr>
                <w:lang w:val="uk-UA" w:eastAsia="uk-UA"/>
              </w:rPr>
            </w:pPr>
            <w:r w:rsidRPr="00C03848">
              <w:rPr>
                <w:lang w:val="uk-UA" w:eastAsia="uk-UA"/>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60872" w:rsidRPr="00C03848" w:rsidRDefault="00660872" w:rsidP="008B76F2">
            <w:pPr>
              <w:pStyle w:val="1"/>
              <w:spacing w:before="0" w:beforeAutospacing="0" w:after="0" w:afterAutospacing="0"/>
              <w:jc w:val="both"/>
              <w:textAlignment w:val="baseline"/>
              <w:rPr>
                <w:lang w:val="uk-UA" w:eastAsia="uk-UA"/>
              </w:rPr>
            </w:pPr>
            <w:r w:rsidRPr="00C03848">
              <w:rPr>
                <w:lang w:val="uk-UA" w:eastAsia="uk-UA"/>
              </w:rPr>
              <w:t xml:space="preserve">захист персональних даних, що стосуються як особи, яка повідомляє про порушення, так і фізичної  особи, яка імовірно несе відповідальність за порушення, відповідно до </w:t>
            </w:r>
            <w:r w:rsidRPr="00C03848">
              <w:rPr>
                <w:lang w:val="uk-UA" w:eastAsia="uk-UA"/>
              </w:rPr>
              <w:lastRenderedPageBreak/>
              <w:t>принципів, викладених у Директиві 95/46/EC;</w:t>
            </w:r>
          </w:p>
        </w:tc>
      </w:tr>
    </w:tbl>
    <w:p w:rsidR="00660872" w:rsidRPr="00C03848" w:rsidRDefault="00660872" w:rsidP="008B76F2">
      <w:pPr>
        <w:spacing w:after="0" w:line="240" w:lineRule="auto"/>
        <w:rPr>
          <w:rFonts w:ascii="Times New Roman" w:hAnsi="Times New Roman" w:cs="Times New Roman"/>
          <w:vanish/>
          <w:sz w:val="24"/>
          <w:szCs w:val="24"/>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372"/>
        <w:gridCol w:w="9088"/>
      </w:tblGrid>
      <w:tr w:rsidR="00660872" w:rsidRPr="00C03848" w:rsidTr="0066087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60872" w:rsidRPr="00C03848" w:rsidRDefault="00660872" w:rsidP="008B76F2">
            <w:pPr>
              <w:pStyle w:val="1"/>
              <w:spacing w:before="0" w:beforeAutospacing="0" w:after="0" w:afterAutospacing="0"/>
              <w:jc w:val="both"/>
              <w:textAlignment w:val="baseline"/>
              <w:rPr>
                <w:lang w:val="uk-UA" w:eastAsia="uk-UA"/>
              </w:rPr>
            </w:pPr>
            <w:r w:rsidRPr="00C03848">
              <w:rPr>
                <w:lang w:val="uk-UA" w:eastAsia="uk-UA"/>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60872" w:rsidRPr="00C03848" w:rsidRDefault="00660872" w:rsidP="008B76F2">
            <w:pPr>
              <w:pStyle w:val="1"/>
              <w:spacing w:before="0" w:beforeAutospacing="0" w:after="0" w:afterAutospacing="0"/>
              <w:jc w:val="both"/>
              <w:textAlignment w:val="baseline"/>
              <w:rPr>
                <w:lang w:val="uk-UA" w:eastAsia="uk-UA"/>
              </w:rPr>
            </w:pPr>
            <w:r w:rsidRPr="00C03848">
              <w:rPr>
                <w:lang w:val="uk-UA" w:eastAsia="uk-UA"/>
              </w:rPr>
              <w:t>чіткі правила, які забезпечують, що конфіденційність гарантується у всіх випадках по відношенню до людини, яка повідомляє про порушення, вчинені в межах зобов'язаної особи, якщо розкриття не вимагає національне законодавство в контексті подальших досліджень або наступних судових розглядів.</w:t>
            </w:r>
          </w:p>
        </w:tc>
      </w:tr>
    </w:tbl>
    <w:p w:rsidR="00660872" w:rsidRPr="00C03848" w:rsidRDefault="00922D38" w:rsidP="008B76F2">
      <w:pPr>
        <w:pStyle w:val="1"/>
        <w:shd w:val="clear" w:color="auto" w:fill="FFFFFF"/>
        <w:spacing w:before="0" w:beforeAutospacing="0" w:after="0" w:afterAutospacing="0"/>
        <w:jc w:val="both"/>
        <w:textAlignment w:val="baseline"/>
        <w:rPr>
          <w:lang w:val="uk-UA"/>
        </w:rPr>
      </w:pPr>
      <w:r w:rsidRPr="00C03848">
        <w:rPr>
          <w:lang w:val="uk-UA"/>
        </w:rPr>
        <w:t>3.    Держави-члени повинні вимагати, щоб зобов'язані особи  мали відповідні процедури для своїх співробітників або осіб в порівнянній позиції, щоб повідомляти про порушення всередині зобов’язаних осіб через конкретний, незалежний і анонімний канал, пропорційний характеру і розміру відповідної зобов'язаної особи.</w:t>
      </w:r>
    </w:p>
    <w:p w:rsidR="00761E63" w:rsidRPr="00C03848" w:rsidRDefault="00761E63"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62</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3D0CF4" w:rsidRPr="00C03848" w:rsidRDefault="003D0CF4"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забезпечити, щоб їх компетентні органи інформували ЄНО про всі адміністративні санкції і зах</w:t>
      </w:r>
      <w:r w:rsidR="00AC3A3E" w:rsidRPr="00C03848">
        <w:rPr>
          <w:lang w:val="uk-UA"/>
        </w:rPr>
        <w:t>оди, введені відповідно до Стат</w:t>
      </w:r>
      <w:r w:rsidRPr="00C03848">
        <w:rPr>
          <w:lang w:val="uk-UA"/>
        </w:rPr>
        <w:t>ей 58 і 59  до кредитних організацій і фінансових установ, у тому числі про будь-яку апеляцію у ставленні до них та її результати.</w:t>
      </w:r>
    </w:p>
    <w:p w:rsidR="00E605BD" w:rsidRPr="00C03848" w:rsidRDefault="00E605BD" w:rsidP="008B76F2">
      <w:pPr>
        <w:pStyle w:val="1"/>
        <w:shd w:val="clear" w:color="auto" w:fill="FFFFFF"/>
        <w:spacing w:before="0" w:beforeAutospacing="0" w:after="0" w:afterAutospacing="0"/>
        <w:jc w:val="both"/>
        <w:textAlignment w:val="baseline"/>
        <w:rPr>
          <w:lang w:val="uk-UA"/>
        </w:rPr>
      </w:pPr>
      <w:r w:rsidRPr="00C03848">
        <w:rPr>
          <w:lang w:val="uk-UA"/>
        </w:rPr>
        <w:t xml:space="preserve">2.    Держави-члени повинні забезпечити, щоб їх компетентні органи відповідно до положень їх національного законодавства, перевіряли наявність відповідної судимості по кримінальній справі залученої особи. Будь-який обмін інформацією в цих цілях повинен </w:t>
      </w:r>
      <w:r w:rsidR="00AC3A3E" w:rsidRPr="00C03848">
        <w:rPr>
          <w:lang w:val="uk-UA"/>
        </w:rPr>
        <w:t>здійснюватися</w:t>
      </w:r>
      <w:r w:rsidRPr="00C03848">
        <w:rPr>
          <w:lang w:val="uk-UA"/>
        </w:rPr>
        <w:t xml:space="preserve"> відповідно до Рішення 2009/316/JHA і структурного рішення 2009/315/JHA, які  імплементовані в національне законодавство.</w:t>
      </w:r>
    </w:p>
    <w:p w:rsidR="00E605BD" w:rsidRPr="00C03848" w:rsidRDefault="00C07AC9" w:rsidP="008B76F2">
      <w:pPr>
        <w:pStyle w:val="1"/>
        <w:shd w:val="clear" w:color="auto" w:fill="FFFFFF"/>
        <w:spacing w:before="0" w:beforeAutospacing="0" w:after="0" w:afterAutospacing="0"/>
        <w:jc w:val="both"/>
        <w:textAlignment w:val="baseline"/>
        <w:rPr>
          <w:lang w:val="uk-UA"/>
        </w:rPr>
      </w:pPr>
      <w:r w:rsidRPr="00C03848">
        <w:rPr>
          <w:lang w:val="uk-UA"/>
        </w:rPr>
        <w:t>3.   </w:t>
      </w:r>
      <w:r w:rsidR="00E605BD" w:rsidRPr="00C03848">
        <w:rPr>
          <w:lang w:val="uk-UA"/>
        </w:rPr>
        <w:t xml:space="preserve"> ЄНО повинні підтримувати веб-сайт з посиланнями на кожну публікацію компетентного органу про адміністративні санкції і заходи, виконані  відповідно Статті 60 до кредитних організацій і фінансових установ, і повинні показувати  період часу, для  якого кожна держава-член публікує адміністративні санкції і міри.</w:t>
      </w:r>
    </w:p>
    <w:p w:rsidR="00761E63" w:rsidRPr="00C03848" w:rsidRDefault="00761E63" w:rsidP="008B76F2">
      <w:pPr>
        <w:pStyle w:val="ti-section-1"/>
        <w:shd w:val="clear" w:color="auto" w:fill="FFFFFF"/>
        <w:spacing w:before="0" w:beforeAutospacing="0" w:after="0" w:afterAutospacing="0"/>
        <w:jc w:val="center"/>
        <w:textAlignment w:val="baseline"/>
        <w:rPr>
          <w:bCs/>
          <w:lang w:val="uk-UA"/>
        </w:rPr>
      </w:pPr>
    </w:p>
    <w:p w:rsidR="00C07AC9" w:rsidRPr="00C03848" w:rsidRDefault="00B272FB" w:rsidP="008B76F2">
      <w:pPr>
        <w:pStyle w:val="ti-section-1"/>
        <w:shd w:val="clear" w:color="auto" w:fill="FFFFFF"/>
        <w:spacing w:before="0" w:beforeAutospacing="0" w:after="0" w:afterAutospacing="0"/>
        <w:jc w:val="center"/>
        <w:textAlignment w:val="baseline"/>
        <w:rPr>
          <w:bCs/>
          <w:lang w:val="uk-UA"/>
        </w:rPr>
      </w:pPr>
      <w:r w:rsidRPr="00C03848">
        <w:rPr>
          <w:bCs/>
          <w:lang w:val="uk-UA"/>
        </w:rPr>
        <w:t>ГЛАВА</w:t>
      </w:r>
      <w:r w:rsidR="00C07AC9" w:rsidRPr="00C03848">
        <w:rPr>
          <w:bCs/>
          <w:lang w:val="uk-UA"/>
        </w:rPr>
        <w:t xml:space="preserve"> VII</w:t>
      </w:r>
    </w:p>
    <w:p w:rsidR="00C07AC9" w:rsidRPr="00C03848" w:rsidRDefault="00E605BD" w:rsidP="008B76F2">
      <w:pPr>
        <w:pStyle w:val="ti-section-2"/>
        <w:shd w:val="clear" w:color="auto" w:fill="FFFFFF"/>
        <w:spacing w:before="0" w:beforeAutospacing="0" w:after="0" w:afterAutospacing="0"/>
        <w:jc w:val="center"/>
        <w:textAlignment w:val="baseline"/>
        <w:rPr>
          <w:bCs/>
          <w:lang w:val="uk-UA"/>
        </w:rPr>
      </w:pPr>
      <w:r w:rsidRPr="00C03848">
        <w:rPr>
          <w:rStyle w:val="bold"/>
          <w:bCs/>
          <w:bdr w:val="none" w:sz="0" w:space="0" w:color="auto" w:frame="1"/>
          <w:lang w:val="uk-UA"/>
        </w:rPr>
        <w:t>ПРИКІНЦЕВІ ПОЛОЖЕННЯ</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63</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180BE0" w:rsidRPr="00C03848" w:rsidRDefault="00180BE0" w:rsidP="008B76F2">
      <w:pPr>
        <w:pStyle w:val="1"/>
        <w:shd w:val="clear" w:color="auto" w:fill="FFFFFF"/>
        <w:spacing w:before="0" w:beforeAutospacing="0" w:after="0" w:afterAutospacing="0"/>
        <w:jc w:val="both"/>
        <w:textAlignment w:val="baseline"/>
        <w:rPr>
          <w:lang w:val="uk-UA"/>
        </w:rPr>
      </w:pPr>
      <w:r w:rsidRPr="00C03848">
        <w:rPr>
          <w:lang w:val="uk-UA"/>
        </w:rPr>
        <w:t xml:space="preserve">Підпункт (d) пункту 2 Статті 25 Регламенту (EU) № 648/2012 Європейського парламенту і Ради </w:t>
      </w:r>
      <w:hyperlink r:id="rId39" w:anchor="ntr32-L_2015141EN.01007301-E0032" w:history="1">
        <w:r w:rsidRPr="00C03848">
          <w:rPr>
            <w:rStyle w:val="Hyperlink"/>
            <w:color w:val="auto"/>
            <w:bdr w:val="none" w:sz="0" w:space="0" w:color="auto" w:frame="1"/>
            <w:lang w:val="uk-UA"/>
          </w:rPr>
          <w:t> (</w:t>
        </w:r>
        <w:r w:rsidRPr="00C03848">
          <w:rPr>
            <w:rStyle w:val="super"/>
            <w:sz w:val="24"/>
            <w:szCs w:val="24"/>
            <w:bdr w:val="none" w:sz="0" w:space="0" w:color="auto" w:frame="1"/>
            <w:lang w:val="uk-UA"/>
          </w:rPr>
          <w:t>32</w:t>
        </w:r>
        <w:r w:rsidRPr="00C03848">
          <w:rPr>
            <w:rStyle w:val="Hyperlink"/>
            <w:color w:val="auto"/>
            <w:bdr w:val="none" w:sz="0" w:space="0" w:color="auto" w:frame="1"/>
            <w:lang w:val="uk-UA"/>
          </w:rPr>
          <w:t>)</w:t>
        </w:r>
      </w:hyperlink>
      <w:r w:rsidRPr="00C03848">
        <w:rPr>
          <w:rStyle w:val="apple-converted-space"/>
          <w:lang w:val="uk-UA"/>
        </w:rPr>
        <w:t> </w:t>
      </w:r>
      <w:r w:rsidRPr="00C03848">
        <w:rPr>
          <w:lang w:val="uk-UA"/>
        </w:rPr>
        <w:t xml:space="preserve">  замінюється таким:</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0A0" w:firstRow="1" w:lastRow="0" w:firstColumn="1" w:lastColumn="0" w:noHBand="0" w:noVBand="0"/>
      </w:tblPr>
      <w:tblGrid>
        <w:gridCol w:w="465"/>
        <w:gridCol w:w="8995"/>
      </w:tblGrid>
      <w:tr w:rsidR="00180BE0" w:rsidRPr="00C03848" w:rsidTr="00180BE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0BE0" w:rsidRPr="00C03848" w:rsidRDefault="00180BE0" w:rsidP="008B76F2">
            <w:pPr>
              <w:pStyle w:val="1"/>
              <w:spacing w:before="0" w:beforeAutospacing="0" w:after="0" w:afterAutospacing="0"/>
              <w:jc w:val="both"/>
              <w:textAlignment w:val="baseline"/>
              <w:rPr>
                <w:lang w:val="uk-UA" w:eastAsia="uk-UA"/>
              </w:rPr>
            </w:pPr>
            <w:r w:rsidRPr="00C03848">
              <w:rPr>
                <w:lang w:val="uk-UA" w:eastAsia="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0BE0" w:rsidRPr="00C03848" w:rsidRDefault="00180BE0" w:rsidP="008B76F2">
            <w:pPr>
              <w:pStyle w:val="1"/>
              <w:spacing w:before="0" w:beforeAutospacing="0" w:after="0" w:afterAutospacing="0"/>
              <w:jc w:val="both"/>
              <w:textAlignment w:val="baseline"/>
              <w:rPr>
                <w:lang w:val="uk-UA" w:eastAsia="uk-UA"/>
              </w:rPr>
            </w:pPr>
            <w:r w:rsidRPr="00C03848">
              <w:rPr>
                <w:lang w:val="uk-UA" w:eastAsia="uk-UA"/>
              </w:rPr>
              <w:t>ЦКА створюється або уповноважується у третій країні, яка не розглядається, Комісією відповідно до Директиви (</w:t>
            </w:r>
            <w:r w:rsidRPr="00C03848">
              <w:rPr>
                <w:lang w:val="uk-UA"/>
              </w:rPr>
              <w:t>EU</w:t>
            </w:r>
            <w:r w:rsidR="00CF52F4" w:rsidRPr="00C03848">
              <w:rPr>
                <w:lang w:val="uk-UA" w:eastAsia="uk-UA"/>
              </w:rPr>
              <w:t xml:space="preserve">) 2015/849 </w:t>
            </w:r>
            <w:r w:rsidRPr="00C03848">
              <w:rPr>
                <w:lang w:val="uk-UA" w:eastAsia="uk-UA"/>
              </w:rPr>
              <w:t>Європейського Парламенту та Ради</w:t>
            </w:r>
            <w:hyperlink r:id="rId40" w:anchor="ntr33-L_2015141EN.01007301-E0033" w:history="1">
              <w:r w:rsidRPr="00C03848">
                <w:rPr>
                  <w:rStyle w:val="Hyperlink"/>
                  <w:color w:val="auto"/>
                  <w:bdr w:val="none" w:sz="0" w:space="0" w:color="auto" w:frame="1"/>
                  <w:lang w:val="uk-UA" w:eastAsia="uk-UA"/>
                </w:rPr>
                <w:t> (</w:t>
              </w:r>
              <w:r w:rsidRPr="00C03848">
                <w:rPr>
                  <w:rStyle w:val="super"/>
                  <w:sz w:val="24"/>
                  <w:szCs w:val="24"/>
                  <w:bdr w:val="none" w:sz="0" w:space="0" w:color="auto" w:frame="1"/>
                  <w:lang w:val="uk-UA" w:eastAsia="uk-UA"/>
                </w:rPr>
                <w:t>33</w:t>
              </w:r>
              <w:r w:rsidRPr="00C03848">
                <w:rPr>
                  <w:rStyle w:val="Hyperlink"/>
                  <w:color w:val="auto"/>
                  <w:bdr w:val="none" w:sz="0" w:space="0" w:color="auto" w:frame="1"/>
                  <w:lang w:val="uk-UA" w:eastAsia="uk-UA"/>
                </w:rPr>
                <w:t>)</w:t>
              </w:r>
            </w:hyperlink>
            <w:r w:rsidRPr="00C03848">
              <w:rPr>
                <w:lang w:val="uk-UA" w:eastAsia="uk-UA"/>
              </w:rPr>
              <w:t>, і як така, що має стратегічні недоліки у національному режимі боротьби з відмиванням грошей і фінансуванням тероризму, яка створює серйозну загрозу для фінансової системи Союзу.</w:t>
            </w:r>
          </w:p>
        </w:tc>
      </w:tr>
    </w:tbl>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64</w:t>
      </w:r>
    </w:p>
    <w:p w:rsidR="00761E63" w:rsidRPr="00C03848" w:rsidRDefault="00761E63" w:rsidP="008B76F2">
      <w:pPr>
        <w:pStyle w:val="ti-art"/>
        <w:shd w:val="clear" w:color="auto" w:fill="FFFFFF"/>
        <w:spacing w:before="0" w:beforeAutospacing="0" w:after="0" w:afterAutospacing="0"/>
        <w:jc w:val="center"/>
        <w:textAlignment w:val="baseline"/>
        <w:rPr>
          <w:iCs/>
          <w:lang w:val="uk-UA"/>
        </w:rPr>
      </w:pPr>
    </w:p>
    <w:p w:rsidR="00DF2B92" w:rsidRPr="00C03848" w:rsidRDefault="00DF2B92" w:rsidP="008B76F2">
      <w:pPr>
        <w:pStyle w:val="1"/>
        <w:shd w:val="clear" w:color="auto" w:fill="FFFFFF"/>
        <w:spacing w:before="0" w:beforeAutospacing="0" w:after="0" w:afterAutospacing="0"/>
        <w:jc w:val="both"/>
        <w:textAlignment w:val="baseline"/>
        <w:rPr>
          <w:lang w:val="uk-UA"/>
        </w:rPr>
      </w:pPr>
      <w:r w:rsidRPr="00C03848">
        <w:rPr>
          <w:lang w:val="uk-UA"/>
        </w:rPr>
        <w:t>1.    Повноваження щодо прийняття делегованих актів покладаються на  Комісію на умовах, викладених у цій Статті.</w:t>
      </w:r>
    </w:p>
    <w:p w:rsidR="00DF2B92" w:rsidRPr="00C03848" w:rsidRDefault="00DF2B92" w:rsidP="008B76F2">
      <w:pPr>
        <w:pStyle w:val="1"/>
        <w:shd w:val="clear" w:color="auto" w:fill="FFFFFF"/>
        <w:spacing w:before="0" w:beforeAutospacing="0" w:after="0" w:afterAutospacing="0"/>
        <w:jc w:val="both"/>
        <w:textAlignment w:val="baseline"/>
        <w:rPr>
          <w:lang w:val="uk-UA"/>
        </w:rPr>
      </w:pPr>
      <w:r w:rsidRPr="00C03848">
        <w:rPr>
          <w:lang w:val="uk-UA"/>
        </w:rPr>
        <w:t>2.    Повноваження щодо прийняття делегованих актів, зазначени</w:t>
      </w:r>
      <w:r w:rsidR="00AC3A3E" w:rsidRPr="00C03848">
        <w:rPr>
          <w:lang w:val="uk-UA"/>
        </w:rPr>
        <w:t>х в Статті 9,  повинні покладати</w:t>
      </w:r>
      <w:r w:rsidRPr="00C03848">
        <w:rPr>
          <w:lang w:val="uk-UA"/>
        </w:rPr>
        <w:t>с</w:t>
      </w:r>
      <w:r w:rsidR="00AC3A3E" w:rsidRPr="00C03848">
        <w:rPr>
          <w:lang w:val="uk-UA"/>
        </w:rPr>
        <w:t>ь</w:t>
      </w:r>
      <w:r w:rsidRPr="00C03848">
        <w:rPr>
          <w:lang w:val="uk-UA"/>
        </w:rPr>
        <w:t xml:space="preserve"> на Комісію протягом невизначеного періоду часу з 25 червня 2015 року.</w:t>
      </w:r>
    </w:p>
    <w:p w:rsidR="00DF2B92" w:rsidRPr="00C03848" w:rsidRDefault="00DF2B92" w:rsidP="008B76F2">
      <w:pPr>
        <w:pStyle w:val="1"/>
        <w:shd w:val="clear" w:color="auto" w:fill="FFFFFF"/>
        <w:spacing w:before="0" w:beforeAutospacing="0" w:after="0" w:afterAutospacing="0"/>
        <w:jc w:val="both"/>
        <w:textAlignment w:val="baseline"/>
        <w:rPr>
          <w:lang w:val="uk-UA"/>
        </w:rPr>
      </w:pPr>
      <w:r w:rsidRPr="00C03848">
        <w:rPr>
          <w:lang w:val="uk-UA"/>
        </w:rPr>
        <w:t>3.   Повноваження щодо прийняття делегованих актів, зазначених в Статті 9, можуть бути відкликані у будь-який момент Європейським Парламентом чи Радою. Рішення про відкликання повинно припинити делегування повноважень, зазначених у тому рішенні. Воно набуває чинності на наступний день після опублікування рішення в Офіційному віснику Європейського Союзу або в більш пізній термін, зазначений у цьому документі. Це не повинно впливати на дійсність будь-яких делегованих актів, які  вже набули  чинності.</w:t>
      </w:r>
    </w:p>
    <w:p w:rsidR="00CB5452" w:rsidRPr="00C03848" w:rsidRDefault="00CB5452" w:rsidP="008B76F2">
      <w:pPr>
        <w:pStyle w:val="1"/>
        <w:shd w:val="clear" w:color="auto" w:fill="FFFFFF"/>
        <w:spacing w:before="0" w:beforeAutospacing="0" w:after="0" w:afterAutospacing="0"/>
        <w:jc w:val="both"/>
        <w:textAlignment w:val="baseline"/>
        <w:rPr>
          <w:lang w:val="uk-UA"/>
        </w:rPr>
      </w:pPr>
      <w:r w:rsidRPr="00C03848">
        <w:rPr>
          <w:lang w:val="uk-UA"/>
        </w:rPr>
        <w:lastRenderedPageBreak/>
        <w:t>4.    Одразу після прийняття</w:t>
      </w:r>
      <w:r w:rsidR="00560FCD" w:rsidRPr="00C03848">
        <w:rPr>
          <w:lang w:val="uk-UA"/>
        </w:rPr>
        <w:t xml:space="preserve"> делегованого</w:t>
      </w:r>
      <w:r w:rsidRPr="00C03848">
        <w:rPr>
          <w:lang w:val="uk-UA"/>
        </w:rPr>
        <w:t xml:space="preserve"> акт</w:t>
      </w:r>
      <w:r w:rsidR="00560FCD" w:rsidRPr="00C03848">
        <w:rPr>
          <w:lang w:val="uk-UA"/>
        </w:rPr>
        <w:t>у</w:t>
      </w:r>
      <w:r w:rsidRPr="00C03848">
        <w:rPr>
          <w:lang w:val="uk-UA"/>
        </w:rPr>
        <w:t>, Комісія повинна повідомити про це одночасно Європейсько</w:t>
      </w:r>
      <w:r w:rsidR="00560FCD" w:rsidRPr="00C03848">
        <w:rPr>
          <w:lang w:val="uk-UA"/>
        </w:rPr>
        <w:t>му Парламенту та Раді</w:t>
      </w:r>
      <w:r w:rsidRPr="00C03848">
        <w:rPr>
          <w:lang w:val="uk-UA"/>
        </w:rPr>
        <w:t>.</w:t>
      </w:r>
    </w:p>
    <w:p w:rsidR="00CB5452" w:rsidRPr="00C03848" w:rsidRDefault="00CB5452" w:rsidP="008B76F2">
      <w:pPr>
        <w:pStyle w:val="1"/>
        <w:shd w:val="clear" w:color="auto" w:fill="FFFFFF"/>
        <w:spacing w:before="0" w:beforeAutospacing="0" w:after="0" w:afterAutospacing="0"/>
        <w:jc w:val="both"/>
        <w:textAlignment w:val="baseline"/>
        <w:rPr>
          <w:lang w:val="uk-UA"/>
        </w:rPr>
      </w:pPr>
      <w:r w:rsidRPr="00C03848">
        <w:rPr>
          <w:lang w:val="uk-UA"/>
        </w:rPr>
        <w:t>5.    Делегований акт, прийнятий відповідно до Статті 9</w:t>
      </w:r>
      <w:r w:rsidR="00560FCD" w:rsidRPr="00C03848">
        <w:rPr>
          <w:lang w:val="uk-UA"/>
        </w:rPr>
        <w:t xml:space="preserve">, повинен набрати чинності </w:t>
      </w:r>
      <w:r w:rsidRPr="00C03848">
        <w:rPr>
          <w:lang w:val="uk-UA"/>
        </w:rPr>
        <w:t xml:space="preserve">тільки, якщо не було виражено </w:t>
      </w:r>
      <w:r w:rsidR="00560FCD" w:rsidRPr="00C03848">
        <w:rPr>
          <w:lang w:val="uk-UA"/>
        </w:rPr>
        <w:t xml:space="preserve">жодних заперечень або Європейським </w:t>
      </w:r>
      <w:r w:rsidRPr="00C03848">
        <w:rPr>
          <w:lang w:val="uk-UA"/>
        </w:rPr>
        <w:t xml:space="preserve">Парламентом </w:t>
      </w:r>
      <w:r w:rsidR="00560FCD" w:rsidRPr="00C03848">
        <w:rPr>
          <w:lang w:val="uk-UA"/>
        </w:rPr>
        <w:t>або</w:t>
      </w:r>
      <w:r w:rsidRPr="00C03848">
        <w:rPr>
          <w:lang w:val="uk-UA"/>
        </w:rPr>
        <w:t xml:space="preserve"> Радою протягом одного місяця після повідомлення про цей акт Європейському </w:t>
      </w:r>
      <w:r w:rsidR="00596589" w:rsidRPr="00C03848">
        <w:rPr>
          <w:lang w:val="uk-UA"/>
        </w:rPr>
        <w:t>П</w:t>
      </w:r>
      <w:r w:rsidRPr="00C03848">
        <w:rPr>
          <w:lang w:val="uk-UA"/>
        </w:rPr>
        <w:t>арламенту і Раді або якщо до закінчення цього періоду Європейський Парламент і Рада п</w:t>
      </w:r>
      <w:r w:rsidR="00596589" w:rsidRPr="00C03848">
        <w:rPr>
          <w:lang w:val="uk-UA"/>
        </w:rPr>
        <w:t>р</w:t>
      </w:r>
      <w:r w:rsidRPr="00C03848">
        <w:rPr>
          <w:lang w:val="uk-UA"/>
        </w:rPr>
        <w:t>оінформували Комісію,</w:t>
      </w:r>
      <w:r w:rsidR="00596589" w:rsidRPr="00C03848">
        <w:rPr>
          <w:lang w:val="uk-UA"/>
        </w:rPr>
        <w:t xml:space="preserve"> що вони </w:t>
      </w:r>
      <w:r w:rsidRPr="00C03848">
        <w:rPr>
          <w:lang w:val="uk-UA"/>
        </w:rPr>
        <w:t>не будуть заперечувати. Цей період може бути продовжений на один місяць з ініціативи Європейського Парламенту чи Ради.</w:t>
      </w:r>
    </w:p>
    <w:p w:rsidR="00D928F0" w:rsidRPr="00C03848" w:rsidRDefault="00D928F0"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65</w:t>
      </w:r>
    </w:p>
    <w:p w:rsidR="00A160B6" w:rsidRPr="00C03848" w:rsidRDefault="00A160B6" w:rsidP="008B76F2">
      <w:pPr>
        <w:pStyle w:val="ti-art"/>
        <w:shd w:val="clear" w:color="auto" w:fill="FFFFFF"/>
        <w:spacing w:before="0" w:beforeAutospacing="0" w:after="0" w:afterAutospacing="0"/>
        <w:jc w:val="center"/>
        <w:textAlignment w:val="baseline"/>
        <w:rPr>
          <w:iCs/>
          <w:lang w:val="uk-UA"/>
        </w:rPr>
      </w:pPr>
    </w:p>
    <w:p w:rsidR="00AB1254" w:rsidRPr="00C03848" w:rsidRDefault="00AB1254" w:rsidP="008B76F2">
      <w:pPr>
        <w:pStyle w:val="1"/>
        <w:shd w:val="clear" w:color="auto" w:fill="FFFFFF"/>
        <w:spacing w:before="0" w:beforeAutospacing="0" w:after="0" w:afterAutospacing="0"/>
        <w:jc w:val="both"/>
        <w:textAlignment w:val="baseline"/>
        <w:rPr>
          <w:lang w:val="uk-UA"/>
        </w:rPr>
      </w:pPr>
      <w:r w:rsidRPr="00C03848">
        <w:rPr>
          <w:lang w:val="uk-UA"/>
        </w:rPr>
        <w:t>До 26 червня 2019 року, Комісія повинна скласти звіт про виконання цієї Директиви і представити її в Європейський Парламент і Раду.</w:t>
      </w:r>
    </w:p>
    <w:p w:rsidR="00AB1254" w:rsidRPr="00C03848" w:rsidRDefault="00AB1254" w:rsidP="008B76F2">
      <w:pPr>
        <w:pStyle w:val="1"/>
        <w:shd w:val="clear" w:color="auto" w:fill="FFFFFF"/>
        <w:spacing w:before="0" w:beforeAutospacing="0" w:after="0" w:afterAutospacing="0"/>
        <w:jc w:val="both"/>
        <w:textAlignment w:val="baseline"/>
        <w:rPr>
          <w:lang w:val="uk-UA"/>
        </w:rPr>
      </w:pPr>
    </w:p>
    <w:p w:rsidR="00A160B6" w:rsidRPr="00C03848" w:rsidRDefault="00A160B6" w:rsidP="008B76F2">
      <w:pPr>
        <w:pStyle w:val="1"/>
        <w:shd w:val="clear" w:color="auto" w:fill="FFFFFF"/>
        <w:spacing w:before="0" w:beforeAutospacing="0" w:after="0" w:afterAutospacing="0"/>
        <w:jc w:val="both"/>
        <w:textAlignment w:val="baseline"/>
        <w:rPr>
          <w:lang w:val="uk-UA"/>
        </w:rPr>
      </w:pP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66</w:t>
      </w:r>
    </w:p>
    <w:p w:rsidR="00A160B6" w:rsidRPr="00C03848" w:rsidRDefault="00A160B6" w:rsidP="008B76F2">
      <w:pPr>
        <w:pStyle w:val="ti-art"/>
        <w:shd w:val="clear" w:color="auto" w:fill="FFFFFF"/>
        <w:spacing w:before="0" w:beforeAutospacing="0" w:after="0" w:afterAutospacing="0"/>
        <w:jc w:val="center"/>
        <w:textAlignment w:val="baseline"/>
        <w:rPr>
          <w:iCs/>
          <w:lang w:val="uk-UA"/>
        </w:rPr>
      </w:pPr>
    </w:p>
    <w:p w:rsidR="00AB1254" w:rsidRPr="00C03848" w:rsidRDefault="002C54D7" w:rsidP="008B76F2">
      <w:pPr>
        <w:pStyle w:val="1"/>
        <w:shd w:val="clear" w:color="auto" w:fill="FFFFFF"/>
        <w:spacing w:before="0" w:beforeAutospacing="0" w:after="0" w:afterAutospacing="0"/>
        <w:jc w:val="both"/>
        <w:textAlignment w:val="baseline"/>
        <w:rPr>
          <w:lang w:val="uk-UA"/>
        </w:rPr>
      </w:pPr>
      <w:r w:rsidRPr="00C03848">
        <w:rPr>
          <w:lang w:val="uk-UA"/>
        </w:rPr>
        <w:t>Директив</w:t>
      </w:r>
      <w:r w:rsidR="00AB1254" w:rsidRPr="00C03848">
        <w:rPr>
          <w:lang w:val="uk-UA"/>
        </w:rPr>
        <w:t>и</w:t>
      </w:r>
      <w:r w:rsidR="00C07AC9" w:rsidRPr="00C03848">
        <w:rPr>
          <w:lang w:val="uk-UA"/>
        </w:rPr>
        <w:t xml:space="preserve"> 2005/60/EC </w:t>
      </w:r>
      <w:r w:rsidR="00AB1254" w:rsidRPr="00C03848">
        <w:rPr>
          <w:lang w:val="uk-UA"/>
        </w:rPr>
        <w:t>та</w:t>
      </w:r>
      <w:r w:rsidR="00C07AC9" w:rsidRPr="00C03848">
        <w:rPr>
          <w:lang w:val="uk-UA"/>
        </w:rPr>
        <w:t xml:space="preserve"> 2006/70/EC </w:t>
      </w:r>
      <w:r w:rsidR="00AB1254" w:rsidRPr="00C03848">
        <w:rPr>
          <w:lang w:val="uk-UA"/>
        </w:rPr>
        <w:t>скасовуються починаючи з 26 червня 2017 року.</w:t>
      </w:r>
    </w:p>
    <w:p w:rsidR="00A160B6" w:rsidRPr="00C03848" w:rsidRDefault="00AC3A3E" w:rsidP="008B76F2">
      <w:pPr>
        <w:pStyle w:val="1"/>
        <w:shd w:val="clear" w:color="auto" w:fill="FFFFFF"/>
        <w:spacing w:before="0" w:beforeAutospacing="0" w:after="0" w:afterAutospacing="0"/>
        <w:jc w:val="both"/>
        <w:textAlignment w:val="baseline"/>
        <w:rPr>
          <w:lang w:val="uk-UA"/>
        </w:rPr>
      </w:pPr>
      <w:r w:rsidRPr="00C03848">
        <w:rPr>
          <w:lang w:val="uk-UA"/>
        </w:rPr>
        <w:t>Посилання на скасо</w:t>
      </w:r>
      <w:r w:rsidR="00AB1254" w:rsidRPr="00C03848">
        <w:rPr>
          <w:lang w:val="uk-UA"/>
        </w:rPr>
        <w:t>вані Директиви повинно інтерпретуватись як посилання на цю Директиву, і повинно читатись відповідно до кореляційної таблиці, представленої в Додатку IV.</w:t>
      </w:r>
    </w:p>
    <w:p w:rsidR="00C07AC9" w:rsidRPr="00C03848" w:rsidRDefault="002C54D7" w:rsidP="008B76F2">
      <w:pPr>
        <w:pStyle w:val="ti-art"/>
        <w:shd w:val="clear" w:color="auto" w:fill="FFFFFF"/>
        <w:spacing w:before="0" w:beforeAutospacing="0" w:after="0" w:afterAutospacing="0"/>
        <w:jc w:val="center"/>
        <w:textAlignment w:val="baseline"/>
        <w:rPr>
          <w:iCs/>
          <w:lang w:val="uk-UA"/>
        </w:rPr>
      </w:pPr>
      <w:r w:rsidRPr="00C03848">
        <w:rPr>
          <w:iCs/>
          <w:lang w:val="uk-UA"/>
        </w:rPr>
        <w:t>Стаття</w:t>
      </w:r>
      <w:r w:rsidR="00C07AC9" w:rsidRPr="00C03848">
        <w:rPr>
          <w:iCs/>
          <w:lang w:val="uk-UA"/>
        </w:rPr>
        <w:t xml:space="preserve"> 67</w:t>
      </w:r>
    </w:p>
    <w:p w:rsidR="00A160B6" w:rsidRPr="00C03848" w:rsidRDefault="00A160B6" w:rsidP="008B76F2">
      <w:pPr>
        <w:pStyle w:val="ti-art"/>
        <w:shd w:val="clear" w:color="auto" w:fill="FFFFFF"/>
        <w:spacing w:before="0" w:beforeAutospacing="0" w:after="0" w:afterAutospacing="0"/>
        <w:jc w:val="center"/>
        <w:textAlignment w:val="baseline"/>
        <w:rPr>
          <w:iCs/>
          <w:lang w:val="uk-UA"/>
        </w:rPr>
      </w:pPr>
    </w:p>
    <w:p w:rsidR="008B76F2" w:rsidRPr="00C03848" w:rsidRDefault="008B76F2" w:rsidP="008B76F2">
      <w:pPr>
        <w:spacing w:after="0" w:line="240" w:lineRule="auto"/>
        <w:rPr>
          <w:rFonts w:ascii="Times New Roman" w:hAnsi="Times New Roman" w:cs="Times New Roman"/>
          <w:vanish/>
          <w:sz w:val="24"/>
          <w:szCs w:val="24"/>
          <w:lang w:val="uk-UA"/>
        </w:rPr>
      </w:pPr>
    </w:p>
    <w:p w:rsidR="008B76F2" w:rsidRPr="00C03848" w:rsidRDefault="008B76F2" w:rsidP="008B76F2">
      <w:pPr>
        <w:spacing w:after="0" w:line="240" w:lineRule="auto"/>
        <w:rPr>
          <w:rFonts w:ascii="Times New Roman" w:hAnsi="Times New Roman" w:cs="Times New Roman"/>
          <w:vanish/>
          <w:sz w:val="24"/>
          <w:szCs w:val="24"/>
          <w:lang w:val="uk-UA"/>
        </w:rPr>
      </w:pPr>
    </w:p>
    <w:p w:rsidR="008B76F2" w:rsidRPr="00C03848" w:rsidRDefault="008B76F2" w:rsidP="008B76F2">
      <w:pPr>
        <w:spacing w:after="0" w:line="240" w:lineRule="auto"/>
        <w:rPr>
          <w:rFonts w:ascii="Times New Roman" w:hAnsi="Times New Roman" w:cs="Times New Roman"/>
          <w:vanish/>
          <w:sz w:val="24"/>
          <w:szCs w:val="24"/>
          <w:lang w:val="uk-UA"/>
        </w:rPr>
      </w:pPr>
    </w:p>
    <w:p w:rsidR="008B76F2" w:rsidRPr="00C03848" w:rsidRDefault="008B76F2" w:rsidP="008B76F2">
      <w:pPr>
        <w:spacing w:after="0" w:line="240" w:lineRule="auto"/>
        <w:rPr>
          <w:rFonts w:ascii="Times New Roman" w:hAnsi="Times New Roman" w:cs="Times New Roman"/>
          <w:vanish/>
          <w:sz w:val="24"/>
          <w:szCs w:val="24"/>
          <w:lang w:val="uk-UA"/>
        </w:rPr>
      </w:pPr>
    </w:p>
    <w:p w:rsidR="008B76F2" w:rsidRPr="00C03848" w:rsidRDefault="008B76F2" w:rsidP="008B76F2">
      <w:pPr>
        <w:spacing w:after="0" w:line="240" w:lineRule="auto"/>
        <w:rPr>
          <w:rFonts w:ascii="Times New Roman" w:hAnsi="Times New Roman" w:cs="Times New Roman"/>
          <w:vanish/>
          <w:sz w:val="24"/>
          <w:szCs w:val="24"/>
          <w:lang w:val="uk-UA"/>
        </w:rPr>
      </w:pPr>
    </w:p>
    <w:p w:rsidR="008B76F2" w:rsidRPr="00C03848" w:rsidRDefault="008B76F2" w:rsidP="008B76F2">
      <w:pPr>
        <w:spacing w:after="0" w:line="240" w:lineRule="auto"/>
        <w:rPr>
          <w:rFonts w:ascii="Times New Roman" w:hAnsi="Times New Roman" w:cs="Times New Roman"/>
          <w:vanish/>
          <w:sz w:val="24"/>
          <w:szCs w:val="24"/>
          <w:lang w:val="uk-UA"/>
        </w:rPr>
      </w:pPr>
    </w:p>
    <w:p w:rsidR="008B76F2" w:rsidRPr="00C03848" w:rsidRDefault="008B76F2" w:rsidP="008B76F2">
      <w:pPr>
        <w:spacing w:after="0" w:line="240" w:lineRule="auto"/>
        <w:rPr>
          <w:rFonts w:ascii="Times New Roman" w:hAnsi="Times New Roman" w:cs="Times New Roman"/>
          <w:vanish/>
          <w:sz w:val="24"/>
          <w:szCs w:val="24"/>
          <w:lang w:val="uk-UA"/>
        </w:rPr>
      </w:pPr>
    </w:p>
    <w:p w:rsidR="008B76F2" w:rsidRPr="00C03848" w:rsidRDefault="008B76F2" w:rsidP="008B76F2">
      <w:pPr>
        <w:spacing w:after="0" w:line="240" w:lineRule="auto"/>
        <w:rPr>
          <w:rFonts w:ascii="Times New Roman" w:hAnsi="Times New Roman" w:cs="Times New Roman"/>
          <w:vanish/>
          <w:sz w:val="24"/>
          <w:szCs w:val="24"/>
          <w:lang w:val="uk-UA"/>
        </w:rPr>
      </w:pPr>
    </w:p>
    <w:p w:rsidR="008B76F2" w:rsidRPr="00C03848" w:rsidRDefault="008B76F2" w:rsidP="008B76F2">
      <w:pPr>
        <w:spacing w:after="0" w:line="240" w:lineRule="auto"/>
        <w:rPr>
          <w:rFonts w:ascii="Times New Roman" w:hAnsi="Times New Roman" w:cs="Times New Roman"/>
          <w:vanish/>
          <w:sz w:val="24"/>
          <w:szCs w:val="24"/>
          <w:lang w:val="uk-UA"/>
        </w:rPr>
      </w:pPr>
    </w:p>
    <w:p w:rsidR="008B76F2" w:rsidRPr="00C03848" w:rsidRDefault="008B76F2" w:rsidP="008B76F2">
      <w:pPr>
        <w:spacing w:after="0" w:line="240" w:lineRule="auto"/>
        <w:rPr>
          <w:rFonts w:ascii="Times New Roman" w:hAnsi="Times New Roman" w:cs="Times New Roman"/>
          <w:vanish/>
          <w:sz w:val="24"/>
          <w:szCs w:val="24"/>
          <w:lang w:val="uk-UA"/>
        </w:rPr>
      </w:pPr>
    </w:p>
    <w:p w:rsidR="008B76F2" w:rsidRPr="00C03848" w:rsidRDefault="008B76F2" w:rsidP="008B76F2">
      <w:pPr>
        <w:pStyle w:val="1"/>
        <w:shd w:val="clear" w:color="auto" w:fill="FFFFFF"/>
        <w:spacing w:before="0" w:beforeAutospacing="0" w:after="0" w:afterAutospacing="0"/>
        <w:jc w:val="both"/>
        <w:textAlignment w:val="baseline"/>
        <w:rPr>
          <w:lang w:val="uk-UA"/>
        </w:rPr>
      </w:pPr>
      <w:r w:rsidRPr="00C03848">
        <w:rPr>
          <w:lang w:val="uk-UA"/>
        </w:rPr>
        <w:t>1.   Держави-члени повинні ввести в дію закони, регламенти та адміністративні положення, необхідні для виконання вимог цієї Директиви до 26 червня 2017 року. Вони повинні негайно повідомити текст цих заходів Комісії.</w:t>
      </w:r>
    </w:p>
    <w:p w:rsidR="008B76F2" w:rsidRPr="00C03848" w:rsidRDefault="008B76F2" w:rsidP="008B76F2">
      <w:pPr>
        <w:pStyle w:val="1"/>
        <w:shd w:val="clear" w:color="auto" w:fill="FFFFFF"/>
        <w:spacing w:before="0" w:beforeAutospacing="0" w:after="0" w:afterAutospacing="0"/>
        <w:jc w:val="both"/>
        <w:textAlignment w:val="baseline"/>
        <w:rPr>
          <w:lang w:val="uk-UA"/>
        </w:rPr>
      </w:pPr>
      <w:r w:rsidRPr="00C03848">
        <w:rPr>
          <w:lang w:val="uk-UA"/>
        </w:rPr>
        <w:t>Коли держави-члени приймуть  ці заходи, вони повинні містити посилання на цю Директиву або супроводжуватись таким посиланням на випадок їх офіційної публікації. Методи такого посилання повинні бути встановлені державами-членами.</w:t>
      </w:r>
    </w:p>
    <w:p w:rsidR="008B76F2" w:rsidRPr="00C03848" w:rsidRDefault="008B76F2" w:rsidP="008B76F2">
      <w:pPr>
        <w:pStyle w:val="1"/>
        <w:shd w:val="clear" w:color="auto" w:fill="FFFFFF"/>
        <w:spacing w:before="0" w:beforeAutospacing="0" w:after="0" w:afterAutospacing="0"/>
        <w:jc w:val="both"/>
        <w:textAlignment w:val="baseline"/>
        <w:rPr>
          <w:lang w:val="uk-UA"/>
        </w:rPr>
      </w:pPr>
      <w:r w:rsidRPr="00C03848">
        <w:rPr>
          <w:lang w:val="uk-UA"/>
        </w:rPr>
        <w:t>2.    Держави-члени повинні повідомляти Комісії текст основних положень національного законодавства, які вони приймають в сфері, яка охоплюється даною Директивою.</w:t>
      </w:r>
    </w:p>
    <w:p w:rsidR="008B76F2" w:rsidRPr="00C03848" w:rsidRDefault="008B76F2" w:rsidP="008B76F2">
      <w:pPr>
        <w:pStyle w:val="1"/>
        <w:shd w:val="clear" w:color="auto" w:fill="FFFFFF"/>
        <w:spacing w:before="0" w:beforeAutospacing="0" w:after="0" w:afterAutospacing="0"/>
        <w:jc w:val="both"/>
        <w:textAlignment w:val="baseline"/>
        <w:rPr>
          <w:lang w:val="uk-UA"/>
        </w:rPr>
      </w:pPr>
    </w:p>
    <w:p w:rsidR="00C07AC9" w:rsidRPr="00C03848" w:rsidRDefault="00C07AC9" w:rsidP="008B76F2">
      <w:pPr>
        <w:spacing w:after="0" w:line="240" w:lineRule="auto"/>
        <w:jc w:val="center"/>
        <w:textAlignment w:val="baseline"/>
        <w:rPr>
          <w:rFonts w:ascii="Times New Roman" w:eastAsia="Times New Roman" w:hAnsi="Times New Roman" w:cs="Times New Roman"/>
          <w:iCs/>
          <w:sz w:val="24"/>
          <w:szCs w:val="24"/>
          <w:lang w:val="uk-UA"/>
        </w:rPr>
      </w:pPr>
      <w:r w:rsidRPr="00C03848">
        <w:rPr>
          <w:rFonts w:ascii="Times New Roman" w:eastAsia="Times New Roman" w:hAnsi="Times New Roman" w:cs="Times New Roman"/>
          <w:iCs/>
          <w:sz w:val="24"/>
          <w:szCs w:val="24"/>
          <w:lang w:val="uk-UA"/>
        </w:rPr>
        <w:t>Стаття 6</w:t>
      </w:r>
      <w:r w:rsidR="002C54D7" w:rsidRPr="00C03848">
        <w:rPr>
          <w:rFonts w:ascii="Times New Roman" w:eastAsia="Times New Roman" w:hAnsi="Times New Roman" w:cs="Times New Roman"/>
          <w:iCs/>
          <w:sz w:val="24"/>
          <w:szCs w:val="24"/>
          <w:lang w:val="uk-UA"/>
        </w:rPr>
        <w:t>8</w:t>
      </w:r>
    </w:p>
    <w:p w:rsidR="00C07AC9" w:rsidRPr="00C03848" w:rsidRDefault="00C07AC9" w:rsidP="008B76F2">
      <w:pPr>
        <w:spacing w:after="0" w:line="240" w:lineRule="auto"/>
        <w:jc w:val="center"/>
        <w:textAlignment w:val="baseline"/>
        <w:rPr>
          <w:rFonts w:ascii="Times New Roman" w:eastAsia="Times New Roman" w:hAnsi="Times New Roman" w:cs="Times New Roman"/>
          <w:bCs/>
          <w:sz w:val="24"/>
          <w:szCs w:val="24"/>
          <w:lang w:val="uk-UA"/>
        </w:rPr>
      </w:pPr>
      <w:r w:rsidRPr="00C03848">
        <w:rPr>
          <w:rFonts w:ascii="Times New Roman" w:eastAsia="Times New Roman" w:hAnsi="Times New Roman" w:cs="Times New Roman"/>
          <w:bCs/>
          <w:sz w:val="24"/>
          <w:szCs w:val="24"/>
          <w:lang w:val="uk-UA"/>
        </w:rPr>
        <w:t>Набрання чинності</w:t>
      </w:r>
    </w:p>
    <w:p w:rsidR="003D66C6" w:rsidRPr="00C03848" w:rsidRDefault="003D66C6" w:rsidP="008B76F2">
      <w:pPr>
        <w:spacing w:after="0" w:line="240" w:lineRule="auto"/>
        <w:jc w:val="center"/>
        <w:textAlignment w:val="baseline"/>
        <w:rPr>
          <w:rFonts w:ascii="Times New Roman" w:eastAsia="Times New Roman" w:hAnsi="Times New Roman" w:cs="Times New Roman"/>
          <w:bCs/>
          <w:sz w:val="24"/>
          <w:szCs w:val="24"/>
          <w:lang w:val="uk-UA"/>
        </w:rPr>
      </w:pPr>
    </w:p>
    <w:p w:rsidR="00C07AC9" w:rsidRPr="00C03848" w:rsidRDefault="00C07AC9" w:rsidP="008B76F2">
      <w:pPr>
        <w:spacing w:after="0" w:line="240" w:lineRule="auto"/>
        <w:jc w:val="both"/>
        <w:textAlignment w:val="baseline"/>
        <w:rPr>
          <w:rFonts w:ascii="Times New Roman" w:eastAsia="Times New Roman" w:hAnsi="Times New Roman" w:cs="Times New Roman"/>
          <w:sz w:val="24"/>
          <w:szCs w:val="24"/>
          <w:lang w:val="uk-UA"/>
        </w:rPr>
      </w:pPr>
      <w:r w:rsidRPr="00C03848">
        <w:rPr>
          <w:rFonts w:ascii="Times New Roman" w:eastAsia="Times New Roman" w:hAnsi="Times New Roman" w:cs="Times New Roman"/>
          <w:sz w:val="24"/>
          <w:szCs w:val="24"/>
          <w:lang w:val="uk-UA"/>
        </w:rPr>
        <w:t>Ця директива набирає чинності на двадцятий день після її публікації в «Офіційному віснику Європейського Союзу».</w:t>
      </w:r>
    </w:p>
    <w:p w:rsidR="003D66C6" w:rsidRPr="00C03848" w:rsidRDefault="003D66C6" w:rsidP="008B76F2">
      <w:pPr>
        <w:spacing w:after="0" w:line="240" w:lineRule="auto"/>
        <w:jc w:val="both"/>
        <w:textAlignment w:val="baseline"/>
        <w:rPr>
          <w:rFonts w:ascii="Times New Roman" w:eastAsia="Times New Roman" w:hAnsi="Times New Roman" w:cs="Times New Roman"/>
          <w:sz w:val="24"/>
          <w:szCs w:val="24"/>
          <w:lang w:val="uk-UA"/>
        </w:rPr>
      </w:pPr>
    </w:p>
    <w:p w:rsidR="00C07AC9" w:rsidRPr="00C03848" w:rsidRDefault="00C07AC9" w:rsidP="008B76F2">
      <w:pPr>
        <w:spacing w:after="0" w:line="240" w:lineRule="auto"/>
        <w:jc w:val="center"/>
        <w:textAlignment w:val="baseline"/>
        <w:rPr>
          <w:rFonts w:ascii="Times New Roman" w:eastAsia="Times New Roman" w:hAnsi="Times New Roman" w:cs="Times New Roman"/>
          <w:iCs/>
          <w:sz w:val="24"/>
          <w:szCs w:val="24"/>
          <w:lang w:val="uk-UA"/>
        </w:rPr>
      </w:pPr>
      <w:r w:rsidRPr="00C03848">
        <w:rPr>
          <w:rFonts w:ascii="Times New Roman" w:eastAsia="Times New Roman" w:hAnsi="Times New Roman" w:cs="Times New Roman"/>
          <w:iCs/>
          <w:sz w:val="24"/>
          <w:szCs w:val="24"/>
          <w:lang w:val="uk-UA"/>
        </w:rPr>
        <w:t xml:space="preserve">Стаття </w:t>
      </w:r>
      <w:r w:rsidR="002C54D7" w:rsidRPr="00C03848">
        <w:rPr>
          <w:rFonts w:ascii="Times New Roman" w:eastAsia="Times New Roman" w:hAnsi="Times New Roman" w:cs="Times New Roman"/>
          <w:iCs/>
          <w:sz w:val="24"/>
          <w:szCs w:val="24"/>
          <w:lang w:val="uk-UA"/>
        </w:rPr>
        <w:t>6</w:t>
      </w:r>
      <w:r w:rsidRPr="00C03848">
        <w:rPr>
          <w:rFonts w:ascii="Times New Roman" w:eastAsia="Times New Roman" w:hAnsi="Times New Roman" w:cs="Times New Roman"/>
          <w:iCs/>
          <w:sz w:val="24"/>
          <w:szCs w:val="24"/>
          <w:lang w:val="uk-UA"/>
        </w:rPr>
        <w:t>9</w:t>
      </w:r>
    </w:p>
    <w:p w:rsidR="00C07AC9" w:rsidRPr="00C03848" w:rsidRDefault="00C07AC9" w:rsidP="008B76F2">
      <w:pPr>
        <w:spacing w:after="0" w:line="240" w:lineRule="auto"/>
        <w:jc w:val="center"/>
        <w:textAlignment w:val="baseline"/>
        <w:rPr>
          <w:rFonts w:ascii="Times New Roman" w:eastAsia="Times New Roman" w:hAnsi="Times New Roman" w:cs="Times New Roman"/>
          <w:bCs/>
          <w:sz w:val="24"/>
          <w:szCs w:val="24"/>
          <w:lang w:val="uk-UA"/>
        </w:rPr>
      </w:pPr>
      <w:r w:rsidRPr="00C03848">
        <w:rPr>
          <w:rFonts w:ascii="Times New Roman" w:eastAsia="Times New Roman" w:hAnsi="Times New Roman" w:cs="Times New Roman"/>
          <w:bCs/>
          <w:sz w:val="24"/>
          <w:szCs w:val="24"/>
          <w:lang w:val="uk-UA"/>
        </w:rPr>
        <w:t>Адресати</w:t>
      </w:r>
    </w:p>
    <w:p w:rsidR="003D66C6" w:rsidRPr="00C03848" w:rsidRDefault="003D66C6" w:rsidP="008B76F2">
      <w:pPr>
        <w:spacing w:after="0" w:line="240" w:lineRule="auto"/>
        <w:jc w:val="center"/>
        <w:textAlignment w:val="baseline"/>
        <w:rPr>
          <w:rFonts w:ascii="Times New Roman" w:eastAsia="Times New Roman" w:hAnsi="Times New Roman" w:cs="Times New Roman"/>
          <w:bCs/>
          <w:sz w:val="24"/>
          <w:szCs w:val="24"/>
          <w:lang w:val="uk-UA"/>
        </w:rPr>
      </w:pPr>
    </w:p>
    <w:p w:rsidR="00C07AC9" w:rsidRPr="00C03848" w:rsidRDefault="00C07AC9" w:rsidP="008B76F2">
      <w:pPr>
        <w:spacing w:after="0" w:line="240" w:lineRule="auto"/>
        <w:jc w:val="both"/>
        <w:textAlignment w:val="baseline"/>
        <w:rPr>
          <w:rFonts w:ascii="Times New Roman" w:eastAsia="Times New Roman" w:hAnsi="Times New Roman" w:cs="Times New Roman"/>
          <w:sz w:val="24"/>
          <w:szCs w:val="24"/>
          <w:lang w:val="uk-UA"/>
        </w:rPr>
      </w:pPr>
      <w:r w:rsidRPr="00C03848">
        <w:rPr>
          <w:rFonts w:ascii="Times New Roman" w:eastAsia="Times New Roman" w:hAnsi="Times New Roman" w:cs="Times New Roman"/>
          <w:sz w:val="24"/>
          <w:szCs w:val="24"/>
          <w:lang w:val="uk-UA"/>
        </w:rPr>
        <w:t xml:space="preserve">Цю </w:t>
      </w:r>
      <w:r w:rsidR="002C54D7" w:rsidRPr="00C03848">
        <w:rPr>
          <w:rFonts w:ascii="Times New Roman" w:eastAsia="Times New Roman" w:hAnsi="Times New Roman" w:cs="Times New Roman"/>
          <w:sz w:val="24"/>
          <w:szCs w:val="24"/>
          <w:lang w:val="uk-UA"/>
        </w:rPr>
        <w:t>Д</w:t>
      </w:r>
      <w:r w:rsidRPr="00C03848">
        <w:rPr>
          <w:rFonts w:ascii="Times New Roman" w:eastAsia="Times New Roman" w:hAnsi="Times New Roman" w:cs="Times New Roman"/>
          <w:sz w:val="24"/>
          <w:szCs w:val="24"/>
          <w:lang w:val="uk-UA"/>
        </w:rPr>
        <w:t>ирективу адресовано державам-членам.</w:t>
      </w:r>
    </w:p>
    <w:p w:rsidR="00C07AC9" w:rsidRPr="00C03848" w:rsidRDefault="00C07AC9" w:rsidP="008B76F2">
      <w:pPr>
        <w:spacing w:after="0" w:line="240" w:lineRule="auto"/>
        <w:jc w:val="both"/>
        <w:textAlignment w:val="baseline"/>
        <w:rPr>
          <w:rFonts w:ascii="Times New Roman" w:eastAsia="Times New Roman" w:hAnsi="Times New Roman" w:cs="Times New Roman"/>
          <w:sz w:val="24"/>
          <w:szCs w:val="24"/>
          <w:lang w:val="uk-UA"/>
        </w:rPr>
      </w:pPr>
      <w:bookmarkStart w:id="8" w:name="_GoBack"/>
      <w:bookmarkEnd w:id="8"/>
    </w:p>
    <w:p w:rsidR="00C07AC9" w:rsidRPr="00C03848" w:rsidRDefault="00C07AC9" w:rsidP="008B76F2">
      <w:pPr>
        <w:spacing w:after="0" w:line="240" w:lineRule="auto"/>
        <w:jc w:val="both"/>
        <w:textAlignment w:val="baseline"/>
        <w:rPr>
          <w:rFonts w:ascii="Times New Roman" w:eastAsia="Times New Roman" w:hAnsi="Times New Roman" w:cs="Times New Roman"/>
          <w:sz w:val="24"/>
          <w:szCs w:val="24"/>
          <w:lang w:val="uk-UA"/>
        </w:rPr>
      </w:pPr>
      <w:r w:rsidRPr="00C03848">
        <w:rPr>
          <w:rFonts w:ascii="Times New Roman" w:eastAsia="Times New Roman" w:hAnsi="Times New Roman" w:cs="Times New Roman"/>
          <w:sz w:val="24"/>
          <w:szCs w:val="24"/>
          <w:lang w:val="uk-UA"/>
        </w:rPr>
        <w:t>Вчинено у Страсбурзі 20 травня 2015 року.</w:t>
      </w:r>
    </w:p>
    <w:p w:rsidR="00C07AC9" w:rsidRPr="00C03848" w:rsidRDefault="00C07AC9" w:rsidP="008B76F2">
      <w:pPr>
        <w:spacing w:after="0" w:line="240" w:lineRule="auto"/>
        <w:jc w:val="center"/>
        <w:textAlignment w:val="baseline"/>
        <w:rPr>
          <w:rFonts w:ascii="Times New Roman" w:eastAsia="Times New Roman" w:hAnsi="Times New Roman" w:cs="Times New Roman"/>
          <w:iCs/>
          <w:sz w:val="24"/>
          <w:szCs w:val="24"/>
          <w:bdr w:val="none" w:sz="0" w:space="0" w:color="auto" w:frame="1"/>
          <w:lang w:val="uk-UA"/>
        </w:rPr>
      </w:pPr>
    </w:p>
    <w:p w:rsidR="00C07AC9" w:rsidRPr="00C03848" w:rsidRDefault="00C07AC9" w:rsidP="008B76F2">
      <w:pPr>
        <w:spacing w:after="0" w:line="240" w:lineRule="auto"/>
        <w:jc w:val="center"/>
        <w:textAlignment w:val="baseline"/>
        <w:rPr>
          <w:rFonts w:ascii="Times New Roman" w:eastAsia="Times New Roman" w:hAnsi="Times New Roman" w:cs="Times New Roman"/>
          <w:sz w:val="24"/>
          <w:szCs w:val="24"/>
          <w:lang w:val="uk-UA"/>
        </w:rPr>
      </w:pPr>
      <w:r w:rsidRPr="00C03848">
        <w:rPr>
          <w:rFonts w:ascii="Times New Roman" w:eastAsia="Times New Roman" w:hAnsi="Times New Roman" w:cs="Times New Roman"/>
          <w:iCs/>
          <w:sz w:val="24"/>
          <w:szCs w:val="24"/>
          <w:bdr w:val="none" w:sz="0" w:space="0" w:color="auto" w:frame="1"/>
          <w:lang w:val="uk-UA"/>
        </w:rPr>
        <w:t>За Європейський Парламент</w:t>
      </w:r>
    </w:p>
    <w:p w:rsidR="00C07AC9" w:rsidRPr="00C03848" w:rsidRDefault="00C07AC9" w:rsidP="008B76F2">
      <w:pPr>
        <w:spacing w:after="0" w:line="240" w:lineRule="auto"/>
        <w:jc w:val="center"/>
        <w:textAlignment w:val="baseline"/>
        <w:rPr>
          <w:rFonts w:ascii="Times New Roman" w:eastAsia="Times New Roman" w:hAnsi="Times New Roman" w:cs="Times New Roman"/>
          <w:sz w:val="24"/>
          <w:szCs w:val="24"/>
          <w:lang w:val="uk-UA"/>
        </w:rPr>
      </w:pPr>
      <w:r w:rsidRPr="00C03848">
        <w:rPr>
          <w:rFonts w:ascii="Times New Roman" w:eastAsia="Times New Roman" w:hAnsi="Times New Roman" w:cs="Times New Roman"/>
          <w:iCs/>
          <w:sz w:val="24"/>
          <w:szCs w:val="24"/>
          <w:bdr w:val="none" w:sz="0" w:space="0" w:color="auto" w:frame="1"/>
          <w:lang w:val="uk-UA"/>
        </w:rPr>
        <w:t>Голова</w:t>
      </w:r>
    </w:p>
    <w:p w:rsidR="00C07AC9" w:rsidRPr="00C03848" w:rsidRDefault="00C07AC9" w:rsidP="008B76F2">
      <w:pPr>
        <w:spacing w:after="0" w:line="240" w:lineRule="auto"/>
        <w:jc w:val="center"/>
        <w:textAlignment w:val="baseline"/>
        <w:rPr>
          <w:rFonts w:ascii="Times New Roman" w:eastAsia="Times New Roman" w:hAnsi="Times New Roman" w:cs="Times New Roman"/>
          <w:sz w:val="24"/>
          <w:szCs w:val="24"/>
          <w:lang w:val="uk-UA"/>
        </w:rPr>
      </w:pPr>
      <w:r w:rsidRPr="00C03848">
        <w:rPr>
          <w:rFonts w:ascii="Times New Roman" w:eastAsia="Times New Roman" w:hAnsi="Times New Roman" w:cs="Times New Roman"/>
          <w:sz w:val="24"/>
          <w:szCs w:val="24"/>
          <w:lang w:val="uk-UA"/>
        </w:rPr>
        <w:t>M. ШУЛЬЦ</w:t>
      </w:r>
    </w:p>
    <w:p w:rsidR="00C07AC9" w:rsidRPr="00C03848" w:rsidRDefault="00C07AC9" w:rsidP="008B76F2">
      <w:pPr>
        <w:spacing w:after="0" w:line="240" w:lineRule="auto"/>
        <w:jc w:val="center"/>
        <w:textAlignment w:val="baseline"/>
        <w:rPr>
          <w:rFonts w:ascii="Times New Roman" w:eastAsia="Times New Roman" w:hAnsi="Times New Roman" w:cs="Times New Roman"/>
          <w:sz w:val="24"/>
          <w:szCs w:val="24"/>
          <w:lang w:val="uk-UA"/>
        </w:rPr>
      </w:pPr>
      <w:r w:rsidRPr="00C03848">
        <w:rPr>
          <w:rFonts w:ascii="Times New Roman" w:eastAsia="Times New Roman" w:hAnsi="Times New Roman" w:cs="Times New Roman"/>
          <w:iCs/>
          <w:sz w:val="24"/>
          <w:szCs w:val="24"/>
          <w:bdr w:val="none" w:sz="0" w:space="0" w:color="auto" w:frame="1"/>
          <w:lang w:val="uk-UA"/>
        </w:rPr>
        <w:t>За Раду</w:t>
      </w:r>
    </w:p>
    <w:p w:rsidR="008B76F2" w:rsidRPr="00C03848" w:rsidRDefault="00C07AC9" w:rsidP="008B76F2">
      <w:pPr>
        <w:spacing w:after="0" w:line="240" w:lineRule="auto"/>
        <w:jc w:val="center"/>
        <w:textAlignment w:val="baseline"/>
        <w:rPr>
          <w:rFonts w:ascii="Times New Roman" w:eastAsia="Times New Roman" w:hAnsi="Times New Roman" w:cs="Times New Roman"/>
          <w:iCs/>
          <w:sz w:val="24"/>
          <w:szCs w:val="24"/>
          <w:bdr w:val="none" w:sz="0" w:space="0" w:color="auto" w:frame="1"/>
          <w:lang w:val="uk-UA"/>
        </w:rPr>
      </w:pPr>
      <w:r w:rsidRPr="00C03848">
        <w:rPr>
          <w:rFonts w:ascii="Times New Roman" w:eastAsia="Times New Roman" w:hAnsi="Times New Roman" w:cs="Times New Roman"/>
          <w:iCs/>
          <w:sz w:val="24"/>
          <w:szCs w:val="24"/>
          <w:bdr w:val="none" w:sz="0" w:space="0" w:color="auto" w:frame="1"/>
          <w:lang w:val="uk-UA"/>
        </w:rPr>
        <w:t>Голова</w:t>
      </w:r>
    </w:p>
    <w:p w:rsidR="002C54D7" w:rsidRPr="00C03848" w:rsidRDefault="008B76F2" w:rsidP="008B76F2">
      <w:pPr>
        <w:spacing w:after="0" w:line="240" w:lineRule="auto"/>
        <w:jc w:val="center"/>
        <w:textAlignment w:val="baseline"/>
        <w:rPr>
          <w:rFonts w:ascii="Times New Roman" w:eastAsia="Times New Roman" w:hAnsi="Times New Roman" w:cs="Times New Roman"/>
          <w:sz w:val="24"/>
          <w:szCs w:val="24"/>
          <w:lang w:val="uk-UA"/>
        </w:rPr>
      </w:pPr>
      <w:r w:rsidRPr="00C03848">
        <w:rPr>
          <w:rFonts w:ascii="Times New Roman" w:hAnsi="Times New Roman" w:cs="Times New Roman"/>
          <w:sz w:val="24"/>
          <w:szCs w:val="24"/>
          <w:lang w:val="uk-UA"/>
        </w:rPr>
        <w:t>З</w:t>
      </w:r>
      <w:r w:rsidR="002C54D7" w:rsidRPr="00C03848">
        <w:rPr>
          <w:rFonts w:ascii="Times New Roman" w:hAnsi="Times New Roman" w:cs="Times New Roman"/>
          <w:sz w:val="24"/>
          <w:szCs w:val="24"/>
          <w:lang w:val="uk-UA"/>
        </w:rPr>
        <w:t xml:space="preserve">. </w:t>
      </w:r>
      <w:r w:rsidRPr="00C03848">
        <w:rPr>
          <w:rFonts w:ascii="Times New Roman" w:hAnsi="Times New Roman" w:cs="Times New Roman"/>
          <w:sz w:val="24"/>
          <w:szCs w:val="24"/>
          <w:lang w:val="uk-UA"/>
        </w:rPr>
        <w:t>КАЛНІНА-ЛУКАШЕВИЧА</w:t>
      </w:r>
    </w:p>
    <w:p w:rsidR="00902C64" w:rsidRPr="00C03848" w:rsidRDefault="00902C64" w:rsidP="008B76F2">
      <w:pPr>
        <w:spacing w:after="0" w:line="240" w:lineRule="auto"/>
        <w:jc w:val="center"/>
        <w:rPr>
          <w:rFonts w:ascii="Times New Roman" w:hAnsi="Times New Roman" w:cs="Times New Roman"/>
          <w:sz w:val="24"/>
          <w:szCs w:val="24"/>
          <w:lang w:val="uk-UA"/>
        </w:rPr>
      </w:pPr>
    </w:p>
    <w:p w:rsidR="003343DD" w:rsidRPr="00C03848" w:rsidRDefault="00AC3A3E" w:rsidP="003343DD">
      <w:pPr>
        <w:spacing w:before="240" w:after="60"/>
        <w:rPr>
          <w:lang w:val="uk-UA"/>
        </w:rPr>
      </w:pPr>
      <w:r w:rsidRPr="00C03848">
        <w:rPr>
          <w:lang w:val="uk-UA"/>
        </w:rPr>
        <w:lastRenderedPageBreak/>
        <w:pict>
          <v:rect id="_x0000_i1025" style="width:146.8pt;height:.75pt" o:hrpct="0" o:hrstd="t" o:hrnoshade="t" o:hr="t" fillcolor="black" stroked="f"/>
        </w:pic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41" w:anchor="ntc1-L_2015141EN.01007301-E0001"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1</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w:t>
      </w:r>
      <w:hyperlink r:id="rId42" w:history="1">
        <w:r w:rsidR="003343DD" w:rsidRPr="00C03848">
          <w:rPr>
            <w:rStyle w:val="Hyperlink"/>
            <w:color w:val="auto"/>
            <w:sz w:val="20"/>
            <w:szCs w:val="20"/>
            <w:u w:val="none"/>
            <w:bdr w:val="none" w:sz="0" w:space="0" w:color="auto" w:frame="1"/>
            <w:lang w:val="uk-UA"/>
          </w:rPr>
          <w:t>OВ C 166, 12.6.2013, стоp. 2</w:t>
        </w:r>
      </w:hyperlink>
      <w:r w:rsidR="003343DD"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43" w:anchor="ntc2-L_2015141EN.01007301-E0002"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2</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w:t>
      </w:r>
      <w:hyperlink r:id="rId44" w:history="1">
        <w:r w:rsidR="003343DD" w:rsidRPr="00C03848">
          <w:rPr>
            <w:rStyle w:val="Hyperlink"/>
            <w:color w:val="auto"/>
            <w:sz w:val="20"/>
            <w:szCs w:val="20"/>
            <w:u w:val="none"/>
            <w:bdr w:val="none" w:sz="0" w:space="0" w:color="auto" w:frame="1"/>
            <w:lang w:val="uk-UA"/>
          </w:rPr>
          <w:t>OВ C 271, 19.9.2013, стоp. 31</w:t>
        </w:r>
      </w:hyperlink>
      <w:r w:rsidR="003343DD"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45" w:anchor="ntc3-L_2015141EN.01007301-E0003"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3</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Позиція Європейського Парламенту від 11 березня 2014 року (ще не опублікована в Офіційному Віснику) та позиція Ради  </w:t>
      </w:r>
      <w:r w:rsidR="00212D4F" w:rsidRPr="00C03848">
        <w:rPr>
          <w:sz w:val="20"/>
          <w:szCs w:val="20"/>
          <w:lang w:val="uk-UA"/>
        </w:rPr>
        <w:t>в першому читанні від 20 квітня</w:t>
      </w:r>
      <w:r w:rsidR="003343DD" w:rsidRPr="00C03848">
        <w:rPr>
          <w:sz w:val="20"/>
          <w:szCs w:val="20"/>
          <w:lang w:val="uk-UA"/>
        </w:rPr>
        <w:t xml:space="preserve"> 2015 </w:t>
      </w:r>
      <w:r w:rsidR="00212D4F" w:rsidRPr="00C03848">
        <w:rPr>
          <w:sz w:val="20"/>
          <w:szCs w:val="20"/>
          <w:lang w:val="uk-UA"/>
        </w:rPr>
        <w:t xml:space="preserve">року </w:t>
      </w:r>
      <w:r w:rsidR="003343DD" w:rsidRPr="00C03848">
        <w:rPr>
          <w:sz w:val="20"/>
          <w:szCs w:val="20"/>
          <w:lang w:val="uk-UA"/>
        </w:rPr>
        <w:t xml:space="preserve">(ще не опублікована в Офіційному Віснику). </w:t>
      </w:r>
      <w:r w:rsidR="00212D4F" w:rsidRPr="00C03848">
        <w:rPr>
          <w:sz w:val="20"/>
          <w:szCs w:val="20"/>
          <w:lang w:val="uk-UA"/>
        </w:rPr>
        <w:t>Позиція Європейського Парламенту від</w:t>
      </w:r>
      <w:r w:rsidR="003343DD" w:rsidRPr="00C03848">
        <w:rPr>
          <w:sz w:val="20"/>
          <w:szCs w:val="20"/>
          <w:lang w:val="uk-UA"/>
        </w:rPr>
        <w:t xml:space="preserve"> 20 </w:t>
      </w:r>
      <w:r w:rsidR="00212D4F" w:rsidRPr="00C03848">
        <w:rPr>
          <w:sz w:val="20"/>
          <w:szCs w:val="20"/>
          <w:lang w:val="uk-UA"/>
        </w:rPr>
        <w:t>травня</w:t>
      </w:r>
      <w:r w:rsidR="003343DD" w:rsidRPr="00C03848">
        <w:rPr>
          <w:sz w:val="20"/>
          <w:szCs w:val="20"/>
          <w:lang w:val="uk-UA"/>
        </w:rPr>
        <w:t xml:space="preserve"> 2015 </w:t>
      </w:r>
      <w:r w:rsidR="00212D4F" w:rsidRPr="00C03848">
        <w:rPr>
          <w:sz w:val="20"/>
          <w:szCs w:val="20"/>
          <w:lang w:val="uk-UA"/>
        </w:rPr>
        <w:t xml:space="preserve">року </w:t>
      </w:r>
      <w:r w:rsidR="003343DD" w:rsidRPr="00C03848">
        <w:rPr>
          <w:sz w:val="20"/>
          <w:szCs w:val="20"/>
          <w:lang w:val="uk-UA"/>
        </w:rPr>
        <w:t>(ще не опублікована в Офіційному Віснику).</w:t>
      </w:r>
    </w:p>
    <w:p w:rsidR="003343DD" w:rsidRPr="00C03848" w:rsidRDefault="00AC3A3E" w:rsidP="005910B8">
      <w:pPr>
        <w:pStyle w:val="HTMLPreformatted"/>
        <w:shd w:val="clear" w:color="auto" w:fill="FFFFFF"/>
        <w:jc w:val="both"/>
        <w:textAlignment w:val="baseline"/>
        <w:rPr>
          <w:rFonts w:ascii="Times New Roman" w:hAnsi="Times New Roman" w:cs="Times New Roman"/>
        </w:rPr>
      </w:pPr>
      <w:hyperlink r:id="rId46" w:anchor="ntc4-L_2015141EN.01007301-E0004" w:history="1">
        <w:r w:rsidR="003343DD" w:rsidRPr="00C03848">
          <w:rPr>
            <w:rStyle w:val="Hyperlink"/>
            <w:rFonts w:ascii="Times New Roman" w:hAnsi="Times New Roman" w:cs="Times New Roman"/>
            <w:color w:val="auto"/>
            <w:u w:val="none"/>
            <w:bdr w:val="none" w:sz="0" w:space="0" w:color="auto" w:frame="1"/>
          </w:rPr>
          <w:t>(</w:t>
        </w:r>
        <w:r w:rsidR="003343DD" w:rsidRPr="00C03848">
          <w:rPr>
            <w:rStyle w:val="super"/>
            <w:rFonts w:ascii="Times New Roman" w:hAnsi="Times New Roman" w:cs="Times New Roman"/>
            <w:sz w:val="20"/>
            <w:szCs w:val="20"/>
            <w:bdr w:val="none" w:sz="0" w:space="0" w:color="auto" w:frame="1"/>
          </w:rPr>
          <w:t>4</w:t>
        </w:r>
        <w:r w:rsidR="003343DD" w:rsidRPr="00C03848">
          <w:rPr>
            <w:rStyle w:val="Hyperlink"/>
            <w:rFonts w:ascii="Times New Roman" w:hAnsi="Times New Roman" w:cs="Times New Roman"/>
            <w:color w:val="auto"/>
            <w:u w:val="none"/>
            <w:bdr w:val="none" w:sz="0" w:space="0" w:color="auto" w:frame="1"/>
          </w:rPr>
          <w:t>)</w:t>
        </w:r>
      </w:hyperlink>
      <w:r w:rsidR="003343DD" w:rsidRPr="00C03848">
        <w:rPr>
          <w:rFonts w:ascii="Times New Roman" w:hAnsi="Times New Roman" w:cs="Times New Roman"/>
        </w:rPr>
        <w:t xml:space="preserve">   Директива </w:t>
      </w:r>
      <w:r w:rsidR="00212D4F" w:rsidRPr="00C03848">
        <w:rPr>
          <w:rFonts w:ascii="Times New Roman" w:hAnsi="Times New Roman" w:cs="Times New Roman"/>
        </w:rPr>
        <w:t xml:space="preserve">Ради </w:t>
      </w:r>
      <w:r w:rsidR="005910B8" w:rsidRPr="00C03848">
        <w:rPr>
          <w:rFonts w:ascii="Times New Roman" w:hAnsi="Times New Roman" w:cs="Times New Roman"/>
        </w:rPr>
        <w:t>91/308/EEC від червня</w:t>
      </w:r>
      <w:r w:rsidR="003343DD" w:rsidRPr="00C03848">
        <w:rPr>
          <w:rFonts w:ascii="Times New Roman" w:hAnsi="Times New Roman" w:cs="Times New Roman"/>
        </w:rPr>
        <w:t xml:space="preserve"> 1991 </w:t>
      </w:r>
      <w:r w:rsidR="005910B8" w:rsidRPr="00C03848">
        <w:rPr>
          <w:rFonts w:ascii="Times New Roman" w:hAnsi="Times New Roman" w:cs="Times New Roman"/>
        </w:rPr>
        <w:t xml:space="preserve">року </w:t>
      </w:r>
      <w:r w:rsidR="005910B8" w:rsidRPr="00C03848">
        <w:rPr>
          <w:rFonts w:ascii="Times New Roman" w:hAnsi="Times New Roman" w:cs="Times New Roman"/>
          <w:iCs/>
          <w:bdr w:val="none" w:sz="0" w:space="0" w:color="auto" w:frame="1"/>
        </w:rPr>
        <w:t xml:space="preserve">про  запобігання використанню фінансової системи для відмивання коштів </w:t>
      </w:r>
      <w:r w:rsidR="003343DD" w:rsidRPr="00C03848">
        <w:rPr>
          <w:rFonts w:ascii="Times New Roman" w:hAnsi="Times New Roman" w:cs="Times New Roman"/>
        </w:rPr>
        <w:t>(</w:t>
      </w:r>
      <w:hyperlink r:id="rId47" w:history="1">
        <w:r w:rsidR="005910B8" w:rsidRPr="00C03848">
          <w:rPr>
            <w:rStyle w:val="Hyperlink"/>
            <w:rFonts w:ascii="Times New Roman" w:hAnsi="Times New Roman" w:cs="Times New Roman"/>
            <w:color w:val="auto"/>
            <w:u w:val="none"/>
            <w:bdr w:val="none" w:sz="0" w:space="0" w:color="auto" w:frame="1"/>
          </w:rPr>
          <w:t>OВ</w:t>
        </w:r>
        <w:r w:rsidR="003343DD" w:rsidRPr="00C03848">
          <w:rPr>
            <w:rStyle w:val="Hyperlink"/>
            <w:rFonts w:ascii="Times New Roman" w:hAnsi="Times New Roman" w:cs="Times New Roman"/>
            <w:color w:val="auto"/>
            <w:u w:val="none"/>
            <w:bdr w:val="none" w:sz="0" w:space="0" w:color="auto" w:frame="1"/>
          </w:rPr>
          <w:t xml:space="preserve"> L 166, 28.6.1991, </w:t>
        </w:r>
        <w:r w:rsidR="005910B8" w:rsidRPr="00C03848">
          <w:rPr>
            <w:rStyle w:val="Hyperlink"/>
            <w:rFonts w:ascii="Times New Roman" w:hAnsi="Times New Roman" w:cs="Times New Roman"/>
            <w:color w:val="auto"/>
            <w:u w:val="none"/>
            <w:bdr w:val="none" w:sz="0" w:space="0" w:color="auto" w:frame="1"/>
          </w:rPr>
          <w:t>сто</w:t>
        </w:r>
        <w:r w:rsidR="003343DD" w:rsidRPr="00C03848">
          <w:rPr>
            <w:rStyle w:val="Hyperlink"/>
            <w:rFonts w:ascii="Times New Roman" w:hAnsi="Times New Roman" w:cs="Times New Roman"/>
            <w:color w:val="auto"/>
            <w:u w:val="none"/>
            <w:bdr w:val="none" w:sz="0" w:space="0" w:color="auto" w:frame="1"/>
          </w:rPr>
          <w:t>p. 77</w:t>
        </w:r>
      </w:hyperlink>
      <w:r w:rsidR="005910B8" w:rsidRPr="00C03848">
        <w:rPr>
          <w:rFonts w:ascii="Times New Roman" w:hAnsi="Times New Roman" w:cs="Times New Roman"/>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48" w:anchor="ntc5-L_2015141EN.01007301-E0005"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5</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Директива 2001/97/EC Європейського Парламенту і Ради </w:t>
      </w:r>
      <w:r w:rsidR="005910B8" w:rsidRPr="00C03848">
        <w:rPr>
          <w:sz w:val="20"/>
          <w:szCs w:val="20"/>
          <w:lang w:val="uk-UA"/>
        </w:rPr>
        <w:t>від</w:t>
      </w:r>
      <w:r w:rsidR="003343DD" w:rsidRPr="00C03848">
        <w:rPr>
          <w:sz w:val="20"/>
          <w:szCs w:val="20"/>
          <w:lang w:val="uk-UA"/>
        </w:rPr>
        <w:t xml:space="preserve"> 4 </w:t>
      </w:r>
      <w:r w:rsidR="005910B8" w:rsidRPr="00C03848">
        <w:rPr>
          <w:sz w:val="20"/>
          <w:szCs w:val="20"/>
          <w:lang w:val="uk-UA"/>
        </w:rPr>
        <w:t>грудня</w:t>
      </w:r>
      <w:r w:rsidR="003343DD" w:rsidRPr="00C03848">
        <w:rPr>
          <w:sz w:val="20"/>
          <w:szCs w:val="20"/>
          <w:lang w:val="uk-UA"/>
        </w:rPr>
        <w:t xml:space="preserve"> 2001</w:t>
      </w:r>
      <w:r w:rsidR="005910B8" w:rsidRPr="00C03848">
        <w:rPr>
          <w:sz w:val="20"/>
          <w:szCs w:val="20"/>
          <w:lang w:val="uk-UA"/>
        </w:rPr>
        <w:t xml:space="preserve"> року про внесення змін до Директиви Ради 91/308/ЕЕС про запобігання використанню фінансової системи з метою відмивання грошей</w:t>
      </w:r>
      <w:r w:rsidR="003343DD" w:rsidRPr="00C03848">
        <w:rPr>
          <w:sz w:val="20"/>
          <w:szCs w:val="20"/>
          <w:lang w:val="uk-UA"/>
        </w:rPr>
        <w:t xml:space="preserve"> (</w:t>
      </w:r>
      <w:hyperlink r:id="rId49" w:history="1">
        <w:r w:rsidR="003343DD" w:rsidRPr="00C03848">
          <w:rPr>
            <w:rStyle w:val="Hyperlink"/>
            <w:color w:val="auto"/>
            <w:sz w:val="20"/>
            <w:szCs w:val="20"/>
            <w:u w:val="none"/>
            <w:bdr w:val="none" w:sz="0" w:space="0" w:color="auto" w:frame="1"/>
            <w:lang w:val="uk-UA"/>
          </w:rPr>
          <w:t>O</w:t>
        </w:r>
        <w:r w:rsidR="005910B8" w:rsidRPr="00C03848">
          <w:rPr>
            <w:rStyle w:val="Hyperlink"/>
            <w:color w:val="auto"/>
            <w:sz w:val="20"/>
            <w:szCs w:val="20"/>
            <w:u w:val="none"/>
            <w:bdr w:val="none" w:sz="0" w:space="0" w:color="auto" w:frame="1"/>
            <w:lang w:val="uk-UA"/>
          </w:rPr>
          <w:t>В</w:t>
        </w:r>
        <w:r w:rsidR="003343DD" w:rsidRPr="00C03848">
          <w:rPr>
            <w:rStyle w:val="Hyperlink"/>
            <w:color w:val="auto"/>
            <w:sz w:val="20"/>
            <w:szCs w:val="20"/>
            <w:u w:val="none"/>
            <w:bdr w:val="none" w:sz="0" w:space="0" w:color="auto" w:frame="1"/>
            <w:lang w:val="uk-UA"/>
          </w:rPr>
          <w:t xml:space="preserve"> L 344, 28.12.2001, </w:t>
        </w:r>
        <w:r w:rsidR="005910B8" w:rsidRPr="00C03848">
          <w:rPr>
            <w:rStyle w:val="Hyperlink"/>
            <w:color w:val="auto"/>
            <w:sz w:val="20"/>
            <w:szCs w:val="20"/>
            <w:u w:val="none"/>
            <w:bdr w:val="none" w:sz="0" w:space="0" w:color="auto" w:frame="1"/>
            <w:lang w:val="uk-UA"/>
          </w:rPr>
          <w:t>сто</w:t>
        </w:r>
        <w:r w:rsidR="003343DD" w:rsidRPr="00C03848">
          <w:rPr>
            <w:rStyle w:val="Hyperlink"/>
            <w:color w:val="auto"/>
            <w:sz w:val="20"/>
            <w:szCs w:val="20"/>
            <w:u w:val="none"/>
            <w:bdr w:val="none" w:sz="0" w:space="0" w:color="auto" w:frame="1"/>
            <w:lang w:val="uk-UA"/>
          </w:rPr>
          <w:t>p. 76</w:t>
        </w:r>
      </w:hyperlink>
      <w:r w:rsidR="003343DD"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50" w:anchor="ntc6-L_2015141EN.01007301-E0006"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6</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Директива 2005/60/EC Європейського Парламенту і Ради </w:t>
      </w:r>
      <w:r w:rsidR="005910B8" w:rsidRPr="00C03848">
        <w:rPr>
          <w:sz w:val="20"/>
          <w:szCs w:val="20"/>
          <w:lang w:val="uk-UA"/>
        </w:rPr>
        <w:t>від</w:t>
      </w:r>
      <w:r w:rsidR="003343DD" w:rsidRPr="00C03848">
        <w:rPr>
          <w:sz w:val="20"/>
          <w:szCs w:val="20"/>
          <w:lang w:val="uk-UA"/>
        </w:rPr>
        <w:t xml:space="preserve"> 26</w:t>
      </w:r>
      <w:r w:rsidR="005910B8" w:rsidRPr="00C03848">
        <w:rPr>
          <w:sz w:val="20"/>
          <w:szCs w:val="20"/>
          <w:lang w:val="uk-UA"/>
        </w:rPr>
        <w:t xml:space="preserve"> жовтня</w:t>
      </w:r>
      <w:r w:rsidR="003343DD" w:rsidRPr="00C03848">
        <w:rPr>
          <w:sz w:val="20"/>
          <w:szCs w:val="20"/>
          <w:lang w:val="uk-UA"/>
        </w:rPr>
        <w:t xml:space="preserve"> 2005 </w:t>
      </w:r>
      <w:r w:rsidR="005910B8" w:rsidRPr="00C03848">
        <w:rPr>
          <w:sz w:val="20"/>
          <w:szCs w:val="20"/>
          <w:lang w:val="uk-UA"/>
        </w:rPr>
        <w:t>року про запобігання використанню фінансової системи з метою відмив</w:t>
      </w:r>
      <w:r w:rsidRPr="00C03848">
        <w:rPr>
          <w:sz w:val="20"/>
          <w:szCs w:val="20"/>
          <w:lang w:val="uk-UA"/>
        </w:rPr>
        <w:t>ання коштів та фінансування тер</w:t>
      </w:r>
      <w:r w:rsidR="005910B8" w:rsidRPr="00C03848">
        <w:rPr>
          <w:sz w:val="20"/>
          <w:szCs w:val="20"/>
          <w:lang w:val="uk-UA"/>
        </w:rPr>
        <w:t xml:space="preserve">оризму </w:t>
      </w:r>
      <w:r w:rsidR="003343DD" w:rsidRPr="00C03848">
        <w:rPr>
          <w:sz w:val="20"/>
          <w:szCs w:val="20"/>
          <w:lang w:val="uk-UA"/>
        </w:rPr>
        <w:t>(</w:t>
      </w:r>
      <w:hyperlink r:id="rId51" w:history="1">
        <w:r w:rsidR="003343DD" w:rsidRPr="00C03848">
          <w:rPr>
            <w:rStyle w:val="Hyperlink"/>
            <w:color w:val="auto"/>
            <w:sz w:val="20"/>
            <w:szCs w:val="20"/>
            <w:u w:val="none"/>
            <w:bdr w:val="none" w:sz="0" w:space="0" w:color="auto" w:frame="1"/>
            <w:lang w:val="uk-UA"/>
          </w:rPr>
          <w:t>O</w:t>
        </w:r>
        <w:r w:rsidR="005910B8" w:rsidRPr="00C03848">
          <w:rPr>
            <w:rStyle w:val="Hyperlink"/>
            <w:color w:val="auto"/>
            <w:sz w:val="20"/>
            <w:szCs w:val="20"/>
            <w:u w:val="none"/>
            <w:bdr w:val="none" w:sz="0" w:space="0" w:color="auto" w:frame="1"/>
            <w:lang w:val="uk-UA"/>
          </w:rPr>
          <w:t>В</w:t>
        </w:r>
        <w:r w:rsidR="003343DD" w:rsidRPr="00C03848">
          <w:rPr>
            <w:rStyle w:val="Hyperlink"/>
            <w:color w:val="auto"/>
            <w:sz w:val="20"/>
            <w:szCs w:val="20"/>
            <w:u w:val="none"/>
            <w:bdr w:val="none" w:sz="0" w:space="0" w:color="auto" w:frame="1"/>
            <w:lang w:val="uk-UA"/>
          </w:rPr>
          <w:t xml:space="preserve"> L 309, 25.11.2005, </w:t>
        </w:r>
        <w:r w:rsidR="005910B8" w:rsidRPr="00C03848">
          <w:rPr>
            <w:rStyle w:val="Hyperlink"/>
            <w:color w:val="auto"/>
            <w:sz w:val="20"/>
            <w:szCs w:val="20"/>
            <w:u w:val="none"/>
            <w:bdr w:val="none" w:sz="0" w:space="0" w:color="auto" w:frame="1"/>
            <w:lang w:val="uk-UA"/>
          </w:rPr>
          <w:t>сто</w:t>
        </w:r>
        <w:r w:rsidR="003343DD" w:rsidRPr="00C03848">
          <w:rPr>
            <w:rStyle w:val="Hyperlink"/>
            <w:color w:val="auto"/>
            <w:sz w:val="20"/>
            <w:szCs w:val="20"/>
            <w:u w:val="none"/>
            <w:bdr w:val="none" w:sz="0" w:space="0" w:color="auto" w:frame="1"/>
            <w:lang w:val="uk-UA"/>
          </w:rPr>
          <w:t>p. 15</w:t>
        </w:r>
      </w:hyperlink>
      <w:r w:rsidR="003343DD"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52" w:anchor="ntc7-L_2015141EN.01007301-E0007"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7</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Директива </w:t>
      </w:r>
      <w:r w:rsidRPr="00C03848">
        <w:rPr>
          <w:sz w:val="20"/>
          <w:szCs w:val="20"/>
          <w:lang w:val="uk-UA"/>
        </w:rPr>
        <w:t xml:space="preserve">Комісії </w:t>
      </w:r>
      <w:r w:rsidR="003343DD" w:rsidRPr="00C03848">
        <w:rPr>
          <w:sz w:val="20"/>
          <w:szCs w:val="20"/>
          <w:lang w:val="uk-UA"/>
        </w:rPr>
        <w:t xml:space="preserve">2006/70/EC </w:t>
      </w:r>
      <w:r w:rsidR="005910B8" w:rsidRPr="00C03848">
        <w:rPr>
          <w:sz w:val="20"/>
          <w:szCs w:val="20"/>
          <w:lang w:val="uk-UA"/>
        </w:rPr>
        <w:t>від</w:t>
      </w:r>
      <w:r w:rsidR="003343DD" w:rsidRPr="00C03848">
        <w:rPr>
          <w:sz w:val="20"/>
          <w:szCs w:val="20"/>
          <w:lang w:val="uk-UA"/>
        </w:rPr>
        <w:t xml:space="preserve"> 1 </w:t>
      </w:r>
      <w:r w:rsidR="005910B8" w:rsidRPr="00C03848">
        <w:rPr>
          <w:sz w:val="20"/>
          <w:szCs w:val="20"/>
          <w:lang w:val="uk-UA"/>
        </w:rPr>
        <w:t>серпня</w:t>
      </w:r>
      <w:r w:rsidR="003343DD" w:rsidRPr="00C03848">
        <w:rPr>
          <w:sz w:val="20"/>
          <w:szCs w:val="20"/>
          <w:lang w:val="uk-UA"/>
        </w:rPr>
        <w:t xml:space="preserve"> 2006 </w:t>
      </w:r>
      <w:r w:rsidR="005910B8" w:rsidRPr="00C03848">
        <w:rPr>
          <w:sz w:val="20"/>
          <w:szCs w:val="20"/>
          <w:lang w:val="uk-UA"/>
        </w:rPr>
        <w:t xml:space="preserve">року, що встановлює заходи про виконання Директиви 2005/60/ЕС Європейського Парламенту та Ради відносно визначення «політичний діяч» та технічні критерії для спрощених процедур належної перевірки клієнта та для звільнення від податків через фінансову діяльність, що проводиться час від часу чи дуже обмежено </w:t>
      </w:r>
      <w:r w:rsidR="003343DD" w:rsidRPr="00C03848">
        <w:rPr>
          <w:sz w:val="20"/>
          <w:szCs w:val="20"/>
          <w:lang w:val="uk-UA"/>
        </w:rPr>
        <w:t>(</w:t>
      </w:r>
      <w:hyperlink r:id="rId53" w:history="1">
        <w:r w:rsidR="005910B8" w:rsidRPr="00C03848">
          <w:rPr>
            <w:rStyle w:val="Hyperlink"/>
            <w:color w:val="auto"/>
            <w:sz w:val="20"/>
            <w:szCs w:val="20"/>
            <w:u w:val="none"/>
            <w:bdr w:val="none" w:sz="0" w:space="0" w:color="auto" w:frame="1"/>
            <w:lang w:val="uk-UA"/>
          </w:rPr>
          <w:t>OВ</w:t>
        </w:r>
        <w:r w:rsidR="003343DD" w:rsidRPr="00C03848">
          <w:rPr>
            <w:rStyle w:val="Hyperlink"/>
            <w:color w:val="auto"/>
            <w:sz w:val="20"/>
            <w:szCs w:val="20"/>
            <w:u w:val="none"/>
            <w:bdr w:val="none" w:sz="0" w:space="0" w:color="auto" w:frame="1"/>
            <w:lang w:val="uk-UA"/>
          </w:rPr>
          <w:t xml:space="preserve"> L 214, 4.8.2006, </w:t>
        </w:r>
        <w:r w:rsidR="005910B8" w:rsidRPr="00C03848">
          <w:rPr>
            <w:rStyle w:val="Hyperlink"/>
            <w:color w:val="auto"/>
            <w:sz w:val="20"/>
            <w:szCs w:val="20"/>
            <w:u w:val="none"/>
            <w:bdr w:val="none" w:sz="0" w:space="0" w:color="auto" w:frame="1"/>
            <w:lang w:val="uk-UA"/>
          </w:rPr>
          <w:t>сто</w:t>
        </w:r>
        <w:r w:rsidR="003343DD" w:rsidRPr="00C03848">
          <w:rPr>
            <w:rStyle w:val="Hyperlink"/>
            <w:color w:val="auto"/>
            <w:sz w:val="20"/>
            <w:szCs w:val="20"/>
            <w:u w:val="none"/>
            <w:bdr w:val="none" w:sz="0" w:space="0" w:color="auto" w:frame="1"/>
            <w:lang w:val="uk-UA"/>
          </w:rPr>
          <w:t>p. 29</w:t>
        </w:r>
      </w:hyperlink>
      <w:r w:rsidR="003343DD" w:rsidRPr="00C03848">
        <w:rPr>
          <w:sz w:val="20"/>
          <w:szCs w:val="20"/>
          <w:lang w:val="uk-UA"/>
        </w:rPr>
        <w:t>).</w:t>
      </w:r>
    </w:p>
    <w:p w:rsidR="003343DD" w:rsidRPr="00C03848" w:rsidRDefault="00AC3A3E" w:rsidP="00DC54BA">
      <w:pPr>
        <w:pStyle w:val="note"/>
        <w:shd w:val="clear" w:color="auto" w:fill="FFFFFF"/>
        <w:spacing w:before="0" w:beforeAutospacing="0" w:after="0" w:afterAutospacing="0" w:line="250" w:lineRule="atLeast"/>
        <w:jc w:val="both"/>
        <w:textAlignment w:val="baseline"/>
        <w:rPr>
          <w:sz w:val="20"/>
          <w:szCs w:val="20"/>
          <w:lang w:val="uk-UA"/>
        </w:rPr>
      </w:pPr>
      <w:hyperlink r:id="rId54" w:anchor="ntc8-L_2015141EN.01007301-E0008"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8</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Директива 2009/110/EC Європейського Парламенту і Ради </w:t>
      </w:r>
      <w:r w:rsidR="00DC54BA" w:rsidRPr="00C03848">
        <w:rPr>
          <w:sz w:val="20"/>
          <w:szCs w:val="20"/>
          <w:lang w:val="uk-UA"/>
        </w:rPr>
        <w:t>від</w:t>
      </w:r>
      <w:r w:rsidR="003343DD" w:rsidRPr="00C03848">
        <w:rPr>
          <w:sz w:val="20"/>
          <w:szCs w:val="20"/>
          <w:lang w:val="uk-UA"/>
        </w:rPr>
        <w:t xml:space="preserve"> 16 </w:t>
      </w:r>
      <w:r w:rsidR="00DC54BA" w:rsidRPr="00C03848">
        <w:rPr>
          <w:sz w:val="20"/>
          <w:szCs w:val="20"/>
          <w:lang w:val="uk-UA"/>
        </w:rPr>
        <w:t>вересня</w:t>
      </w:r>
      <w:r w:rsidR="003343DD" w:rsidRPr="00C03848">
        <w:rPr>
          <w:sz w:val="20"/>
          <w:szCs w:val="20"/>
          <w:lang w:val="uk-UA"/>
        </w:rPr>
        <w:t xml:space="preserve"> 2009</w:t>
      </w:r>
      <w:r w:rsidR="00DC54BA" w:rsidRPr="00C03848">
        <w:rPr>
          <w:sz w:val="20"/>
          <w:szCs w:val="20"/>
          <w:lang w:val="uk-UA"/>
        </w:rPr>
        <w:t xml:space="preserve"> року про започаткування, здійснення та пруденційний нагляд за діяльністю установ, що працюють з електронними грошима, що вносить зміни до Директив 2005/60/ЕС та 2006/48/ЕС і припиняє дію Директиви 200/46/ЕС </w:t>
      </w:r>
      <w:r w:rsidR="003343DD" w:rsidRPr="00C03848">
        <w:rPr>
          <w:sz w:val="20"/>
          <w:szCs w:val="20"/>
          <w:lang w:val="uk-UA"/>
        </w:rPr>
        <w:t>(</w:t>
      </w:r>
      <w:hyperlink r:id="rId55" w:history="1">
        <w:r w:rsidR="003343DD" w:rsidRPr="00C03848">
          <w:rPr>
            <w:rStyle w:val="Hyperlink"/>
            <w:color w:val="auto"/>
            <w:sz w:val="20"/>
            <w:szCs w:val="20"/>
            <w:u w:val="none"/>
            <w:bdr w:val="none" w:sz="0" w:space="0" w:color="auto" w:frame="1"/>
            <w:lang w:val="uk-UA"/>
          </w:rPr>
          <w:t>O</w:t>
        </w:r>
        <w:r w:rsidR="00DC54BA" w:rsidRPr="00C03848">
          <w:rPr>
            <w:rStyle w:val="Hyperlink"/>
            <w:color w:val="auto"/>
            <w:sz w:val="20"/>
            <w:szCs w:val="20"/>
            <w:u w:val="none"/>
            <w:bdr w:val="none" w:sz="0" w:space="0" w:color="auto" w:frame="1"/>
            <w:lang w:val="uk-UA"/>
          </w:rPr>
          <w:t>В</w:t>
        </w:r>
        <w:r w:rsidR="003343DD" w:rsidRPr="00C03848">
          <w:rPr>
            <w:rStyle w:val="Hyperlink"/>
            <w:color w:val="auto"/>
            <w:sz w:val="20"/>
            <w:szCs w:val="20"/>
            <w:u w:val="none"/>
            <w:bdr w:val="none" w:sz="0" w:space="0" w:color="auto" w:frame="1"/>
            <w:lang w:val="uk-UA"/>
          </w:rPr>
          <w:t xml:space="preserve"> L 267, 10.10.2009, </w:t>
        </w:r>
        <w:r w:rsidR="00DC54BA" w:rsidRPr="00C03848">
          <w:rPr>
            <w:rStyle w:val="Hyperlink"/>
            <w:color w:val="auto"/>
            <w:sz w:val="20"/>
            <w:szCs w:val="20"/>
            <w:u w:val="none"/>
            <w:bdr w:val="none" w:sz="0" w:space="0" w:color="auto" w:frame="1"/>
            <w:lang w:val="uk-UA"/>
          </w:rPr>
          <w:t>сто</w:t>
        </w:r>
        <w:r w:rsidR="003343DD" w:rsidRPr="00C03848">
          <w:rPr>
            <w:rStyle w:val="Hyperlink"/>
            <w:color w:val="auto"/>
            <w:sz w:val="20"/>
            <w:szCs w:val="20"/>
            <w:u w:val="none"/>
            <w:bdr w:val="none" w:sz="0" w:space="0" w:color="auto" w:frame="1"/>
            <w:lang w:val="uk-UA"/>
          </w:rPr>
          <w:t>p. 7</w:t>
        </w:r>
      </w:hyperlink>
      <w:r w:rsidR="003343DD"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56" w:anchor="ntc9-L_2015141EN.01007301-E0009"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9</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Регламент (EU) No 1093/2010 </w:t>
      </w:r>
      <w:r w:rsidR="00DC54BA" w:rsidRPr="00C03848">
        <w:rPr>
          <w:sz w:val="20"/>
          <w:szCs w:val="20"/>
          <w:lang w:val="uk-UA"/>
        </w:rPr>
        <w:t xml:space="preserve">Європейського Парламенту та Ради від 24 листопада 2010 року про створення Європейського  банківського органу (ЄБО), яким вносяться поправки до Регламенту  (ЕС) № 716/2009 та скасовує Рішення Комісії 2009/78 / EC </w:t>
      </w:r>
      <w:r w:rsidR="00DC54BA" w:rsidRPr="00C03848">
        <w:rPr>
          <w:sz w:val="20"/>
          <w:szCs w:val="20"/>
          <w:shd w:val="clear" w:color="auto" w:fill="FFFFFF"/>
          <w:lang w:val="uk-UA"/>
        </w:rPr>
        <w:t>(</w:t>
      </w:r>
      <w:hyperlink r:id="rId57" w:history="1">
        <w:r w:rsidR="00DC54BA" w:rsidRPr="00C03848">
          <w:rPr>
            <w:rStyle w:val="Hyperlink"/>
            <w:color w:val="auto"/>
            <w:sz w:val="20"/>
            <w:szCs w:val="20"/>
            <w:bdr w:val="none" w:sz="0" w:space="0" w:color="auto" w:frame="1"/>
            <w:shd w:val="clear" w:color="auto" w:fill="FFFFFF"/>
            <w:lang w:val="uk-UA"/>
          </w:rPr>
          <w:t>OВ L 331, 15.12.2010, стоp. 12</w:t>
        </w:r>
      </w:hyperlink>
      <w:r w:rsidR="00DC54BA" w:rsidRPr="00C03848">
        <w:rPr>
          <w:sz w:val="20"/>
          <w:szCs w:val="20"/>
          <w:shd w:val="clear" w:color="auto" w:fill="FFFFFF"/>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58" w:anchor="ntc10-L_2015141EN.01007301-E0010"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10</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Регламент (EU) No 1094/2010 </w:t>
      </w:r>
      <w:r w:rsidR="00DC54BA" w:rsidRPr="00C03848">
        <w:rPr>
          <w:sz w:val="20"/>
          <w:szCs w:val="20"/>
          <w:lang w:val="uk-UA"/>
        </w:rPr>
        <w:t>Європейського Парламенту та Ради від 24 листопада 2010 року, що засновує Європейський Наглядовий Орган (Європейську організацію страхування та пенсійного забезпечення), що вносить зміни до Рішення № 716/2009/EC та скасовує Рішення Комісії 2009/79/EC (</w:t>
      </w:r>
      <w:hyperlink r:id="rId59" w:history="1">
        <w:r w:rsidR="00DC54BA" w:rsidRPr="00C03848">
          <w:rPr>
            <w:sz w:val="20"/>
            <w:szCs w:val="20"/>
            <w:lang w:val="uk-UA"/>
          </w:rPr>
          <w:t>ОВ L 331, 15.12.2010, стоp. 48</w:t>
        </w:r>
      </w:hyperlink>
      <w:r w:rsidR="00DC54BA"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60" w:anchor="ntc11-L_2015141EN.01007301-E0011"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11</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Регламент (EU) No 1095/2010 </w:t>
      </w:r>
      <w:r w:rsidR="00DC54BA" w:rsidRPr="00C03848">
        <w:rPr>
          <w:sz w:val="20"/>
          <w:szCs w:val="20"/>
          <w:lang w:val="uk-UA"/>
        </w:rPr>
        <w:t xml:space="preserve">Європейського Парламенту та Ради від </w:t>
      </w:r>
      <w:r w:rsidR="00DC54BA" w:rsidRPr="00C03848">
        <w:rPr>
          <w:sz w:val="20"/>
          <w:szCs w:val="20"/>
          <w:shd w:val="clear" w:color="auto" w:fill="FFFFFF"/>
          <w:lang w:val="uk-UA"/>
        </w:rPr>
        <w:t xml:space="preserve">24 листопада 2010 року, що </w:t>
      </w:r>
      <w:r w:rsidR="00DC54BA" w:rsidRPr="00C03848">
        <w:rPr>
          <w:sz w:val="20"/>
          <w:szCs w:val="20"/>
          <w:lang w:val="uk-UA"/>
        </w:rPr>
        <w:t xml:space="preserve">засновує Європейський наглядовий орган (Європейську організацію з цінних паперів), що вносить зміни до Рішення № </w:t>
      </w:r>
      <w:r w:rsidR="00DC54BA" w:rsidRPr="00C03848">
        <w:rPr>
          <w:sz w:val="20"/>
          <w:szCs w:val="20"/>
          <w:shd w:val="clear" w:color="auto" w:fill="FFFFFF"/>
          <w:lang w:val="uk-UA"/>
        </w:rPr>
        <w:t>716/2009/EC та скасовує Рішення Комісії 2009/77/EC (</w:t>
      </w:r>
      <w:hyperlink r:id="rId61" w:history="1">
        <w:r w:rsidR="00DC54BA" w:rsidRPr="00C03848">
          <w:rPr>
            <w:rStyle w:val="Hyperlink"/>
            <w:color w:val="auto"/>
            <w:sz w:val="20"/>
            <w:szCs w:val="20"/>
            <w:bdr w:val="none" w:sz="0" w:space="0" w:color="auto" w:frame="1"/>
            <w:shd w:val="clear" w:color="auto" w:fill="FFFFFF"/>
            <w:lang w:val="uk-UA"/>
          </w:rPr>
          <w:t>OВ L 331, 15.12.2010, стоp. 84</w:t>
        </w:r>
      </w:hyperlink>
      <w:r w:rsidR="00DC54BA" w:rsidRPr="00C03848">
        <w:rPr>
          <w:sz w:val="20"/>
          <w:szCs w:val="20"/>
          <w:shd w:val="clear" w:color="auto" w:fill="FFFFFF"/>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62" w:anchor="ntc12-L_2015141EN.01007301-E0012"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12</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Директива 95/46/EC </w:t>
      </w:r>
      <w:r w:rsidR="003456A0" w:rsidRPr="00C03848">
        <w:rPr>
          <w:sz w:val="20"/>
          <w:szCs w:val="20"/>
          <w:lang w:val="uk-UA"/>
        </w:rPr>
        <w:t xml:space="preserve">Європейського Парламенту та Ради від </w:t>
      </w:r>
      <w:r w:rsidR="003456A0" w:rsidRPr="00C03848">
        <w:rPr>
          <w:sz w:val="20"/>
          <w:szCs w:val="20"/>
          <w:shd w:val="clear" w:color="auto" w:fill="FFFFFF"/>
          <w:lang w:val="uk-UA"/>
        </w:rPr>
        <w:t>24 жовтня 1995 року п</w:t>
      </w:r>
      <w:r w:rsidR="003456A0" w:rsidRPr="00C03848">
        <w:rPr>
          <w:sz w:val="20"/>
          <w:szCs w:val="20"/>
          <w:lang w:val="uk-UA"/>
        </w:rPr>
        <w:t xml:space="preserve">ро захист фізичних осіб при обробці персональних даних і про вільне переміщення таких даних </w:t>
      </w:r>
      <w:r w:rsidR="003456A0" w:rsidRPr="00C03848">
        <w:rPr>
          <w:sz w:val="20"/>
          <w:szCs w:val="20"/>
          <w:shd w:val="clear" w:color="auto" w:fill="FFFFFF"/>
          <w:lang w:val="uk-UA"/>
        </w:rPr>
        <w:t>(</w:t>
      </w:r>
      <w:hyperlink r:id="rId63" w:history="1">
        <w:r w:rsidR="003456A0" w:rsidRPr="00C03848">
          <w:rPr>
            <w:rStyle w:val="Hyperlink"/>
            <w:color w:val="auto"/>
            <w:sz w:val="20"/>
            <w:szCs w:val="20"/>
            <w:bdr w:val="none" w:sz="0" w:space="0" w:color="auto" w:frame="1"/>
            <w:shd w:val="clear" w:color="auto" w:fill="FFFFFF"/>
            <w:lang w:val="uk-UA"/>
          </w:rPr>
          <w:t>OВ L 281, 23.11.1995, стоp. 31</w:t>
        </w:r>
      </w:hyperlink>
      <w:r w:rsidR="003456A0" w:rsidRPr="00C03848">
        <w:rPr>
          <w:sz w:val="20"/>
          <w:szCs w:val="20"/>
          <w:shd w:val="clear" w:color="auto" w:fill="FFFFFF"/>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64" w:anchor="ntc13-L_2015141EN.01007301-E0013"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13</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Регламент (EC) No 45/2001 </w:t>
      </w:r>
      <w:r w:rsidR="003456A0" w:rsidRPr="00C03848">
        <w:rPr>
          <w:sz w:val="20"/>
          <w:szCs w:val="20"/>
          <w:lang w:val="uk-UA"/>
        </w:rPr>
        <w:t xml:space="preserve">Європейського Парламенту та Ради від 18 грудня 2000 року про захист фізичних осіб стосовно обробки персональних даних установами та органами Співтовариства і про вільний рух таких даних </w:t>
      </w:r>
      <w:r w:rsidR="003456A0" w:rsidRPr="00C03848">
        <w:rPr>
          <w:sz w:val="20"/>
          <w:szCs w:val="20"/>
          <w:shd w:val="clear" w:color="auto" w:fill="FFFFFF"/>
          <w:lang w:val="uk-UA"/>
        </w:rPr>
        <w:t>(</w:t>
      </w:r>
      <w:hyperlink r:id="rId65" w:history="1">
        <w:r w:rsidR="003456A0" w:rsidRPr="00C03848">
          <w:rPr>
            <w:rStyle w:val="Hyperlink"/>
            <w:color w:val="auto"/>
            <w:sz w:val="20"/>
            <w:szCs w:val="20"/>
            <w:bdr w:val="none" w:sz="0" w:space="0" w:color="auto" w:frame="1"/>
            <w:shd w:val="clear" w:color="auto" w:fill="FFFFFF"/>
            <w:lang w:val="uk-UA"/>
          </w:rPr>
          <w:t>OВ L 8, 12.1.2001, стоp. 1</w:t>
        </w:r>
      </w:hyperlink>
      <w:r w:rsidR="003456A0" w:rsidRPr="00C03848">
        <w:rPr>
          <w:sz w:val="20"/>
          <w:szCs w:val="20"/>
          <w:shd w:val="clear" w:color="auto" w:fill="FFFFFF"/>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66" w:anchor="ntc14-L_2015141EN.01007301-E0014"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14</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w:t>
      </w:r>
      <w:r w:rsidR="00143D10" w:rsidRPr="00C03848">
        <w:rPr>
          <w:sz w:val="20"/>
          <w:szCs w:val="20"/>
          <w:lang w:val="uk-UA"/>
        </w:rPr>
        <w:t>Рамкове Рішення Ради 2008/977/JHA від</w:t>
      </w:r>
      <w:r w:rsidR="003343DD" w:rsidRPr="00C03848">
        <w:rPr>
          <w:sz w:val="20"/>
          <w:szCs w:val="20"/>
          <w:lang w:val="uk-UA"/>
        </w:rPr>
        <w:t xml:space="preserve"> 27 </w:t>
      </w:r>
      <w:r w:rsidR="00143D10" w:rsidRPr="00C03848">
        <w:rPr>
          <w:sz w:val="20"/>
          <w:szCs w:val="20"/>
          <w:lang w:val="uk-UA"/>
        </w:rPr>
        <w:t>листопада</w:t>
      </w:r>
      <w:r w:rsidR="003343DD" w:rsidRPr="00C03848">
        <w:rPr>
          <w:sz w:val="20"/>
          <w:szCs w:val="20"/>
          <w:lang w:val="uk-UA"/>
        </w:rPr>
        <w:t xml:space="preserve"> 2008</w:t>
      </w:r>
      <w:r w:rsidR="00143D10" w:rsidRPr="00C03848">
        <w:rPr>
          <w:sz w:val="20"/>
          <w:szCs w:val="20"/>
          <w:lang w:val="uk-UA"/>
        </w:rPr>
        <w:t xml:space="preserve"> року про захист персональних даних у рамках поліцейського та судового співробітництва у кримінальних справах</w:t>
      </w:r>
      <w:r w:rsidR="003343DD" w:rsidRPr="00C03848">
        <w:rPr>
          <w:sz w:val="20"/>
          <w:szCs w:val="20"/>
          <w:lang w:val="uk-UA"/>
        </w:rPr>
        <w:t xml:space="preserve"> (</w:t>
      </w:r>
      <w:hyperlink r:id="rId67" w:history="1">
        <w:r w:rsidR="003343DD" w:rsidRPr="00C03848">
          <w:rPr>
            <w:rStyle w:val="Hyperlink"/>
            <w:color w:val="auto"/>
            <w:sz w:val="20"/>
            <w:szCs w:val="20"/>
            <w:u w:val="none"/>
            <w:bdr w:val="none" w:sz="0" w:space="0" w:color="auto" w:frame="1"/>
            <w:lang w:val="uk-UA"/>
          </w:rPr>
          <w:t>O</w:t>
        </w:r>
        <w:r w:rsidR="00143D10" w:rsidRPr="00C03848">
          <w:rPr>
            <w:rStyle w:val="Hyperlink"/>
            <w:color w:val="auto"/>
            <w:sz w:val="20"/>
            <w:szCs w:val="20"/>
            <w:u w:val="none"/>
            <w:bdr w:val="none" w:sz="0" w:space="0" w:color="auto" w:frame="1"/>
            <w:lang w:val="uk-UA"/>
          </w:rPr>
          <w:t>В</w:t>
        </w:r>
        <w:r w:rsidR="003343DD" w:rsidRPr="00C03848">
          <w:rPr>
            <w:rStyle w:val="Hyperlink"/>
            <w:color w:val="auto"/>
            <w:sz w:val="20"/>
            <w:szCs w:val="20"/>
            <w:u w:val="none"/>
            <w:bdr w:val="none" w:sz="0" w:space="0" w:color="auto" w:frame="1"/>
            <w:lang w:val="uk-UA"/>
          </w:rPr>
          <w:t xml:space="preserve"> L 350, 30.12.2008, </w:t>
        </w:r>
        <w:r w:rsidR="00143D10" w:rsidRPr="00C03848">
          <w:rPr>
            <w:rStyle w:val="Hyperlink"/>
            <w:color w:val="auto"/>
            <w:sz w:val="20"/>
            <w:szCs w:val="20"/>
            <w:u w:val="none"/>
            <w:bdr w:val="none" w:sz="0" w:space="0" w:color="auto" w:frame="1"/>
            <w:lang w:val="uk-UA"/>
          </w:rPr>
          <w:t>сто</w:t>
        </w:r>
        <w:r w:rsidR="003343DD" w:rsidRPr="00C03848">
          <w:rPr>
            <w:rStyle w:val="Hyperlink"/>
            <w:color w:val="auto"/>
            <w:sz w:val="20"/>
            <w:szCs w:val="20"/>
            <w:u w:val="none"/>
            <w:bdr w:val="none" w:sz="0" w:space="0" w:color="auto" w:frame="1"/>
            <w:lang w:val="uk-UA"/>
          </w:rPr>
          <w:t>p. 60</w:t>
        </w:r>
      </w:hyperlink>
      <w:r w:rsidR="003343DD"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68" w:anchor="ntc15-L_2015141EN.01007301-E0015"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15</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Директива </w:t>
      </w:r>
      <w:r w:rsidR="00143D10" w:rsidRPr="00C03848">
        <w:rPr>
          <w:sz w:val="20"/>
          <w:szCs w:val="20"/>
          <w:lang w:val="uk-UA"/>
        </w:rPr>
        <w:t>Ради 2011/16/EU від</w:t>
      </w:r>
      <w:r w:rsidR="003343DD" w:rsidRPr="00C03848">
        <w:rPr>
          <w:sz w:val="20"/>
          <w:szCs w:val="20"/>
          <w:lang w:val="uk-UA"/>
        </w:rPr>
        <w:t xml:space="preserve"> 15 </w:t>
      </w:r>
      <w:r w:rsidR="00143D10" w:rsidRPr="00C03848">
        <w:rPr>
          <w:sz w:val="20"/>
          <w:szCs w:val="20"/>
          <w:lang w:val="uk-UA"/>
        </w:rPr>
        <w:t>лютого</w:t>
      </w:r>
      <w:r w:rsidR="003343DD" w:rsidRPr="00C03848">
        <w:rPr>
          <w:sz w:val="20"/>
          <w:szCs w:val="20"/>
          <w:lang w:val="uk-UA"/>
        </w:rPr>
        <w:t xml:space="preserve"> 2011</w:t>
      </w:r>
      <w:r w:rsidR="00143D10" w:rsidRPr="00C03848">
        <w:rPr>
          <w:sz w:val="20"/>
          <w:szCs w:val="20"/>
          <w:lang w:val="uk-UA"/>
        </w:rPr>
        <w:t xml:space="preserve"> року про адміністративне співробітництво в галузі оподаткування, що скасовує дію</w:t>
      </w:r>
      <w:r w:rsidR="003343DD" w:rsidRPr="00C03848">
        <w:rPr>
          <w:sz w:val="20"/>
          <w:szCs w:val="20"/>
          <w:lang w:val="uk-UA"/>
        </w:rPr>
        <w:t xml:space="preserve"> </w:t>
      </w:r>
      <w:r w:rsidR="00143D10" w:rsidRPr="00C03848">
        <w:rPr>
          <w:sz w:val="20"/>
          <w:szCs w:val="20"/>
          <w:lang w:val="uk-UA"/>
        </w:rPr>
        <w:t>Директиви</w:t>
      </w:r>
      <w:r w:rsidR="003343DD" w:rsidRPr="00C03848">
        <w:rPr>
          <w:sz w:val="20"/>
          <w:szCs w:val="20"/>
          <w:lang w:val="uk-UA"/>
        </w:rPr>
        <w:t xml:space="preserve"> 77/799/EEC (</w:t>
      </w:r>
      <w:hyperlink r:id="rId69" w:history="1">
        <w:r w:rsidR="003343DD" w:rsidRPr="00C03848">
          <w:rPr>
            <w:rStyle w:val="Hyperlink"/>
            <w:color w:val="auto"/>
            <w:sz w:val="20"/>
            <w:szCs w:val="20"/>
            <w:u w:val="none"/>
            <w:bdr w:val="none" w:sz="0" w:space="0" w:color="auto" w:frame="1"/>
            <w:lang w:val="uk-UA"/>
          </w:rPr>
          <w:t>O</w:t>
        </w:r>
        <w:r w:rsidR="00143D10" w:rsidRPr="00C03848">
          <w:rPr>
            <w:rStyle w:val="Hyperlink"/>
            <w:color w:val="auto"/>
            <w:sz w:val="20"/>
            <w:szCs w:val="20"/>
            <w:u w:val="none"/>
            <w:bdr w:val="none" w:sz="0" w:space="0" w:color="auto" w:frame="1"/>
            <w:lang w:val="uk-UA"/>
          </w:rPr>
          <w:t>В</w:t>
        </w:r>
        <w:r w:rsidR="003343DD" w:rsidRPr="00C03848">
          <w:rPr>
            <w:rStyle w:val="Hyperlink"/>
            <w:color w:val="auto"/>
            <w:sz w:val="20"/>
            <w:szCs w:val="20"/>
            <w:u w:val="none"/>
            <w:bdr w:val="none" w:sz="0" w:space="0" w:color="auto" w:frame="1"/>
            <w:lang w:val="uk-UA"/>
          </w:rPr>
          <w:t xml:space="preserve"> L 64, 11.3.2011, </w:t>
        </w:r>
        <w:r w:rsidR="00143D10" w:rsidRPr="00C03848">
          <w:rPr>
            <w:rStyle w:val="Hyperlink"/>
            <w:color w:val="auto"/>
            <w:sz w:val="20"/>
            <w:szCs w:val="20"/>
            <w:u w:val="none"/>
            <w:bdr w:val="none" w:sz="0" w:space="0" w:color="auto" w:frame="1"/>
            <w:lang w:val="uk-UA"/>
          </w:rPr>
          <w:t>сто</w:t>
        </w:r>
        <w:r w:rsidR="003343DD" w:rsidRPr="00C03848">
          <w:rPr>
            <w:rStyle w:val="Hyperlink"/>
            <w:color w:val="auto"/>
            <w:sz w:val="20"/>
            <w:szCs w:val="20"/>
            <w:u w:val="none"/>
            <w:bdr w:val="none" w:sz="0" w:space="0" w:color="auto" w:frame="1"/>
            <w:lang w:val="uk-UA"/>
          </w:rPr>
          <w:t>p. 1</w:t>
        </w:r>
      </w:hyperlink>
      <w:r w:rsidR="003343DD" w:rsidRPr="00C03848">
        <w:rPr>
          <w:sz w:val="20"/>
          <w:szCs w:val="20"/>
          <w:lang w:val="uk-UA"/>
        </w:rPr>
        <w:t>).</w:t>
      </w:r>
    </w:p>
    <w:p w:rsidR="003343DD" w:rsidRPr="00C03848" w:rsidRDefault="00AC3A3E" w:rsidP="00073052">
      <w:pPr>
        <w:pStyle w:val="note"/>
        <w:shd w:val="clear" w:color="auto" w:fill="FFFFFF"/>
        <w:spacing w:before="0" w:beforeAutospacing="0" w:after="0" w:afterAutospacing="0" w:line="250" w:lineRule="atLeast"/>
        <w:jc w:val="both"/>
        <w:textAlignment w:val="baseline"/>
        <w:rPr>
          <w:sz w:val="20"/>
          <w:szCs w:val="20"/>
          <w:lang w:val="uk-UA"/>
        </w:rPr>
      </w:pPr>
      <w:hyperlink r:id="rId70" w:anchor="ntc16-L_2015141EN.01007301-E0016"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16</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w:t>
      </w:r>
      <w:r w:rsidR="00143D10" w:rsidRPr="00C03848">
        <w:rPr>
          <w:sz w:val="20"/>
          <w:szCs w:val="20"/>
          <w:lang w:val="uk-UA"/>
        </w:rPr>
        <w:t xml:space="preserve">Рамкове Рішення Ради </w:t>
      </w:r>
      <w:r w:rsidR="00073052" w:rsidRPr="00C03848">
        <w:rPr>
          <w:sz w:val="20"/>
          <w:szCs w:val="20"/>
          <w:lang w:val="uk-UA"/>
        </w:rPr>
        <w:t>2009/315/JHA від</w:t>
      </w:r>
      <w:r w:rsidR="003343DD" w:rsidRPr="00C03848">
        <w:rPr>
          <w:sz w:val="20"/>
          <w:szCs w:val="20"/>
          <w:lang w:val="uk-UA"/>
        </w:rPr>
        <w:t xml:space="preserve"> 26 </w:t>
      </w:r>
      <w:r w:rsidR="00073052" w:rsidRPr="00C03848">
        <w:rPr>
          <w:sz w:val="20"/>
          <w:szCs w:val="20"/>
          <w:lang w:val="uk-UA"/>
        </w:rPr>
        <w:t>лютого</w:t>
      </w:r>
      <w:r w:rsidR="003343DD" w:rsidRPr="00C03848">
        <w:rPr>
          <w:sz w:val="20"/>
          <w:szCs w:val="20"/>
          <w:lang w:val="uk-UA"/>
        </w:rPr>
        <w:t xml:space="preserve"> 2009 </w:t>
      </w:r>
      <w:r w:rsidR="00073052" w:rsidRPr="00C03848">
        <w:rPr>
          <w:sz w:val="20"/>
          <w:szCs w:val="20"/>
          <w:lang w:val="uk-UA"/>
        </w:rPr>
        <w:t xml:space="preserve">року про організацію та зміст обміну інформацією, отриманою з відомостей про судимості, між державами-членами </w:t>
      </w:r>
      <w:r w:rsidR="003343DD" w:rsidRPr="00C03848">
        <w:rPr>
          <w:sz w:val="20"/>
          <w:szCs w:val="20"/>
          <w:lang w:val="uk-UA"/>
        </w:rPr>
        <w:t>(</w:t>
      </w:r>
      <w:hyperlink r:id="rId71" w:history="1">
        <w:r w:rsidR="00143D10" w:rsidRPr="00C03848">
          <w:rPr>
            <w:rStyle w:val="Hyperlink"/>
            <w:color w:val="auto"/>
            <w:sz w:val="20"/>
            <w:szCs w:val="20"/>
            <w:u w:val="none"/>
            <w:bdr w:val="none" w:sz="0" w:space="0" w:color="auto" w:frame="1"/>
            <w:lang w:val="uk-UA"/>
          </w:rPr>
          <w:t>OВ</w:t>
        </w:r>
        <w:r w:rsidR="003343DD" w:rsidRPr="00C03848">
          <w:rPr>
            <w:rStyle w:val="Hyperlink"/>
            <w:color w:val="auto"/>
            <w:sz w:val="20"/>
            <w:szCs w:val="20"/>
            <w:u w:val="none"/>
            <w:bdr w:val="none" w:sz="0" w:space="0" w:color="auto" w:frame="1"/>
            <w:lang w:val="uk-UA"/>
          </w:rPr>
          <w:t xml:space="preserve"> L 93, 7.4.2009, </w:t>
        </w:r>
        <w:r w:rsidR="00143D10" w:rsidRPr="00C03848">
          <w:rPr>
            <w:rStyle w:val="Hyperlink"/>
            <w:color w:val="auto"/>
            <w:sz w:val="20"/>
            <w:szCs w:val="20"/>
            <w:u w:val="none"/>
            <w:bdr w:val="none" w:sz="0" w:space="0" w:color="auto" w:frame="1"/>
            <w:lang w:val="uk-UA"/>
          </w:rPr>
          <w:t>сто</w:t>
        </w:r>
        <w:r w:rsidR="003343DD" w:rsidRPr="00C03848">
          <w:rPr>
            <w:rStyle w:val="Hyperlink"/>
            <w:color w:val="auto"/>
            <w:sz w:val="20"/>
            <w:szCs w:val="20"/>
            <w:u w:val="none"/>
            <w:bdr w:val="none" w:sz="0" w:space="0" w:color="auto" w:frame="1"/>
            <w:lang w:val="uk-UA"/>
          </w:rPr>
          <w:t>p. 23</w:t>
        </w:r>
      </w:hyperlink>
      <w:r w:rsidR="003343DD"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72" w:anchor="ntc17-L_2015141EN.01007301-E0017"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17</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w:t>
      </w:r>
      <w:r w:rsidR="00143D10" w:rsidRPr="00C03848">
        <w:rPr>
          <w:sz w:val="20"/>
          <w:szCs w:val="20"/>
          <w:lang w:val="uk-UA"/>
        </w:rPr>
        <w:t xml:space="preserve">Рішення Ради </w:t>
      </w:r>
      <w:r w:rsidR="003343DD" w:rsidRPr="00C03848">
        <w:rPr>
          <w:sz w:val="20"/>
          <w:szCs w:val="20"/>
          <w:lang w:val="uk-UA"/>
        </w:rPr>
        <w:t xml:space="preserve">2009/316/JHA </w:t>
      </w:r>
      <w:r w:rsidR="00073052" w:rsidRPr="00C03848">
        <w:rPr>
          <w:sz w:val="20"/>
          <w:szCs w:val="20"/>
          <w:lang w:val="uk-UA"/>
        </w:rPr>
        <w:t>від</w:t>
      </w:r>
      <w:r w:rsidR="003343DD" w:rsidRPr="00C03848">
        <w:rPr>
          <w:sz w:val="20"/>
          <w:szCs w:val="20"/>
          <w:lang w:val="uk-UA"/>
        </w:rPr>
        <w:t xml:space="preserve"> 6 </w:t>
      </w:r>
      <w:r w:rsidR="00073052" w:rsidRPr="00C03848">
        <w:rPr>
          <w:sz w:val="20"/>
          <w:szCs w:val="20"/>
          <w:lang w:val="uk-UA"/>
        </w:rPr>
        <w:t>квітня</w:t>
      </w:r>
      <w:r w:rsidR="003343DD" w:rsidRPr="00C03848">
        <w:rPr>
          <w:sz w:val="20"/>
          <w:szCs w:val="20"/>
          <w:lang w:val="uk-UA"/>
        </w:rPr>
        <w:t xml:space="preserve"> 2009 </w:t>
      </w:r>
      <w:r w:rsidR="00073052" w:rsidRPr="00C03848">
        <w:rPr>
          <w:sz w:val="20"/>
          <w:szCs w:val="20"/>
          <w:lang w:val="uk-UA"/>
        </w:rPr>
        <w:t xml:space="preserve">року </w:t>
      </w:r>
      <w:r w:rsidR="00904A0D" w:rsidRPr="00C03848">
        <w:rPr>
          <w:sz w:val="20"/>
          <w:szCs w:val="20"/>
          <w:lang w:val="uk-UA"/>
        </w:rPr>
        <w:t xml:space="preserve">про створення Європейської системи даних про відсутність чи наявність судимості </w:t>
      </w:r>
      <w:r w:rsidR="003343DD" w:rsidRPr="00C03848">
        <w:rPr>
          <w:sz w:val="20"/>
          <w:szCs w:val="20"/>
          <w:lang w:val="uk-UA"/>
        </w:rPr>
        <w:t xml:space="preserve">(ECRIS) </w:t>
      </w:r>
      <w:r w:rsidR="00904A0D" w:rsidRPr="00C03848">
        <w:rPr>
          <w:sz w:val="20"/>
          <w:szCs w:val="20"/>
          <w:lang w:val="uk-UA"/>
        </w:rPr>
        <w:t>у процесі реалізації</w:t>
      </w:r>
      <w:r w:rsidR="003343DD" w:rsidRPr="00C03848">
        <w:rPr>
          <w:sz w:val="20"/>
          <w:szCs w:val="20"/>
          <w:lang w:val="uk-UA"/>
        </w:rPr>
        <w:t xml:space="preserve"> Статт</w:t>
      </w:r>
      <w:r w:rsidR="00904A0D" w:rsidRPr="00C03848">
        <w:rPr>
          <w:sz w:val="20"/>
          <w:szCs w:val="20"/>
          <w:lang w:val="uk-UA"/>
        </w:rPr>
        <w:t>і</w:t>
      </w:r>
      <w:r w:rsidR="003343DD" w:rsidRPr="00C03848">
        <w:rPr>
          <w:sz w:val="20"/>
          <w:szCs w:val="20"/>
          <w:lang w:val="uk-UA"/>
        </w:rPr>
        <w:t xml:space="preserve"> 11 </w:t>
      </w:r>
      <w:r w:rsidR="00904A0D" w:rsidRPr="00C03848">
        <w:rPr>
          <w:sz w:val="20"/>
          <w:szCs w:val="20"/>
          <w:lang w:val="uk-UA"/>
        </w:rPr>
        <w:t>Рамкового Рішення</w:t>
      </w:r>
      <w:r w:rsidR="003343DD" w:rsidRPr="00C03848">
        <w:rPr>
          <w:sz w:val="20"/>
          <w:szCs w:val="20"/>
          <w:lang w:val="uk-UA"/>
        </w:rPr>
        <w:t xml:space="preserve"> 2009/315/JHA (</w:t>
      </w:r>
      <w:hyperlink r:id="rId73" w:history="1">
        <w:r w:rsidR="003343DD" w:rsidRPr="00C03848">
          <w:rPr>
            <w:rStyle w:val="Hyperlink"/>
            <w:color w:val="auto"/>
            <w:sz w:val="20"/>
            <w:szCs w:val="20"/>
            <w:u w:val="none"/>
            <w:bdr w:val="none" w:sz="0" w:space="0" w:color="auto" w:frame="1"/>
            <w:lang w:val="uk-UA"/>
          </w:rPr>
          <w:t>O</w:t>
        </w:r>
        <w:r w:rsidR="00904A0D" w:rsidRPr="00C03848">
          <w:rPr>
            <w:rStyle w:val="Hyperlink"/>
            <w:color w:val="auto"/>
            <w:sz w:val="20"/>
            <w:szCs w:val="20"/>
            <w:u w:val="none"/>
            <w:bdr w:val="none" w:sz="0" w:space="0" w:color="auto" w:frame="1"/>
            <w:lang w:val="uk-UA"/>
          </w:rPr>
          <w:t>В</w:t>
        </w:r>
        <w:r w:rsidR="003343DD" w:rsidRPr="00C03848">
          <w:rPr>
            <w:rStyle w:val="Hyperlink"/>
            <w:color w:val="auto"/>
            <w:sz w:val="20"/>
            <w:szCs w:val="20"/>
            <w:u w:val="none"/>
            <w:bdr w:val="none" w:sz="0" w:space="0" w:color="auto" w:frame="1"/>
            <w:lang w:val="uk-UA"/>
          </w:rPr>
          <w:t xml:space="preserve"> L 93, 7.4.2009, </w:t>
        </w:r>
        <w:r w:rsidR="00904A0D" w:rsidRPr="00C03848">
          <w:rPr>
            <w:rStyle w:val="Hyperlink"/>
            <w:color w:val="auto"/>
            <w:sz w:val="20"/>
            <w:szCs w:val="20"/>
            <w:u w:val="none"/>
            <w:bdr w:val="none" w:sz="0" w:space="0" w:color="auto" w:frame="1"/>
            <w:lang w:val="uk-UA"/>
          </w:rPr>
          <w:t>сто</w:t>
        </w:r>
        <w:r w:rsidR="003343DD" w:rsidRPr="00C03848">
          <w:rPr>
            <w:rStyle w:val="Hyperlink"/>
            <w:color w:val="auto"/>
            <w:sz w:val="20"/>
            <w:szCs w:val="20"/>
            <w:u w:val="none"/>
            <w:bdr w:val="none" w:sz="0" w:space="0" w:color="auto" w:frame="1"/>
            <w:lang w:val="uk-UA"/>
          </w:rPr>
          <w:t>p. 33</w:t>
        </w:r>
      </w:hyperlink>
      <w:r w:rsidR="003343DD"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74" w:anchor="ntc18-L_2015141EN.01007301-E0018"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18</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w:t>
      </w:r>
      <w:hyperlink r:id="rId75" w:history="1">
        <w:r w:rsidR="00073052" w:rsidRPr="00C03848">
          <w:rPr>
            <w:rStyle w:val="Hyperlink"/>
            <w:color w:val="auto"/>
            <w:sz w:val="20"/>
            <w:szCs w:val="20"/>
            <w:u w:val="none"/>
            <w:bdr w:val="none" w:sz="0" w:space="0" w:color="auto" w:frame="1"/>
            <w:lang w:val="uk-UA"/>
          </w:rPr>
          <w:t>OВ</w:t>
        </w:r>
        <w:r w:rsidR="003343DD" w:rsidRPr="00C03848">
          <w:rPr>
            <w:rStyle w:val="Hyperlink"/>
            <w:color w:val="auto"/>
            <w:sz w:val="20"/>
            <w:szCs w:val="20"/>
            <w:u w:val="none"/>
            <w:bdr w:val="none" w:sz="0" w:space="0" w:color="auto" w:frame="1"/>
            <w:lang w:val="uk-UA"/>
          </w:rPr>
          <w:t xml:space="preserve"> C 369, 17.12.2011, </w:t>
        </w:r>
        <w:r w:rsidR="00073052" w:rsidRPr="00C03848">
          <w:rPr>
            <w:rStyle w:val="Hyperlink"/>
            <w:color w:val="auto"/>
            <w:sz w:val="20"/>
            <w:szCs w:val="20"/>
            <w:u w:val="none"/>
            <w:bdr w:val="none" w:sz="0" w:space="0" w:color="auto" w:frame="1"/>
            <w:lang w:val="uk-UA"/>
          </w:rPr>
          <w:t>сто</w:t>
        </w:r>
        <w:r w:rsidR="003343DD" w:rsidRPr="00C03848">
          <w:rPr>
            <w:rStyle w:val="Hyperlink"/>
            <w:color w:val="auto"/>
            <w:sz w:val="20"/>
            <w:szCs w:val="20"/>
            <w:u w:val="none"/>
            <w:bdr w:val="none" w:sz="0" w:space="0" w:color="auto" w:frame="1"/>
            <w:lang w:val="uk-UA"/>
          </w:rPr>
          <w:t>p. 14</w:t>
        </w:r>
      </w:hyperlink>
      <w:r w:rsidR="003343DD"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76" w:anchor="ntc19-L_2015141EN.01007301-E0019"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19</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w:t>
      </w:r>
      <w:hyperlink r:id="rId77" w:history="1">
        <w:r w:rsidR="00073052" w:rsidRPr="00C03848">
          <w:rPr>
            <w:rStyle w:val="Hyperlink"/>
            <w:color w:val="auto"/>
            <w:sz w:val="20"/>
            <w:szCs w:val="20"/>
            <w:u w:val="none"/>
            <w:bdr w:val="none" w:sz="0" w:space="0" w:color="auto" w:frame="1"/>
            <w:lang w:val="uk-UA"/>
          </w:rPr>
          <w:t>OВ</w:t>
        </w:r>
        <w:r w:rsidR="003343DD" w:rsidRPr="00C03848">
          <w:rPr>
            <w:rStyle w:val="Hyperlink"/>
            <w:color w:val="auto"/>
            <w:sz w:val="20"/>
            <w:szCs w:val="20"/>
            <w:u w:val="none"/>
            <w:bdr w:val="none" w:sz="0" w:space="0" w:color="auto" w:frame="1"/>
            <w:lang w:val="uk-UA"/>
          </w:rPr>
          <w:t xml:space="preserve"> C 32, 4.2.2014, </w:t>
        </w:r>
        <w:r w:rsidR="00073052" w:rsidRPr="00C03848">
          <w:rPr>
            <w:rStyle w:val="Hyperlink"/>
            <w:color w:val="auto"/>
            <w:sz w:val="20"/>
            <w:szCs w:val="20"/>
            <w:u w:val="none"/>
            <w:bdr w:val="none" w:sz="0" w:space="0" w:color="auto" w:frame="1"/>
            <w:lang w:val="uk-UA"/>
          </w:rPr>
          <w:t>сто</w:t>
        </w:r>
        <w:r w:rsidR="003343DD" w:rsidRPr="00C03848">
          <w:rPr>
            <w:rStyle w:val="Hyperlink"/>
            <w:color w:val="auto"/>
            <w:sz w:val="20"/>
            <w:szCs w:val="20"/>
            <w:u w:val="none"/>
            <w:bdr w:val="none" w:sz="0" w:space="0" w:color="auto" w:frame="1"/>
            <w:lang w:val="uk-UA"/>
          </w:rPr>
          <w:t>p. 9</w:t>
        </w:r>
      </w:hyperlink>
      <w:r w:rsidR="003343DD"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78" w:anchor="ntc20-L_2015141EN.01007301-E0020"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20</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w:t>
      </w:r>
      <w:r w:rsidR="00904A0D" w:rsidRPr="00C03848">
        <w:rPr>
          <w:sz w:val="20"/>
          <w:szCs w:val="20"/>
          <w:lang w:val="uk-UA"/>
        </w:rPr>
        <w:t>Рамкове Рішення Ради 2002/475/JHA від</w:t>
      </w:r>
      <w:r w:rsidR="003343DD" w:rsidRPr="00C03848">
        <w:rPr>
          <w:sz w:val="20"/>
          <w:szCs w:val="20"/>
          <w:lang w:val="uk-UA"/>
        </w:rPr>
        <w:t xml:space="preserve"> 13 </w:t>
      </w:r>
      <w:r w:rsidR="00904A0D" w:rsidRPr="00C03848">
        <w:rPr>
          <w:sz w:val="20"/>
          <w:szCs w:val="20"/>
          <w:lang w:val="uk-UA"/>
        </w:rPr>
        <w:t>червня</w:t>
      </w:r>
      <w:r w:rsidR="003343DD" w:rsidRPr="00C03848">
        <w:rPr>
          <w:sz w:val="20"/>
          <w:szCs w:val="20"/>
          <w:lang w:val="uk-UA"/>
        </w:rPr>
        <w:t xml:space="preserve"> 2002 </w:t>
      </w:r>
      <w:r w:rsidR="00904A0D" w:rsidRPr="00C03848">
        <w:rPr>
          <w:sz w:val="20"/>
          <w:szCs w:val="20"/>
          <w:lang w:val="uk-UA"/>
        </w:rPr>
        <w:t xml:space="preserve">року про боротьбу з тероризмом </w:t>
      </w:r>
      <w:r w:rsidR="003343DD" w:rsidRPr="00C03848">
        <w:rPr>
          <w:sz w:val="20"/>
          <w:szCs w:val="20"/>
          <w:lang w:val="uk-UA"/>
        </w:rPr>
        <w:t>(</w:t>
      </w:r>
      <w:hyperlink r:id="rId79" w:history="1">
        <w:r w:rsidR="00904A0D" w:rsidRPr="00C03848">
          <w:rPr>
            <w:rStyle w:val="Hyperlink"/>
            <w:color w:val="auto"/>
            <w:sz w:val="20"/>
            <w:szCs w:val="20"/>
            <w:u w:val="none"/>
            <w:bdr w:val="none" w:sz="0" w:space="0" w:color="auto" w:frame="1"/>
            <w:lang w:val="uk-UA"/>
          </w:rPr>
          <w:t>OВ</w:t>
        </w:r>
        <w:r w:rsidR="003343DD" w:rsidRPr="00C03848">
          <w:rPr>
            <w:rStyle w:val="Hyperlink"/>
            <w:color w:val="auto"/>
            <w:sz w:val="20"/>
            <w:szCs w:val="20"/>
            <w:u w:val="none"/>
            <w:bdr w:val="none" w:sz="0" w:space="0" w:color="auto" w:frame="1"/>
            <w:lang w:val="uk-UA"/>
          </w:rPr>
          <w:t xml:space="preserve"> L 164, 22.6.2002, </w:t>
        </w:r>
        <w:r w:rsidR="00904A0D" w:rsidRPr="00C03848">
          <w:rPr>
            <w:rStyle w:val="Hyperlink"/>
            <w:color w:val="auto"/>
            <w:sz w:val="20"/>
            <w:szCs w:val="20"/>
            <w:u w:val="none"/>
            <w:bdr w:val="none" w:sz="0" w:space="0" w:color="auto" w:frame="1"/>
            <w:lang w:val="uk-UA"/>
          </w:rPr>
          <w:t>сто</w:t>
        </w:r>
        <w:r w:rsidR="003343DD" w:rsidRPr="00C03848">
          <w:rPr>
            <w:rStyle w:val="Hyperlink"/>
            <w:color w:val="auto"/>
            <w:sz w:val="20"/>
            <w:szCs w:val="20"/>
            <w:u w:val="none"/>
            <w:bdr w:val="none" w:sz="0" w:space="0" w:color="auto" w:frame="1"/>
            <w:lang w:val="uk-UA"/>
          </w:rPr>
          <w:t>p. 3</w:t>
        </w:r>
      </w:hyperlink>
      <w:r w:rsidR="003343DD"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80" w:anchor="ntc21-L_2015141EN.01007301-E0021"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21</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Директива 2007/64/EC Європейського Парламенту і Ради </w:t>
      </w:r>
      <w:r w:rsidR="004919CA" w:rsidRPr="00C03848">
        <w:rPr>
          <w:sz w:val="20"/>
          <w:szCs w:val="20"/>
          <w:lang w:val="uk-UA"/>
        </w:rPr>
        <w:t>від</w:t>
      </w:r>
      <w:r w:rsidR="003343DD" w:rsidRPr="00C03848">
        <w:rPr>
          <w:sz w:val="20"/>
          <w:szCs w:val="20"/>
          <w:lang w:val="uk-UA"/>
        </w:rPr>
        <w:t xml:space="preserve"> 13</w:t>
      </w:r>
      <w:r w:rsidR="004919CA" w:rsidRPr="00C03848">
        <w:rPr>
          <w:sz w:val="20"/>
          <w:szCs w:val="20"/>
          <w:lang w:val="uk-UA"/>
        </w:rPr>
        <w:t xml:space="preserve"> листопада</w:t>
      </w:r>
      <w:r w:rsidR="003343DD" w:rsidRPr="00C03848">
        <w:rPr>
          <w:sz w:val="20"/>
          <w:szCs w:val="20"/>
          <w:lang w:val="uk-UA"/>
        </w:rPr>
        <w:t xml:space="preserve"> 2007</w:t>
      </w:r>
      <w:r w:rsidR="004919CA" w:rsidRPr="00C03848">
        <w:rPr>
          <w:sz w:val="20"/>
          <w:szCs w:val="20"/>
          <w:lang w:val="uk-UA"/>
        </w:rPr>
        <w:t xml:space="preserve"> року про платіжні послуги на внутрішньому ринку, що вносить зміни до </w:t>
      </w:r>
      <w:r w:rsidR="003343DD" w:rsidRPr="00C03848">
        <w:rPr>
          <w:sz w:val="20"/>
          <w:szCs w:val="20"/>
          <w:lang w:val="uk-UA"/>
        </w:rPr>
        <w:t xml:space="preserve">Директив 97/7/EC, 2002/65/EC, 2005/60/EC </w:t>
      </w:r>
      <w:r w:rsidR="004919CA" w:rsidRPr="00C03848">
        <w:rPr>
          <w:sz w:val="20"/>
          <w:szCs w:val="20"/>
          <w:lang w:val="uk-UA"/>
        </w:rPr>
        <w:t>та</w:t>
      </w:r>
      <w:r w:rsidR="003343DD" w:rsidRPr="00C03848">
        <w:rPr>
          <w:sz w:val="20"/>
          <w:szCs w:val="20"/>
          <w:lang w:val="uk-UA"/>
        </w:rPr>
        <w:t xml:space="preserve"> 2006/48/EC </w:t>
      </w:r>
      <w:r w:rsidR="004919CA" w:rsidRPr="00C03848">
        <w:rPr>
          <w:sz w:val="20"/>
          <w:szCs w:val="20"/>
          <w:lang w:val="uk-UA"/>
        </w:rPr>
        <w:t>та припиняє дію</w:t>
      </w:r>
      <w:r w:rsidR="003343DD" w:rsidRPr="00C03848">
        <w:rPr>
          <w:sz w:val="20"/>
          <w:szCs w:val="20"/>
          <w:lang w:val="uk-UA"/>
        </w:rPr>
        <w:t xml:space="preserve"> Директив</w:t>
      </w:r>
      <w:r w:rsidR="004919CA" w:rsidRPr="00C03848">
        <w:rPr>
          <w:sz w:val="20"/>
          <w:szCs w:val="20"/>
          <w:lang w:val="uk-UA"/>
        </w:rPr>
        <w:t>и</w:t>
      </w:r>
      <w:r w:rsidR="003343DD" w:rsidRPr="00C03848">
        <w:rPr>
          <w:sz w:val="20"/>
          <w:szCs w:val="20"/>
          <w:lang w:val="uk-UA"/>
        </w:rPr>
        <w:t xml:space="preserve"> 97/5/EC (</w:t>
      </w:r>
      <w:hyperlink r:id="rId81" w:history="1">
        <w:r w:rsidR="003343DD" w:rsidRPr="00C03848">
          <w:rPr>
            <w:rStyle w:val="Hyperlink"/>
            <w:color w:val="auto"/>
            <w:sz w:val="20"/>
            <w:szCs w:val="20"/>
            <w:u w:val="none"/>
            <w:bdr w:val="none" w:sz="0" w:space="0" w:color="auto" w:frame="1"/>
            <w:lang w:val="uk-UA"/>
          </w:rPr>
          <w:t>O</w:t>
        </w:r>
        <w:r w:rsidR="004919CA" w:rsidRPr="00C03848">
          <w:rPr>
            <w:rStyle w:val="Hyperlink"/>
            <w:color w:val="auto"/>
            <w:sz w:val="20"/>
            <w:szCs w:val="20"/>
            <w:u w:val="none"/>
            <w:bdr w:val="none" w:sz="0" w:space="0" w:color="auto" w:frame="1"/>
            <w:lang w:val="uk-UA"/>
          </w:rPr>
          <w:t>В</w:t>
        </w:r>
        <w:r w:rsidR="003343DD" w:rsidRPr="00C03848">
          <w:rPr>
            <w:rStyle w:val="Hyperlink"/>
            <w:color w:val="auto"/>
            <w:sz w:val="20"/>
            <w:szCs w:val="20"/>
            <w:u w:val="none"/>
            <w:bdr w:val="none" w:sz="0" w:space="0" w:color="auto" w:frame="1"/>
            <w:lang w:val="uk-UA"/>
          </w:rPr>
          <w:t xml:space="preserve"> L 319, 5.12.2007, </w:t>
        </w:r>
        <w:r w:rsidR="004919CA" w:rsidRPr="00C03848">
          <w:rPr>
            <w:rStyle w:val="Hyperlink"/>
            <w:color w:val="auto"/>
            <w:sz w:val="20"/>
            <w:szCs w:val="20"/>
            <w:u w:val="none"/>
            <w:bdr w:val="none" w:sz="0" w:space="0" w:color="auto" w:frame="1"/>
            <w:lang w:val="uk-UA"/>
          </w:rPr>
          <w:t>сто</w:t>
        </w:r>
        <w:r w:rsidR="003343DD" w:rsidRPr="00C03848">
          <w:rPr>
            <w:rStyle w:val="Hyperlink"/>
            <w:color w:val="auto"/>
            <w:sz w:val="20"/>
            <w:szCs w:val="20"/>
            <w:u w:val="none"/>
            <w:bdr w:val="none" w:sz="0" w:space="0" w:color="auto" w:frame="1"/>
            <w:lang w:val="uk-UA"/>
          </w:rPr>
          <w:t>p. 1</w:t>
        </w:r>
      </w:hyperlink>
      <w:r w:rsidR="003343DD"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82" w:anchor="ntc22-L_2015141EN.01007301-E0022"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22</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Регламент (EU) No 575/2013 Європейського Парламенту і Ради </w:t>
      </w:r>
      <w:r w:rsidR="004919CA" w:rsidRPr="00C03848">
        <w:rPr>
          <w:sz w:val="20"/>
          <w:szCs w:val="20"/>
          <w:lang w:val="uk-UA"/>
        </w:rPr>
        <w:t>від 26 червня 2013 року про пруденційні вимоги  до кредитних організацій та інвестиційних компаній, що вносить зміни до Регламенту (</w:t>
      </w:r>
      <w:r w:rsidR="004919CA" w:rsidRPr="00C03848">
        <w:rPr>
          <w:sz w:val="20"/>
          <w:szCs w:val="20"/>
          <w:shd w:val="clear" w:color="auto" w:fill="FFFFFF"/>
          <w:lang w:val="uk-UA"/>
        </w:rPr>
        <w:t>EU</w:t>
      </w:r>
      <w:r w:rsidR="004919CA" w:rsidRPr="00C03848">
        <w:rPr>
          <w:sz w:val="20"/>
          <w:szCs w:val="20"/>
          <w:lang w:val="uk-UA"/>
        </w:rPr>
        <w:t xml:space="preserve">) № 648/2012 </w:t>
      </w:r>
      <w:r w:rsidR="004919CA" w:rsidRPr="00C03848">
        <w:rPr>
          <w:sz w:val="20"/>
          <w:szCs w:val="20"/>
          <w:shd w:val="clear" w:color="auto" w:fill="FFFFFF"/>
          <w:lang w:val="uk-UA"/>
        </w:rPr>
        <w:t>(</w:t>
      </w:r>
      <w:hyperlink r:id="rId83" w:history="1">
        <w:r w:rsidR="004919CA" w:rsidRPr="00C03848">
          <w:rPr>
            <w:rStyle w:val="Hyperlink"/>
            <w:color w:val="auto"/>
            <w:sz w:val="20"/>
            <w:szCs w:val="20"/>
            <w:bdr w:val="none" w:sz="0" w:space="0" w:color="auto" w:frame="1"/>
            <w:shd w:val="clear" w:color="auto" w:fill="FFFFFF"/>
            <w:lang w:val="uk-UA"/>
          </w:rPr>
          <w:t>OВ L 176, 27.6.2013, стоp. 1</w:t>
        </w:r>
      </w:hyperlink>
      <w:r w:rsidR="004919CA" w:rsidRPr="00C03848">
        <w:rPr>
          <w:sz w:val="20"/>
          <w:szCs w:val="20"/>
          <w:shd w:val="clear" w:color="auto" w:fill="FFFFFF"/>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84" w:anchor="ntc23-L_2015141EN.01007301-E0023"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23</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Директива 2013/36/EU Європейського Парламенту і Ради </w:t>
      </w:r>
      <w:r w:rsidR="004919CA" w:rsidRPr="00C03848">
        <w:rPr>
          <w:sz w:val="20"/>
          <w:szCs w:val="20"/>
          <w:lang w:val="uk-UA"/>
        </w:rPr>
        <w:t xml:space="preserve">від 26 червня 2013 року </w:t>
      </w:r>
      <w:r w:rsidR="004919CA" w:rsidRPr="00C03848">
        <w:rPr>
          <w:rStyle w:val="hps"/>
          <w:sz w:val="20"/>
          <w:szCs w:val="20"/>
          <w:lang w:val="uk-UA"/>
        </w:rPr>
        <w:t>про доступ до</w:t>
      </w:r>
      <w:r w:rsidR="004919CA" w:rsidRPr="00C03848">
        <w:rPr>
          <w:sz w:val="20"/>
          <w:szCs w:val="20"/>
          <w:lang w:val="uk-UA"/>
        </w:rPr>
        <w:t xml:space="preserve"> </w:t>
      </w:r>
      <w:r w:rsidR="004919CA" w:rsidRPr="00C03848">
        <w:rPr>
          <w:rStyle w:val="hps"/>
          <w:sz w:val="20"/>
          <w:szCs w:val="20"/>
          <w:lang w:val="uk-UA"/>
        </w:rPr>
        <w:t>діяльності кредитних організацій</w:t>
      </w:r>
      <w:r w:rsidR="004919CA" w:rsidRPr="00C03848">
        <w:rPr>
          <w:sz w:val="20"/>
          <w:szCs w:val="20"/>
          <w:lang w:val="uk-UA"/>
        </w:rPr>
        <w:t xml:space="preserve"> </w:t>
      </w:r>
      <w:r w:rsidR="004919CA" w:rsidRPr="00C03848">
        <w:rPr>
          <w:rStyle w:val="hps"/>
          <w:sz w:val="20"/>
          <w:szCs w:val="20"/>
          <w:lang w:val="uk-UA"/>
        </w:rPr>
        <w:t>і</w:t>
      </w:r>
      <w:r w:rsidR="004919CA" w:rsidRPr="00C03848">
        <w:rPr>
          <w:sz w:val="20"/>
          <w:szCs w:val="20"/>
          <w:lang w:val="uk-UA"/>
        </w:rPr>
        <w:t xml:space="preserve"> </w:t>
      </w:r>
      <w:r w:rsidR="004919CA" w:rsidRPr="00C03848">
        <w:rPr>
          <w:rStyle w:val="hps"/>
          <w:sz w:val="20"/>
          <w:szCs w:val="20"/>
          <w:lang w:val="uk-UA"/>
        </w:rPr>
        <w:t>пруденційний нагляд за кредитними установами та інвестиційними</w:t>
      </w:r>
      <w:r w:rsidR="004919CA" w:rsidRPr="00C03848">
        <w:rPr>
          <w:sz w:val="20"/>
          <w:szCs w:val="20"/>
          <w:lang w:val="uk-UA"/>
        </w:rPr>
        <w:t xml:space="preserve"> </w:t>
      </w:r>
      <w:r w:rsidR="004919CA" w:rsidRPr="00C03848">
        <w:rPr>
          <w:rStyle w:val="hps"/>
          <w:sz w:val="20"/>
          <w:szCs w:val="20"/>
          <w:lang w:val="uk-UA"/>
        </w:rPr>
        <w:t>фірмами</w:t>
      </w:r>
      <w:r w:rsidR="004919CA" w:rsidRPr="00C03848">
        <w:rPr>
          <w:sz w:val="20"/>
          <w:szCs w:val="20"/>
          <w:lang w:val="uk-UA"/>
        </w:rPr>
        <w:t xml:space="preserve">, що вносить </w:t>
      </w:r>
      <w:r w:rsidR="004919CA" w:rsidRPr="00C03848">
        <w:rPr>
          <w:rStyle w:val="hps"/>
          <w:sz w:val="20"/>
          <w:szCs w:val="20"/>
          <w:lang w:val="uk-UA"/>
        </w:rPr>
        <w:t>зміни та доповнення до</w:t>
      </w:r>
      <w:r w:rsidR="004919CA" w:rsidRPr="00C03848">
        <w:rPr>
          <w:sz w:val="20"/>
          <w:szCs w:val="20"/>
          <w:lang w:val="uk-UA"/>
        </w:rPr>
        <w:t xml:space="preserve"> Директиви 2002/87/EC та скасовує Директиви 2006/48/EC та 2006/49/EC (</w:t>
      </w:r>
      <w:hyperlink r:id="rId85" w:history="1">
        <w:r w:rsidR="004919CA" w:rsidRPr="00C03848">
          <w:rPr>
            <w:sz w:val="20"/>
            <w:szCs w:val="20"/>
            <w:lang w:val="uk-UA"/>
          </w:rPr>
          <w:t>ОВ L 176, 27.6.2013, стоp. 338</w:t>
        </w:r>
      </w:hyperlink>
      <w:r w:rsidR="004919CA"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86" w:anchor="ntc24-L_2015141EN.01007301-E0024"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24</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Директива 2009/138/EC Європейського Парламенту і Ради </w:t>
      </w:r>
      <w:r w:rsidR="004919CA" w:rsidRPr="00C03848">
        <w:rPr>
          <w:sz w:val="20"/>
          <w:szCs w:val="20"/>
          <w:lang w:val="uk-UA"/>
        </w:rPr>
        <w:t xml:space="preserve">від 25 листопада 2009 року про початок та ведення діяльності у сфері страхування та перестрахування (Платоспроможність II) </w:t>
      </w:r>
      <w:r w:rsidR="004919CA" w:rsidRPr="00C03848">
        <w:rPr>
          <w:sz w:val="20"/>
          <w:szCs w:val="20"/>
          <w:shd w:val="clear" w:color="auto" w:fill="FFFFFF"/>
          <w:lang w:val="uk-UA"/>
        </w:rPr>
        <w:t>(</w:t>
      </w:r>
      <w:hyperlink r:id="rId87" w:history="1">
        <w:r w:rsidR="004919CA" w:rsidRPr="00C03848">
          <w:rPr>
            <w:rStyle w:val="Hyperlink"/>
            <w:color w:val="auto"/>
            <w:sz w:val="20"/>
            <w:szCs w:val="20"/>
            <w:bdr w:val="none" w:sz="0" w:space="0" w:color="auto" w:frame="1"/>
            <w:shd w:val="clear" w:color="auto" w:fill="FFFFFF"/>
            <w:lang w:val="uk-UA"/>
          </w:rPr>
          <w:t>OВ L 335, 17.12.2009, стоp. 1</w:t>
        </w:r>
      </w:hyperlink>
      <w:r w:rsidR="004919CA" w:rsidRPr="00C03848">
        <w:rPr>
          <w:sz w:val="20"/>
          <w:szCs w:val="20"/>
          <w:shd w:val="clear" w:color="auto" w:fill="FFFFFF"/>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88" w:anchor="ntc25-L_2015141EN.01007301-E0025"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25</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Директива 2004/39/EC Європейського Парламенту і Ради </w:t>
      </w:r>
      <w:r w:rsidR="004919CA" w:rsidRPr="00C03848">
        <w:rPr>
          <w:sz w:val="20"/>
          <w:szCs w:val="20"/>
          <w:lang w:val="uk-UA"/>
        </w:rPr>
        <w:t>від 21 квітня 2004 року про ринки фінансових інструментів, що вносить зміни до Директив Ради 85/611/EEC та 93/6/EEC та Директиву 2000/12/EC Європейського Парламенту та Ради та скасовує Директиву Ради 93/22/EEC (</w:t>
      </w:r>
      <w:hyperlink r:id="rId89" w:history="1">
        <w:r w:rsidR="004919CA" w:rsidRPr="00C03848">
          <w:rPr>
            <w:sz w:val="20"/>
            <w:szCs w:val="20"/>
            <w:lang w:val="uk-UA"/>
          </w:rPr>
          <w:t>ОВ L 145, 30.4.2004, стоp. 1</w:t>
        </w:r>
      </w:hyperlink>
      <w:r w:rsidR="004919CA"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90" w:anchor="ntc26-L_2015141EN.01007301-E0026"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26</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Директива 2002/92/EC Європейського Парламенту і Ради </w:t>
      </w:r>
      <w:r w:rsidR="004919CA" w:rsidRPr="00C03848">
        <w:rPr>
          <w:sz w:val="20"/>
          <w:szCs w:val="20"/>
          <w:lang w:val="uk-UA"/>
        </w:rPr>
        <w:t>від 9 грудня 2002 року про посередництво у страхуванні (</w:t>
      </w:r>
      <w:hyperlink r:id="rId91" w:history="1">
        <w:r w:rsidR="004919CA" w:rsidRPr="00C03848">
          <w:rPr>
            <w:sz w:val="20"/>
            <w:szCs w:val="20"/>
            <w:lang w:val="uk-UA"/>
          </w:rPr>
          <w:t>ОВ L 9, 15.1.2003, стоp. 3</w:t>
        </w:r>
      </w:hyperlink>
      <w:r w:rsidR="004919CA" w:rsidRPr="00C03848">
        <w:rPr>
          <w:sz w:val="20"/>
          <w:szCs w:val="20"/>
          <w:lang w:val="uk-UA"/>
        </w:rPr>
        <w:t>).</w:t>
      </w:r>
    </w:p>
    <w:p w:rsidR="003343DD" w:rsidRPr="00C03848" w:rsidRDefault="00AC3A3E" w:rsidP="00C80217">
      <w:pPr>
        <w:pStyle w:val="note"/>
        <w:shd w:val="clear" w:color="auto" w:fill="FFFFFF"/>
        <w:spacing w:before="0" w:beforeAutospacing="0" w:after="0" w:afterAutospacing="0" w:line="250" w:lineRule="atLeast"/>
        <w:jc w:val="both"/>
        <w:textAlignment w:val="baseline"/>
        <w:rPr>
          <w:sz w:val="20"/>
          <w:szCs w:val="20"/>
          <w:lang w:val="uk-UA"/>
        </w:rPr>
      </w:pPr>
      <w:hyperlink r:id="rId92" w:anchor="ntc27-L_2015141EN.01007301-E0027"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27</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w:t>
      </w:r>
      <w:r w:rsidR="004919CA" w:rsidRPr="00C03848">
        <w:rPr>
          <w:sz w:val="20"/>
          <w:szCs w:val="20"/>
          <w:lang w:val="uk-UA"/>
        </w:rPr>
        <w:t>Спільні дії 98/733/JHA від</w:t>
      </w:r>
      <w:r w:rsidR="003343DD" w:rsidRPr="00C03848">
        <w:rPr>
          <w:sz w:val="20"/>
          <w:szCs w:val="20"/>
          <w:lang w:val="uk-UA"/>
        </w:rPr>
        <w:t xml:space="preserve"> 21 </w:t>
      </w:r>
      <w:r w:rsidR="004919CA" w:rsidRPr="00C03848">
        <w:rPr>
          <w:sz w:val="20"/>
          <w:szCs w:val="20"/>
          <w:lang w:val="uk-UA"/>
        </w:rPr>
        <w:t>грудня</w:t>
      </w:r>
      <w:r w:rsidR="003343DD" w:rsidRPr="00C03848">
        <w:rPr>
          <w:sz w:val="20"/>
          <w:szCs w:val="20"/>
          <w:lang w:val="uk-UA"/>
        </w:rPr>
        <w:t xml:space="preserve"> 1998</w:t>
      </w:r>
      <w:r w:rsidR="004919CA" w:rsidRPr="00C03848">
        <w:rPr>
          <w:sz w:val="20"/>
          <w:szCs w:val="20"/>
          <w:lang w:val="uk-UA"/>
        </w:rPr>
        <w:t xml:space="preserve"> року ухвалені Радою на основі статті К.3 Договору про Європейський Союз, про визнання</w:t>
      </w:r>
      <w:r w:rsidR="00C80217" w:rsidRPr="00C03848">
        <w:rPr>
          <w:sz w:val="20"/>
          <w:szCs w:val="20"/>
          <w:lang w:val="uk-UA"/>
        </w:rPr>
        <w:t xml:space="preserve"> кримінальним злочином участі в злочинній організації в державах-членах Європейського Союзу</w:t>
      </w:r>
      <w:r w:rsidR="003343DD" w:rsidRPr="00C03848">
        <w:rPr>
          <w:sz w:val="20"/>
          <w:szCs w:val="20"/>
          <w:lang w:val="uk-UA"/>
        </w:rPr>
        <w:t xml:space="preserve"> (</w:t>
      </w:r>
      <w:hyperlink r:id="rId93" w:history="1">
        <w:r w:rsidR="003343DD" w:rsidRPr="00C03848">
          <w:rPr>
            <w:rStyle w:val="Hyperlink"/>
            <w:color w:val="auto"/>
            <w:sz w:val="20"/>
            <w:szCs w:val="20"/>
            <w:u w:val="none"/>
            <w:bdr w:val="none" w:sz="0" w:space="0" w:color="auto" w:frame="1"/>
            <w:lang w:val="uk-UA"/>
          </w:rPr>
          <w:t>O</w:t>
        </w:r>
        <w:r w:rsidR="004919CA" w:rsidRPr="00C03848">
          <w:rPr>
            <w:rStyle w:val="Hyperlink"/>
            <w:color w:val="auto"/>
            <w:sz w:val="20"/>
            <w:szCs w:val="20"/>
            <w:u w:val="none"/>
            <w:bdr w:val="none" w:sz="0" w:space="0" w:color="auto" w:frame="1"/>
            <w:lang w:val="uk-UA"/>
          </w:rPr>
          <w:t>В</w:t>
        </w:r>
        <w:r w:rsidR="003343DD" w:rsidRPr="00C03848">
          <w:rPr>
            <w:rStyle w:val="Hyperlink"/>
            <w:color w:val="auto"/>
            <w:sz w:val="20"/>
            <w:szCs w:val="20"/>
            <w:u w:val="none"/>
            <w:bdr w:val="none" w:sz="0" w:space="0" w:color="auto" w:frame="1"/>
            <w:lang w:val="uk-UA"/>
          </w:rPr>
          <w:t xml:space="preserve"> L 351, 29.12.1998, </w:t>
        </w:r>
        <w:r w:rsidR="004919CA" w:rsidRPr="00C03848">
          <w:rPr>
            <w:rStyle w:val="Hyperlink"/>
            <w:color w:val="auto"/>
            <w:sz w:val="20"/>
            <w:szCs w:val="20"/>
            <w:u w:val="none"/>
            <w:bdr w:val="none" w:sz="0" w:space="0" w:color="auto" w:frame="1"/>
            <w:lang w:val="uk-UA"/>
          </w:rPr>
          <w:t>сто</w:t>
        </w:r>
        <w:r w:rsidR="003343DD" w:rsidRPr="00C03848">
          <w:rPr>
            <w:rStyle w:val="Hyperlink"/>
            <w:color w:val="auto"/>
            <w:sz w:val="20"/>
            <w:szCs w:val="20"/>
            <w:u w:val="none"/>
            <w:bdr w:val="none" w:sz="0" w:space="0" w:color="auto" w:frame="1"/>
            <w:lang w:val="uk-UA"/>
          </w:rPr>
          <w:t>p. 1</w:t>
        </w:r>
      </w:hyperlink>
      <w:r w:rsidR="003343DD"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94" w:anchor="ntc28-L_2015141EN.01007301-E0028"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28</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w:t>
      </w:r>
      <w:hyperlink r:id="rId95" w:history="1">
        <w:r w:rsidR="004919CA" w:rsidRPr="00C03848">
          <w:rPr>
            <w:rStyle w:val="Hyperlink"/>
            <w:color w:val="auto"/>
            <w:sz w:val="20"/>
            <w:szCs w:val="20"/>
            <w:u w:val="none"/>
            <w:bdr w:val="none" w:sz="0" w:space="0" w:color="auto" w:frame="1"/>
            <w:lang w:val="uk-UA"/>
          </w:rPr>
          <w:t>OВ</w:t>
        </w:r>
        <w:r w:rsidR="003343DD" w:rsidRPr="00C03848">
          <w:rPr>
            <w:rStyle w:val="Hyperlink"/>
            <w:color w:val="auto"/>
            <w:sz w:val="20"/>
            <w:szCs w:val="20"/>
            <w:u w:val="none"/>
            <w:bdr w:val="none" w:sz="0" w:space="0" w:color="auto" w:frame="1"/>
            <w:lang w:val="uk-UA"/>
          </w:rPr>
          <w:t xml:space="preserve"> C 316, 27.11.1995, </w:t>
        </w:r>
        <w:r w:rsidR="004919CA" w:rsidRPr="00C03848">
          <w:rPr>
            <w:rStyle w:val="Hyperlink"/>
            <w:color w:val="auto"/>
            <w:sz w:val="20"/>
            <w:szCs w:val="20"/>
            <w:u w:val="none"/>
            <w:bdr w:val="none" w:sz="0" w:space="0" w:color="auto" w:frame="1"/>
            <w:lang w:val="uk-UA"/>
          </w:rPr>
          <w:t>сто</w:t>
        </w:r>
        <w:r w:rsidR="003343DD" w:rsidRPr="00C03848">
          <w:rPr>
            <w:rStyle w:val="Hyperlink"/>
            <w:color w:val="auto"/>
            <w:sz w:val="20"/>
            <w:szCs w:val="20"/>
            <w:u w:val="none"/>
            <w:bdr w:val="none" w:sz="0" w:space="0" w:color="auto" w:frame="1"/>
            <w:lang w:val="uk-UA"/>
          </w:rPr>
          <w:t>p. 49</w:t>
        </w:r>
      </w:hyperlink>
      <w:r w:rsidR="003343DD"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96" w:anchor="ntc29-L_2015141EN.01007301-E0029"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29</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Директива 2013/34/EU Європейського Парламенту і Ради </w:t>
      </w:r>
      <w:r w:rsidR="00C80217" w:rsidRPr="00C03848">
        <w:rPr>
          <w:sz w:val="20"/>
          <w:szCs w:val="20"/>
          <w:lang w:val="uk-UA"/>
        </w:rPr>
        <w:t>від 26 червня 2013 року про річну фінансову звітність, консолідовану фінансову звітність та пов’язану звітність певних типів підприємств, що вносить зміни до Директиви 2006/43/EC Європейського Парламенту та Ради та скасовує Директиви Ради 78/660/EEC та 83/349/EEC (</w:t>
      </w:r>
      <w:hyperlink r:id="rId97" w:history="1">
        <w:r w:rsidR="00C80217" w:rsidRPr="00C03848">
          <w:rPr>
            <w:sz w:val="20"/>
            <w:szCs w:val="20"/>
            <w:lang w:val="uk-UA"/>
          </w:rPr>
          <w:t>ОВ L 182, 29.6.2013, стоp. 19</w:t>
        </w:r>
      </w:hyperlink>
      <w:r w:rsidR="00C80217"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98" w:anchor="ntc30-L_2015141EN.01007301-E0030"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30</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Регламент (EU) 2015/847 Європейського Парламенту і Ради </w:t>
      </w:r>
      <w:r w:rsidR="0064654A" w:rsidRPr="00C03848">
        <w:rPr>
          <w:sz w:val="20"/>
          <w:szCs w:val="20"/>
          <w:lang w:val="uk-UA"/>
        </w:rPr>
        <w:t>від</w:t>
      </w:r>
      <w:r w:rsidR="003343DD" w:rsidRPr="00C03848">
        <w:rPr>
          <w:sz w:val="20"/>
          <w:szCs w:val="20"/>
          <w:lang w:val="uk-UA"/>
        </w:rPr>
        <w:t xml:space="preserve"> 20 </w:t>
      </w:r>
      <w:r w:rsidR="0064654A" w:rsidRPr="00C03848">
        <w:rPr>
          <w:sz w:val="20"/>
          <w:szCs w:val="20"/>
          <w:lang w:val="uk-UA"/>
        </w:rPr>
        <w:t xml:space="preserve">травня </w:t>
      </w:r>
      <w:r w:rsidR="003343DD" w:rsidRPr="00C03848">
        <w:rPr>
          <w:sz w:val="20"/>
          <w:szCs w:val="20"/>
          <w:lang w:val="uk-UA"/>
        </w:rPr>
        <w:t>2015</w:t>
      </w:r>
      <w:r w:rsidR="0064654A" w:rsidRPr="00C03848">
        <w:rPr>
          <w:sz w:val="20"/>
          <w:szCs w:val="20"/>
          <w:lang w:val="uk-UA"/>
        </w:rPr>
        <w:t xml:space="preserve"> року про інформацію, що супроводжує грошові перекази, який скасовує</w:t>
      </w:r>
      <w:r w:rsidR="003343DD" w:rsidRPr="00C03848">
        <w:rPr>
          <w:sz w:val="20"/>
          <w:szCs w:val="20"/>
          <w:lang w:val="uk-UA"/>
        </w:rPr>
        <w:t xml:space="preserve"> Регламент (EC) No 1781/2006 (</w:t>
      </w:r>
      <w:r w:rsidR="0064654A" w:rsidRPr="00C03848">
        <w:rPr>
          <w:sz w:val="20"/>
          <w:szCs w:val="20"/>
          <w:lang w:val="uk-UA"/>
        </w:rPr>
        <w:t>сторінка</w:t>
      </w:r>
      <w:r w:rsidR="003343DD" w:rsidRPr="00C03848">
        <w:rPr>
          <w:sz w:val="20"/>
          <w:szCs w:val="20"/>
          <w:lang w:val="uk-UA"/>
        </w:rPr>
        <w:t xml:space="preserve"> 1 </w:t>
      </w:r>
      <w:r w:rsidR="0064654A" w:rsidRPr="00C03848">
        <w:rPr>
          <w:sz w:val="20"/>
          <w:szCs w:val="20"/>
          <w:lang w:val="uk-UA"/>
        </w:rPr>
        <w:t>даного випуску Офіційного Вісника</w:t>
      </w:r>
      <w:r w:rsidR="003343DD" w:rsidRPr="00C03848">
        <w:rPr>
          <w:sz w:val="20"/>
          <w:szCs w:val="20"/>
          <w:lang w:val="uk-UA"/>
        </w:rPr>
        <w:t>).</w:t>
      </w:r>
    </w:p>
    <w:p w:rsidR="0064654A"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99" w:anchor="ntc31-L_2015141EN.01007301-E0031"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31</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Директива</w:t>
      </w:r>
      <w:r w:rsidR="0064654A" w:rsidRPr="00C03848">
        <w:rPr>
          <w:sz w:val="20"/>
          <w:szCs w:val="20"/>
          <w:lang w:val="uk-UA"/>
        </w:rPr>
        <w:t xml:space="preserve"> 2009/101/EC </w:t>
      </w:r>
      <w:r w:rsidR="003343DD" w:rsidRPr="00C03848">
        <w:rPr>
          <w:sz w:val="20"/>
          <w:szCs w:val="20"/>
          <w:lang w:val="uk-UA"/>
        </w:rPr>
        <w:t xml:space="preserve">Європейського Парламенту і Ради </w:t>
      </w:r>
      <w:r w:rsidR="0064654A" w:rsidRPr="00C03848">
        <w:rPr>
          <w:sz w:val="20"/>
          <w:szCs w:val="20"/>
          <w:lang w:val="uk-UA"/>
        </w:rPr>
        <w:t>від</w:t>
      </w:r>
      <w:r w:rsidR="003343DD" w:rsidRPr="00C03848">
        <w:rPr>
          <w:sz w:val="20"/>
          <w:szCs w:val="20"/>
          <w:lang w:val="uk-UA"/>
        </w:rPr>
        <w:t xml:space="preserve"> 16 </w:t>
      </w:r>
      <w:r w:rsidR="0064654A" w:rsidRPr="00C03848">
        <w:rPr>
          <w:sz w:val="20"/>
          <w:szCs w:val="20"/>
          <w:lang w:val="uk-UA"/>
        </w:rPr>
        <w:t>вересня</w:t>
      </w:r>
      <w:r w:rsidR="003343DD" w:rsidRPr="00C03848">
        <w:rPr>
          <w:sz w:val="20"/>
          <w:szCs w:val="20"/>
          <w:lang w:val="uk-UA"/>
        </w:rPr>
        <w:t xml:space="preserve"> 2009</w:t>
      </w:r>
      <w:r w:rsidR="0064654A" w:rsidRPr="00C03848">
        <w:rPr>
          <w:sz w:val="20"/>
          <w:szCs w:val="20"/>
          <w:lang w:val="uk-UA"/>
        </w:rPr>
        <w:t xml:space="preserve"> року</w:t>
      </w:r>
      <w:r w:rsidR="003343DD" w:rsidRPr="00C03848">
        <w:rPr>
          <w:sz w:val="20"/>
          <w:szCs w:val="20"/>
          <w:lang w:val="uk-UA"/>
        </w:rPr>
        <w:t xml:space="preserve"> </w:t>
      </w:r>
    </w:p>
    <w:p w:rsidR="003343DD" w:rsidRPr="00C03848" w:rsidRDefault="0064654A" w:rsidP="003343DD">
      <w:pPr>
        <w:pStyle w:val="note"/>
        <w:shd w:val="clear" w:color="auto" w:fill="FFFFFF"/>
        <w:spacing w:before="0" w:beforeAutospacing="0" w:after="0" w:afterAutospacing="0" w:line="250" w:lineRule="atLeast"/>
        <w:jc w:val="both"/>
        <w:textAlignment w:val="baseline"/>
        <w:rPr>
          <w:sz w:val="20"/>
          <w:szCs w:val="20"/>
          <w:lang w:val="uk-UA"/>
        </w:rPr>
      </w:pPr>
      <w:r w:rsidRPr="00C03848">
        <w:rPr>
          <w:sz w:val="20"/>
          <w:szCs w:val="20"/>
          <w:shd w:val="clear" w:color="auto" w:fill="FFFFFF"/>
          <w:lang w:val="uk-UA"/>
        </w:rPr>
        <w:t>про координацію захисних заходів, які для захисту інтересів членів та інших сторін вимагаються державами-членами від компаній в рамках трактування</w:t>
      </w:r>
      <w:r w:rsidRPr="00C03848">
        <w:rPr>
          <w:rStyle w:val="apple-converted-space"/>
          <w:sz w:val="20"/>
          <w:szCs w:val="20"/>
          <w:shd w:val="clear" w:color="auto" w:fill="FFFFFF"/>
          <w:lang w:val="uk-UA"/>
        </w:rPr>
        <w:t> </w:t>
      </w:r>
      <w:r w:rsidRPr="00C03848">
        <w:rPr>
          <w:sz w:val="20"/>
          <w:szCs w:val="20"/>
          <w:bdr w:val="none" w:sz="0" w:space="0" w:color="auto" w:frame="1"/>
          <w:shd w:val="clear" w:color="auto" w:fill="FFFFFF"/>
          <w:lang w:val="uk-UA"/>
        </w:rPr>
        <w:t>абзацу другого</w:t>
      </w:r>
      <w:r w:rsidRPr="00C03848">
        <w:rPr>
          <w:rStyle w:val="apple-converted-space"/>
          <w:sz w:val="20"/>
          <w:szCs w:val="20"/>
          <w:shd w:val="clear" w:color="auto" w:fill="FFFFFF"/>
          <w:lang w:val="uk-UA"/>
        </w:rPr>
        <w:t> </w:t>
      </w:r>
      <w:r w:rsidRPr="00C03848">
        <w:rPr>
          <w:sz w:val="20"/>
          <w:szCs w:val="20"/>
          <w:shd w:val="clear" w:color="auto" w:fill="FFFFFF"/>
          <w:lang w:val="uk-UA"/>
        </w:rPr>
        <w:t xml:space="preserve">статті 48 Договору про заснування ЄС з метою забезпечення еквівалентності захисних заходів </w:t>
      </w:r>
      <w:r w:rsidR="003343DD" w:rsidRPr="00C03848">
        <w:rPr>
          <w:sz w:val="20"/>
          <w:szCs w:val="20"/>
          <w:lang w:val="uk-UA"/>
        </w:rPr>
        <w:t>(</w:t>
      </w:r>
      <w:hyperlink r:id="rId100" w:history="1">
        <w:r w:rsidR="003343DD" w:rsidRPr="00C03848">
          <w:rPr>
            <w:rStyle w:val="Hyperlink"/>
            <w:color w:val="auto"/>
            <w:sz w:val="20"/>
            <w:szCs w:val="20"/>
            <w:u w:val="none"/>
            <w:bdr w:val="none" w:sz="0" w:space="0" w:color="auto" w:frame="1"/>
            <w:lang w:val="uk-UA"/>
          </w:rPr>
          <w:t>O</w:t>
        </w:r>
        <w:r w:rsidRPr="00C03848">
          <w:rPr>
            <w:rStyle w:val="Hyperlink"/>
            <w:color w:val="auto"/>
            <w:sz w:val="20"/>
            <w:szCs w:val="20"/>
            <w:u w:val="none"/>
            <w:bdr w:val="none" w:sz="0" w:space="0" w:color="auto" w:frame="1"/>
            <w:lang w:val="uk-UA"/>
          </w:rPr>
          <w:t>В</w:t>
        </w:r>
        <w:r w:rsidR="003343DD" w:rsidRPr="00C03848">
          <w:rPr>
            <w:rStyle w:val="Hyperlink"/>
            <w:color w:val="auto"/>
            <w:sz w:val="20"/>
            <w:szCs w:val="20"/>
            <w:u w:val="none"/>
            <w:bdr w:val="none" w:sz="0" w:space="0" w:color="auto" w:frame="1"/>
            <w:lang w:val="uk-UA"/>
          </w:rPr>
          <w:t xml:space="preserve"> L 258, 1.10.2009, </w:t>
        </w:r>
        <w:r w:rsidRPr="00C03848">
          <w:rPr>
            <w:rStyle w:val="Hyperlink"/>
            <w:color w:val="auto"/>
            <w:sz w:val="20"/>
            <w:szCs w:val="20"/>
            <w:u w:val="none"/>
            <w:bdr w:val="none" w:sz="0" w:space="0" w:color="auto" w:frame="1"/>
            <w:lang w:val="uk-UA"/>
          </w:rPr>
          <w:t>сто</w:t>
        </w:r>
        <w:r w:rsidR="003343DD" w:rsidRPr="00C03848">
          <w:rPr>
            <w:rStyle w:val="Hyperlink"/>
            <w:color w:val="auto"/>
            <w:sz w:val="20"/>
            <w:szCs w:val="20"/>
            <w:u w:val="none"/>
            <w:bdr w:val="none" w:sz="0" w:space="0" w:color="auto" w:frame="1"/>
            <w:lang w:val="uk-UA"/>
          </w:rPr>
          <w:t>p. 11</w:t>
        </w:r>
      </w:hyperlink>
      <w:r w:rsidR="003343DD" w:rsidRPr="00C03848">
        <w:rPr>
          <w:sz w:val="20"/>
          <w:szCs w:val="20"/>
          <w:lang w:val="uk-UA"/>
        </w:rPr>
        <w:t>).</w:t>
      </w:r>
    </w:p>
    <w:p w:rsidR="003343DD" w:rsidRPr="00C03848" w:rsidRDefault="00AC3A3E" w:rsidP="003343DD">
      <w:pPr>
        <w:pStyle w:val="note"/>
        <w:shd w:val="clear" w:color="auto" w:fill="FFFFFF"/>
        <w:spacing w:before="0" w:beforeAutospacing="0" w:after="0" w:afterAutospacing="0" w:line="250" w:lineRule="atLeast"/>
        <w:jc w:val="both"/>
        <w:textAlignment w:val="baseline"/>
        <w:rPr>
          <w:sz w:val="20"/>
          <w:szCs w:val="20"/>
          <w:lang w:val="uk-UA"/>
        </w:rPr>
      </w:pPr>
      <w:hyperlink r:id="rId101" w:anchor="ntc32-L_2015141EN.01007301-E0032" w:history="1">
        <w:r w:rsidR="003343DD" w:rsidRPr="00C03848">
          <w:rPr>
            <w:rStyle w:val="Hyperlink"/>
            <w:color w:val="auto"/>
            <w:sz w:val="20"/>
            <w:szCs w:val="20"/>
            <w:u w:val="none"/>
            <w:bdr w:val="none" w:sz="0" w:space="0" w:color="auto" w:frame="1"/>
            <w:lang w:val="uk-UA"/>
          </w:rPr>
          <w:t>(</w:t>
        </w:r>
        <w:r w:rsidR="003343DD" w:rsidRPr="00C03848">
          <w:rPr>
            <w:rStyle w:val="super"/>
            <w:sz w:val="20"/>
            <w:szCs w:val="20"/>
            <w:bdr w:val="none" w:sz="0" w:space="0" w:color="auto" w:frame="1"/>
            <w:lang w:val="uk-UA"/>
          </w:rPr>
          <w:t>32</w:t>
        </w:r>
        <w:r w:rsidR="003343DD" w:rsidRPr="00C03848">
          <w:rPr>
            <w:rStyle w:val="Hyperlink"/>
            <w:color w:val="auto"/>
            <w:sz w:val="20"/>
            <w:szCs w:val="20"/>
            <w:u w:val="none"/>
            <w:bdr w:val="none" w:sz="0" w:space="0" w:color="auto" w:frame="1"/>
            <w:lang w:val="uk-UA"/>
          </w:rPr>
          <w:t>)</w:t>
        </w:r>
      </w:hyperlink>
      <w:r w:rsidR="003343DD" w:rsidRPr="00C03848">
        <w:rPr>
          <w:sz w:val="20"/>
          <w:szCs w:val="20"/>
          <w:lang w:val="uk-UA"/>
        </w:rPr>
        <w:t xml:space="preserve">  Регламент (EU) No 648/2012 </w:t>
      </w:r>
      <w:r w:rsidR="0064654A" w:rsidRPr="00C03848">
        <w:rPr>
          <w:sz w:val="20"/>
          <w:szCs w:val="20"/>
          <w:lang w:val="uk-UA"/>
        </w:rPr>
        <w:t xml:space="preserve">Європейського Парламенту і </w:t>
      </w:r>
      <w:r w:rsidR="003343DD" w:rsidRPr="00C03848">
        <w:rPr>
          <w:sz w:val="20"/>
          <w:szCs w:val="20"/>
          <w:lang w:val="uk-UA"/>
        </w:rPr>
        <w:t xml:space="preserve">Ради </w:t>
      </w:r>
      <w:r w:rsidR="0064654A" w:rsidRPr="00C03848">
        <w:rPr>
          <w:sz w:val="20"/>
          <w:szCs w:val="20"/>
          <w:lang w:val="uk-UA"/>
        </w:rPr>
        <w:t xml:space="preserve">від </w:t>
      </w:r>
      <w:r w:rsidR="0064654A" w:rsidRPr="00C03848">
        <w:rPr>
          <w:sz w:val="20"/>
          <w:szCs w:val="20"/>
          <w:shd w:val="clear" w:color="auto" w:fill="FFFFFF"/>
          <w:lang w:val="uk-UA"/>
        </w:rPr>
        <w:t>4 липня 2012 року про позабіржові деривативи, центральних контрагентів та торгових репозитаріїв (</w:t>
      </w:r>
      <w:hyperlink r:id="rId102" w:history="1">
        <w:r w:rsidR="0064654A" w:rsidRPr="00C03848">
          <w:rPr>
            <w:rStyle w:val="Hyperlink"/>
            <w:color w:val="auto"/>
            <w:sz w:val="20"/>
            <w:szCs w:val="20"/>
            <w:bdr w:val="none" w:sz="0" w:space="0" w:color="auto" w:frame="1"/>
            <w:shd w:val="clear" w:color="auto" w:fill="FFFFFF"/>
            <w:lang w:val="uk-UA"/>
          </w:rPr>
          <w:t>OВ L 201, 27.7.2012, стоp. 1</w:t>
        </w:r>
      </w:hyperlink>
      <w:r w:rsidR="0064654A" w:rsidRPr="00C03848">
        <w:rPr>
          <w:sz w:val="20"/>
          <w:szCs w:val="20"/>
          <w:shd w:val="clear" w:color="auto" w:fill="FFFFFF"/>
          <w:lang w:val="uk-UA"/>
        </w:rPr>
        <w:t>).</w:t>
      </w:r>
    </w:p>
    <w:p w:rsidR="003343DD" w:rsidRPr="00C03848" w:rsidRDefault="00AC3A3E" w:rsidP="003343DD">
      <w:pPr>
        <w:spacing w:before="120" w:after="120"/>
        <w:rPr>
          <w:sz w:val="24"/>
          <w:szCs w:val="24"/>
          <w:lang w:val="uk-UA"/>
        </w:rPr>
      </w:pPr>
      <w:r w:rsidRPr="00C03848">
        <w:rPr>
          <w:lang w:val="uk-UA"/>
        </w:rPr>
        <w:pict>
          <v:rect id="_x0000_i1026" style="width:73.4pt;height:.75pt" o:hrpct="0" o:hralign="center" o:hrstd="t" o:hrnoshade="t" o:hr="t" fillcolor="black" stroked="f"/>
        </w:pict>
      </w:r>
    </w:p>
    <w:p w:rsidR="003343DD" w:rsidRPr="00C03848" w:rsidRDefault="003343DD" w:rsidP="003343DD">
      <w:pPr>
        <w:pStyle w:val="doc-ti"/>
        <w:shd w:val="clear" w:color="auto" w:fill="FFFFFF"/>
        <w:spacing w:before="240" w:beforeAutospacing="0" w:after="120" w:afterAutospacing="0" w:line="312" w:lineRule="atLeast"/>
        <w:jc w:val="center"/>
        <w:textAlignment w:val="baseline"/>
        <w:rPr>
          <w:rFonts w:ascii="inherit" w:hAnsi="inherit"/>
          <w:b/>
          <w:bCs/>
          <w:sz w:val="27"/>
          <w:szCs w:val="27"/>
          <w:lang w:val="uk-UA"/>
        </w:rPr>
      </w:pPr>
      <w:r w:rsidRPr="00C03848">
        <w:rPr>
          <w:rFonts w:ascii="inherit" w:hAnsi="inherit"/>
          <w:b/>
          <w:bCs/>
          <w:sz w:val="27"/>
          <w:szCs w:val="27"/>
          <w:lang w:val="uk-UA"/>
        </w:rPr>
        <w:t>ДОДАТОК I</w:t>
      </w:r>
    </w:p>
    <w:p w:rsidR="003C3D26" w:rsidRPr="00C03848" w:rsidRDefault="003C3D26" w:rsidP="003C3D26">
      <w:pPr>
        <w:pStyle w:val="2"/>
        <w:shd w:val="clear" w:color="auto" w:fill="FFFFFF"/>
        <w:spacing w:before="0" w:beforeAutospacing="0" w:after="0" w:afterAutospacing="0"/>
        <w:jc w:val="both"/>
        <w:textAlignment w:val="baseline"/>
        <w:rPr>
          <w:rFonts w:ascii="inherit" w:hAnsi="inherit"/>
          <w:sz w:val="27"/>
          <w:szCs w:val="27"/>
          <w:lang w:val="uk-UA"/>
        </w:rPr>
      </w:pPr>
      <w:r w:rsidRPr="00C03848">
        <w:rPr>
          <w:rFonts w:ascii="inherit" w:hAnsi="inherit"/>
          <w:sz w:val="27"/>
          <w:szCs w:val="27"/>
          <w:lang w:val="uk-UA"/>
        </w:rPr>
        <w:t>Нижче наводиться неповний перелік змінних ризику, яких зобов'язані особи повинні враховувати при визначенні, якою мірою застосовувати заходи належної перевірки клієнтів відповідно до Статті 13(3):</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73"/>
        <w:gridCol w:w="8587"/>
      </w:tblGrid>
      <w:tr w:rsidR="003343DD" w:rsidRPr="00C03848" w:rsidTr="003343D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rsidP="003C3D26">
            <w:pPr>
              <w:pStyle w:val="2"/>
              <w:spacing w:before="0" w:beforeAutospacing="0" w:after="0" w:afterAutospacing="0"/>
              <w:jc w:val="both"/>
              <w:textAlignment w:val="baseline"/>
              <w:rPr>
                <w:rFonts w:ascii="inherit" w:hAnsi="inherit"/>
                <w:lang w:val="uk-UA"/>
              </w:rPr>
            </w:pPr>
            <w:r w:rsidRPr="00C03848">
              <w:rPr>
                <w:rFonts w:ascii="inherit" w:hAnsi="inherit"/>
                <w:lang w:val="uk-UA"/>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C3D26" w:rsidP="003C3D26">
            <w:pPr>
              <w:pStyle w:val="2"/>
              <w:spacing w:before="0" w:beforeAutospacing="0" w:after="0" w:afterAutospacing="0"/>
              <w:jc w:val="both"/>
              <w:textAlignment w:val="baseline"/>
              <w:rPr>
                <w:rFonts w:ascii="inherit" w:hAnsi="inherit"/>
                <w:lang w:val="uk-UA"/>
              </w:rPr>
            </w:pPr>
            <w:r w:rsidRPr="00C03848">
              <w:rPr>
                <w:rFonts w:ascii="inherit" w:hAnsi="inherit"/>
                <w:sz w:val="27"/>
                <w:szCs w:val="27"/>
                <w:lang w:val="uk-UA"/>
              </w:rPr>
              <w:t>мета рахунку або відносин;</w:t>
            </w:r>
          </w:p>
        </w:tc>
      </w:tr>
    </w:tbl>
    <w:p w:rsidR="003343DD" w:rsidRPr="00C03848" w:rsidRDefault="003343DD" w:rsidP="003C3D26">
      <w:pPr>
        <w:shd w:val="clear" w:color="auto" w:fill="FFFFFF"/>
        <w:spacing w:after="0" w:line="240" w:lineRule="auto"/>
        <w:textAlignment w:val="baseline"/>
        <w:rPr>
          <w:vanish/>
          <w:sz w:val="27"/>
          <w:szCs w:val="27"/>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7"/>
        <w:gridCol w:w="9043"/>
      </w:tblGrid>
      <w:tr w:rsidR="003343DD" w:rsidRPr="00C03848" w:rsidTr="003343D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rsidP="003C3D26">
            <w:pPr>
              <w:pStyle w:val="2"/>
              <w:spacing w:before="0" w:beforeAutospacing="0" w:after="0" w:afterAutospacing="0"/>
              <w:jc w:val="both"/>
              <w:textAlignment w:val="baseline"/>
              <w:rPr>
                <w:rFonts w:ascii="inherit" w:hAnsi="inherit"/>
                <w:lang w:val="uk-UA"/>
              </w:rPr>
            </w:pPr>
            <w:r w:rsidRPr="00C03848">
              <w:rPr>
                <w:rFonts w:ascii="inherit" w:hAnsi="inherit"/>
                <w:lang w:val="uk-UA"/>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C3D26" w:rsidP="003C3D26">
            <w:pPr>
              <w:pStyle w:val="2"/>
              <w:spacing w:before="0" w:beforeAutospacing="0" w:after="0" w:afterAutospacing="0"/>
              <w:jc w:val="both"/>
              <w:textAlignment w:val="baseline"/>
              <w:rPr>
                <w:rFonts w:ascii="inherit" w:hAnsi="inherit"/>
                <w:lang w:val="uk-UA"/>
              </w:rPr>
            </w:pPr>
            <w:r w:rsidRPr="00C03848">
              <w:rPr>
                <w:rFonts w:ascii="inherit" w:hAnsi="inherit"/>
                <w:sz w:val="27"/>
                <w:szCs w:val="27"/>
                <w:lang w:val="uk-UA"/>
              </w:rPr>
              <w:t>рівень активів, які будуть депоновані клієнтом або обсяг здійснених угод;</w:t>
            </w:r>
          </w:p>
        </w:tc>
      </w:tr>
    </w:tbl>
    <w:p w:rsidR="003343DD" w:rsidRPr="00C03848" w:rsidRDefault="003343DD" w:rsidP="003C3D26">
      <w:pPr>
        <w:shd w:val="clear" w:color="auto" w:fill="FFFFFF"/>
        <w:spacing w:after="0" w:line="240" w:lineRule="auto"/>
        <w:textAlignment w:val="baseline"/>
        <w:rPr>
          <w:vanish/>
          <w:sz w:val="27"/>
          <w:szCs w:val="27"/>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45"/>
        <w:gridCol w:w="8715"/>
      </w:tblGrid>
      <w:tr w:rsidR="003343DD" w:rsidRPr="00C03848" w:rsidTr="003343D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rsidP="003C3D26">
            <w:pPr>
              <w:pStyle w:val="2"/>
              <w:spacing w:before="0" w:beforeAutospacing="0" w:after="0" w:afterAutospacing="0"/>
              <w:jc w:val="both"/>
              <w:textAlignment w:val="baseline"/>
              <w:rPr>
                <w:rFonts w:ascii="inherit" w:hAnsi="inherit"/>
                <w:lang w:val="uk-UA"/>
              </w:rPr>
            </w:pPr>
            <w:r w:rsidRPr="00C03848">
              <w:rPr>
                <w:rFonts w:ascii="inherit" w:hAnsi="inherit"/>
                <w:lang w:val="uk-UA"/>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C3D26" w:rsidP="003C3D26">
            <w:pPr>
              <w:pStyle w:val="2"/>
              <w:spacing w:before="0" w:beforeAutospacing="0" w:after="0" w:afterAutospacing="0"/>
              <w:jc w:val="both"/>
              <w:textAlignment w:val="baseline"/>
              <w:rPr>
                <w:rFonts w:ascii="inherit" w:hAnsi="inherit"/>
                <w:lang w:val="uk-UA"/>
              </w:rPr>
            </w:pPr>
            <w:r w:rsidRPr="00C03848">
              <w:rPr>
                <w:rFonts w:ascii="inherit" w:hAnsi="inherit"/>
                <w:sz w:val="27"/>
                <w:szCs w:val="27"/>
                <w:lang w:val="uk-UA"/>
              </w:rPr>
              <w:t>регулярність або тривалість ділових відносин.</w:t>
            </w:r>
          </w:p>
        </w:tc>
      </w:tr>
    </w:tbl>
    <w:p w:rsidR="003343DD" w:rsidRPr="00C03848" w:rsidRDefault="00AC3A3E" w:rsidP="003343DD">
      <w:pPr>
        <w:spacing w:before="120" w:after="120" w:line="240" w:lineRule="auto"/>
        <w:rPr>
          <w:rFonts w:ascii="Times New Roman" w:hAnsi="Times New Roman"/>
          <w:sz w:val="24"/>
          <w:szCs w:val="24"/>
          <w:lang w:val="uk-UA"/>
        </w:rPr>
      </w:pPr>
      <w:r w:rsidRPr="00C03848">
        <w:rPr>
          <w:lang w:val="uk-UA"/>
        </w:rPr>
        <w:pict>
          <v:rect id="_x0000_i1027" style="width:73.4pt;height:.75pt" o:hrpct="0" o:hralign="center" o:hrstd="t" o:hrnoshade="t" o:hr="t" fillcolor="black" stroked="f"/>
        </w:pict>
      </w:r>
    </w:p>
    <w:p w:rsidR="003343DD" w:rsidRPr="00C03848" w:rsidRDefault="003343DD" w:rsidP="003343DD">
      <w:pPr>
        <w:pStyle w:val="doc-ti"/>
        <w:shd w:val="clear" w:color="auto" w:fill="FFFFFF"/>
        <w:spacing w:before="240" w:beforeAutospacing="0" w:after="120" w:afterAutospacing="0" w:line="312" w:lineRule="atLeast"/>
        <w:jc w:val="center"/>
        <w:textAlignment w:val="baseline"/>
        <w:rPr>
          <w:rFonts w:ascii="inherit" w:hAnsi="inherit"/>
          <w:b/>
          <w:bCs/>
          <w:sz w:val="27"/>
          <w:szCs w:val="27"/>
          <w:lang w:val="uk-UA"/>
        </w:rPr>
      </w:pPr>
      <w:r w:rsidRPr="00C03848">
        <w:rPr>
          <w:rFonts w:ascii="inherit" w:hAnsi="inherit"/>
          <w:b/>
          <w:bCs/>
          <w:sz w:val="27"/>
          <w:szCs w:val="27"/>
          <w:lang w:val="uk-UA"/>
        </w:rPr>
        <w:t>ДОДАТОК II</w:t>
      </w:r>
    </w:p>
    <w:p w:rsidR="00393841" w:rsidRPr="00C03848" w:rsidRDefault="00393841" w:rsidP="00393841">
      <w:pPr>
        <w:pStyle w:val="2"/>
        <w:shd w:val="clear" w:color="auto" w:fill="FFFFFF"/>
        <w:spacing w:before="120" w:beforeAutospacing="0" w:after="0" w:afterAutospacing="0" w:line="312" w:lineRule="atLeast"/>
        <w:jc w:val="both"/>
        <w:textAlignment w:val="baseline"/>
        <w:rPr>
          <w:rFonts w:ascii="inherit" w:hAnsi="inherit"/>
          <w:sz w:val="27"/>
          <w:szCs w:val="27"/>
          <w:lang w:val="uk-UA"/>
        </w:rPr>
      </w:pPr>
    </w:p>
    <w:p w:rsidR="00393841" w:rsidRPr="00C03848" w:rsidRDefault="00393841" w:rsidP="00393841">
      <w:pPr>
        <w:pStyle w:val="2"/>
        <w:shd w:val="clear" w:color="auto" w:fill="FFFFFF"/>
        <w:spacing w:before="120" w:beforeAutospacing="0" w:after="0" w:afterAutospacing="0" w:line="312" w:lineRule="atLeast"/>
        <w:jc w:val="both"/>
        <w:textAlignment w:val="baseline"/>
        <w:rPr>
          <w:rFonts w:ascii="inherit" w:hAnsi="inherit"/>
          <w:sz w:val="27"/>
          <w:szCs w:val="27"/>
          <w:lang w:val="uk-UA"/>
        </w:rPr>
      </w:pPr>
      <w:r w:rsidRPr="00C03848">
        <w:rPr>
          <w:rFonts w:ascii="inherit" w:hAnsi="inherit"/>
          <w:sz w:val="27"/>
          <w:szCs w:val="27"/>
          <w:lang w:val="uk-UA"/>
        </w:rPr>
        <w:t xml:space="preserve">Нижче наводиться неповний перелік факторів і видів доказів, потенційно більш низького ризику, які зазначені в Статті 16: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75"/>
      </w:tblGrid>
      <w:tr w:rsidR="003343DD" w:rsidRPr="00C03848" w:rsidTr="003343D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93841">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sz w:val="27"/>
                <w:szCs w:val="27"/>
                <w:lang w:val="uk-UA"/>
              </w:rPr>
              <w:t>фактори ризику клієнтів:</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93841">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sz w:val="27"/>
                      <w:szCs w:val="27"/>
                      <w:lang w:val="uk-UA"/>
                    </w:rPr>
                    <w:t xml:space="preserve">державні компанії, зареєстровані на фондовій біржі, і на яких поширюються вимоги стосовно розкриття (або правилами фондової біржі або за допомогою закону або нормативно-правових засобів), які </w:t>
                  </w:r>
                  <w:r w:rsidRPr="00C03848">
                    <w:rPr>
                      <w:rFonts w:ascii="inherit" w:hAnsi="inherit"/>
                      <w:sz w:val="27"/>
                      <w:szCs w:val="27"/>
                      <w:lang w:val="uk-UA"/>
                    </w:rPr>
                    <w:lastRenderedPageBreak/>
                    <w:t>накладають вимоги стосовно забезпечення належної прозорості бенефіціарної власності</w:t>
                  </w:r>
                  <w:r w:rsidR="003343DD" w:rsidRPr="00C03848">
                    <w:rPr>
                      <w:rFonts w:ascii="inherit" w:hAnsi="inherit"/>
                      <w:lang w:val="uk-UA"/>
                    </w:rPr>
                    <w:t>;</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97"/>
              <w:gridCol w:w="8357"/>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93841">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державні адміністративні органи або підприємства</w:t>
                  </w:r>
                  <w:r w:rsidR="003343DD" w:rsidRPr="00C03848">
                    <w:rPr>
                      <w:rFonts w:ascii="inherit" w:hAnsi="inherit"/>
                      <w:lang w:val="uk-UA"/>
                    </w:rPr>
                    <w:t>;</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93841">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sz w:val="27"/>
                      <w:szCs w:val="27"/>
                      <w:lang w:val="uk-UA"/>
                    </w:rPr>
                    <w:t>клієнти, які проживають в географічних районах більш низького ризику, як визначено в пункті (3);</w:t>
                  </w:r>
                </w:p>
              </w:tc>
            </w:tr>
          </w:tbl>
          <w:p w:rsidR="003343DD" w:rsidRPr="00C03848" w:rsidRDefault="003343DD">
            <w:pPr>
              <w:rPr>
                <w:rFonts w:ascii="inherit" w:hAnsi="inherit"/>
                <w:sz w:val="24"/>
                <w:szCs w:val="24"/>
                <w:lang w:val="uk-UA"/>
              </w:rPr>
            </w:pPr>
          </w:p>
        </w:tc>
      </w:tr>
    </w:tbl>
    <w:p w:rsidR="003343DD" w:rsidRPr="00C03848" w:rsidRDefault="003343DD" w:rsidP="003343DD">
      <w:pPr>
        <w:shd w:val="clear" w:color="auto" w:fill="FFFFFF"/>
        <w:spacing w:line="250" w:lineRule="atLeast"/>
        <w:textAlignment w:val="baseline"/>
        <w:rPr>
          <w:vanish/>
          <w:sz w:val="27"/>
          <w:szCs w:val="27"/>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75"/>
      </w:tblGrid>
      <w:tr w:rsidR="003343DD" w:rsidRPr="00C03848" w:rsidTr="003343D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7B4719">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xml:space="preserve">фактори ризику, які </w:t>
            </w:r>
            <w:r w:rsidR="00857F94" w:rsidRPr="00C03848">
              <w:rPr>
                <w:rFonts w:ascii="inherit" w:hAnsi="inherit"/>
                <w:lang w:val="uk-UA"/>
              </w:rPr>
              <w:t>пов’язані з продуктом, послугою, транзакцією або каналом доставки</w:t>
            </w:r>
            <w:r w:rsidR="003343DD" w:rsidRPr="00C03848">
              <w:rPr>
                <w:rFonts w:ascii="inherit" w:hAnsi="inherit"/>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4"/>
              <w:gridCol w:w="8480"/>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857F94" w:rsidP="00857F94">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поліси страхування життя, для яких страхова премія є низькою;</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69"/>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857F94" w:rsidP="00857F94">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страхові поліси для пенсійних схем, якщо немає можливості дострокового розірвання договору і поліс не може бути використаний в якості застави;</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857F94" w:rsidP="00813090">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xml:space="preserve">пенсія, по старості або аналогічна схема, яка забезпечує пенсійні виплати співробітникам, коли внески здійснюються шляхом відрахувань із заробітної плати, </w:t>
                  </w:r>
                  <w:r w:rsidR="00813090" w:rsidRPr="00C03848">
                    <w:rPr>
                      <w:rFonts w:ascii="inherit" w:hAnsi="inherit"/>
                      <w:lang w:val="uk-UA"/>
                    </w:rPr>
                    <w:t>т</w:t>
                  </w:r>
                  <w:r w:rsidRPr="00C03848">
                    <w:rPr>
                      <w:rFonts w:ascii="inherit" w:hAnsi="inherit"/>
                      <w:lang w:val="uk-UA"/>
                    </w:rPr>
                    <w:t xml:space="preserve">а правила </w:t>
                  </w:r>
                  <w:r w:rsidR="00813090" w:rsidRPr="00C03848">
                    <w:rPr>
                      <w:rFonts w:ascii="inherit" w:hAnsi="inherit"/>
                      <w:lang w:val="uk-UA"/>
                    </w:rPr>
                    <w:t xml:space="preserve">схеми </w:t>
                  </w:r>
                  <w:r w:rsidRPr="00C03848">
                    <w:rPr>
                      <w:rFonts w:ascii="inherit" w:hAnsi="inherit"/>
                      <w:lang w:val="uk-UA"/>
                    </w:rPr>
                    <w:t>не дозволяють нарахування відсотка учаснику за схемою;</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69"/>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847E6B" w:rsidP="0023232C">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xml:space="preserve">фінансові продукти або послуги, які </w:t>
                  </w:r>
                  <w:r w:rsidR="0023232C" w:rsidRPr="00C03848">
                    <w:rPr>
                      <w:rFonts w:ascii="inherit" w:hAnsi="inherit"/>
                      <w:lang w:val="uk-UA"/>
                    </w:rPr>
                    <w:t>нада</w:t>
                  </w:r>
                  <w:r w:rsidRPr="00C03848">
                    <w:rPr>
                      <w:rFonts w:ascii="inherit" w:hAnsi="inherit"/>
                      <w:lang w:val="uk-UA"/>
                    </w:rPr>
                    <w:t xml:space="preserve">ють належним чином </w:t>
                  </w:r>
                  <w:r w:rsidR="0023232C" w:rsidRPr="00C03848">
                    <w:rPr>
                      <w:rFonts w:ascii="inherit" w:hAnsi="inherit"/>
                      <w:lang w:val="uk-UA"/>
                    </w:rPr>
                    <w:t>визначе</w:t>
                  </w:r>
                  <w:r w:rsidRPr="00C03848">
                    <w:rPr>
                      <w:rFonts w:ascii="inherit" w:hAnsi="inherit"/>
                      <w:lang w:val="uk-UA"/>
                    </w:rPr>
                    <w:t>ні і обмежені послуги певни</w:t>
                  </w:r>
                  <w:r w:rsidR="0023232C" w:rsidRPr="00C03848">
                    <w:rPr>
                      <w:rFonts w:ascii="inherit" w:hAnsi="inherit"/>
                      <w:lang w:val="uk-UA"/>
                    </w:rPr>
                    <w:t>м</w:t>
                  </w:r>
                  <w:r w:rsidRPr="00C03848">
                    <w:rPr>
                      <w:rFonts w:ascii="inherit" w:hAnsi="inherit"/>
                      <w:lang w:val="uk-UA"/>
                    </w:rPr>
                    <w:t xml:space="preserve"> тип</w:t>
                  </w:r>
                  <w:r w:rsidR="0023232C" w:rsidRPr="00C03848">
                    <w:rPr>
                      <w:rFonts w:ascii="inherit" w:hAnsi="inherit"/>
                      <w:lang w:val="uk-UA"/>
                    </w:rPr>
                    <w:t>ам</w:t>
                  </w:r>
                  <w:r w:rsidRPr="00C03848">
                    <w:rPr>
                      <w:rFonts w:ascii="inherit" w:hAnsi="inherit"/>
                      <w:lang w:val="uk-UA"/>
                    </w:rPr>
                    <w:t xml:space="preserve"> клієнтів, з тим щоб розширити доступ для цілей фінансово</w:t>
                  </w:r>
                  <w:r w:rsidR="0023232C" w:rsidRPr="00C03848">
                    <w:rPr>
                      <w:rFonts w:ascii="inherit" w:hAnsi="inherit"/>
                      <w:lang w:val="uk-UA"/>
                    </w:rPr>
                    <w:t>го включення</w:t>
                  </w:r>
                  <w:r w:rsidRPr="00C03848">
                    <w:rPr>
                      <w:rFonts w:ascii="inherit" w:hAnsi="inherit"/>
                      <w:lang w:val="uk-UA"/>
                    </w:rPr>
                    <w:t>;</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23232C" w:rsidP="0023232C">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продукти, в яких ризики відмивання грошей і фінансування тероризму управляються іншими факторами, такими, як обмеження грошових коштів або прозорість власності (наприклад, деякі види електронних грошей);</w:t>
                  </w:r>
                </w:p>
              </w:tc>
            </w:tr>
          </w:tbl>
          <w:p w:rsidR="003343DD" w:rsidRPr="00C03848" w:rsidRDefault="003343DD">
            <w:pPr>
              <w:rPr>
                <w:rFonts w:ascii="inherit" w:hAnsi="inherit"/>
                <w:sz w:val="24"/>
                <w:szCs w:val="24"/>
                <w:lang w:val="uk-UA"/>
              </w:rPr>
            </w:pPr>
          </w:p>
        </w:tc>
      </w:tr>
    </w:tbl>
    <w:p w:rsidR="003343DD" w:rsidRPr="00C03848" w:rsidRDefault="003343DD" w:rsidP="003343DD">
      <w:pPr>
        <w:shd w:val="clear" w:color="auto" w:fill="FFFFFF"/>
        <w:spacing w:line="250" w:lineRule="atLeast"/>
        <w:textAlignment w:val="baseline"/>
        <w:rPr>
          <w:vanish/>
          <w:sz w:val="27"/>
          <w:szCs w:val="27"/>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75"/>
      </w:tblGrid>
      <w:tr w:rsidR="003343DD" w:rsidRPr="00C03848" w:rsidTr="003343D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23232C">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Географічні фактори ризику</w:t>
            </w:r>
            <w:r w:rsidR="003343DD" w:rsidRPr="00C03848">
              <w:rPr>
                <w:rFonts w:ascii="inherit" w:hAnsi="inherit"/>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62"/>
              <w:gridCol w:w="7392"/>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847E6B">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Держави-члени</w:t>
                  </w:r>
                  <w:r w:rsidR="003343DD" w:rsidRPr="00C03848">
                    <w:rPr>
                      <w:rFonts w:ascii="inherit" w:hAnsi="inherit"/>
                      <w:lang w:val="uk-UA"/>
                    </w:rPr>
                    <w:t>;</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8"/>
              <w:gridCol w:w="8376"/>
            </w:tblGrid>
            <w:tr w:rsidR="005D0F37"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5D0F37" w:rsidP="005D0F37">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треті країни, які мають ефективні системи</w:t>
                  </w:r>
                  <w:r w:rsidR="003343DD" w:rsidRPr="00C03848">
                    <w:rPr>
                      <w:rFonts w:ascii="inherit" w:hAnsi="inherit"/>
                      <w:lang w:val="uk-UA"/>
                    </w:rPr>
                    <w:t xml:space="preserve"> </w:t>
                  </w:r>
                  <w:r w:rsidR="00E379A6" w:rsidRPr="00C03848">
                    <w:rPr>
                      <w:lang w:val="uk-UA"/>
                    </w:rPr>
                    <w:t>БВГ/ПФТ</w:t>
                  </w:r>
                  <w:r w:rsidR="003343DD" w:rsidRPr="00C03848">
                    <w:rPr>
                      <w:rFonts w:ascii="inherit" w:hAnsi="inherit"/>
                      <w:lang w:val="uk-UA"/>
                    </w:rPr>
                    <w:t>;</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D92205" w:rsidP="00D92205">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треті країни, визначені надійними джерелами як такі, що  характеризуються низьким рівнем корупції або іншої злочинної діяльності;</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69"/>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92205" w:rsidRPr="00C03848" w:rsidRDefault="00D92205" w:rsidP="00C341B9">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треті країни, які, на основі достовірних джерел, таких як взаємні</w:t>
                  </w:r>
                  <w:r w:rsidR="001D6BE4" w:rsidRPr="00C03848">
                    <w:rPr>
                      <w:rFonts w:ascii="inherit" w:hAnsi="inherit"/>
                      <w:lang w:val="uk-UA"/>
                    </w:rPr>
                    <w:t xml:space="preserve"> оцін</w:t>
                  </w:r>
                  <w:r w:rsidRPr="00C03848">
                    <w:rPr>
                      <w:rFonts w:ascii="inherit" w:hAnsi="inherit"/>
                      <w:lang w:val="uk-UA"/>
                    </w:rPr>
                    <w:t>к</w:t>
                  </w:r>
                  <w:r w:rsidR="001D6BE4" w:rsidRPr="00C03848">
                    <w:rPr>
                      <w:rFonts w:ascii="inherit" w:hAnsi="inherit"/>
                      <w:lang w:val="uk-UA"/>
                    </w:rPr>
                    <w:t>и</w:t>
                  </w:r>
                  <w:r w:rsidRPr="00C03848">
                    <w:rPr>
                      <w:rFonts w:ascii="inherit" w:hAnsi="inherit"/>
                      <w:lang w:val="uk-UA"/>
                    </w:rPr>
                    <w:t>, д</w:t>
                  </w:r>
                  <w:r w:rsidR="001D6BE4" w:rsidRPr="00C03848">
                    <w:rPr>
                      <w:rFonts w:ascii="inherit" w:hAnsi="inherit"/>
                      <w:lang w:val="uk-UA"/>
                    </w:rPr>
                    <w:t>еталь</w:t>
                  </w:r>
                  <w:r w:rsidRPr="00C03848">
                    <w:rPr>
                      <w:rFonts w:ascii="inherit" w:hAnsi="inherit"/>
                      <w:lang w:val="uk-UA"/>
                    </w:rPr>
                    <w:t xml:space="preserve">ні </w:t>
                  </w:r>
                  <w:r w:rsidR="001D6BE4" w:rsidRPr="00C03848">
                    <w:rPr>
                      <w:rFonts w:ascii="inherit" w:hAnsi="inherit"/>
                      <w:lang w:val="uk-UA"/>
                    </w:rPr>
                    <w:t xml:space="preserve">оцінювальні </w:t>
                  </w:r>
                  <w:r w:rsidRPr="00C03848">
                    <w:rPr>
                      <w:rFonts w:ascii="inherit" w:hAnsi="inherit"/>
                      <w:lang w:val="uk-UA"/>
                    </w:rPr>
                    <w:t>звіти або опублікован</w:t>
                  </w:r>
                  <w:r w:rsidR="001D6BE4" w:rsidRPr="00C03848">
                    <w:rPr>
                      <w:rFonts w:ascii="inherit" w:hAnsi="inherit"/>
                      <w:lang w:val="uk-UA"/>
                    </w:rPr>
                    <w:t>і звіти</w:t>
                  </w:r>
                  <w:r w:rsidRPr="00C03848">
                    <w:rPr>
                      <w:rFonts w:ascii="inherit" w:hAnsi="inherit"/>
                      <w:lang w:val="uk-UA"/>
                    </w:rPr>
                    <w:t xml:space="preserve"> про подальші заходи, мають вимоги </w:t>
                  </w:r>
                  <w:r w:rsidR="001D6BE4" w:rsidRPr="00C03848">
                    <w:rPr>
                      <w:rFonts w:ascii="inherit" w:hAnsi="inherit"/>
                      <w:lang w:val="uk-UA"/>
                    </w:rPr>
                    <w:t>стосовн</w:t>
                  </w:r>
                  <w:r w:rsidRPr="00C03848">
                    <w:rPr>
                      <w:rFonts w:ascii="inherit" w:hAnsi="inherit"/>
                      <w:lang w:val="uk-UA"/>
                    </w:rPr>
                    <w:t>о боротьби з ві</w:t>
                  </w:r>
                  <w:r w:rsidR="00C341B9" w:rsidRPr="00C03848">
                    <w:rPr>
                      <w:rFonts w:ascii="inherit" w:hAnsi="inherit"/>
                      <w:lang w:val="uk-UA"/>
                    </w:rPr>
                    <w:t>дмиванням грошей і фінансування</w:t>
                  </w:r>
                  <w:r w:rsidRPr="00C03848">
                    <w:rPr>
                      <w:rFonts w:ascii="inherit" w:hAnsi="inherit"/>
                      <w:lang w:val="uk-UA"/>
                    </w:rPr>
                    <w:t xml:space="preserve"> тероризму відповідно до </w:t>
                  </w:r>
                  <w:r w:rsidR="00C341B9" w:rsidRPr="00C03848">
                    <w:rPr>
                      <w:rFonts w:ascii="inherit" w:hAnsi="inherit"/>
                      <w:lang w:val="uk-UA"/>
                    </w:rPr>
                    <w:t>оновлених</w:t>
                  </w:r>
                  <w:r w:rsidRPr="00C03848">
                    <w:rPr>
                      <w:rFonts w:ascii="inherit" w:hAnsi="inherit"/>
                      <w:lang w:val="uk-UA"/>
                    </w:rPr>
                    <w:t xml:space="preserve"> Рекомендацій </w:t>
                  </w:r>
                  <w:r w:rsidR="00C341B9" w:rsidRPr="00C03848">
                    <w:rPr>
                      <w:rFonts w:ascii="inherit" w:hAnsi="inherit"/>
                      <w:lang w:val="uk-UA"/>
                    </w:rPr>
                    <w:t>FATF</w:t>
                  </w:r>
                  <w:r w:rsidRPr="00C03848">
                    <w:rPr>
                      <w:rFonts w:ascii="inherit" w:hAnsi="inherit"/>
                      <w:lang w:val="uk-UA"/>
                    </w:rPr>
                    <w:t xml:space="preserve"> </w:t>
                  </w:r>
                  <w:r w:rsidR="00C341B9" w:rsidRPr="00C03848">
                    <w:rPr>
                      <w:rFonts w:ascii="inherit" w:hAnsi="inherit"/>
                      <w:lang w:val="uk-UA"/>
                    </w:rPr>
                    <w:t>та</w:t>
                  </w:r>
                  <w:r w:rsidRPr="00C03848">
                    <w:rPr>
                      <w:rFonts w:ascii="inherit" w:hAnsi="inherit"/>
                      <w:lang w:val="uk-UA"/>
                    </w:rPr>
                    <w:t xml:space="preserve"> ефективно викону</w:t>
                  </w:r>
                  <w:r w:rsidR="00C341B9" w:rsidRPr="00C03848">
                    <w:rPr>
                      <w:rFonts w:ascii="inherit" w:hAnsi="inherit"/>
                      <w:lang w:val="uk-UA"/>
                    </w:rPr>
                    <w:t>ють</w:t>
                  </w:r>
                  <w:r w:rsidRPr="00C03848">
                    <w:rPr>
                      <w:rFonts w:ascii="inherit" w:hAnsi="inherit"/>
                      <w:lang w:val="uk-UA"/>
                    </w:rPr>
                    <w:t xml:space="preserve"> </w:t>
                  </w:r>
                  <w:r w:rsidR="00C341B9" w:rsidRPr="00C03848">
                    <w:rPr>
                      <w:rFonts w:ascii="inherit" w:hAnsi="inherit"/>
                      <w:lang w:val="uk-UA"/>
                    </w:rPr>
                    <w:t>зазначені</w:t>
                  </w:r>
                  <w:r w:rsidRPr="00C03848">
                    <w:rPr>
                      <w:rFonts w:ascii="inherit" w:hAnsi="inherit"/>
                      <w:lang w:val="uk-UA"/>
                    </w:rPr>
                    <w:t xml:space="preserve"> вимоги.</w:t>
                  </w:r>
                </w:p>
              </w:tc>
            </w:tr>
          </w:tbl>
          <w:p w:rsidR="003343DD" w:rsidRPr="00C03848" w:rsidRDefault="003343DD">
            <w:pPr>
              <w:rPr>
                <w:rFonts w:ascii="inherit" w:hAnsi="inherit"/>
                <w:sz w:val="24"/>
                <w:szCs w:val="24"/>
                <w:lang w:val="uk-UA"/>
              </w:rPr>
            </w:pPr>
          </w:p>
        </w:tc>
      </w:tr>
    </w:tbl>
    <w:p w:rsidR="003343DD" w:rsidRPr="00C03848" w:rsidRDefault="00AC3A3E" w:rsidP="007B4719">
      <w:pPr>
        <w:spacing w:before="120" w:after="120" w:line="240" w:lineRule="auto"/>
        <w:rPr>
          <w:rFonts w:ascii="Times New Roman" w:hAnsi="Times New Roman"/>
          <w:sz w:val="24"/>
          <w:szCs w:val="24"/>
          <w:lang w:val="uk-UA"/>
        </w:rPr>
      </w:pPr>
      <w:r w:rsidRPr="00C03848">
        <w:rPr>
          <w:lang w:val="uk-UA"/>
        </w:rPr>
        <w:pict>
          <v:rect id="_x0000_i1028" style="width:73.4pt;height:.75pt" o:hrpct="0" o:hralign="center" o:hrstd="t" o:hrnoshade="t" o:hr="t" fillcolor="black" stroked="f"/>
        </w:pict>
      </w:r>
    </w:p>
    <w:p w:rsidR="003343DD" w:rsidRPr="00C03848" w:rsidRDefault="003343DD" w:rsidP="003343DD">
      <w:pPr>
        <w:pStyle w:val="doc-ti"/>
        <w:shd w:val="clear" w:color="auto" w:fill="FFFFFF"/>
        <w:spacing w:before="240" w:beforeAutospacing="0" w:after="120" w:afterAutospacing="0" w:line="312" w:lineRule="atLeast"/>
        <w:jc w:val="center"/>
        <w:textAlignment w:val="baseline"/>
        <w:rPr>
          <w:rFonts w:ascii="inherit" w:hAnsi="inherit"/>
          <w:b/>
          <w:bCs/>
          <w:sz w:val="27"/>
          <w:szCs w:val="27"/>
          <w:lang w:val="uk-UA"/>
        </w:rPr>
      </w:pPr>
      <w:r w:rsidRPr="00C03848">
        <w:rPr>
          <w:rFonts w:ascii="inherit" w:hAnsi="inherit"/>
          <w:b/>
          <w:bCs/>
          <w:sz w:val="27"/>
          <w:szCs w:val="27"/>
          <w:lang w:val="uk-UA"/>
        </w:rPr>
        <w:t>ДОДАТОК III</w:t>
      </w:r>
    </w:p>
    <w:p w:rsidR="003343DD" w:rsidRPr="00C03848" w:rsidRDefault="00C341B9" w:rsidP="003343DD">
      <w:pPr>
        <w:pStyle w:val="2"/>
        <w:shd w:val="clear" w:color="auto" w:fill="FFFFFF"/>
        <w:spacing w:before="120" w:beforeAutospacing="0" w:after="0" w:afterAutospacing="0" w:line="312" w:lineRule="atLeast"/>
        <w:jc w:val="both"/>
        <w:textAlignment w:val="baseline"/>
        <w:rPr>
          <w:rFonts w:ascii="inherit" w:hAnsi="inherit"/>
          <w:sz w:val="27"/>
          <w:szCs w:val="27"/>
          <w:lang w:val="uk-UA"/>
        </w:rPr>
      </w:pPr>
      <w:r w:rsidRPr="00C03848">
        <w:rPr>
          <w:rFonts w:ascii="inherit" w:hAnsi="inherit"/>
          <w:sz w:val="27"/>
          <w:szCs w:val="27"/>
          <w:lang w:val="uk-UA"/>
        </w:rPr>
        <w:t xml:space="preserve">Нижче наводиться неповний перелік факторів і видів доказів потенційно більш високого ризику, зазначених в </w:t>
      </w:r>
      <w:r w:rsidR="003343DD" w:rsidRPr="00C03848">
        <w:rPr>
          <w:rFonts w:ascii="inherit" w:hAnsi="inherit"/>
          <w:sz w:val="27"/>
          <w:szCs w:val="27"/>
          <w:lang w:val="uk-UA"/>
        </w:rPr>
        <w:t>Статт</w:t>
      </w:r>
      <w:r w:rsidRPr="00C03848">
        <w:rPr>
          <w:rFonts w:ascii="inherit" w:hAnsi="inherit"/>
          <w:sz w:val="27"/>
          <w:szCs w:val="27"/>
          <w:lang w:val="uk-UA"/>
        </w:rPr>
        <w:t>і</w:t>
      </w:r>
      <w:r w:rsidR="003343DD" w:rsidRPr="00C03848">
        <w:rPr>
          <w:rFonts w:ascii="inherit" w:hAnsi="inherit"/>
          <w:sz w:val="27"/>
          <w:szCs w:val="27"/>
          <w:lang w:val="uk-UA"/>
        </w:rPr>
        <w:t> 18(3):</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75"/>
      </w:tblGrid>
      <w:tr w:rsidR="003343DD" w:rsidRPr="00C03848" w:rsidTr="003343D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C341B9">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sz w:val="27"/>
                <w:szCs w:val="27"/>
                <w:lang w:val="uk-UA"/>
              </w:rPr>
              <w:t>фактори ризику клієнтів</w:t>
            </w:r>
            <w:r w:rsidR="003343DD" w:rsidRPr="00C03848">
              <w:rPr>
                <w:rFonts w:ascii="inherit" w:hAnsi="inherit"/>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1"/>
              <w:gridCol w:w="8443"/>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C341B9">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бізнес відносини здійснюються в незвичайних обставинах</w:t>
                  </w:r>
                  <w:r w:rsidR="003343DD" w:rsidRPr="00C03848">
                    <w:rPr>
                      <w:rFonts w:ascii="inherit" w:hAnsi="inherit"/>
                      <w:lang w:val="uk-UA"/>
                    </w:rPr>
                    <w:t>;</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69"/>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BA68DC" w:rsidP="00BA68DC">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xml:space="preserve">клієнти, які проживають в географічних районах підвищеного ризику, що зазначені в пункті </w:t>
                  </w:r>
                  <w:r w:rsidR="003343DD" w:rsidRPr="00C03848">
                    <w:rPr>
                      <w:rFonts w:ascii="inherit" w:hAnsi="inherit"/>
                      <w:lang w:val="uk-UA"/>
                    </w:rPr>
                    <w:t>(3);</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D1452E">
                  <w:pPr>
                    <w:pStyle w:val="2"/>
                    <w:spacing w:before="120" w:after="0" w:line="312" w:lineRule="atLeast"/>
                    <w:jc w:val="both"/>
                    <w:textAlignment w:val="baseline"/>
                    <w:rPr>
                      <w:rFonts w:ascii="inherit" w:hAnsi="inherit"/>
                      <w:lang w:val="uk-UA"/>
                    </w:rPr>
                  </w:pPr>
                  <w:r w:rsidRPr="00C03848">
                    <w:rPr>
                      <w:rFonts w:ascii="inherit" w:hAnsi="inherit"/>
                      <w:lang w:val="uk-UA"/>
                    </w:rPr>
                    <w:t>юридичні особи або організації, які є особистими механізмами управління активів;</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3"/>
              <w:gridCol w:w="8501"/>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D1452E">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компанії, що мають номінальних акціонерів або акції на пред'явника</w:t>
                  </w:r>
                  <w:r w:rsidR="003343DD" w:rsidRPr="00C03848">
                    <w:rPr>
                      <w:rFonts w:ascii="inherit" w:hAnsi="inherit"/>
                      <w:lang w:val="uk-UA"/>
                    </w:rPr>
                    <w:t>;</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4"/>
              <w:gridCol w:w="8540"/>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D1452E">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бізнес, який характеризується великою концентрацією грошових потоків</w:t>
                  </w:r>
                  <w:r w:rsidR="003343DD" w:rsidRPr="00C03848">
                    <w:rPr>
                      <w:rFonts w:ascii="inherit" w:hAnsi="inherit"/>
                      <w:lang w:val="uk-UA"/>
                    </w:rPr>
                    <w:t>;</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609"/>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341B9" w:rsidRPr="00C03848" w:rsidRDefault="00D1452E" w:rsidP="00D1452E">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структура власності компанії представляється незвичайною або надмірно складною, враховуючи характер бізнесу компанії</w:t>
                  </w:r>
                  <w:r w:rsidR="003343DD" w:rsidRPr="00C03848">
                    <w:rPr>
                      <w:rFonts w:ascii="inherit" w:hAnsi="inherit"/>
                      <w:lang w:val="uk-UA"/>
                    </w:rPr>
                    <w:t>;</w:t>
                  </w:r>
                </w:p>
              </w:tc>
            </w:tr>
          </w:tbl>
          <w:p w:rsidR="003343DD" w:rsidRPr="00C03848" w:rsidRDefault="003343DD">
            <w:pPr>
              <w:rPr>
                <w:rFonts w:ascii="inherit" w:hAnsi="inherit"/>
                <w:sz w:val="24"/>
                <w:szCs w:val="24"/>
                <w:lang w:val="uk-UA"/>
              </w:rPr>
            </w:pPr>
          </w:p>
        </w:tc>
      </w:tr>
    </w:tbl>
    <w:p w:rsidR="003343DD" w:rsidRPr="00C03848" w:rsidRDefault="003343DD" w:rsidP="003343DD">
      <w:pPr>
        <w:shd w:val="clear" w:color="auto" w:fill="FFFFFF"/>
        <w:spacing w:line="250" w:lineRule="atLeast"/>
        <w:textAlignment w:val="baseline"/>
        <w:rPr>
          <w:vanish/>
          <w:sz w:val="27"/>
          <w:szCs w:val="27"/>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75"/>
      </w:tblGrid>
      <w:tr w:rsidR="003343DD" w:rsidRPr="00C03848" w:rsidTr="003343D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C341B9">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фактори ризику, які пов’язані з продуктом, послугою, транзакцією або каналом доставки</w:t>
            </w:r>
            <w:r w:rsidR="003343DD" w:rsidRPr="00C03848">
              <w:rPr>
                <w:rFonts w:ascii="inherit" w:hAnsi="inherit"/>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55"/>
              <w:gridCol w:w="7599"/>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F97D1C">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приватний банкінг</w:t>
                  </w:r>
                  <w:r w:rsidR="003343DD" w:rsidRPr="00C03848">
                    <w:rPr>
                      <w:rFonts w:ascii="inherit" w:hAnsi="inherit"/>
                      <w:lang w:val="uk-UA"/>
                    </w:rPr>
                    <w:t>;</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4"/>
              <w:gridCol w:w="8470"/>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F97D1C" w:rsidP="00F97D1C">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продукти або угоди, які можуть мати схильність до анонімності</w:t>
                  </w:r>
                  <w:r w:rsidR="003343DD" w:rsidRPr="00C03848">
                    <w:rPr>
                      <w:rFonts w:ascii="inherit" w:hAnsi="inherit"/>
                      <w:lang w:val="uk-UA"/>
                    </w:rPr>
                    <w:t>;</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F97D1C" w:rsidP="00F97D1C">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заочний характер бізнес відносин або угод, без певних гарантій, таких як електронні підписи;</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6"/>
              <w:gridCol w:w="8468"/>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F97D1C" w:rsidP="00F97D1C">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платіж, отриманий від невідомої або непов'язаної третьої особи;</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97D1C" w:rsidRPr="00C03848" w:rsidRDefault="00F97D1C" w:rsidP="00F97D1C">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нові продукти і нова практика ведення бізнесу, в тому числі новий механізм доставки, а також використання нових технологій, які розвиваються, як для нових і вже існуючих продуктів;</w:t>
                  </w:r>
                </w:p>
              </w:tc>
            </w:tr>
          </w:tbl>
          <w:p w:rsidR="003343DD" w:rsidRPr="00C03848" w:rsidRDefault="003343DD">
            <w:pPr>
              <w:rPr>
                <w:rFonts w:ascii="inherit" w:hAnsi="inherit"/>
                <w:sz w:val="24"/>
                <w:szCs w:val="24"/>
                <w:lang w:val="uk-UA"/>
              </w:rPr>
            </w:pPr>
          </w:p>
        </w:tc>
      </w:tr>
    </w:tbl>
    <w:p w:rsidR="003343DD" w:rsidRPr="00C03848" w:rsidRDefault="003343DD" w:rsidP="003343DD">
      <w:pPr>
        <w:shd w:val="clear" w:color="auto" w:fill="FFFFFF"/>
        <w:spacing w:line="250" w:lineRule="atLeast"/>
        <w:textAlignment w:val="baseline"/>
        <w:rPr>
          <w:vanish/>
          <w:sz w:val="27"/>
          <w:szCs w:val="27"/>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75"/>
      </w:tblGrid>
      <w:tr w:rsidR="003343DD" w:rsidRPr="00C03848" w:rsidTr="003343D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C341B9">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Географічні фактори ризику</w:t>
            </w:r>
            <w:r w:rsidR="003343DD" w:rsidRPr="00C03848">
              <w:rPr>
                <w:rFonts w:ascii="inherit" w:hAnsi="inherit"/>
                <w:lang w:val="uk-UA"/>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F97D1C" w:rsidP="00F97D1C">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xml:space="preserve">без шкоди для положень Статті 9, країни, ідентифіковані надійними джерелами, такими як взаємне оцінювання, детальні оцінювальні звіти або опубліковані звіти про подальші заходи, як такі, що не мають ефективні системи в сфері </w:t>
                  </w:r>
                  <w:r w:rsidRPr="00C03848">
                    <w:rPr>
                      <w:lang w:val="uk-UA"/>
                    </w:rPr>
                    <w:t>БВГ/ПФТ</w:t>
                  </w:r>
                  <w:r w:rsidRPr="00C03848">
                    <w:rPr>
                      <w:rFonts w:ascii="inherit" w:hAnsi="inherit"/>
                      <w:lang w:val="uk-UA"/>
                    </w:rPr>
                    <w:t>;</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69"/>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F97D1C" w:rsidP="00F97D1C">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країни, визначені надійними джерелами як такі, що характеризуються значним рівнем корупції або іншої злочинної діяльності;</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582"/>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F97D1C" w:rsidP="00F97D1C">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країни, на які поширюються санкції, ембарго або аналогічні заходи, які накладаються, наприклад, Союзом або Організацією Об'єднаних Націй;</w:t>
                  </w:r>
                </w:p>
              </w:tc>
            </w:tr>
          </w:tbl>
          <w:p w:rsidR="003343DD" w:rsidRPr="00C03848" w:rsidRDefault="003343DD">
            <w:pPr>
              <w:rPr>
                <w:rFonts w:ascii="inherit" w:hAnsi="inherit"/>
                <w:vanish/>
                <w:lang w:val="uk-UA"/>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569"/>
            </w:tblGrid>
            <w:tr w:rsidR="003343DD" w:rsidRPr="00C0384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3343DD" w:rsidRPr="00C03848" w:rsidRDefault="00F97D1C" w:rsidP="0095007B">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країни, які надають фінансування або підтримку тер</w:t>
                  </w:r>
                  <w:r w:rsidR="0095007B" w:rsidRPr="00C03848">
                    <w:rPr>
                      <w:rFonts w:ascii="inherit" w:hAnsi="inherit"/>
                      <w:lang w:val="uk-UA"/>
                    </w:rPr>
                    <w:t>ористичної діяльності, або які ви</w:t>
                  </w:r>
                  <w:r w:rsidRPr="00C03848">
                    <w:rPr>
                      <w:rFonts w:ascii="inherit" w:hAnsi="inherit"/>
                      <w:lang w:val="uk-UA"/>
                    </w:rPr>
                    <w:t>значили терористичні організації, які діють в межах своєї країни.</w:t>
                  </w:r>
                </w:p>
              </w:tc>
            </w:tr>
          </w:tbl>
          <w:p w:rsidR="003343DD" w:rsidRPr="00C03848" w:rsidRDefault="003343DD">
            <w:pPr>
              <w:rPr>
                <w:rFonts w:ascii="inherit" w:hAnsi="inherit"/>
                <w:sz w:val="24"/>
                <w:szCs w:val="24"/>
                <w:lang w:val="uk-UA"/>
              </w:rPr>
            </w:pPr>
          </w:p>
        </w:tc>
      </w:tr>
    </w:tbl>
    <w:p w:rsidR="003343DD" w:rsidRPr="00C03848" w:rsidRDefault="00AC3A3E" w:rsidP="003343DD">
      <w:pPr>
        <w:spacing w:before="120" w:after="120" w:line="240" w:lineRule="auto"/>
        <w:rPr>
          <w:rFonts w:ascii="Times New Roman" w:hAnsi="Times New Roman"/>
          <w:sz w:val="24"/>
          <w:szCs w:val="24"/>
          <w:lang w:val="uk-UA"/>
        </w:rPr>
      </w:pPr>
      <w:r w:rsidRPr="00C03848">
        <w:rPr>
          <w:lang w:val="uk-UA"/>
        </w:rPr>
        <w:pict>
          <v:rect id="_x0000_i1029" style="width:73.4pt;height:.75pt" o:hrpct="0" o:hralign="center" o:hrstd="t" o:hrnoshade="t" o:hr="t" fillcolor="black" stroked="f"/>
        </w:pict>
      </w:r>
    </w:p>
    <w:p w:rsidR="003343DD" w:rsidRPr="00C03848" w:rsidRDefault="003343DD" w:rsidP="003343DD">
      <w:pPr>
        <w:pStyle w:val="doc-ti"/>
        <w:shd w:val="clear" w:color="auto" w:fill="FFFFFF"/>
        <w:spacing w:before="240" w:beforeAutospacing="0" w:after="120" w:afterAutospacing="0" w:line="312" w:lineRule="atLeast"/>
        <w:jc w:val="center"/>
        <w:textAlignment w:val="baseline"/>
        <w:rPr>
          <w:rFonts w:ascii="inherit" w:hAnsi="inherit"/>
          <w:b/>
          <w:bCs/>
          <w:sz w:val="27"/>
          <w:szCs w:val="27"/>
          <w:lang w:val="uk-UA"/>
        </w:rPr>
      </w:pPr>
      <w:r w:rsidRPr="00C03848">
        <w:rPr>
          <w:rFonts w:ascii="inherit" w:hAnsi="inherit"/>
          <w:b/>
          <w:bCs/>
          <w:sz w:val="27"/>
          <w:szCs w:val="27"/>
          <w:lang w:val="uk-UA"/>
        </w:rPr>
        <w:t>ДОДАТОК IV</w:t>
      </w:r>
    </w:p>
    <w:p w:rsidR="003343DD" w:rsidRPr="00C03848" w:rsidRDefault="003343DD" w:rsidP="003343DD">
      <w:pPr>
        <w:pStyle w:val="ti-tbl"/>
        <w:shd w:val="clear" w:color="auto" w:fill="FFFFFF"/>
        <w:spacing w:before="0" w:beforeAutospacing="0" w:after="0" w:afterAutospacing="0" w:line="312" w:lineRule="atLeast"/>
        <w:jc w:val="center"/>
        <w:textAlignment w:val="baseline"/>
        <w:rPr>
          <w:rFonts w:ascii="inherit" w:hAnsi="inherit"/>
          <w:sz w:val="27"/>
          <w:szCs w:val="27"/>
          <w:lang w:val="uk-UA"/>
        </w:rPr>
      </w:pPr>
      <w:r w:rsidRPr="00C03848">
        <w:rPr>
          <w:rStyle w:val="bold"/>
          <w:rFonts w:ascii="inherit" w:hAnsi="inherit"/>
          <w:b/>
          <w:bCs/>
          <w:sz w:val="27"/>
          <w:szCs w:val="27"/>
          <w:bdr w:val="none" w:sz="0" w:space="0" w:color="auto" w:frame="1"/>
          <w:lang w:val="uk-UA"/>
        </w:rPr>
        <w:t>Кореляційна таблиця</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62"/>
        <w:gridCol w:w="3249"/>
        <w:gridCol w:w="3249"/>
      </w:tblGrid>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hdr"/>
              <w:spacing w:before="60" w:beforeAutospacing="0" w:after="60" w:afterAutospacing="0" w:line="312" w:lineRule="atLeast"/>
              <w:ind w:right="195"/>
              <w:jc w:val="center"/>
              <w:textAlignment w:val="baseline"/>
              <w:rPr>
                <w:rFonts w:ascii="inherit" w:hAnsi="inherit"/>
                <w:b/>
                <w:bCs/>
                <w:sz w:val="22"/>
                <w:szCs w:val="22"/>
                <w:lang w:val="uk-UA"/>
              </w:rPr>
            </w:pPr>
            <w:r w:rsidRPr="00C03848">
              <w:rPr>
                <w:rFonts w:ascii="inherit" w:hAnsi="inherit"/>
                <w:b/>
                <w:bCs/>
                <w:sz w:val="22"/>
                <w:szCs w:val="22"/>
                <w:lang w:val="uk-UA"/>
              </w:rPr>
              <w:t>Дана Директива</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hdr"/>
              <w:spacing w:before="60" w:beforeAutospacing="0" w:after="60" w:afterAutospacing="0" w:line="312" w:lineRule="atLeast"/>
              <w:ind w:right="195"/>
              <w:jc w:val="center"/>
              <w:textAlignment w:val="baseline"/>
              <w:rPr>
                <w:rFonts w:ascii="inherit" w:hAnsi="inherit"/>
                <w:b/>
                <w:bCs/>
                <w:sz w:val="22"/>
                <w:szCs w:val="22"/>
                <w:lang w:val="uk-UA"/>
              </w:rPr>
            </w:pPr>
            <w:r w:rsidRPr="00C03848">
              <w:rPr>
                <w:rFonts w:ascii="inherit" w:hAnsi="inherit"/>
                <w:b/>
                <w:bCs/>
                <w:sz w:val="22"/>
                <w:szCs w:val="22"/>
                <w:lang w:val="uk-UA"/>
              </w:rPr>
              <w:t>Директива 2005/60/EC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hdr"/>
              <w:spacing w:before="60" w:beforeAutospacing="0" w:after="60" w:afterAutospacing="0" w:line="312" w:lineRule="atLeast"/>
              <w:ind w:right="195"/>
              <w:jc w:val="center"/>
              <w:textAlignment w:val="baseline"/>
              <w:rPr>
                <w:rFonts w:ascii="inherit" w:hAnsi="inherit"/>
                <w:b/>
                <w:bCs/>
                <w:sz w:val="22"/>
                <w:szCs w:val="22"/>
                <w:lang w:val="uk-UA"/>
              </w:rPr>
            </w:pPr>
            <w:r w:rsidRPr="00C03848">
              <w:rPr>
                <w:rFonts w:ascii="inherit" w:hAnsi="inherit"/>
                <w:b/>
                <w:bCs/>
                <w:sz w:val="22"/>
                <w:szCs w:val="22"/>
                <w:lang w:val="uk-UA"/>
              </w:rPr>
              <w:t>Директива 2006/70/EC</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5</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6</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7</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rsidP="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з 2(3) по (9)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rsidP="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3(9), (10) та (11)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rsidP="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2(1), (2) та (3)</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rsidP="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Статті з 6 по 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11(d)</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10(2)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rsidP="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Статті 15, 16 та 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rsidP="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Статті з 18 по 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2(4)</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lastRenderedPageBreak/>
              <w:t>Стаття 29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19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29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37a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51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rsidP="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Статті з 52 по 57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rsidP="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Статті з 58 по 61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39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41a</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41b</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65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66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67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68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r w:rsidR="003343DD" w:rsidRPr="00C03848" w:rsidTr="003343DD">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69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tbl-txt"/>
              <w:spacing w:before="60" w:beforeAutospacing="0" w:after="60" w:afterAutospacing="0" w:line="312" w:lineRule="atLeast"/>
              <w:textAlignment w:val="baseline"/>
              <w:rPr>
                <w:rFonts w:ascii="inherit" w:hAnsi="inherit"/>
                <w:sz w:val="22"/>
                <w:szCs w:val="22"/>
                <w:lang w:val="uk-UA"/>
              </w:rPr>
            </w:pPr>
            <w:r w:rsidRPr="00C03848">
              <w:rPr>
                <w:rFonts w:ascii="inherit" w:hAnsi="inherit"/>
                <w:sz w:val="22"/>
                <w:szCs w:val="22"/>
                <w:lang w:val="uk-UA"/>
              </w:rPr>
              <w:t>Стаття 47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3343DD" w:rsidRPr="00C03848" w:rsidRDefault="003343DD">
            <w:pPr>
              <w:pStyle w:val="2"/>
              <w:spacing w:before="120" w:beforeAutospacing="0" w:after="0" w:afterAutospacing="0" w:line="312" w:lineRule="atLeast"/>
              <w:jc w:val="both"/>
              <w:textAlignment w:val="baseline"/>
              <w:rPr>
                <w:rFonts w:ascii="inherit" w:hAnsi="inherit"/>
                <w:lang w:val="uk-UA"/>
              </w:rPr>
            </w:pPr>
            <w:r w:rsidRPr="00C03848">
              <w:rPr>
                <w:rFonts w:ascii="inherit" w:hAnsi="inherit"/>
                <w:lang w:val="uk-UA"/>
              </w:rPr>
              <w:t> </w:t>
            </w:r>
          </w:p>
        </w:tc>
      </w:tr>
    </w:tbl>
    <w:p w:rsidR="003343DD" w:rsidRPr="00C03848" w:rsidRDefault="003343DD" w:rsidP="008B76F2">
      <w:pPr>
        <w:spacing w:after="0" w:line="240" w:lineRule="auto"/>
        <w:jc w:val="center"/>
        <w:rPr>
          <w:rFonts w:ascii="Times New Roman" w:hAnsi="Times New Roman" w:cs="Times New Roman"/>
          <w:sz w:val="24"/>
          <w:szCs w:val="24"/>
          <w:lang w:val="uk-UA"/>
        </w:rPr>
      </w:pPr>
    </w:p>
    <w:sectPr w:rsidR="003343DD" w:rsidRPr="00C03848">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3E" w:rsidRDefault="00AC3A3E" w:rsidP="00C07AC9">
      <w:pPr>
        <w:spacing w:after="0" w:line="240" w:lineRule="auto"/>
      </w:pPr>
      <w:r>
        <w:separator/>
      </w:r>
    </w:p>
  </w:endnote>
  <w:endnote w:type="continuationSeparator" w:id="0">
    <w:p w:rsidR="00AC3A3E" w:rsidRDefault="00AC3A3E" w:rsidP="00C0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3E" w:rsidRDefault="00AC3A3E" w:rsidP="00C07AC9">
      <w:pPr>
        <w:spacing w:after="0" w:line="240" w:lineRule="auto"/>
      </w:pPr>
      <w:r>
        <w:separator/>
      </w:r>
    </w:p>
  </w:footnote>
  <w:footnote w:type="continuationSeparator" w:id="0">
    <w:p w:rsidR="00AC3A3E" w:rsidRDefault="00AC3A3E" w:rsidP="00C07A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B1"/>
    <w:rsid w:val="0000179F"/>
    <w:rsid w:val="000109A5"/>
    <w:rsid w:val="0001180D"/>
    <w:rsid w:val="0001380F"/>
    <w:rsid w:val="00014DDB"/>
    <w:rsid w:val="000152C0"/>
    <w:rsid w:val="0001660D"/>
    <w:rsid w:val="000203E0"/>
    <w:rsid w:val="00025F24"/>
    <w:rsid w:val="00032FAE"/>
    <w:rsid w:val="0003349C"/>
    <w:rsid w:val="00042924"/>
    <w:rsid w:val="000438AA"/>
    <w:rsid w:val="00046BB6"/>
    <w:rsid w:val="00053EDA"/>
    <w:rsid w:val="0005422D"/>
    <w:rsid w:val="0006561F"/>
    <w:rsid w:val="00073052"/>
    <w:rsid w:val="0007380A"/>
    <w:rsid w:val="00076CFA"/>
    <w:rsid w:val="00080012"/>
    <w:rsid w:val="0008283D"/>
    <w:rsid w:val="000842B1"/>
    <w:rsid w:val="00084CB9"/>
    <w:rsid w:val="00095524"/>
    <w:rsid w:val="000A3739"/>
    <w:rsid w:val="000A3F02"/>
    <w:rsid w:val="000A4AC2"/>
    <w:rsid w:val="000A4D6E"/>
    <w:rsid w:val="000B13D2"/>
    <w:rsid w:val="000B535A"/>
    <w:rsid w:val="000B53F3"/>
    <w:rsid w:val="000C3E10"/>
    <w:rsid w:val="000C5C31"/>
    <w:rsid w:val="000C6A45"/>
    <w:rsid w:val="000D7454"/>
    <w:rsid w:val="000D76AB"/>
    <w:rsid w:val="000E371F"/>
    <w:rsid w:val="000F1AFF"/>
    <w:rsid w:val="000F43B7"/>
    <w:rsid w:val="00116BE5"/>
    <w:rsid w:val="001305A3"/>
    <w:rsid w:val="001319E9"/>
    <w:rsid w:val="00132904"/>
    <w:rsid w:val="00133FBE"/>
    <w:rsid w:val="00140188"/>
    <w:rsid w:val="00141C1B"/>
    <w:rsid w:val="00143D10"/>
    <w:rsid w:val="00146718"/>
    <w:rsid w:val="00147B12"/>
    <w:rsid w:val="00151718"/>
    <w:rsid w:val="00151F91"/>
    <w:rsid w:val="0015410E"/>
    <w:rsid w:val="00160C64"/>
    <w:rsid w:val="001617A4"/>
    <w:rsid w:val="001618CC"/>
    <w:rsid w:val="00162162"/>
    <w:rsid w:val="00164709"/>
    <w:rsid w:val="001719FD"/>
    <w:rsid w:val="00171DD2"/>
    <w:rsid w:val="00172632"/>
    <w:rsid w:val="00180BE0"/>
    <w:rsid w:val="001912EF"/>
    <w:rsid w:val="001928F2"/>
    <w:rsid w:val="00193AB6"/>
    <w:rsid w:val="00197D45"/>
    <w:rsid w:val="001A3C39"/>
    <w:rsid w:val="001A62C1"/>
    <w:rsid w:val="001B2F50"/>
    <w:rsid w:val="001C56DE"/>
    <w:rsid w:val="001C6620"/>
    <w:rsid w:val="001D6BE4"/>
    <w:rsid w:val="001E2B15"/>
    <w:rsid w:val="001F0CBA"/>
    <w:rsid w:val="001F1425"/>
    <w:rsid w:val="001F1BE0"/>
    <w:rsid w:val="00204ADC"/>
    <w:rsid w:val="002113A1"/>
    <w:rsid w:val="00212D4F"/>
    <w:rsid w:val="00220F89"/>
    <w:rsid w:val="00221EFC"/>
    <w:rsid w:val="00222845"/>
    <w:rsid w:val="00231E31"/>
    <w:rsid w:val="0023232C"/>
    <w:rsid w:val="002341D8"/>
    <w:rsid w:val="00234715"/>
    <w:rsid w:val="002358B2"/>
    <w:rsid w:val="0023717E"/>
    <w:rsid w:val="00244EFA"/>
    <w:rsid w:val="00246E25"/>
    <w:rsid w:val="0026350A"/>
    <w:rsid w:val="002708DA"/>
    <w:rsid w:val="0027198F"/>
    <w:rsid w:val="002819A2"/>
    <w:rsid w:val="002864BE"/>
    <w:rsid w:val="0029174C"/>
    <w:rsid w:val="00293F98"/>
    <w:rsid w:val="00294762"/>
    <w:rsid w:val="002A3611"/>
    <w:rsid w:val="002C2180"/>
    <w:rsid w:val="002C54D7"/>
    <w:rsid w:val="002D0AFA"/>
    <w:rsid w:val="002D7074"/>
    <w:rsid w:val="002E4A2A"/>
    <w:rsid w:val="002E6E43"/>
    <w:rsid w:val="002E7B3B"/>
    <w:rsid w:val="002F0073"/>
    <w:rsid w:val="002F5D74"/>
    <w:rsid w:val="00300805"/>
    <w:rsid w:val="00306D0B"/>
    <w:rsid w:val="00313700"/>
    <w:rsid w:val="00320588"/>
    <w:rsid w:val="00325948"/>
    <w:rsid w:val="003259B3"/>
    <w:rsid w:val="0033047A"/>
    <w:rsid w:val="003343DD"/>
    <w:rsid w:val="003456A0"/>
    <w:rsid w:val="003529EC"/>
    <w:rsid w:val="00375D15"/>
    <w:rsid w:val="00375FFC"/>
    <w:rsid w:val="00381B9B"/>
    <w:rsid w:val="003905E6"/>
    <w:rsid w:val="00391241"/>
    <w:rsid w:val="00393841"/>
    <w:rsid w:val="003A040E"/>
    <w:rsid w:val="003A1100"/>
    <w:rsid w:val="003A2086"/>
    <w:rsid w:val="003A36E3"/>
    <w:rsid w:val="003A3C4F"/>
    <w:rsid w:val="003B0AB0"/>
    <w:rsid w:val="003B5D46"/>
    <w:rsid w:val="003C138D"/>
    <w:rsid w:val="003C3D26"/>
    <w:rsid w:val="003C4D33"/>
    <w:rsid w:val="003C6129"/>
    <w:rsid w:val="003D0CF4"/>
    <w:rsid w:val="003D0F44"/>
    <w:rsid w:val="003D254D"/>
    <w:rsid w:val="003D66C6"/>
    <w:rsid w:val="003E07D1"/>
    <w:rsid w:val="003E62B9"/>
    <w:rsid w:val="003F2715"/>
    <w:rsid w:val="003F52C9"/>
    <w:rsid w:val="0040061E"/>
    <w:rsid w:val="00405FE4"/>
    <w:rsid w:val="00405FF8"/>
    <w:rsid w:val="00415DB1"/>
    <w:rsid w:val="00417EAE"/>
    <w:rsid w:val="00420AB2"/>
    <w:rsid w:val="004221B8"/>
    <w:rsid w:val="00423A07"/>
    <w:rsid w:val="00424313"/>
    <w:rsid w:val="004463D7"/>
    <w:rsid w:val="00447787"/>
    <w:rsid w:val="004544D3"/>
    <w:rsid w:val="00463BF4"/>
    <w:rsid w:val="0046445B"/>
    <w:rsid w:val="00464982"/>
    <w:rsid w:val="00467EAB"/>
    <w:rsid w:val="00472CC9"/>
    <w:rsid w:val="00485D47"/>
    <w:rsid w:val="004919CA"/>
    <w:rsid w:val="00496503"/>
    <w:rsid w:val="004966DB"/>
    <w:rsid w:val="004A1129"/>
    <w:rsid w:val="004B38AB"/>
    <w:rsid w:val="004B3E7F"/>
    <w:rsid w:val="004B581D"/>
    <w:rsid w:val="004B6E66"/>
    <w:rsid w:val="004C0F48"/>
    <w:rsid w:val="004C1875"/>
    <w:rsid w:val="004C7624"/>
    <w:rsid w:val="004D058F"/>
    <w:rsid w:val="004E2FE9"/>
    <w:rsid w:val="004E3195"/>
    <w:rsid w:val="004E7226"/>
    <w:rsid w:val="004F5CB6"/>
    <w:rsid w:val="00501C70"/>
    <w:rsid w:val="00505F34"/>
    <w:rsid w:val="0051378A"/>
    <w:rsid w:val="005170ED"/>
    <w:rsid w:val="005175D5"/>
    <w:rsid w:val="005230E1"/>
    <w:rsid w:val="005250A6"/>
    <w:rsid w:val="005264A1"/>
    <w:rsid w:val="005342C1"/>
    <w:rsid w:val="0054421C"/>
    <w:rsid w:val="005449BC"/>
    <w:rsid w:val="00545614"/>
    <w:rsid w:val="00553AE3"/>
    <w:rsid w:val="00554215"/>
    <w:rsid w:val="00560208"/>
    <w:rsid w:val="00560FCD"/>
    <w:rsid w:val="00562708"/>
    <w:rsid w:val="0056282E"/>
    <w:rsid w:val="0056773A"/>
    <w:rsid w:val="00580BF9"/>
    <w:rsid w:val="00587451"/>
    <w:rsid w:val="00587AC6"/>
    <w:rsid w:val="00587C70"/>
    <w:rsid w:val="005910B8"/>
    <w:rsid w:val="005961F4"/>
    <w:rsid w:val="00596589"/>
    <w:rsid w:val="005B1EA0"/>
    <w:rsid w:val="005B2236"/>
    <w:rsid w:val="005B366C"/>
    <w:rsid w:val="005B724B"/>
    <w:rsid w:val="005C4AD8"/>
    <w:rsid w:val="005C7788"/>
    <w:rsid w:val="005D0F37"/>
    <w:rsid w:val="005E2FC4"/>
    <w:rsid w:val="005E56A3"/>
    <w:rsid w:val="005F6FFF"/>
    <w:rsid w:val="0060258E"/>
    <w:rsid w:val="00602C90"/>
    <w:rsid w:val="00604941"/>
    <w:rsid w:val="006049C1"/>
    <w:rsid w:val="00604A9C"/>
    <w:rsid w:val="006073BE"/>
    <w:rsid w:val="00610BED"/>
    <w:rsid w:val="00616975"/>
    <w:rsid w:val="00616C56"/>
    <w:rsid w:val="00620599"/>
    <w:rsid w:val="00623E31"/>
    <w:rsid w:val="00627900"/>
    <w:rsid w:val="006330D0"/>
    <w:rsid w:val="00636689"/>
    <w:rsid w:val="00637C13"/>
    <w:rsid w:val="006402FD"/>
    <w:rsid w:val="0064654A"/>
    <w:rsid w:val="00653AF2"/>
    <w:rsid w:val="0065522F"/>
    <w:rsid w:val="00656888"/>
    <w:rsid w:val="00660872"/>
    <w:rsid w:val="00663228"/>
    <w:rsid w:val="00663F4D"/>
    <w:rsid w:val="00667A88"/>
    <w:rsid w:val="006723B9"/>
    <w:rsid w:val="00687EFA"/>
    <w:rsid w:val="00693A6A"/>
    <w:rsid w:val="00693AE5"/>
    <w:rsid w:val="00693AF9"/>
    <w:rsid w:val="00693F32"/>
    <w:rsid w:val="00695D46"/>
    <w:rsid w:val="006A088C"/>
    <w:rsid w:val="006A61DD"/>
    <w:rsid w:val="006A6AAF"/>
    <w:rsid w:val="006A7D88"/>
    <w:rsid w:val="006B0889"/>
    <w:rsid w:val="006B0F5D"/>
    <w:rsid w:val="006B111A"/>
    <w:rsid w:val="006B647A"/>
    <w:rsid w:val="006B7476"/>
    <w:rsid w:val="006C146C"/>
    <w:rsid w:val="006C1956"/>
    <w:rsid w:val="006C731F"/>
    <w:rsid w:val="006C7421"/>
    <w:rsid w:val="006D613A"/>
    <w:rsid w:val="006E5B4F"/>
    <w:rsid w:val="006F53EF"/>
    <w:rsid w:val="006F6F7F"/>
    <w:rsid w:val="0071010F"/>
    <w:rsid w:val="00715888"/>
    <w:rsid w:val="00717E3A"/>
    <w:rsid w:val="0073100A"/>
    <w:rsid w:val="00731254"/>
    <w:rsid w:val="00752F2F"/>
    <w:rsid w:val="00761E63"/>
    <w:rsid w:val="007626CB"/>
    <w:rsid w:val="007633F8"/>
    <w:rsid w:val="00765A0C"/>
    <w:rsid w:val="00773F13"/>
    <w:rsid w:val="00775331"/>
    <w:rsid w:val="00775BAC"/>
    <w:rsid w:val="007779B2"/>
    <w:rsid w:val="00790F5B"/>
    <w:rsid w:val="00796AD7"/>
    <w:rsid w:val="007B4719"/>
    <w:rsid w:val="007C3970"/>
    <w:rsid w:val="007D0470"/>
    <w:rsid w:val="007D39CB"/>
    <w:rsid w:val="007E09D8"/>
    <w:rsid w:val="007E286B"/>
    <w:rsid w:val="007E670E"/>
    <w:rsid w:val="00813090"/>
    <w:rsid w:val="00814AB5"/>
    <w:rsid w:val="00815007"/>
    <w:rsid w:val="008158FB"/>
    <w:rsid w:val="0083514D"/>
    <w:rsid w:val="0083533F"/>
    <w:rsid w:val="00846527"/>
    <w:rsid w:val="008475BF"/>
    <w:rsid w:val="00847E6B"/>
    <w:rsid w:val="00857F94"/>
    <w:rsid w:val="00862E5D"/>
    <w:rsid w:val="00870FF0"/>
    <w:rsid w:val="008847B7"/>
    <w:rsid w:val="008860E3"/>
    <w:rsid w:val="00890272"/>
    <w:rsid w:val="008925EA"/>
    <w:rsid w:val="0089491F"/>
    <w:rsid w:val="008B5790"/>
    <w:rsid w:val="008B5E1F"/>
    <w:rsid w:val="008B6A55"/>
    <w:rsid w:val="008B76F2"/>
    <w:rsid w:val="008C3E19"/>
    <w:rsid w:val="008C4770"/>
    <w:rsid w:val="008C5FB6"/>
    <w:rsid w:val="008C696D"/>
    <w:rsid w:val="008D558B"/>
    <w:rsid w:val="008D5EE7"/>
    <w:rsid w:val="008E6E7A"/>
    <w:rsid w:val="008F409F"/>
    <w:rsid w:val="00902C64"/>
    <w:rsid w:val="00904A0D"/>
    <w:rsid w:val="0090691D"/>
    <w:rsid w:val="00914CEC"/>
    <w:rsid w:val="00915742"/>
    <w:rsid w:val="00922D38"/>
    <w:rsid w:val="0093213B"/>
    <w:rsid w:val="009339E1"/>
    <w:rsid w:val="0095007B"/>
    <w:rsid w:val="00951F38"/>
    <w:rsid w:val="00956C5C"/>
    <w:rsid w:val="00956D4B"/>
    <w:rsid w:val="00961CDC"/>
    <w:rsid w:val="00962A33"/>
    <w:rsid w:val="00964E8F"/>
    <w:rsid w:val="00971249"/>
    <w:rsid w:val="0098171B"/>
    <w:rsid w:val="009839E7"/>
    <w:rsid w:val="00990BFE"/>
    <w:rsid w:val="0099155A"/>
    <w:rsid w:val="00992242"/>
    <w:rsid w:val="009A1832"/>
    <w:rsid w:val="009A23A3"/>
    <w:rsid w:val="009A2DDB"/>
    <w:rsid w:val="009A3193"/>
    <w:rsid w:val="009A5FBB"/>
    <w:rsid w:val="009B7A9D"/>
    <w:rsid w:val="009C2F80"/>
    <w:rsid w:val="009C456A"/>
    <w:rsid w:val="009D0ED5"/>
    <w:rsid w:val="009F12EA"/>
    <w:rsid w:val="009F3E73"/>
    <w:rsid w:val="009F4DBA"/>
    <w:rsid w:val="009F6C23"/>
    <w:rsid w:val="00A0024B"/>
    <w:rsid w:val="00A0236F"/>
    <w:rsid w:val="00A03C7C"/>
    <w:rsid w:val="00A1533A"/>
    <w:rsid w:val="00A15EF6"/>
    <w:rsid w:val="00A160B6"/>
    <w:rsid w:val="00A21654"/>
    <w:rsid w:val="00A236FE"/>
    <w:rsid w:val="00A238D7"/>
    <w:rsid w:val="00A31C85"/>
    <w:rsid w:val="00A406A2"/>
    <w:rsid w:val="00A44F76"/>
    <w:rsid w:val="00A47D60"/>
    <w:rsid w:val="00A47DF1"/>
    <w:rsid w:val="00A50E52"/>
    <w:rsid w:val="00A53E87"/>
    <w:rsid w:val="00A5729D"/>
    <w:rsid w:val="00A609E0"/>
    <w:rsid w:val="00A60FA2"/>
    <w:rsid w:val="00A610BE"/>
    <w:rsid w:val="00A63DAB"/>
    <w:rsid w:val="00A65B54"/>
    <w:rsid w:val="00A82B0D"/>
    <w:rsid w:val="00A906A1"/>
    <w:rsid w:val="00A92B3A"/>
    <w:rsid w:val="00A92BB2"/>
    <w:rsid w:val="00A93940"/>
    <w:rsid w:val="00AA2CED"/>
    <w:rsid w:val="00AB1254"/>
    <w:rsid w:val="00AB3ACC"/>
    <w:rsid w:val="00AB4313"/>
    <w:rsid w:val="00AB6B9D"/>
    <w:rsid w:val="00AC2ACB"/>
    <w:rsid w:val="00AC3A3E"/>
    <w:rsid w:val="00AC56E0"/>
    <w:rsid w:val="00AC5C1D"/>
    <w:rsid w:val="00AC67FA"/>
    <w:rsid w:val="00AD1D58"/>
    <w:rsid w:val="00AE0887"/>
    <w:rsid w:val="00AE2069"/>
    <w:rsid w:val="00AF0B2C"/>
    <w:rsid w:val="00AF42CF"/>
    <w:rsid w:val="00AF4FDD"/>
    <w:rsid w:val="00AF7A61"/>
    <w:rsid w:val="00B00147"/>
    <w:rsid w:val="00B05491"/>
    <w:rsid w:val="00B14539"/>
    <w:rsid w:val="00B16D6B"/>
    <w:rsid w:val="00B177BA"/>
    <w:rsid w:val="00B25384"/>
    <w:rsid w:val="00B272FB"/>
    <w:rsid w:val="00B3289C"/>
    <w:rsid w:val="00B331F4"/>
    <w:rsid w:val="00B3541F"/>
    <w:rsid w:val="00B542C1"/>
    <w:rsid w:val="00B628D2"/>
    <w:rsid w:val="00B655FD"/>
    <w:rsid w:val="00B70A29"/>
    <w:rsid w:val="00B71688"/>
    <w:rsid w:val="00B80F92"/>
    <w:rsid w:val="00B82762"/>
    <w:rsid w:val="00B83ADE"/>
    <w:rsid w:val="00B84F59"/>
    <w:rsid w:val="00B86998"/>
    <w:rsid w:val="00B87007"/>
    <w:rsid w:val="00B8791D"/>
    <w:rsid w:val="00B87B18"/>
    <w:rsid w:val="00B9319B"/>
    <w:rsid w:val="00BA0F89"/>
    <w:rsid w:val="00BA6041"/>
    <w:rsid w:val="00BA68DC"/>
    <w:rsid w:val="00BB6BC3"/>
    <w:rsid w:val="00BC150A"/>
    <w:rsid w:val="00BC15E9"/>
    <w:rsid w:val="00BC54A7"/>
    <w:rsid w:val="00BD5CF8"/>
    <w:rsid w:val="00BE08A7"/>
    <w:rsid w:val="00BE1D9E"/>
    <w:rsid w:val="00BE2455"/>
    <w:rsid w:val="00BE33CC"/>
    <w:rsid w:val="00BE7628"/>
    <w:rsid w:val="00C03848"/>
    <w:rsid w:val="00C04191"/>
    <w:rsid w:val="00C04F23"/>
    <w:rsid w:val="00C071BA"/>
    <w:rsid w:val="00C07AC9"/>
    <w:rsid w:val="00C10ADD"/>
    <w:rsid w:val="00C14921"/>
    <w:rsid w:val="00C15C2E"/>
    <w:rsid w:val="00C20C69"/>
    <w:rsid w:val="00C20DEF"/>
    <w:rsid w:val="00C22F5D"/>
    <w:rsid w:val="00C25DAE"/>
    <w:rsid w:val="00C341B9"/>
    <w:rsid w:val="00C34BF6"/>
    <w:rsid w:val="00C3505C"/>
    <w:rsid w:val="00C408A8"/>
    <w:rsid w:val="00C53B42"/>
    <w:rsid w:val="00C62669"/>
    <w:rsid w:val="00C6335B"/>
    <w:rsid w:val="00C6360E"/>
    <w:rsid w:val="00C64643"/>
    <w:rsid w:val="00C711B4"/>
    <w:rsid w:val="00C72A5F"/>
    <w:rsid w:val="00C80217"/>
    <w:rsid w:val="00C87A93"/>
    <w:rsid w:val="00C92173"/>
    <w:rsid w:val="00C93B44"/>
    <w:rsid w:val="00CA12B6"/>
    <w:rsid w:val="00CA284B"/>
    <w:rsid w:val="00CB0895"/>
    <w:rsid w:val="00CB0DA1"/>
    <w:rsid w:val="00CB4130"/>
    <w:rsid w:val="00CB5452"/>
    <w:rsid w:val="00CB5ED1"/>
    <w:rsid w:val="00CD0FEA"/>
    <w:rsid w:val="00CD186C"/>
    <w:rsid w:val="00CD2AED"/>
    <w:rsid w:val="00CD4160"/>
    <w:rsid w:val="00CE3300"/>
    <w:rsid w:val="00CE499B"/>
    <w:rsid w:val="00CF020B"/>
    <w:rsid w:val="00CF52F4"/>
    <w:rsid w:val="00D016EE"/>
    <w:rsid w:val="00D04A37"/>
    <w:rsid w:val="00D07522"/>
    <w:rsid w:val="00D1452E"/>
    <w:rsid w:val="00D152B5"/>
    <w:rsid w:val="00D23A85"/>
    <w:rsid w:val="00D264AD"/>
    <w:rsid w:val="00D346C1"/>
    <w:rsid w:val="00D35B40"/>
    <w:rsid w:val="00D407C6"/>
    <w:rsid w:val="00D4181A"/>
    <w:rsid w:val="00D4260E"/>
    <w:rsid w:val="00D45C84"/>
    <w:rsid w:val="00D46DFE"/>
    <w:rsid w:val="00D46E6C"/>
    <w:rsid w:val="00D50C80"/>
    <w:rsid w:val="00D81445"/>
    <w:rsid w:val="00D84D98"/>
    <w:rsid w:val="00D8639E"/>
    <w:rsid w:val="00D91B0A"/>
    <w:rsid w:val="00D92205"/>
    <w:rsid w:val="00D928F0"/>
    <w:rsid w:val="00D96DDC"/>
    <w:rsid w:val="00DA0078"/>
    <w:rsid w:val="00DA04EC"/>
    <w:rsid w:val="00DA2BCE"/>
    <w:rsid w:val="00DA3FE3"/>
    <w:rsid w:val="00DA5321"/>
    <w:rsid w:val="00DB2D1D"/>
    <w:rsid w:val="00DC3143"/>
    <w:rsid w:val="00DC3671"/>
    <w:rsid w:val="00DC54BA"/>
    <w:rsid w:val="00DD7E06"/>
    <w:rsid w:val="00DE4CBD"/>
    <w:rsid w:val="00DF02B3"/>
    <w:rsid w:val="00DF1DDB"/>
    <w:rsid w:val="00DF2B92"/>
    <w:rsid w:val="00DF5DD0"/>
    <w:rsid w:val="00DF6EDA"/>
    <w:rsid w:val="00E07356"/>
    <w:rsid w:val="00E1668B"/>
    <w:rsid w:val="00E200F1"/>
    <w:rsid w:val="00E379A6"/>
    <w:rsid w:val="00E553A9"/>
    <w:rsid w:val="00E55DBF"/>
    <w:rsid w:val="00E605BD"/>
    <w:rsid w:val="00E61AC6"/>
    <w:rsid w:val="00E63719"/>
    <w:rsid w:val="00E72EBB"/>
    <w:rsid w:val="00E761FB"/>
    <w:rsid w:val="00E80E62"/>
    <w:rsid w:val="00E844D1"/>
    <w:rsid w:val="00E90ADF"/>
    <w:rsid w:val="00E9125D"/>
    <w:rsid w:val="00E93C11"/>
    <w:rsid w:val="00EA2E59"/>
    <w:rsid w:val="00EA349E"/>
    <w:rsid w:val="00EC4576"/>
    <w:rsid w:val="00ED0DD5"/>
    <w:rsid w:val="00ED1079"/>
    <w:rsid w:val="00EF7AC4"/>
    <w:rsid w:val="00F017D9"/>
    <w:rsid w:val="00F221D4"/>
    <w:rsid w:val="00F226A0"/>
    <w:rsid w:val="00F226BB"/>
    <w:rsid w:val="00F3146E"/>
    <w:rsid w:val="00F349C6"/>
    <w:rsid w:val="00F50C86"/>
    <w:rsid w:val="00F53F3C"/>
    <w:rsid w:val="00F56765"/>
    <w:rsid w:val="00F567A7"/>
    <w:rsid w:val="00F57F11"/>
    <w:rsid w:val="00F74004"/>
    <w:rsid w:val="00F74AAA"/>
    <w:rsid w:val="00F80ECD"/>
    <w:rsid w:val="00F84093"/>
    <w:rsid w:val="00F901CC"/>
    <w:rsid w:val="00F97D1C"/>
    <w:rsid w:val="00FA1724"/>
    <w:rsid w:val="00FB1F5F"/>
    <w:rsid w:val="00FB20CF"/>
    <w:rsid w:val="00FB4D4A"/>
    <w:rsid w:val="00FB5C64"/>
    <w:rsid w:val="00FC3429"/>
    <w:rsid w:val="00FC38B6"/>
    <w:rsid w:val="00FC40BD"/>
    <w:rsid w:val="00FD11DA"/>
    <w:rsid w:val="00FD339A"/>
    <w:rsid w:val="00FD371B"/>
    <w:rsid w:val="00FE105F"/>
    <w:rsid w:val="00FE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864BE"/>
  </w:style>
  <w:style w:type="character" w:styleId="Hyperlink">
    <w:name w:val="Hyperlink"/>
    <w:rsid w:val="00C07AC9"/>
    <w:rPr>
      <w:color w:val="0000FF"/>
      <w:u w:val="single"/>
    </w:rPr>
  </w:style>
  <w:style w:type="paragraph" w:styleId="HTMLPreformatted">
    <w:name w:val="HTML Preformatted"/>
    <w:basedOn w:val="Normal"/>
    <w:link w:val="HTMLPreformattedChar"/>
    <w:uiPriority w:val="99"/>
    <w:unhideWhenUsed/>
    <w:rsid w:val="00C0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C07AC9"/>
    <w:rPr>
      <w:rFonts w:ascii="Courier New" w:eastAsia="Times New Roman" w:hAnsi="Courier New" w:cs="Courier New"/>
      <w:sz w:val="20"/>
      <w:szCs w:val="20"/>
      <w:lang w:val="uk-UA" w:eastAsia="uk-UA"/>
    </w:rPr>
  </w:style>
  <w:style w:type="character" w:customStyle="1" w:styleId="super">
    <w:name w:val="super"/>
    <w:rsid w:val="00C07AC9"/>
    <w:rPr>
      <w:sz w:val="17"/>
      <w:szCs w:val="17"/>
      <w:vertAlign w:val="superscript"/>
    </w:rPr>
  </w:style>
  <w:style w:type="character" w:customStyle="1" w:styleId="mw-headline">
    <w:name w:val="mw-headline"/>
    <w:rsid w:val="00C07AC9"/>
  </w:style>
  <w:style w:type="paragraph" w:styleId="EndnoteText">
    <w:name w:val="endnote text"/>
    <w:basedOn w:val="Normal"/>
    <w:link w:val="EndnoteTextChar"/>
    <w:rsid w:val="00C07AC9"/>
    <w:pPr>
      <w:spacing w:after="0" w:line="240" w:lineRule="auto"/>
    </w:pPr>
    <w:rPr>
      <w:rFonts w:ascii="Times New Roman" w:eastAsia="Times New Roman" w:hAnsi="Times New Roman" w:cs="Times New Roman"/>
      <w:sz w:val="20"/>
      <w:szCs w:val="20"/>
      <w:lang w:val="uk-UA" w:eastAsia="ru-RU"/>
    </w:rPr>
  </w:style>
  <w:style w:type="character" w:customStyle="1" w:styleId="EndnoteTextChar">
    <w:name w:val="Endnote Text Char"/>
    <w:basedOn w:val="DefaultParagraphFont"/>
    <w:link w:val="EndnoteText"/>
    <w:rsid w:val="00C07AC9"/>
    <w:rPr>
      <w:rFonts w:ascii="Times New Roman" w:eastAsia="Times New Roman" w:hAnsi="Times New Roman" w:cs="Times New Roman"/>
      <w:sz w:val="20"/>
      <w:szCs w:val="20"/>
      <w:lang w:val="uk-UA" w:eastAsia="ru-RU"/>
    </w:rPr>
  </w:style>
  <w:style w:type="character" w:styleId="EndnoteReference">
    <w:name w:val="endnote reference"/>
    <w:rsid w:val="00C07AC9"/>
    <w:rPr>
      <w:vertAlign w:val="superscript"/>
    </w:rPr>
  </w:style>
  <w:style w:type="character" w:customStyle="1" w:styleId="hps">
    <w:name w:val="hps"/>
    <w:rsid w:val="00C07AC9"/>
  </w:style>
  <w:style w:type="paragraph" w:customStyle="1" w:styleId="note">
    <w:name w:val="note"/>
    <w:basedOn w:val="Normal"/>
    <w:rsid w:val="00C07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Normal"/>
    <w:uiPriority w:val="99"/>
    <w:rsid w:val="00C07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DefaultParagraphFont"/>
    <w:rsid w:val="00C07AC9"/>
  </w:style>
  <w:style w:type="paragraph" w:customStyle="1" w:styleId="ti-section-1">
    <w:name w:val="ti-section-1"/>
    <w:basedOn w:val="Normal"/>
    <w:rsid w:val="00C07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DefaultParagraphFont"/>
    <w:rsid w:val="00C07AC9"/>
  </w:style>
  <w:style w:type="paragraph" w:customStyle="1" w:styleId="ti-section-2">
    <w:name w:val="ti-section-2"/>
    <w:basedOn w:val="Normal"/>
    <w:uiPriority w:val="99"/>
    <w:rsid w:val="00C07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art">
    <w:name w:val="ti-art"/>
    <w:basedOn w:val="Normal"/>
    <w:uiPriority w:val="99"/>
    <w:rsid w:val="00C07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panded">
    <w:name w:val="expanded"/>
    <w:basedOn w:val="DefaultParagraphFont"/>
    <w:rsid w:val="00C07AC9"/>
  </w:style>
  <w:style w:type="paragraph" w:customStyle="1" w:styleId="signatory">
    <w:name w:val="signatory"/>
    <w:basedOn w:val="Normal"/>
    <w:rsid w:val="00C07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uiPriority w:val="99"/>
    <w:qFormat/>
    <w:rsid w:val="00604A9C"/>
    <w:rPr>
      <w:rFonts w:cs="Times New Roman"/>
      <w:i/>
      <w:iCs/>
    </w:rPr>
  </w:style>
  <w:style w:type="paragraph" w:customStyle="1" w:styleId="doc-ti">
    <w:name w:val="doc-ti"/>
    <w:basedOn w:val="Normal"/>
    <w:rsid w:val="00334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basedOn w:val="Normal"/>
    <w:rsid w:val="00334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bl">
    <w:name w:val="ti-tbl"/>
    <w:basedOn w:val="Normal"/>
    <w:rsid w:val="00334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hdr">
    <w:name w:val="tbl-hdr"/>
    <w:basedOn w:val="Normal"/>
    <w:rsid w:val="00334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txt">
    <w:name w:val="tbl-txt"/>
    <w:basedOn w:val="Normal"/>
    <w:rsid w:val="003343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864BE"/>
  </w:style>
  <w:style w:type="character" w:styleId="Hyperlink">
    <w:name w:val="Hyperlink"/>
    <w:rsid w:val="00C07AC9"/>
    <w:rPr>
      <w:color w:val="0000FF"/>
      <w:u w:val="single"/>
    </w:rPr>
  </w:style>
  <w:style w:type="paragraph" w:styleId="HTMLPreformatted">
    <w:name w:val="HTML Preformatted"/>
    <w:basedOn w:val="Normal"/>
    <w:link w:val="HTMLPreformattedChar"/>
    <w:uiPriority w:val="99"/>
    <w:unhideWhenUsed/>
    <w:rsid w:val="00C0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C07AC9"/>
    <w:rPr>
      <w:rFonts w:ascii="Courier New" w:eastAsia="Times New Roman" w:hAnsi="Courier New" w:cs="Courier New"/>
      <w:sz w:val="20"/>
      <w:szCs w:val="20"/>
      <w:lang w:val="uk-UA" w:eastAsia="uk-UA"/>
    </w:rPr>
  </w:style>
  <w:style w:type="character" w:customStyle="1" w:styleId="super">
    <w:name w:val="super"/>
    <w:rsid w:val="00C07AC9"/>
    <w:rPr>
      <w:sz w:val="17"/>
      <w:szCs w:val="17"/>
      <w:vertAlign w:val="superscript"/>
    </w:rPr>
  </w:style>
  <w:style w:type="character" w:customStyle="1" w:styleId="mw-headline">
    <w:name w:val="mw-headline"/>
    <w:rsid w:val="00C07AC9"/>
  </w:style>
  <w:style w:type="paragraph" w:styleId="EndnoteText">
    <w:name w:val="endnote text"/>
    <w:basedOn w:val="Normal"/>
    <w:link w:val="EndnoteTextChar"/>
    <w:rsid w:val="00C07AC9"/>
    <w:pPr>
      <w:spacing w:after="0" w:line="240" w:lineRule="auto"/>
    </w:pPr>
    <w:rPr>
      <w:rFonts w:ascii="Times New Roman" w:eastAsia="Times New Roman" w:hAnsi="Times New Roman" w:cs="Times New Roman"/>
      <w:sz w:val="20"/>
      <w:szCs w:val="20"/>
      <w:lang w:val="uk-UA" w:eastAsia="ru-RU"/>
    </w:rPr>
  </w:style>
  <w:style w:type="character" w:customStyle="1" w:styleId="EndnoteTextChar">
    <w:name w:val="Endnote Text Char"/>
    <w:basedOn w:val="DefaultParagraphFont"/>
    <w:link w:val="EndnoteText"/>
    <w:rsid w:val="00C07AC9"/>
    <w:rPr>
      <w:rFonts w:ascii="Times New Roman" w:eastAsia="Times New Roman" w:hAnsi="Times New Roman" w:cs="Times New Roman"/>
      <w:sz w:val="20"/>
      <w:szCs w:val="20"/>
      <w:lang w:val="uk-UA" w:eastAsia="ru-RU"/>
    </w:rPr>
  </w:style>
  <w:style w:type="character" w:styleId="EndnoteReference">
    <w:name w:val="endnote reference"/>
    <w:rsid w:val="00C07AC9"/>
    <w:rPr>
      <w:vertAlign w:val="superscript"/>
    </w:rPr>
  </w:style>
  <w:style w:type="character" w:customStyle="1" w:styleId="hps">
    <w:name w:val="hps"/>
    <w:rsid w:val="00C07AC9"/>
  </w:style>
  <w:style w:type="paragraph" w:customStyle="1" w:styleId="note">
    <w:name w:val="note"/>
    <w:basedOn w:val="Normal"/>
    <w:rsid w:val="00C07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Normal"/>
    <w:uiPriority w:val="99"/>
    <w:rsid w:val="00C07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DefaultParagraphFont"/>
    <w:rsid w:val="00C07AC9"/>
  </w:style>
  <w:style w:type="paragraph" w:customStyle="1" w:styleId="ti-section-1">
    <w:name w:val="ti-section-1"/>
    <w:basedOn w:val="Normal"/>
    <w:rsid w:val="00C07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DefaultParagraphFont"/>
    <w:rsid w:val="00C07AC9"/>
  </w:style>
  <w:style w:type="paragraph" w:customStyle="1" w:styleId="ti-section-2">
    <w:name w:val="ti-section-2"/>
    <w:basedOn w:val="Normal"/>
    <w:uiPriority w:val="99"/>
    <w:rsid w:val="00C07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art">
    <w:name w:val="ti-art"/>
    <w:basedOn w:val="Normal"/>
    <w:uiPriority w:val="99"/>
    <w:rsid w:val="00C07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panded">
    <w:name w:val="expanded"/>
    <w:basedOn w:val="DefaultParagraphFont"/>
    <w:rsid w:val="00C07AC9"/>
  </w:style>
  <w:style w:type="paragraph" w:customStyle="1" w:styleId="signatory">
    <w:name w:val="signatory"/>
    <w:basedOn w:val="Normal"/>
    <w:rsid w:val="00C07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uiPriority w:val="99"/>
    <w:qFormat/>
    <w:rsid w:val="00604A9C"/>
    <w:rPr>
      <w:rFonts w:cs="Times New Roman"/>
      <w:i/>
      <w:iCs/>
    </w:rPr>
  </w:style>
  <w:style w:type="paragraph" w:customStyle="1" w:styleId="doc-ti">
    <w:name w:val="doc-ti"/>
    <w:basedOn w:val="Normal"/>
    <w:rsid w:val="00334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basedOn w:val="Normal"/>
    <w:rsid w:val="00334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bl">
    <w:name w:val="ti-tbl"/>
    <w:basedOn w:val="Normal"/>
    <w:rsid w:val="00334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hdr">
    <w:name w:val="tbl-hdr"/>
    <w:basedOn w:val="Normal"/>
    <w:rsid w:val="00334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bl-txt">
    <w:name w:val="tbl-txt"/>
    <w:basedOn w:val="Normal"/>
    <w:rsid w:val="003343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452">
      <w:bodyDiv w:val="1"/>
      <w:marLeft w:val="0"/>
      <w:marRight w:val="0"/>
      <w:marTop w:val="0"/>
      <w:marBottom w:val="0"/>
      <w:divBdr>
        <w:top w:val="none" w:sz="0" w:space="0" w:color="auto"/>
        <w:left w:val="none" w:sz="0" w:space="0" w:color="auto"/>
        <w:bottom w:val="none" w:sz="0" w:space="0" w:color="auto"/>
        <w:right w:val="none" w:sz="0" w:space="0" w:color="auto"/>
      </w:divBdr>
    </w:div>
    <w:div w:id="18240643">
      <w:bodyDiv w:val="1"/>
      <w:marLeft w:val="0"/>
      <w:marRight w:val="0"/>
      <w:marTop w:val="0"/>
      <w:marBottom w:val="0"/>
      <w:divBdr>
        <w:top w:val="none" w:sz="0" w:space="0" w:color="auto"/>
        <w:left w:val="none" w:sz="0" w:space="0" w:color="auto"/>
        <w:bottom w:val="none" w:sz="0" w:space="0" w:color="auto"/>
        <w:right w:val="none" w:sz="0" w:space="0" w:color="auto"/>
      </w:divBdr>
    </w:div>
    <w:div w:id="20010853">
      <w:bodyDiv w:val="1"/>
      <w:marLeft w:val="0"/>
      <w:marRight w:val="0"/>
      <w:marTop w:val="0"/>
      <w:marBottom w:val="0"/>
      <w:divBdr>
        <w:top w:val="none" w:sz="0" w:space="0" w:color="auto"/>
        <w:left w:val="none" w:sz="0" w:space="0" w:color="auto"/>
        <w:bottom w:val="none" w:sz="0" w:space="0" w:color="auto"/>
        <w:right w:val="none" w:sz="0" w:space="0" w:color="auto"/>
      </w:divBdr>
    </w:div>
    <w:div w:id="23286166">
      <w:bodyDiv w:val="1"/>
      <w:marLeft w:val="0"/>
      <w:marRight w:val="0"/>
      <w:marTop w:val="0"/>
      <w:marBottom w:val="0"/>
      <w:divBdr>
        <w:top w:val="none" w:sz="0" w:space="0" w:color="auto"/>
        <w:left w:val="none" w:sz="0" w:space="0" w:color="auto"/>
        <w:bottom w:val="none" w:sz="0" w:space="0" w:color="auto"/>
        <w:right w:val="none" w:sz="0" w:space="0" w:color="auto"/>
      </w:divBdr>
    </w:div>
    <w:div w:id="27222010">
      <w:bodyDiv w:val="1"/>
      <w:marLeft w:val="0"/>
      <w:marRight w:val="0"/>
      <w:marTop w:val="0"/>
      <w:marBottom w:val="0"/>
      <w:divBdr>
        <w:top w:val="none" w:sz="0" w:space="0" w:color="auto"/>
        <w:left w:val="none" w:sz="0" w:space="0" w:color="auto"/>
        <w:bottom w:val="none" w:sz="0" w:space="0" w:color="auto"/>
        <w:right w:val="none" w:sz="0" w:space="0" w:color="auto"/>
      </w:divBdr>
    </w:div>
    <w:div w:id="31882504">
      <w:bodyDiv w:val="1"/>
      <w:marLeft w:val="0"/>
      <w:marRight w:val="0"/>
      <w:marTop w:val="0"/>
      <w:marBottom w:val="0"/>
      <w:divBdr>
        <w:top w:val="none" w:sz="0" w:space="0" w:color="auto"/>
        <w:left w:val="none" w:sz="0" w:space="0" w:color="auto"/>
        <w:bottom w:val="none" w:sz="0" w:space="0" w:color="auto"/>
        <w:right w:val="none" w:sz="0" w:space="0" w:color="auto"/>
      </w:divBdr>
    </w:div>
    <w:div w:id="47917440">
      <w:bodyDiv w:val="1"/>
      <w:marLeft w:val="0"/>
      <w:marRight w:val="0"/>
      <w:marTop w:val="0"/>
      <w:marBottom w:val="0"/>
      <w:divBdr>
        <w:top w:val="none" w:sz="0" w:space="0" w:color="auto"/>
        <w:left w:val="none" w:sz="0" w:space="0" w:color="auto"/>
        <w:bottom w:val="none" w:sz="0" w:space="0" w:color="auto"/>
        <w:right w:val="none" w:sz="0" w:space="0" w:color="auto"/>
      </w:divBdr>
    </w:div>
    <w:div w:id="61022537">
      <w:bodyDiv w:val="1"/>
      <w:marLeft w:val="0"/>
      <w:marRight w:val="0"/>
      <w:marTop w:val="0"/>
      <w:marBottom w:val="0"/>
      <w:divBdr>
        <w:top w:val="none" w:sz="0" w:space="0" w:color="auto"/>
        <w:left w:val="none" w:sz="0" w:space="0" w:color="auto"/>
        <w:bottom w:val="none" w:sz="0" w:space="0" w:color="auto"/>
        <w:right w:val="none" w:sz="0" w:space="0" w:color="auto"/>
      </w:divBdr>
    </w:div>
    <w:div w:id="74019447">
      <w:bodyDiv w:val="1"/>
      <w:marLeft w:val="0"/>
      <w:marRight w:val="0"/>
      <w:marTop w:val="0"/>
      <w:marBottom w:val="0"/>
      <w:divBdr>
        <w:top w:val="none" w:sz="0" w:space="0" w:color="auto"/>
        <w:left w:val="none" w:sz="0" w:space="0" w:color="auto"/>
        <w:bottom w:val="none" w:sz="0" w:space="0" w:color="auto"/>
        <w:right w:val="none" w:sz="0" w:space="0" w:color="auto"/>
      </w:divBdr>
    </w:div>
    <w:div w:id="89474325">
      <w:bodyDiv w:val="1"/>
      <w:marLeft w:val="0"/>
      <w:marRight w:val="0"/>
      <w:marTop w:val="0"/>
      <w:marBottom w:val="0"/>
      <w:divBdr>
        <w:top w:val="none" w:sz="0" w:space="0" w:color="auto"/>
        <w:left w:val="none" w:sz="0" w:space="0" w:color="auto"/>
        <w:bottom w:val="none" w:sz="0" w:space="0" w:color="auto"/>
        <w:right w:val="none" w:sz="0" w:space="0" w:color="auto"/>
      </w:divBdr>
    </w:div>
    <w:div w:id="108477074">
      <w:bodyDiv w:val="1"/>
      <w:marLeft w:val="0"/>
      <w:marRight w:val="0"/>
      <w:marTop w:val="0"/>
      <w:marBottom w:val="0"/>
      <w:divBdr>
        <w:top w:val="none" w:sz="0" w:space="0" w:color="auto"/>
        <w:left w:val="none" w:sz="0" w:space="0" w:color="auto"/>
        <w:bottom w:val="none" w:sz="0" w:space="0" w:color="auto"/>
        <w:right w:val="none" w:sz="0" w:space="0" w:color="auto"/>
      </w:divBdr>
    </w:div>
    <w:div w:id="124590558">
      <w:bodyDiv w:val="1"/>
      <w:marLeft w:val="0"/>
      <w:marRight w:val="0"/>
      <w:marTop w:val="0"/>
      <w:marBottom w:val="0"/>
      <w:divBdr>
        <w:top w:val="none" w:sz="0" w:space="0" w:color="auto"/>
        <w:left w:val="none" w:sz="0" w:space="0" w:color="auto"/>
        <w:bottom w:val="none" w:sz="0" w:space="0" w:color="auto"/>
        <w:right w:val="none" w:sz="0" w:space="0" w:color="auto"/>
      </w:divBdr>
    </w:div>
    <w:div w:id="128713624">
      <w:bodyDiv w:val="1"/>
      <w:marLeft w:val="0"/>
      <w:marRight w:val="0"/>
      <w:marTop w:val="0"/>
      <w:marBottom w:val="0"/>
      <w:divBdr>
        <w:top w:val="none" w:sz="0" w:space="0" w:color="auto"/>
        <w:left w:val="none" w:sz="0" w:space="0" w:color="auto"/>
        <w:bottom w:val="none" w:sz="0" w:space="0" w:color="auto"/>
        <w:right w:val="none" w:sz="0" w:space="0" w:color="auto"/>
      </w:divBdr>
    </w:div>
    <w:div w:id="132529860">
      <w:bodyDiv w:val="1"/>
      <w:marLeft w:val="0"/>
      <w:marRight w:val="0"/>
      <w:marTop w:val="0"/>
      <w:marBottom w:val="0"/>
      <w:divBdr>
        <w:top w:val="none" w:sz="0" w:space="0" w:color="auto"/>
        <w:left w:val="none" w:sz="0" w:space="0" w:color="auto"/>
        <w:bottom w:val="none" w:sz="0" w:space="0" w:color="auto"/>
        <w:right w:val="none" w:sz="0" w:space="0" w:color="auto"/>
      </w:divBdr>
    </w:div>
    <w:div w:id="148444651">
      <w:bodyDiv w:val="1"/>
      <w:marLeft w:val="0"/>
      <w:marRight w:val="0"/>
      <w:marTop w:val="0"/>
      <w:marBottom w:val="0"/>
      <w:divBdr>
        <w:top w:val="none" w:sz="0" w:space="0" w:color="auto"/>
        <w:left w:val="none" w:sz="0" w:space="0" w:color="auto"/>
        <w:bottom w:val="none" w:sz="0" w:space="0" w:color="auto"/>
        <w:right w:val="none" w:sz="0" w:space="0" w:color="auto"/>
      </w:divBdr>
    </w:div>
    <w:div w:id="153229950">
      <w:bodyDiv w:val="1"/>
      <w:marLeft w:val="0"/>
      <w:marRight w:val="0"/>
      <w:marTop w:val="0"/>
      <w:marBottom w:val="0"/>
      <w:divBdr>
        <w:top w:val="none" w:sz="0" w:space="0" w:color="auto"/>
        <w:left w:val="none" w:sz="0" w:space="0" w:color="auto"/>
        <w:bottom w:val="none" w:sz="0" w:space="0" w:color="auto"/>
        <w:right w:val="none" w:sz="0" w:space="0" w:color="auto"/>
      </w:divBdr>
    </w:div>
    <w:div w:id="179665230">
      <w:bodyDiv w:val="1"/>
      <w:marLeft w:val="0"/>
      <w:marRight w:val="0"/>
      <w:marTop w:val="0"/>
      <w:marBottom w:val="0"/>
      <w:divBdr>
        <w:top w:val="none" w:sz="0" w:space="0" w:color="auto"/>
        <w:left w:val="none" w:sz="0" w:space="0" w:color="auto"/>
        <w:bottom w:val="none" w:sz="0" w:space="0" w:color="auto"/>
        <w:right w:val="none" w:sz="0" w:space="0" w:color="auto"/>
      </w:divBdr>
    </w:div>
    <w:div w:id="214699655">
      <w:bodyDiv w:val="1"/>
      <w:marLeft w:val="0"/>
      <w:marRight w:val="0"/>
      <w:marTop w:val="0"/>
      <w:marBottom w:val="0"/>
      <w:divBdr>
        <w:top w:val="none" w:sz="0" w:space="0" w:color="auto"/>
        <w:left w:val="none" w:sz="0" w:space="0" w:color="auto"/>
        <w:bottom w:val="none" w:sz="0" w:space="0" w:color="auto"/>
        <w:right w:val="none" w:sz="0" w:space="0" w:color="auto"/>
      </w:divBdr>
    </w:div>
    <w:div w:id="225340366">
      <w:bodyDiv w:val="1"/>
      <w:marLeft w:val="0"/>
      <w:marRight w:val="0"/>
      <w:marTop w:val="0"/>
      <w:marBottom w:val="0"/>
      <w:divBdr>
        <w:top w:val="none" w:sz="0" w:space="0" w:color="auto"/>
        <w:left w:val="none" w:sz="0" w:space="0" w:color="auto"/>
        <w:bottom w:val="none" w:sz="0" w:space="0" w:color="auto"/>
        <w:right w:val="none" w:sz="0" w:space="0" w:color="auto"/>
      </w:divBdr>
    </w:div>
    <w:div w:id="250897071">
      <w:bodyDiv w:val="1"/>
      <w:marLeft w:val="0"/>
      <w:marRight w:val="0"/>
      <w:marTop w:val="0"/>
      <w:marBottom w:val="0"/>
      <w:divBdr>
        <w:top w:val="none" w:sz="0" w:space="0" w:color="auto"/>
        <w:left w:val="none" w:sz="0" w:space="0" w:color="auto"/>
        <w:bottom w:val="none" w:sz="0" w:space="0" w:color="auto"/>
        <w:right w:val="none" w:sz="0" w:space="0" w:color="auto"/>
      </w:divBdr>
    </w:div>
    <w:div w:id="261957021">
      <w:bodyDiv w:val="1"/>
      <w:marLeft w:val="0"/>
      <w:marRight w:val="0"/>
      <w:marTop w:val="0"/>
      <w:marBottom w:val="0"/>
      <w:divBdr>
        <w:top w:val="none" w:sz="0" w:space="0" w:color="auto"/>
        <w:left w:val="none" w:sz="0" w:space="0" w:color="auto"/>
        <w:bottom w:val="none" w:sz="0" w:space="0" w:color="auto"/>
        <w:right w:val="none" w:sz="0" w:space="0" w:color="auto"/>
      </w:divBdr>
    </w:div>
    <w:div w:id="266932358">
      <w:bodyDiv w:val="1"/>
      <w:marLeft w:val="0"/>
      <w:marRight w:val="0"/>
      <w:marTop w:val="0"/>
      <w:marBottom w:val="0"/>
      <w:divBdr>
        <w:top w:val="none" w:sz="0" w:space="0" w:color="auto"/>
        <w:left w:val="none" w:sz="0" w:space="0" w:color="auto"/>
        <w:bottom w:val="none" w:sz="0" w:space="0" w:color="auto"/>
        <w:right w:val="none" w:sz="0" w:space="0" w:color="auto"/>
      </w:divBdr>
    </w:div>
    <w:div w:id="288971783">
      <w:bodyDiv w:val="1"/>
      <w:marLeft w:val="0"/>
      <w:marRight w:val="0"/>
      <w:marTop w:val="0"/>
      <w:marBottom w:val="0"/>
      <w:divBdr>
        <w:top w:val="none" w:sz="0" w:space="0" w:color="auto"/>
        <w:left w:val="none" w:sz="0" w:space="0" w:color="auto"/>
        <w:bottom w:val="none" w:sz="0" w:space="0" w:color="auto"/>
        <w:right w:val="none" w:sz="0" w:space="0" w:color="auto"/>
      </w:divBdr>
    </w:div>
    <w:div w:id="289480725">
      <w:bodyDiv w:val="1"/>
      <w:marLeft w:val="0"/>
      <w:marRight w:val="0"/>
      <w:marTop w:val="0"/>
      <w:marBottom w:val="0"/>
      <w:divBdr>
        <w:top w:val="none" w:sz="0" w:space="0" w:color="auto"/>
        <w:left w:val="none" w:sz="0" w:space="0" w:color="auto"/>
        <w:bottom w:val="none" w:sz="0" w:space="0" w:color="auto"/>
        <w:right w:val="none" w:sz="0" w:space="0" w:color="auto"/>
      </w:divBdr>
    </w:div>
    <w:div w:id="295649179">
      <w:bodyDiv w:val="1"/>
      <w:marLeft w:val="0"/>
      <w:marRight w:val="0"/>
      <w:marTop w:val="0"/>
      <w:marBottom w:val="0"/>
      <w:divBdr>
        <w:top w:val="none" w:sz="0" w:space="0" w:color="auto"/>
        <w:left w:val="none" w:sz="0" w:space="0" w:color="auto"/>
        <w:bottom w:val="none" w:sz="0" w:space="0" w:color="auto"/>
        <w:right w:val="none" w:sz="0" w:space="0" w:color="auto"/>
      </w:divBdr>
    </w:div>
    <w:div w:id="313485113">
      <w:bodyDiv w:val="1"/>
      <w:marLeft w:val="0"/>
      <w:marRight w:val="0"/>
      <w:marTop w:val="0"/>
      <w:marBottom w:val="0"/>
      <w:divBdr>
        <w:top w:val="none" w:sz="0" w:space="0" w:color="auto"/>
        <w:left w:val="none" w:sz="0" w:space="0" w:color="auto"/>
        <w:bottom w:val="none" w:sz="0" w:space="0" w:color="auto"/>
        <w:right w:val="none" w:sz="0" w:space="0" w:color="auto"/>
      </w:divBdr>
    </w:div>
    <w:div w:id="313682149">
      <w:bodyDiv w:val="1"/>
      <w:marLeft w:val="0"/>
      <w:marRight w:val="0"/>
      <w:marTop w:val="0"/>
      <w:marBottom w:val="0"/>
      <w:divBdr>
        <w:top w:val="none" w:sz="0" w:space="0" w:color="auto"/>
        <w:left w:val="none" w:sz="0" w:space="0" w:color="auto"/>
        <w:bottom w:val="none" w:sz="0" w:space="0" w:color="auto"/>
        <w:right w:val="none" w:sz="0" w:space="0" w:color="auto"/>
      </w:divBdr>
      <w:divsChild>
        <w:div w:id="67851026">
          <w:marLeft w:val="0"/>
          <w:marRight w:val="0"/>
          <w:marTop w:val="0"/>
          <w:marBottom w:val="0"/>
          <w:divBdr>
            <w:top w:val="none" w:sz="0" w:space="0" w:color="auto"/>
            <w:left w:val="none" w:sz="0" w:space="0" w:color="auto"/>
            <w:bottom w:val="none" w:sz="0" w:space="0" w:color="auto"/>
            <w:right w:val="none" w:sz="0" w:space="0" w:color="auto"/>
          </w:divBdr>
        </w:div>
        <w:div w:id="1914311014">
          <w:marLeft w:val="810"/>
          <w:marRight w:val="810"/>
          <w:marTop w:val="360"/>
          <w:marBottom w:val="0"/>
          <w:divBdr>
            <w:top w:val="none" w:sz="0" w:space="0" w:color="auto"/>
            <w:left w:val="none" w:sz="0" w:space="0" w:color="auto"/>
            <w:bottom w:val="none" w:sz="0" w:space="0" w:color="auto"/>
            <w:right w:val="none" w:sz="0" w:space="0" w:color="auto"/>
          </w:divBdr>
          <w:divsChild>
            <w:div w:id="67046392">
              <w:marLeft w:val="4005"/>
              <w:marRight w:val="810"/>
              <w:marTop w:val="0"/>
              <w:marBottom w:val="0"/>
              <w:divBdr>
                <w:top w:val="none" w:sz="0" w:space="0" w:color="auto"/>
                <w:left w:val="none" w:sz="0" w:space="0" w:color="auto"/>
                <w:bottom w:val="none" w:sz="0" w:space="0" w:color="auto"/>
                <w:right w:val="none" w:sz="0" w:space="0" w:color="auto"/>
              </w:divBdr>
            </w:div>
            <w:div w:id="708913057">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319968223">
      <w:bodyDiv w:val="1"/>
      <w:marLeft w:val="0"/>
      <w:marRight w:val="0"/>
      <w:marTop w:val="0"/>
      <w:marBottom w:val="0"/>
      <w:divBdr>
        <w:top w:val="none" w:sz="0" w:space="0" w:color="auto"/>
        <w:left w:val="none" w:sz="0" w:space="0" w:color="auto"/>
        <w:bottom w:val="none" w:sz="0" w:space="0" w:color="auto"/>
        <w:right w:val="none" w:sz="0" w:space="0" w:color="auto"/>
      </w:divBdr>
    </w:div>
    <w:div w:id="342980393">
      <w:bodyDiv w:val="1"/>
      <w:marLeft w:val="0"/>
      <w:marRight w:val="0"/>
      <w:marTop w:val="0"/>
      <w:marBottom w:val="0"/>
      <w:divBdr>
        <w:top w:val="none" w:sz="0" w:space="0" w:color="auto"/>
        <w:left w:val="none" w:sz="0" w:space="0" w:color="auto"/>
        <w:bottom w:val="none" w:sz="0" w:space="0" w:color="auto"/>
        <w:right w:val="none" w:sz="0" w:space="0" w:color="auto"/>
      </w:divBdr>
    </w:div>
    <w:div w:id="343897155">
      <w:bodyDiv w:val="1"/>
      <w:marLeft w:val="0"/>
      <w:marRight w:val="0"/>
      <w:marTop w:val="0"/>
      <w:marBottom w:val="0"/>
      <w:divBdr>
        <w:top w:val="none" w:sz="0" w:space="0" w:color="auto"/>
        <w:left w:val="none" w:sz="0" w:space="0" w:color="auto"/>
        <w:bottom w:val="none" w:sz="0" w:space="0" w:color="auto"/>
        <w:right w:val="none" w:sz="0" w:space="0" w:color="auto"/>
      </w:divBdr>
    </w:div>
    <w:div w:id="424696451">
      <w:bodyDiv w:val="1"/>
      <w:marLeft w:val="0"/>
      <w:marRight w:val="0"/>
      <w:marTop w:val="0"/>
      <w:marBottom w:val="0"/>
      <w:divBdr>
        <w:top w:val="none" w:sz="0" w:space="0" w:color="auto"/>
        <w:left w:val="none" w:sz="0" w:space="0" w:color="auto"/>
        <w:bottom w:val="none" w:sz="0" w:space="0" w:color="auto"/>
        <w:right w:val="none" w:sz="0" w:space="0" w:color="auto"/>
      </w:divBdr>
    </w:div>
    <w:div w:id="424888334">
      <w:bodyDiv w:val="1"/>
      <w:marLeft w:val="0"/>
      <w:marRight w:val="0"/>
      <w:marTop w:val="0"/>
      <w:marBottom w:val="0"/>
      <w:divBdr>
        <w:top w:val="none" w:sz="0" w:space="0" w:color="auto"/>
        <w:left w:val="none" w:sz="0" w:space="0" w:color="auto"/>
        <w:bottom w:val="none" w:sz="0" w:space="0" w:color="auto"/>
        <w:right w:val="none" w:sz="0" w:space="0" w:color="auto"/>
      </w:divBdr>
    </w:div>
    <w:div w:id="434641563">
      <w:bodyDiv w:val="1"/>
      <w:marLeft w:val="0"/>
      <w:marRight w:val="0"/>
      <w:marTop w:val="0"/>
      <w:marBottom w:val="0"/>
      <w:divBdr>
        <w:top w:val="none" w:sz="0" w:space="0" w:color="auto"/>
        <w:left w:val="none" w:sz="0" w:space="0" w:color="auto"/>
        <w:bottom w:val="none" w:sz="0" w:space="0" w:color="auto"/>
        <w:right w:val="none" w:sz="0" w:space="0" w:color="auto"/>
      </w:divBdr>
    </w:div>
    <w:div w:id="453672827">
      <w:bodyDiv w:val="1"/>
      <w:marLeft w:val="0"/>
      <w:marRight w:val="0"/>
      <w:marTop w:val="0"/>
      <w:marBottom w:val="0"/>
      <w:divBdr>
        <w:top w:val="none" w:sz="0" w:space="0" w:color="auto"/>
        <w:left w:val="none" w:sz="0" w:space="0" w:color="auto"/>
        <w:bottom w:val="none" w:sz="0" w:space="0" w:color="auto"/>
        <w:right w:val="none" w:sz="0" w:space="0" w:color="auto"/>
      </w:divBdr>
    </w:div>
    <w:div w:id="477646094">
      <w:bodyDiv w:val="1"/>
      <w:marLeft w:val="0"/>
      <w:marRight w:val="0"/>
      <w:marTop w:val="0"/>
      <w:marBottom w:val="0"/>
      <w:divBdr>
        <w:top w:val="none" w:sz="0" w:space="0" w:color="auto"/>
        <w:left w:val="none" w:sz="0" w:space="0" w:color="auto"/>
        <w:bottom w:val="none" w:sz="0" w:space="0" w:color="auto"/>
        <w:right w:val="none" w:sz="0" w:space="0" w:color="auto"/>
      </w:divBdr>
    </w:div>
    <w:div w:id="503979322">
      <w:bodyDiv w:val="1"/>
      <w:marLeft w:val="0"/>
      <w:marRight w:val="0"/>
      <w:marTop w:val="0"/>
      <w:marBottom w:val="0"/>
      <w:divBdr>
        <w:top w:val="none" w:sz="0" w:space="0" w:color="auto"/>
        <w:left w:val="none" w:sz="0" w:space="0" w:color="auto"/>
        <w:bottom w:val="none" w:sz="0" w:space="0" w:color="auto"/>
        <w:right w:val="none" w:sz="0" w:space="0" w:color="auto"/>
      </w:divBdr>
    </w:div>
    <w:div w:id="525750490">
      <w:bodyDiv w:val="1"/>
      <w:marLeft w:val="0"/>
      <w:marRight w:val="0"/>
      <w:marTop w:val="0"/>
      <w:marBottom w:val="0"/>
      <w:divBdr>
        <w:top w:val="none" w:sz="0" w:space="0" w:color="auto"/>
        <w:left w:val="none" w:sz="0" w:space="0" w:color="auto"/>
        <w:bottom w:val="none" w:sz="0" w:space="0" w:color="auto"/>
        <w:right w:val="none" w:sz="0" w:space="0" w:color="auto"/>
      </w:divBdr>
    </w:div>
    <w:div w:id="528226457">
      <w:bodyDiv w:val="1"/>
      <w:marLeft w:val="0"/>
      <w:marRight w:val="0"/>
      <w:marTop w:val="0"/>
      <w:marBottom w:val="0"/>
      <w:divBdr>
        <w:top w:val="none" w:sz="0" w:space="0" w:color="auto"/>
        <w:left w:val="none" w:sz="0" w:space="0" w:color="auto"/>
        <w:bottom w:val="none" w:sz="0" w:space="0" w:color="auto"/>
        <w:right w:val="none" w:sz="0" w:space="0" w:color="auto"/>
      </w:divBdr>
    </w:div>
    <w:div w:id="528642636">
      <w:bodyDiv w:val="1"/>
      <w:marLeft w:val="0"/>
      <w:marRight w:val="0"/>
      <w:marTop w:val="0"/>
      <w:marBottom w:val="0"/>
      <w:divBdr>
        <w:top w:val="none" w:sz="0" w:space="0" w:color="auto"/>
        <w:left w:val="none" w:sz="0" w:space="0" w:color="auto"/>
        <w:bottom w:val="none" w:sz="0" w:space="0" w:color="auto"/>
        <w:right w:val="none" w:sz="0" w:space="0" w:color="auto"/>
      </w:divBdr>
    </w:div>
    <w:div w:id="536430676">
      <w:bodyDiv w:val="1"/>
      <w:marLeft w:val="0"/>
      <w:marRight w:val="0"/>
      <w:marTop w:val="0"/>
      <w:marBottom w:val="0"/>
      <w:divBdr>
        <w:top w:val="none" w:sz="0" w:space="0" w:color="auto"/>
        <w:left w:val="none" w:sz="0" w:space="0" w:color="auto"/>
        <w:bottom w:val="none" w:sz="0" w:space="0" w:color="auto"/>
        <w:right w:val="none" w:sz="0" w:space="0" w:color="auto"/>
      </w:divBdr>
    </w:div>
    <w:div w:id="550773223">
      <w:bodyDiv w:val="1"/>
      <w:marLeft w:val="0"/>
      <w:marRight w:val="0"/>
      <w:marTop w:val="0"/>
      <w:marBottom w:val="0"/>
      <w:divBdr>
        <w:top w:val="none" w:sz="0" w:space="0" w:color="auto"/>
        <w:left w:val="none" w:sz="0" w:space="0" w:color="auto"/>
        <w:bottom w:val="none" w:sz="0" w:space="0" w:color="auto"/>
        <w:right w:val="none" w:sz="0" w:space="0" w:color="auto"/>
      </w:divBdr>
    </w:div>
    <w:div w:id="571817981">
      <w:bodyDiv w:val="1"/>
      <w:marLeft w:val="0"/>
      <w:marRight w:val="0"/>
      <w:marTop w:val="0"/>
      <w:marBottom w:val="0"/>
      <w:divBdr>
        <w:top w:val="none" w:sz="0" w:space="0" w:color="auto"/>
        <w:left w:val="none" w:sz="0" w:space="0" w:color="auto"/>
        <w:bottom w:val="none" w:sz="0" w:space="0" w:color="auto"/>
        <w:right w:val="none" w:sz="0" w:space="0" w:color="auto"/>
      </w:divBdr>
    </w:div>
    <w:div w:id="578750664">
      <w:bodyDiv w:val="1"/>
      <w:marLeft w:val="0"/>
      <w:marRight w:val="0"/>
      <w:marTop w:val="0"/>
      <w:marBottom w:val="0"/>
      <w:divBdr>
        <w:top w:val="none" w:sz="0" w:space="0" w:color="auto"/>
        <w:left w:val="none" w:sz="0" w:space="0" w:color="auto"/>
        <w:bottom w:val="none" w:sz="0" w:space="0" w:color="auto"/>
        <w:right w:val="none" w:sz="0" w:space="0" w:color="auto"/>
      </w:divBdr>
    </w:div>
    <w:div w:id="584802470">
      <w:bodyDiv w:val="1"/>
      <w:marLeft w:val="0"/>
      <w:marRight w:val="0"/>
      <w:marTop w:val="0"/>
      <w:marBottom w:val="0"/>
      <w:divBdr>
        <w:top w:val="none" w:sz="0" w:space="0" w:color="auto"/>
        <w:left w:val="none" w:sz="0" w:space="0" w:color="auto"/>
        <w:bottom w:val="none" w:sz="0" w:space="0" w:color="auto"/>
        <w:right w:val="none" w:sz="0" w:space="0" w:color="auto"/>
      </w:divBdr>
      <w:divsChild>
        <w:div w:id="198705175">
          <w:marLeft w:val="0"/>
          <w:marRight w:val="0"/>
          <w:marTop w:val="0"/>
          <w:marBottom w:val="0"/>
          <w:divBdr>
            <w:top w:val="none" w:sz="0" w:space="0" w:color="auto"/>
            <w:left w:val="none" w:sz="0" w:space="0" w:color="auto"/>
            <w:bottom w:val="none" w:sz="0" w:space="0" w:color="auto"/>
            <w:right w:val="none" w:sz="0" w:space="0" w:color="auto"/>
          </w:divBdr>
        </w:div>
        <w:div w:id="1369528205">
          <w:marLeft w:val="0"/>
          <w:marRight w:val="0"/>
          <w:marTop w:val="0"/>
          <w:marBottom w:val="0"/>
          <w:divBdr>
            <w:top w:val="none" w:sz="0" w:space="0" w:color="auto"/>
            <w:left w:val="none" w:sz="0" w:space="0" w:color="auto"/>
            <w:bottom w:val="none" w:sz="0" w:space="0" w:color="auto"/>
            <w:right w:val="none" w:sz="0" w:space="0" w:color="auto"/>
          </w:divBdr>
        </w:div>
        <w:div w:id="276720426">
          <w:marLeft w:val="0"/>
          <w:marRight w:val="0"/>
          <w:marTop w:val="0"/>
          <w:marBottom w:val="0"/>
          <w:divBdr>
            <w:top w:val="none" w:sz="0" w:space="0" w:color="auto"/>
            <w:left w:val="none" w:sz="0" w:space="0" w:color="auto"/>
            <w:bottom w:val="none" w:sz="0" w:space="0" w:color="auto"/>
            <w:right w:val="none" w:sz="0" w:space="0" w:color="auto"/>
          </w:divBdr>
        </w:div>
        <w:div w:id="1414662803">
          <w:marLeft w:val="0"/>
          <w:marRight w:val="0"/>
          <w:marTop w:val="0"/>
          <w:marBottom w:val="0"/>
          <w:divBdr>
            <w:top w:val="none" w:sz="0" w:space="0" w:color="auto"/>
            <w:left w:val="none" w:sz="0" w:space="0" w:color="auto"/>
            <w:bottom w:val="none" w:sz="0" w:space="0" w:color="auto"/>
            <w:right w:val="none" w:sz="0" w:space="0" w:color="auto"/>
          </w:divBdr>
        </w:div>
      </w:divsChild>
    </w:div>
    <w:div w:id="589240769">
      <w:bodyDiv w:val="1"/>
      <w:marLeft w:val="0"/>
      <w:marRight w:val="0"/>
      <w:marTop w:val="0"/>
      <w:marBottom w:val="0"/>
      <w:divBdr>
        <w:top w:val="none" w:sz="0" w:space="0" w:color="auto"/>
        <w:left w:val="none" w:sz="0" w:space="0" w:color="auto"/>
        <w:bottom w:val="none" w:sz="0" w:space="0" w:color="auto"/>
        <w:right w:val="none" w:sz="0" w:space="0" w:color="auto"/>
      </w:divBdr>
    </w:div>
    <w:div w:id="605117575">
      <w:bodyDiv w:val="1"/>
      <w:marLeft w:val="0"/>
      <w:marRight w:val="0"/>
      <w:marTop w:val="0"/>
      <w:marBottom w:val="0"/>
      <w:divBdr>
        <w:top w:val="none" w:sz="0" w:space="0" w:color="auto"/>
        <w:left w:val="none" w:sz="0" w:space="0" w:color="auto"/>
        <w:bottom w:val="none" w:sz="0" w:space="0" w:color="auto"/>
        <w:right w:val="none" w:sz="0" w:space="0" w:color="auto"/>
      </w:divBdr>
    </w:div>
    <w:div w:id="619342599">
      <w:bodyDiv w:val="1"/>
      <w:marLeft w:val="0"/>
      <w:marRight w:val="0"/>
      <w:marTop w:val="0"/>
      <w:marBottom w:val="0"/>
      <w:divBdr>
        <w:top w:val="none" w:sz="0" w:space="0" w:color="auto"/>
        <w:left w:val="none" w:sz="0" w:space="0" w:color="auto"/>
        <w:bottom w:val="none" w:sz="0" w:space="0" w:color="auto"/>
        <w:right w:val="none" w:sz="0" w:space="0" w:color="auto"/>
      </w:divBdr>
    </w:div>
    <w:div w:id="630481258">
      <w:bodyDiv w:val="1"/>
      <w:marLeft w:val="0"/>
      <w:marRight w:val="0"/>
      <w:marTop w:val="0"/>
      <w:marBottom w:val="0"/>
      <w:divBdr>
        <w:top w:val="none" w:sz="0" w:space="0" w:color="auto"/>
        <w:left w:val="none" w:sz="0" w:space="0" w:color="auto"/>
        <w:bottom w:val="none" w:sz="0" w:space="0" w:color="auto"/>
        <w:right w:val="none" w:sz="0" w:space="0" w:color="auto"/>
      </w:divBdr>
    </w:div>
    <w:div w:id="648510967">
      <w:bodyDiv w:val="1"/>
      <w:marLeft w:val="0"/>
      <w:marRight w:val="0"/>
      <w:marTop w:val="0"/>
      <w:marBottom w:val="0"/>
      <w:divBdr>
        <w:top w:val="none" w:sz="0" w:space="0" w:color="auto"/>
        <w:left w:val="none" w:sz="0" w:space="0" w:color="auto"/>
        <w:bottom w:val="none" w:sz="0" w:space="0" w:color="auto"/>
        <w:right w:val="none" w:sz="0" w:space="0" w:color="auto"/>
      </w:divBdr>
    </w:div>
    <w:div w:id="654182279">
      <w:bodyDiv w:val="1"/>
      <w:marLeft w:val="0"/>
      <w:marRight w:val="0"/>
      <w:marTop w:val="0"/>
      <w:marBottom w:val="0"/>
      <w:divBdr>
        <w:top w:val="none" w:sz="0" w:space="0" w:color="auto"/>
        <w:left w:val="none" w:sz="0" w:space="0" w:color="auto"/>
        <w:bottom w:val="none" w:sz="0" w:space="0" w:color="auto"/>
        <w:right w:val="none" w:sz="0" w:space="0" w:color="auto"/>
      </w:divBdr>
    </w:div>
    <w:div w:id="662508433">
      <w:bodyDiv w:val="1"/>
      <w:marLeft w:val="0"/>
      <w:marRight w:val="0"/>
      <w:marTop w:val="0"/>
      <w:marBottom w:val="0"/>
      <w:divBdr>
        <w:top w:val="none" w:sz="0" w:space="0" w:color="auto"/>
        <w:left w:val="none" w:sz="0" w:space="0" w:color="auto"/>
        <w:bottom w:val="none" w:sz="0" w:space="0" w:color="auto"/>
        <w:right w:val="none" w:sz="0" w:space="0" w:color="auto"/>
      </w:divBdr>
    </w:div>
    <w:div w:id="691537836">
      <w:bodyDiv w:val="1"/>
      <w:marLeft w:val="0"/>
      <w:marRight w:val="0"/>
      <w:marTop w:val="0"/>
      <w:marBottom w:val="0"/>
      <w:divBdr>
        <w:top w:val="none" w:sz="0" w:space="0" w:color="auto"/>
        <w:left w:val="none" w:sz="0" w:space="0" w:color="auto"/>
        <w:bottom w:val="none" w:sz="0" w:space="0" w:color="auto"/>
        <w:right w:val="none" w:sz="0" w:space="0" w:color="auto"/>
      </w:divBdr>
    </w:div>
    <w:div w:id="697050988">
      <w:bodyDiv w:val="1"/>
      <w:marLeft w:val="0"/>
      <w:marRight w:val="0"/>
      <w:marTop w:val="0"/>
      <w:marBottom w:val="0"/>
      <w:divBdr>
        <w:top w:val="none" w:sz="0" w:space="0" w:color="auto"/>
        <w:left w:val="none" w:sz="0" w:space="0" w:color="auto"/>
        <w:bottom w:val="none" w:sz="0" w:space="0" w:color="auto"/>
        <w:right w:val="none" w:sz="0" w:space="0" w:color="auto"/>
      </w:divBdr>
    </w:div>
    <w:div w:id="698697583">
      <w:bodyDiv w:val="1"/>
      <w:marLeft w:val="0"/>
      <w:marRight w:val="0"/>
      <w:marTop w:val="0"/>
      <w:marBottom w:val="0"/>
      <w:divBdr>
        <w:top w:val="none" w:sz="0" w:space="0" w:color="auto"/>
        <w:left w:val="none" w:sz="0" w:space="0" w:color="auto"/>
        <w:bottom w:val="none" w:sz="0" w:space="0" w:color="auto"/>
        <w:right w:val="none" w:sz="0" w:space="0" w:color="auto"/>
      </w:divBdr>
    </w:div>
    <w:div w:id="713578470">
      <w:bodyDiv w:val="1"/>
      <w:marLeft w:val="0"/>
      <w:marRight w:val="0"/>
      <w:marTop w:val="0"/>
      <w:marBottom w:val="0"/>
      <w:divBdr>
        <w:top w:val="none" w:sz="0" w:space="0" w:color="auto"/>
        <w:left w:val="none" w:sz="0" w:space="0" w:color="auto"/>
        <w:bottom w:val="none" w:sz="0" w:space="0" w:color="auto"/>
        <w:right w:val="none" w:sz="0" w:space="0" w:color="auto"/>
      </w:divBdr>
    </w:div>
    <w:div w:id="724990819">
      <w:bodyDiv w:val="1"/>
      <w:marLeft w:val="0"/>
      <w:marRight w:val="0"/>
      <w:marTop w:val="0"/>
      <w:marBottom w:val="0"/>
      <w:divBdr>
        <w:top w:val="none" w:sz="0" w:space="0" w:color="auto"/>
        <w:left w:val="none" w:sz="0" w:space="0" w:color="auto"/>
        <w:bottom w:val="none" w:sz="0" w:space="0" w:color="auto"/>
        <w:right w:val="none" w:sz="0" w:space="0" w:color="auto"/>
      </w:divBdr>
    </w:div>
    <w:div w:id="737285935">
      <w:bodyDiv w:val="1"/>
      <w:marLeft w:val="0"/>
      <w:marRight w:val="0"/>
      <w:marTop w:val="0"/>
      <w:marBottom w:val="0"/>
      <w:divBdr>
        <w:top w:val="none" w:sz="0" w:space="0" w:color="auto"/>
        <w:left w:val="none" w:sz="0" w:space="0" w:color="auto"/>
        <w:bottom w:val="none" w:sz="0" w:space="0" w:color="auto"/>
        <w:right w:val="none" w:sz="0" w:space="0" w:color="auto"/>
      </w:divBdr>
    </w:div>
    <w:div w:id="770583919">
      <w:bodyDiv w:val="1"/>
      <w:marLeft w:val="0"/>
      <w:marRight w:val="0"/>
      <w:marTop w:val="0"/>
      <w:marBottom w:val="0"/>
      <w:divBdr>
        <w:top w:val="none" w:sz="0" w:space="0" w:color="auto"/>
        <w:left w:val="none" w:sz="0" w:space="0" w:color="auto"/>
        <w:bottom w:val="none" w:sz="0" w:space="0" w:color="auto"/>
        <w:right w:val="none" w:sz="0" w:space="0" w:color="auto"/>
      </w:divBdr>
    </w:div>
    <w:div w:id="771512395">
      <w:bodyDiv w:val="1"/>
      <w:marLeft w:val="0"/>
      <w:marRight w:val="0"/>
      <w:marTop w:val="0"/>
      <w:marBottom w:val="0"/>
      <w:divBdr>
        <w:top w:val="none" w:sz="0" w:space="0" w:color="auto"/>
        <w:left w:val="none" w:sz="0" w:space="0" w:color="auto"/>
        <w:bottom w:val="none" w:sz="0" w:space="0" w:color="auto"/>
        <w:right w:val="none" w:sz="0" w:space="0" w:color="auto"/>
      </w:divBdr>
    </w:div>
    <w:div w:id="773524109">
      <w:bodyDiv w:val="1"/>
      <w:marLeft w:val="0"/>
      <w:marRight w:val="0"/>
      <w:marTop w:val="0"/>
      <w:marBottom w:val="0"/>
      <w:divBdr>
        <w:top w:val="none" w:sz="0" w:space="0" w:color="auto"/>
        <w:left w:val="none" w:sz="0" w:space="0" w:color="auto"/>
        <w:bottom w:val="none" w:sz="0" w:space="0" w:color="auto"/>
        <w:right w:val="none" w:sz="0" w:space="0" w:color="auto"/>
      </w:divBdr>
    </w:div>
    <w:div w:id="777483592">
      <w:bodyDiv w:val="1"/>
      <w:marLeft w:val="0"/>
      <w:marRight w:val="0"/>
      <w:marTop w:val="0"/>
      <w:marBottom w:val="0"/>
      <w:divBdr>
        <w:top w:val="none" w:sz="0" w:space="0" w:color="auto"/>
        <w:left w:val="none" w:sz="0" w:space="0" w:color="auto"/>
        <w:bottom w:val="none" w:sz="0" w:space="0" w:color="auto"/>
        <w:right w:val="none" w:sz="0" w:space="0" w:color="auto"/>
      </w:divBdr>
    </w:div>
    <w:div w:id="787702755">
      <w:bodyDiv w:val="1"/>
      <w:marLeft w:val="0"/>
      <w:marRight w:val="0"/>
      <w:marTop w:val="0"/>
      <w:marBottom w:val="0"/>
      <w:divBdr>
        <w:top w:val="none" w:sz="0" w:space="0" w:color="auto"/>
        <w:left w:val="none" w:sz="0" w:space="0" w:color="auto"/>
        <w:bottom w:val="none" w:sz="0" w:space="0" w:color="auto"/>
        <w:right w:val="none" w:sz="0" w:space="0" w:color="auto"/>
      </w:divBdr>
    </w:div>
    <w:div w:id="827406290">
      <w:bodyDiv w:val="1"/>
      <w:marLeft w:val="0"/>
      <w:marRight w:val="0"/>
      <w:marTop w:val="0"/>
      <w:marBottom w:val="0"/>
      <w:divBdr>
        <w:top w:val="none" w:sz="0" w:space="0" w:color="auto"/>
        <w:left w:val="none" w:sz="0" w:space="0" w:color="auto"/>
        <w:bottom w:val="none" w:sz="0" w:space="0" w:color="auto"/>
        <w:right w:val="none" w:sz="0" w:space="0" w:color="auto"/>
      </w:divBdr>
    </w:div>
    <w:div w:id="861090802">
      <w:bodyDiv w:val="1"/>
      <w:marLeft w:val="0"/>
      <w:marRight w:val="0"/>
      <w:marTop w:val="0"/>
      <w:marBottom w:val="0"/>
      <w:divBdr>
        <w:top w:val="none" w:sz="0" w:space="0" w:color="auto"/>
        <w:left w:val="none" w:sz="0" w:space="0" w:color="auto"/>
        <w:bottom w:val="none" w:sz="0" w:space="0" w:color="auto"/>
        <w:right w:val="none" w:sz="0" w:space="0" w:color="auto"/>
      </w:divBdr>
    </w:div>
    <w:div w:id="869344701">
      <w:bodyDiv w:val="1"/>
      <w:marLeft w:val="0"/>
      <w:marRight w:val="0"/>
      <w:marTop w:val="0"/>
      <w:marBottom w:val="0"/>
      <w:divBdr>
        <w:top w:val="none" w:sz="0" w:space="0" w:color="auto"/>
        <w:left w:val="none" w:sz="0" w:space="0" w:color="auto"/>
        <w:bottom w:val="none" w:sz="0" w:space="0" w:color="auto"/>
        <w:right w:val="none" w:sz="0" w:space="0" w:color="auto"/>
      </w:divBdr>
    </w:div>
    <w:div w:id="876117106">
      <w:bodyDiv w:val="1"/>
      <w:marLeft w:val="0"/>
      <w:marRight w:val="0"/>
      <w:marTop w:val="0"/>
      <w:marBottom w:val="0"/>
      <w:divBdr>
        <w:top w:val="none" w:sz="0" w:space="0" w:color="auto"/>
        <w:left w:val="none" w:sz="0" w:space="0" w:color="auto"/>
        <w:bottom w:val="none" w:sz="0" w:space="0" w:color="auto"/>
        <w:right w:val="none" w:sz="0" w:space="0" w:color="auto"/>
      </w:divBdr>
    </w:div>
    <w:div w:id="877623518">
      <w:bodyDiv w:val="1"/>
      <w:marLeft w:val="0"/>
      <w:marRight w:val="0"/>
      <w:marTop w:val="0"/>
      <w:marBottom w:val="0"/>
      <w:divBdr>
        <w:top w:val="none" w:sz="0" w:space="0" w:color="auto"/>
        <w:left w:val="none" w:sz="0" w:space="0" w:color="auto"/>
        <w:bottom w:val="none" w:sz="0" w:space="0" w:color="auto"/>
        <w:right w:val="none" w:sz="0" w:space="0" w:color="auto"/>
      </w:divBdr>
    </w:div>
    <w:div w:id="879781803">
      <w:bodyDiv w:val="1"/>
      <w:marLeft w:val="0"/>
      <w:marRight w:val="0"/>
      <w:marTop w:val="0"/>
      <w:marBottom w:val="0"/>
      <w:divBdr>
        <w:top w:val="none" w:sz="0" w:space="0" w:color="auto"/>
        <w:left w:val="none" w:sz="0" w:space="0" w:color="auto"/>
        <w:bottom w:val="none" w:sz="0" w:space="0" w:color="auto"/>
        <w:right w:val="none" w:sz="0" w:space="0" w:color="auto"/>
      </w:divBdr>
    </w:div>
    <w:div w:id="905844481">
      <w:bodyDiv w:val="1"/>
      <w:marLeft w:val="0"/>
      <w:marRight w:val="0"/>
      <w:marTop w:val="0"/>
      <w:marBottom w:val="0"/>
      <w:divBdr>
        <w:top w:val="none" w:sz="0" w:space="0" w:color="auto"/>
        <w:left w:val="none" w:sz="0" w:space="0" w:color="auto"/>
        <w:bottom w:val="none" w:sz="0" w:space="0" w:color="auto"/>
        <w:right w:val="none" w:sz="0" w:space="0" w:color="auto"/>
      </w:divBdr>
    </w:div>
    <w:div w:id="924924517">
      <w:bodyDiv w:val="1"/>
      <w:marLeft w:val="0"/>
      <w:marRight w:val="0"/>
      <w:marTop w:val="0"/>
      <w:marBottom w:val="0"/>
      <w:divBdr>
        <w:top w:val="none" w:sz="0" w:space="0" w:color="auto"/>
        <w:left w:val="none" w:sz="0" w:space="0" w:color="auto"/>
        <w:bottom w:val="none" w:sz="0" w:space="0" w:color="auto"/>
        <w:right w:val="none" w:sz="0" w:space="0" w:color="auto"/>
      </w:divBdr>
    </w:div>
    <w:div w:id="925961362">
      <w:bodyDiv w:val="1"/>
      <w:marLeft w:val="0"/>
      <w:marRight w:val="0"/>
      <w:marTop w:val="0"/>
      <w:marBottom w:val="0"/>
      <w:divBdr>
        <w:top w:val="none" w:sz="0" w:space="0" w:color="auto"/>
        <w:left w:val="none" w:sz="0" w:space="0" w:color="auto"/>
        <w:bottom w:val="none" w:sz="0" w:space="0" w:color="auto"/>
        <w:right w:val="none" w:sz="0" w:space="0" w:color="auto"/>
      </w:divBdr>
    </w:div>
    <w:div w:id="935673475">
      <w:bodyDiv w:val="1"/>
      <w:marLeft w:val="0"/>
      <w:marRight w:val="0"/>
      <w:marTop w:val="0"/>
      <w:marBottom w:val="0"/>
      <w:divBdr>
        <w:top w:val="none" w:sz="0" w:space="0" w:color="auto"/>
        <w:left w:val="none" w:sz="0" w:space="0" w:color="auto"/>
        <w:bottom w:val="none" w:sz="0" w:space="0" w:color="auto"/>
        <w:right w:val="none" w:sz="0" w:space="0" w:color="auto"/>
      </w:divBdr>
    </w:div>
    <w:div w:id="963005425">
      <w:bodyDiv w:val="1"/>
      <w:marLeft w:val="0"/>
      <w:marRight w:val="0"/>
      <w:marTop w:val="0"/>
      <w:marBottom w:val="0"/>
      <w:divBdr>
        <w:top w:val="none" w:sz="0" w:space="0" w:color="auto"/>
        <w:left w:val="none" w:sz="0" w:space="0" w:color="auto"/>
        <w:bottom w:val="none" w:sz="0" w:space="0" w:color="auto"/>
        <w:right w:val="none" w:sz="0" w:space="0" w:color="auto"/>
      </w:divBdr>
    </w:div>
    <w:div w:id="969897992">
      <w:bodyDiv w:val="1"/>
      <w:marLeft w:val="0"/>
      <w:marRight w:val="0"/>
      <w:marTop w:val="0"/>
      <w:marBottom w:val="0"/>
      <w:divBdr>
        <w:top w:val="none" w:sz="0" w:space="0" w:color="auto"/>
        <w:left w:val="none" w:sz="0" w:space="0" w:color="auto"/>
        <w:bottom w:val="none" w:sz="0" w:space="0" w:color="auto"/>
        <w:right w:val="none" w:sz="0" w:space="0" w:color="auto"/>
      </w:divBdr>
    </w:div>
    <w:div w:id="973219964">
      <w:bodyDiv w:val="1"/>
      <w:marLeft w:val="0"/>
      <w:marRight w:val="0"/>
      <w:marTop w:val="0"/>
      <w:marBottom w:val="0"/>
      <w:divBdr>
        <w:top w:val="none" w:sz="0" w:space="0" w:color="auto"/>
        <w:left w:val="none" w:sz="0" w:space="0" w:color="auto"/>
        <w:bottom w:val="none" w:sz="0" w:space="0" w:color="auto"/>
        <w:right w:val="none" w:sz="0" w:space="0" w:color="auto"/>
      </w:divBdr>
    </w:div>
    <w:div w:id="977420013">
      <w:bodyDiv w:val="1"/>
      <w:marLeft w:val="0"/>
      <w:marRight w:val="0"/>
      <w:marTop w:val="0"/>
      <w:marBottom w:val="0"/>
      <w:divBdr>
        <w:top w:val="none" w:sz="0" w:space="0" w:color="auto"/>
        <w:left w:val="none" w:sz="0" w:space="0" w:color="auto"/>
        <w:bottom w:val="none" w:sz="0" w:space="0" w:color="auto"/>
        <w:right w:val="none" w:sz="0" w:space="0" w:color="auto"/>
      </w:divBdr>
    </w:div>
    <w:div w:id="991909259">
      <w:bodyDiv w:val="1"/>
      <w:marLeft w:val="0"/>
      <w:marRight w:val="0"/>
      <w:marTop w:val="0"/>
      <w:marBottom w:val="0"/>
      <w:divBdr>
        <w:top w:val="none" w:sz="0" w:space="0" w:color="auto"/>
        <w:left w:val="none" w:sz="0" w:space="0" w:color="auto"/>
        <w:bottom w:val="none" w:sz="0" w:space="0" w:color="auto"/>
        <w:right w:val="none" w:sz="0" w:space="0" w:color="auto"/>
      </w:divBdr>
    </w:div>
    <w:div w:id="1005520534">
      <w:bodyDiv w:val="1"/>
      <w:marLeft w:val="0"/>
      <w:marRight w:val="0"/>
      <w:marTop w:val="0"/>
      <w:marBottom w:val="0"/>
      <w:divBdr>
        <w:top w:val="none" w:sz="0" w:space="0" w:color="auto"/>
        <w:left w:val="none" w:sz="0" w:space="0" w:color="auto"/>
        <w:bottom w:val="none" w:sz="0" w:space="0" w:color="auto"/>
        <w:right w:val="none" w:sz="0" w:space="0" w:color="auto"/>
      </w:divBdr>
    </w:div>
    <w:div w:id="1010793126">
      <w:bodyDiv w:val="1"/>
      <w:marLeft w:val="0"/>
      <w:marRight w:val="0"/>
      <w:marTop w:val="0"/>
      <w:marBottom w:val="0"/>
      <w:divBdr>
        <w:top w:val="none" w:sz="0" w:space="0" w:color="auto"/>
        <w:left w:val="none" w:sz="0" w:space="0" w:color="auto"/>
        <w:bottom w:val="none" w:sz="0" w:space="0" w:color="auto"/>
        <w:right w:val="none" w:sz="0" w:space="0" w:color="auto"/>
      </w:divBdr>
    </w:div>
    <w:div w:id="1011570169">
      <w:bodyDiv w:val="1"/>
      <w:marLeft w:val="0"/>
      <w:marRight w:val="0"/>
      <w:marTop w:val="0"/>
      <w:marBottom w:val="0"/>
      <w:divBdr>
        <w:top w:val="none" w:sz="0" w:space="0" w:color="auto"/>
        <w:left w:val="none" w:sz="0" w:space="0" w:color="auto"/>
        <w:bottom w:val="none" w:sz="0" w:space="0" w:color="auto"/>
        <w:right w:val="none" w:sz="0" w:space="0" w:color="auto"/>
      </w:divBdr>
    </w:div>
    <w:div w:id="1013607309">
      <w:bodyDiv w:val="1"/>
      <w:marLeft w:val="0"/>
      <w:marRight w:val="0"/>
      <w:marTop w:val="0"/>
      <w:marBottom w:val="0"/>
      <w:divBdr>
        <w:top w:val="none" w:sz="0" w:space="0" w:color="auto"/>
        <w:left w:val="none" w:sz="0" w:space="0" w:color="auto"/>
        <w:bottom w:val="none" w:sz="0" w:space="0" w:color="auto"/>
        <w:right w:val="none" w:sz="0" w:space="0" w:color="auto"/>
      </w:divBdr>
    </w:div>
    <w:div w:id="1037462589">
      <w:bodyDiv w:val="1"/>
      <w:marLeft w:val="0"/>
      <w:marRight w:val="0"/>
      <w:marTop w:val="0"/>
      <w:marBottom w:val="0"/>
      <w:divBdr>
        <w:top w:val="none" w:sz="0" w:space="0" w:color="auto"/>
        <w:left w:val="none" w:sz="0" w:space="0" w:color="auto"/>
        <w:bottom w:val="none" w:sz="0" w:space="0" w:color="auto"/>
        <w:right w:val="none" w:sz="0" w:space="0" w:color="auto"/>
      </w:divBdr>
    </w:div>
    <w:div w:id="1041320201">
      <w:bodyDiv w:val="1"/>
      <w:marLeft w:val="0"/>
      <w:marRight w:val="0"/>
      <w:marTop w:val="0"/>
      <w:marBottom w:val="0"/>
      <w:divBdr>
        <w:top w:val="none" w:sz="0" w:space="0" w:color="auto"/>
        <w:left w:val="none" w:sz="0" w:space="0" w:color="auto"/>
        <w:bottom w:val="none" w:sz="0" w:space="0" w:color="auto"/>
        <w:right w:val="none" w:sz="0" w:space="0" w:color="auto"/>
      </w:divBdr>
    </w:div>
    <w:div w:id="1057242366">
      <w:bodyDiv w:val="1"/>
      <w:marLeft w:val="0"/>
      <w:marRight w:val="0"/>
      <w:marTop w:val="0"/>
      <w:marBottom w:val="0"/>
      <w:divBdr>
        <w:top w:val="none" w:sz="0" w:space="0" w:color="auto"/>
        <w:left w:val="none" w:sz="0" w:space="0" w:color="auto"/>
        <w:bottom w:val="none" w:sz="0" w:space="0" w:color="auto"/>
        <w:right w:val="none" w:sz="0" w:space="0" w:color="auto"/>
      </w:divBdr>
    </w:div>
    <w:div w:id="1060397913">
      <w:bodyDiv w:val="1"/>
      <w:marLeft w:val="0"/>
      <w:marRight w:val="0"/>
      <w:marTop w:val="0"/>
      <w:marBottom w:val="0"/>
      <w:divBdr>
        <w:top w:val="none" w:sz="0" w:space="0" w:color="auto"/>
        <w:left w:val="none" w:sz="0" w:space="0" w:color="auto"/>
        <w:bottom w:val="none" w:sz="0" w:space="0" w:color="auto"/>
        <w:right w:val="none" w:sz="0" w:space="0" w:color="auto"/>
      </w:divBdr>
    </w:div>
    <w:div w:id="1070495531">
      <w:bodyDiv w:val="1"/>
      <w:marLeft w:val="0"/>
      <w:marRight w:val="0"/>
      <w:marTop w:val="0"/>
      <w:marBottom w:val="0"/>
      <w:divBdr>
        <w:top w:val="none" w:sz="0" w:space="0" w:color="auto"/>
        <w:left w:val="none" w:sz="0" w:space="0" w:color="auto"/>
        <w:bottom w:val="none" w:sz="0" w:space="0" w:color="auto"/>
        <w:right w:val="none" w:sz="0" w:space="0" w:color="auto"/>
      </w:divBdr>
    </w:div>
    <w:div w:id="1072239049">
      <w:bodyDiv w:val="1"/>
      <w:marLeft w:val="0"/>
      <w:marRight w:val="0"/>
      <w:marTop w:val="0"/>
      <w:marBottom w:val="0"/>
      <w:divBdr>
        <w:top w:val="none" w:sz="0" w:space="0" w:color="auto"/>
        <w:left w:val="none" w:sz="0" w:space="0" w:color="auto"/>
        <w:bottom w:val="none" w:sz="0" w:space="0" w:color="auto"/>
        <w:right w:val="none" w:sz="0" w:space="0" w:color="auto"/>
      </w:divBdr>
    </w:div>
    <w:div w:id="1086808667">
      <w:bodyDiv w:val="1"/>
      <w:marLeft w:val="0"/>
      <w:marRight w:val="0"/>
      <w:marTop w:val="0"/>
      <w:marBottom w:val="0"/>
      <w:divBdr>
        <w:top w:val="none" w:sz="0" w:space="0" w:color="auto"/>
        <w:left w:val="none" w:sz="0" w:space="0" w:color="auto"/>
        <w:bottom w:val="none" w:sz="0" w:space="0" w:color="auto"/>
        <w:right w:val="none" w:sz="0" w:space="0" w:color="auto"/>
      </w:divBdr>
    </w:div>
    <w:div w:id="1102998074">
      <w:bodyDiv w:val="1"/>
      <w:marLeft w:val="0"/>
      <w:marRight w:val="0"/>
      <w:marTop w:val="0"/>
      <w:marBottom w:val="0"/>
      <w:divBdr>
        <w:top w:val="none" w:sz="0" w:space="0" w:color="auto"/>
        <w:left w:val="none" w:sz="0" w:space="0" w:color="auto"/>
        <w:bottom w:val="none" w:sz="0" w:space="0" w:color="auto"/>
        <w:right w:val="none" w:sz="0" w:space="0" w:color="auto"/>
      </w:divBdr>
    </w:div>
    <w:div w:id="1136264289">
      <w:bodyDiv w:val="1"/>
      <w:marLeft w:val="0"/>
      <w:marRight w:val="0"/>
      <w:marTop w:val="0"/>
      <w:marBottom w:val="0"/>
      <w:divBdr>
        <w:top w:val="none" w:sz="0" w:space="0" w:color="auto"/>
        <w:left w:val="none" w:sz="0" w:space="0" w:color="auto"/>
        <w:bottom w:val="none" w:sz="0" w:space="0" w:color="auto"/>
        <w:right w:val="none" w:sz="0" w:space="0" w:color="auto"/>
      </w:divBdr>
    </w:div>
    <w:div w:id="1146556260">
      <w:bodyDiv w:val="1"/>
      <w:marLeft w:val="0"/>
      <w:marRight w:val="0"/>
      <w:marTop w:val="0"/>
      <w:marBottom w:val="0"/>
      <w:divBdr>
        <w:top w:val="none" w:sz="0" w:space="0" w:color="auto"/>
        <w:left w:val="none" w:sz="0" w:space="0" w:color="auto"/>
        <w:bottom w:val="none" w:sz="0" w:space="0" w:color="auto"/>
        <w:right w:val="none" w:sz="0" w:space="0" w:color="auto"/>
      </w:divBdr>
    </w:div>
    <w:div w:id="1155293256">
      <w:bodyDiv w:val="1"/>
      <w:marLeft w:val="0"/>
      <w:marRight w:val="0"/>
      <w:marTop w:val="0"/>
      <w:marBottom w:val="0"/>
      <w:divBdr>
        <w:top w:val="none" w:sz="0" w:space="0" w:color="auto"/>
        <w:left w:val="none" w:sz="0" w:space="0" w:color="auto"/>
        <w:bottom w:val="none" w:sz="0" w:space="0" w:color="auto"/>
        <w:right w:val="none" w:sz="0" w:space="0" w:color="auto"/>
      </w:divBdr>
    </w:div>
    <w:div w:id="1190416141">
      <w:bodyDiv w:val="1"/>
      <w:marLeft w:val="0"/>
      <w:marRight w:val="0"/>
      <w:marTop w:val="0"/>
      <w:marBottom w:val="0"/>
      <w:divBdr>
        <w:top w:val="none" w:sz="0" w:space="0" w:color="auto"/>
        <w:left w:val="none" w:sz="0" w:space="0" w:color="auto"/>
        <w:bottom w:val="none" w:sz="0" w:space="0" w:color="auto"/>
        <w:right w:val="none" w:sz="0" w:space="0" w:color="auto"/>
      </w:divBdr>
    </w:div>
    <w:div w:id="1198009093">
      <w:bodyDiv w:val="1"/>
      <w:marLeft w:val="0"/>
      <w:marRight w:val="0"/>
      <w:marTop w:val="0"/>
      <w:marBottom w:val="0"/>
      <w:divBdr>
        <w:top w:val="none" w:sz="0" w:space="0" w:color="auto"/>
        <w:left w:val="none" w:sz="0" w:space="0" w:color="auto"/>
        <w:bottom w:val="none" w:sz="0" w:space="0" w:color="auto"/>
        <w:right w:val="none" w:sz="0" w:space="0" w:color="auto"/>
      </w:divBdr>
    </w:div>
    <w:div w:id="1201280664">
      <w:bodyDiv w:val="1"/>
      <w:marLeft w:val="0"/>
      <w:marRight w:val="0"/>
      <w:marTop w:val="0"/>
      <w:marBottom w:val="0"/>
      <w:divBdr>
        <w:top w:val="none" w:sz="0" w:space="0" w:color="auto"/>
        <w:left w:val="none" w:sz="0" w:space="0" w:color="auto"/>
        <w:bottom w:val="none" w:sz="0" w:space="0" w:color="auto"/>
        <w:right w:val="none" w:sz="0" w:space="0" w:color="auto"/>
      </w:divBdr>
    </w:div>
    <w:div w:id="1218206003">
      <w:bodyDiv w:val="1"/>
      <w:marLeft w:val="0"/>
      <w:marRight w:val="0"/>
      <w:marTop w:val="0"/>
      <w:marBottom w:val="0"/>
      <w:divBdr>
        <w:top w:val="none" w:sz="0" w:space="0" w:color="auto"/>
        <w:left w:val="none" w:sz="0" w:space="0" w:color="auto"/>
        <w:bottom w:val="none" w:sz="0" w:space="0" w:color="auto"/>
        <w:right w:val="none" w:sz="0" w:space="0" w:color="auto"/>
      </w:divBdr>
    </w:div>
    <w:div w:id="1233783423">
      <w:bodyDiv w:val="1"/>
      <w:marLeft w:val="0"/>
      <w:marRight w:val="0"/>
      <w:marTop w:val="0"/>
      <w:marBottom w:val="0"/>
      <w:divBdr>
        <w:top w:val="none" w:sz="0" w:space="0" w:color="auto"/>
        <w:left w:val="none" w:sz="0" w:space="0" w:color="auto"/>
        <w:bottom w:val="none" w:sz="0" w:space="0" w:color="auto"/>
        <w:right w:val="none" w:sz="0" w:space="0" w:color="auto"/>
      </w:divBdr>
    </w:div>
    <w:div w:id="1255279654">
      <w:bodyDiv w:val="1"/>
      <w:marLeft w:val="0"/>
      <w:marRight w:val="0"/>
      <w:marTop w:val="0"/>
      <w:marBottom w:val="0"/>
      <w:divBdr>
        <w:top w:val="none" w:sz="0" w:space="0" w:color="auto"/>
        <w:left w:val="none" w:sz="0" w:space="0" w:color="auto"/>
        <w:bottom w:val="none" w:sz="0" w:space="0" w:color="auto"/>
        <w:right w:val="none" w:sz="0" w:space="0" w:color="auto"/>
      </w:divBdr>
    </w:div>
    <w:div w:id="1267075163">
      <w:bodyDiv w:val="1"/>
      <w:marLeft w:val="0"/>
      <w:marRight w:val="0"/>
      <w:marTop w:val="0"/>
      <w:marBottom w:val="0"/>
      <w:divBdr>
        <w:top w:val="none" w:sz="0" w:space="0" w:color="auto"/>
        <w:left w:val="none" w:sz="0" w:space="0" w:color="auto"/>
        <w:bottom w:val="none" w:sz="0" w:space="0" w:color="auto"/>
        <w:right w:val="none" w:sz="0" w:space="0" w:color="auto"/>
      </w:divBdr>
    </w:div>
    <w:div w:id="1305157283">
      <w:bodyDiv w:val="1"/>
      <w:marLeft w:val="0"/>
      <w:marRight w:val="0"/>
      <w:marTop w:val="0"/>
      <w:marBottom w:val="0"/>
      <w:divBdr>
        <w:top w:val="none" w:sz="0" w:space="0" w:color="auto"/>
        <w:left w:val="none" w:sz="0" w:space="0" w:color="auto"/>
        <w:bottom w:val="none" w:sz="0" w:space="0" w:color="auto"/>
        <w:right w:val="none" w:sz="0" w:space="0" w:color="auto"/>
      </w:divBdr>
    </w:div>
    <w:div w:id="1310209833">
      <w:bodyDiv w:val="1"/>
      <w:marLeft w:val="0"/>
      <w:marRight w:val="0"/>
      <w:marTop w:val="0"/>
      <w:marBottom w:val="0"/>
      <w:divBdr>
        <w:top w:val="none" w:sz="0" w:space="0" w:color="auto"/>
        <w:left w:val="none" w:sz="0" w:space="0" w:color="auto"/>
        <w:bottom w:val="none" w:sz="0" w:space="0" w:color="auto"/>
        <w:right w:val="none" w:sz="0" w:space="0" w:color="auto"/>
      </w:divBdr>
    </w:div>
    <w:div w:id="1315064033">
      <w:bodyDiv w:val="1"/>
      <w:marLeft w:val="0"/>
      <w:marRight w:val="0"/>
      <w:marTop w:val="0"/>
      <w:marBottom w:val="0"/>
      <w:divBdr>
        <w:top w:val="none" w:sz="0" w:space="0" w:color="auto"/>
        <w:left w:val="none" w:sz="0" w:space="0" w:color="auto"/>
        <w:bottom w:val="none" w:sz="0" w:space="0" w:color="auto"/>
        <w:right w:val="none" w:sz="0" w:space="0" w:color="auto"/>
      </w:divBdr>
    </w:div>
    <w:div w:id="1348020086">
      <w:bodyDiv w:val="1"/>
      <w:marLeft w:val="0"/>
      <w:marRight w:val="0"/>
      <w:marTop w:val="0"/>
      <w:marBottom w:val="0"/>
      <w:divBdr>
        <w:top w:val="none" w:sz="0" w:space="0" w:color="auto"/>
        <w:left w:val="none" w:sz="0" w:space="0" w:color="auto"/>
        <w:bottom w:val="none" w:sz="0" w:space="0" w:color="auto"/>
        <w:right w:val="none" w:sz="0" w:space="0" w:color="auto"/>
      </w:divBdr>
    </w:div>
    <w:div w:id="1358390754">
      <w:bodyDiv w:val="1"/>
      <w:marLeft w:val="0"/>
      <w:marRight w:val="0"/>
      <w:marTop w:val="0"/>
      <w:marBottom w:val="0"/>
      <w:divBdr>
        <w:top w:val="none" w:sz="0" w:space="0" w:color="auto"/>
        <w:left w:val="none" w:sz="0" w:space="0" w:color="auto"/>
        <w:bottom w:val="none" w:sz="0" w:space="0" w:color="auto"/>
        <w:right w:val="none" w:sz="0" w:space="0" w:color="auto"/>
      </w:divBdr>
    </w:div>
    <w:div w:id="1384401759">
      <w:bodyDiv w:val="1"/>
      <w:marLeft w:val="0"/>
      <w:marRight w:val="0"/>
      <w:marTop w:val="0"/>
      <w:marBottom w:val="0"/>
      <w:divBdr>
        <w:top w:val="none" w:sz="0" w:space="0" w:color="auto"/>
        <w:left w:val="none" w:sz="0" w:space="0" w:color="auto"/>
        <w:bottom w:val="none" w:sz="0" w:space="0" w:color="auto"/>
        <w:right w:val="none" w:sz="0" w:space="0" w:color="auto"/>
      </w:divBdr>
    </w:div>
    <w:div w:id="1396272158">
      <w:bodyDiv w:val="1"/>
      <w:marLeft w:val="0"/>
      <w:marRight w:val="0"/>
      <w:marTop w:val="0"/>
      <w:marBottom w:val="0"/>
      <w:divBdr>
        <w:top w:val="none" w:sz="0" w:space="0" w:color="auto"/>
        <w:left w:val="none" w:sz="0" w:space="0" w:color="auto"/>
        <w:bottom w:val="none" w:sz="0" w:space="0" w:color="auto"/>
        <w:right w:val="none" w:sz="0" w:space="0" w:color="auto"/>
      </w:divBdr>
    </w:div>
    <w:div w:id="1413965286">
      <w:bodyDiv w:val="1"/>
      <w:marLeft w:val="0"/>
      <w:marRight w:val="0"/>
      <w:marTop w:val="0"/>
      <w:marBottom w:val="0"/>
      <w:divBdr>
        <w:top w:val="none" w:sz="0" w:space="0" w:color="auto"/>
        <w:left w:val="none" w:sz="0" w:space="0" w:color="auto"/>
        <w:bottom w:val="none" w:sz="0" w:space="0" w:color="auto"/>
        <w:right w:val="none" w:sz="0" w:space="0" w:color="auto"/>
      </w:divBdr>
    </w:div>
    <w:div w:id="1438137878">
      <w:bodyDiv w:val="1"/>
      <w:marLeft w:val="0"/>
      <w:marRight w:val="0"/>
      <w:marTop w:val="0"/>
      <w:marBottom w:val="0"/>
      <w:divBdr>
        <w:top w:val="none" w:sz="0" w:space="0" w:color="auto"/>
        <w:left w:val="none" w:sz="0" w:space="0" w:color="auto"/>
        <w:bottom w:val="none" w:sz="0" w:space="0" w:color="auto"/>
        <w:right w:val="none" w:sz="0" w:space="0" w:color="auto"/>
      </w:divBdr>
    </w:div>
    <w:div w:id="1441604536">
      <w:bodyDiv w:val="1"/>
      <w:marLeft w:val="0"/>
      <w:marRight w:val="0"/>
      <w:marTop w:val="0"/>
      <w:marBottom w:val="0"/>
      <w:divBdr>
        <w:top w:val="none" w:sz="0" w:space="0" w:color="auto"/>
        <w:left w:val="none" w:sz="0" w:space="0" w:color="auto"/>
        <w:bottom w:val="none" w:sz="0" w:space="0" w:color="auto"/>
        <w:right w:val="none" w:sz="0" w:space="0" w:color="auto"/>
      </w:divBdr>
    </w:div>
    <w:div w:id="1449817529">
      <w:bodyDiv w:val="1"/>
      <w:marLeft w:val="0"/>
      <w:marRight w:val="0"/>
      <w:marTop w:val="0"/>
      <w:marBottom w:val="0"/>
      <w:divBdr>
        <w:top w:val="none" w:sz="0" w:space="0" w:color="auto"/>
        <w:left w:val="none" w:sz="0" w:space="0" w:color="auto"/>
        <w:bottom w:val="none" w:sz="0" w:space="0" w:color="auto"/>
        <w:right w:val="none" w:sz="0" w:space="0" w:color="auto"/>
      </w:divBdr>
    </w:div>
    <w:div w:id="14583296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529836432">
      <w:bodyDiv w:val="1"/>
      <w:marLeft w:val="0"/>
      <w:marRight w:val="0"/>
      <w:marTop w:val="0"/>
      <w:marBottom w:val="0"/>
      <w:divBdr>
        <w:top w:val="none" w:sz="0" w:space="0" w:color="auto"/>
        <w:left w:val="none" w:sz="0" w:space="0" w:color="auto"/>
        <w:bottom w:val="none" w:sz="0" w:space="0" w:color="auto"/>
        <w:right w:val="none" w:sz="0" w:space="0" w:color="auto"/>
      </w:divBdr>
    </w:div>
    <w:div w:id="1572304798">
      <w:bodyDiv w:val="1"/>
      <w:marLeft w:val="0"/>
      <w:marRight w:val="0"/>
      <w:marTop w:val="0"/>
      <w:marBottom w:val="0"/>
      <w:divBdr>
        <w:top w:val="none" w:sz="0" w:space="0" w:color="auto"/>
        <w:left w:val="none" w:sz="0" w:space="0" w:color="auto"/>
        <w:bottom w:val="none" w:sz="0" w:space="0" w:color="auto"/>
        <w:right w:val="none" w:sz="0" w:space="0" w:color="auto"/>
      </w:divBdr>
    </w:div>
    <w:div w:id="1577015239">
      <w:bodyDiv w:val="1"/>
      <w:marLeft w:val="0"/>
      <w:marRight w:val="0"/>
      <w:marTop w:val="0"/>
      <w:marBottom w:val="0"/>
      <w:divBdr>
        <w:top w:val="none" w:sz="0" w:space="0" w:color="auto"/>
        <w:left w:val="none" w:sz="0" w:space="0" w:color="auto"/>
        <w:bottom w:val="none" w:sz="0" w:space="0" w:color="auto"/>
        <w:right w:val="none" w:sz="0" w:space="0" w:color="auto"/>
      </w:divBdr>
    </w:div>
    <w:div w:id="1597178128">
      <w:bodyDiv w:val="1"/>
      <w:marLeft w:val="0"/>
      <w:marRight w:val="0"/>
      <w:marTop w:val="0"/>
      <w:marBottom w:val="0"/>
      <w:divBdr>
        <w:top w:val="none" w:sz="0" w:space="0" w:color="auto"/>
        <w:left w:val="none" w:sz="0" w:space="0" w:color="auto"/>
        <w:bottom w:val="none" w:sz="0" w:space="0" w:color="auto"/>
        <w:right w:val="none" w:sz="0" w:space="0" w:color="auto"/>
      </w:divBdr>
    </w:div>
    <w:div w:id="1601372815">
      <w:bodyDiv w:val="1"/>
      <w:marLeft w:val="0"/>
      <w:marRight w:val="0"/>
      <w:marTop w:val="0"/>
      <w:marBottom w:val="0"/>
      <w:divBdr>
        <w:top w:val="none" w:sz="0" w:space="0" w:color="auto"/>
        <w:left w:val="none" w:sz="0" w:space="0" w:color="auto"/>
        <w:bottom w:val="none" w:sz="0" w:space="0" w:color="auto"/>
        <w:right w:val="none" w:sz="0" w:space="0" w:color="auto"/>
      </w:divBdr>
    </w:div>
    <w:div w:id="1602059586">
      <w:bodyDiv w:val="1"/>
      <w:marLeft w:val="0"/>
      <w:marRight w:val="0"/>
      <w:marTop w:val="0"/>
      <w:marBottom w:val="0"/>
      <w:divBdr>
        <w:top w:val="none" w:sz="0" w:space="0" w:color="auto"/>
        <w:left w:val="none" w:sz="0" w:space="0" w:color="auto"/>
        <w:bottom w:val="none" w:sz="0" w:space="0" w:color="auto"/>
        <w:right w:val="none" w:sz="0" w:space="0" w:color="auto"/>
      </w:divBdr>
    </w:div>
    <w:div w:id="1607887715">
      <w:bodyDiv w:val="1"/>
      <w:marLeft w:val="0"/>
      <w:marRight w:val="0"/>
      <w:marTop w:val="0"/>
      <w:marBottom w:val="0"/>
      <w:divBdr>
        <w:top w:val="none" w:sz="0" w:space="0" w:color="auto"/>
        <w:left w:val="none" w:sz="0" w:space="0" w:color="auto"/>
        <w:bottom w:val="none" w:sz="0" w:space="0" w:color="auto"/>
        <w:right w:val="none" w:sz="0" w:space="0" w:color="auto"/>
      </w:divBdr>
    </w:div>
    <w:div w:id="1608077995">
      <w:bodyDiv w:val="1"/>
      <w:marLeft w:val="0"/>
      <w:marRight w:val="0"/>
      <w:marTop w:val="0"/>
      <w:marBottom w:val="0"/>
      <w:divBdr>
        <w:top w:val="none" w:sz="0" w:space="0" w:color="auto"/>
        <w:left w:val="none" w:sz="0" w:space="0" w:color="auto"/>
        <w:bottom w:val="none" w:sz="0" w:space="0" w:color="auto"/>
        <w:right w:val="none" w:sz="0" w:space="0" w:color="auto"/>
      </w:divBdr>
    </w:div>
    <w:div w:id="1658607739">
      <w:bodyDiv w:val="1"/>
      <w:marLeft w:val="0"/>
      <w:marRight w:val="0"/>
      <w:marTop w:val="0"/>
      <w:marBottom w:val="0"/>
      <w:divBdr>
        <w:top w:val="none" w:sz="0" w:space="0" w:color="auto"/>
        <w:left w:val="none" w:sz="0" w:space="0" w:color="auto"/>
        <w:bottom w:val="none" w:sz="0" w:space="0" w:color="auto"/>
        <w:right w:val="none" w:sz="0" w:space="0" w:color="auto"/>
      </w:divBdr>
    </w:div>
    <w:div w:id="1690837372">
      <w:bodyDiv w:val="1"/>
      <w:marLeft w:val="0"/>
      <w:marRight w:val="0"/>
      <w:marTop w:val="0"/>
      <w:marBottom w:val="0"/>
      <w:divBdr>
        <w:top w:val="none" w:sz="0" w:space="0" w:color="auto"/>
        <w:left w:val="none" w:sz="0" w:space="0" w:color="auto"/>
        <w:bottom w:val="none" w:sz="0" w:space="0" w:color="auto"/>
        <w:right w:val="none" w:sz="0" w:space="0" w:color="auto"/>
      </w:divBdr>
    </w:div>
    <w:div w:id="1721980580">
      <w:bodyDiv w:val="1"/>
      <w:marLeft w:val="0"/>
      <w:marRight w:val="0"/>
      <w:marTop w:val="0"/>
      <w:marBottom w:val="0"/>
      <w:divBdr>
        <w:top w:val="none" w:sz="0" w:space="0" w:color="auto"/>
        <w:left w:val="none" w:sz="0" w:space="0" w:color="auto"/>
        <w:bottom w:val="none" w:sz="0" w:space="0" w:color="auto"/>
        <w:right w:val="none" w:sz="0" w:space="0" w:color="auto"/>
      </w:divBdr>
    </w:div>
    <w:div w:id="1730423690">
      <w:bodyDiv w:val="1"/>
      <w:marLeft w:val="0"/>
      <w:marRight w:val="0"/>
      <w:marTop w:val="0"/>
      <w:marBottom w:val="0"/>
      <w:divBdr>
        <w:top w:val="none" w:sz="0" w:space="0" w:color="auto"/>
        <w:left w:val="none" w:sz="0" w:space="0" w:color="auto"/>
        <w:bottom w:val="none" w:sz="0" w:space="0" w:color="auto"/>
        <w:right w:val="none" w:sz="0" w:space="0" w:color="auto"/>
      </w:divBdr>
    </w:div>
    <w:div w:id="1737892308">
      <w:bodyDiv w:val="1"/>
      <w:marLeft w:val="0"/>
      <w:marRight w:val="0"/>
      <w:marTop w:val="0"/>
      <w:marBottom w:val="0"/>
      <w:divBdr>
        <w:top w:val="none" w:sz="0" w:space="0" w:color="auto"/>
        <w:left w:val="none" w:sz="0" w:space="0" w:color="auto"/>
        <w:bottom w:val="none" w:sz="0" w:space="0" w:color="auto"/>
        <w:right w:val="none" w:sz="0" w:space="0" w:color="auto"/>
      </w:divBdr>
    </w:div>
    <w:div w:id="1737968056">
      <w:bodyDiv w:val="1"/>
      <w:marLeft w:val="0"/>
      <w:marRight w:val="0"/>
      <w:marTop w:val="0"/>
      <w:marBottom w:val="0"/>
      <w:divBdr>
        <w:top w:val="none" w:sz="0" w:space="0" w:color="auto"/>
        <w:left w:val="none" w:sz="0" w:space="0" w:color="auto"/>
        <w:bottom w:val="none" w:sz="0" w:space="0" w:color="auto"/>
        <w:right w:val="none" w:sz="0" w:space="0" w:color="auto"/>
      </w:divBdr>
    </w:div>
    <w:div w:id="1780101100">
      <w:bodyDiv w:val="1"/>
      <w:marLeft w:val="0"/>
      <w:marRight w:val="0"/>
      <w:marTop w:val="0"/>
      <w:marBottom w:val="0"/>
      <w:divBdr>
        <w:top w:val="none" w:sz="0" w:space="0" w:color="auto"/>
        <w:left w:val="none" w:sz="0" w:space="0" w:color="auto"/>
        <w:bottom w:val="none" w:sz="0" w:space="0" w:color="auto"/>
        <w:right w:val="none" w:sz="0" w:space="0" w:color="auto"/>
      </w:divBdr>
    </w:div>
    <w:div w:id="1792941634">
      <w:bodyDiv w:val="1"/>
      <w:marLeft w:val="0"/>
      <w:marRight w:val="0"/>
      <w:marTop w:val="0"/>
      <w:marBottom w:val="0"/>
      <w:divBdr>
        <w:top w:val="none" w:sz="0" w:space="0" w:color="auto"/>
        <w:left w:val="none" w:sz="0" w:space="0" w:color="auto"/>
        <w:bottom w:val="none" w:sz="0" w:space="0" w:color="auto"/>
        <w:right w:val="none" w:sz="0" w:space="0" w:color="auto"/>
      </w:divBdr>
    </w:div>
    <w:div w:id="1813789929">
      <w:bodyDiv w:val="1"/>
      <w:marLeft w:val="0"/>
      <w:marRight w:val="0"/>
      <w:marTop w:val="0"/>
      <w:marBottom w:val="0"/>
      <w:divBdr>
        <w:top w:val="none" w:sz="0" w:space="0" w:color="auto"/>
        <w:left w:val="none" w:sz="0" w:space="0" w:color="auto"/>
        <w:bottom w:val="none" w:sz="0" w:space="0" w:color="auto"/>
        <w:right w:val="none" w:sz="0" w:space="0" w:color="auto"/>
      </w:divBdr>
    </w:div>
    <w:div w:id="1849058823">
      <w:bodyDiv w:val="1"/>
      <w:marLeft w:val="0"/>
      <w:marRight w:val="0"/>
      <w:marTop w:val="0"/>
      <w:marBottom w:val="0"/>
      <w:divBdr>
        <w:top w:val="none" w:sz="0" w:space="0" w:color="auto"/>
        <w:left w:val="none" w:sz="0" w:space="0" w:color="auto"/>
        <w:bottom w:val="none" w:sz="0" w:space="0" w:color="auto"/>
        <w:right w:val="none" w:sz="0" w:space="0" w:color="auto"/>
      </w:divBdr>
    </w:div>
    <w:div w:id="1901864367">
      <w:bodyDiv w:val="1"/>
      <w:marLeft w:val="0"/>
      <w:marRight w:val="0"/>
      <w:marTop w:val="0"/>
      <w:marBottom w:val="0"/>
      <w:divBdr>
        <w:top w:val="none" w:sz="0" w:space="0" w:color="auto"/>
        <w:left w:val="none" w:sz="0" w:space="0" w:color="auto"/>
        <w:bottom w:val="none" w:sz="0" w:space="0" w:color="auto"/>
        <w:right w:val="none" w:sz="0" w:space="0" w:color="auto"/>
      </w:divBdr>
    </w:div>
    <w:div w:id="1909488251">
      <w:bodyDiv w:val="1"/>
      <w:marLeft w:val="0"/>
      <w:marRight w:val="0"/>
      <w:marTop w:val="0"/>
      <w:marBottom w:val="0"/>
      <w:divBdr>
        <w:top w:val="none" w:sz="0" w:space="0" w:color="auto"/>
        <w:left w:val="none" w:sz="0" w:space="0" w:color="auto"/>
        <w:bottom w:val="none" w:sz="0" w:space="0" w:color="auto"/>
        <w:right w:val="none" w:sz="0" w:space="0" w:color="auto"/>
      </w:divBdr>
    </w:div>
    <w:div w:id="1976178475">
      <w:bodyDiv w:val="1"/>
      <w:marLeft w:val="0"/>
      <w:marRight w:val="0"/>
      <w:marTop w:val="0"/>
      <w:marBottom w:val="0"/>
      <w:divBdr>
        <w:top w:val="none" w:sz="0" w:space="0" w:color="auto"/>
        <w:left w:val="none" w:sz="0" w:space="0" w:color="auto"/>
        <w:bottom w:val="none" w:sz="0" w:space="0" w:color="auto"/>
        <w:right w:val="none" w:sz="0" w:space="0" w:color="auto"/>
      </w:divBdr>
    </w:div>
    <w:div w:id="1991396270">
      <w:bodyDiv w:val="1"/>
      <w:marLeft w:val="0"/>
      <w:marRight w:val="0"/>
      <w:marTop w:val="0"/>
      <w:marBottom w:val="0"/>
      <w:divBdr>
        <w:top w:val="none" w:sz="0" w:space="0" w:color="auto"/>
        <w:left w:val="none" w:sz="0" w:space="0" w:color="auto"/>
        <w:bottom w:val="none" w:sz="0" w:space="0" w:color="auto"/>
        <w:right w:val="none" w:sz="0" w:space="0" w:color="auto"/>
      </w:divBdr>
    </w:div>
    <w:div w:id="1999266395">
      <w:bodyDiv w:val="1"/>
      <w:marLeft w:val="0"/>
      <w:marRight w:val="0"/>
      <w:marTop w:val="0"/>
      <w:marBottom w:val="0"/>
      <w:divBdr>
        <w:top w:val="none" w:sz="0" w:space="0" w:color="auto"/>
        <w:left w:val="none" w:sz="0" w:space="0" w:color="auto"/>
        <w:bottom w:val="none" w:sz="0" w:space="0" w:color="auto"/>
        <w:right w:val="none" w:sz="0" w:space="0" w:color="auto"/>
      </w:divBdr>
    </w:div>
    <w:div w:id="2017418192">
      <w:bodyDiv w:val="1"/>
      <w:marLeft w:val="0"/>
      <w:marRight w:val="0"/>
      <w:marTop w:val="0"/>
      <w:marBottom w:val="0"/>
      <w:divBdr>
        <w:top w:val="none" w:sz="0" w:space="0" w:color="auto"/>
        <w:left w:val="none" w:sz="0" w:space="0" w:color="auto"/>
        <w:bottom w:val="none" w:sz="0" w:space="0" w:color="auto"/>
        <w:right w:val="none" w:sz="0" w:space="0" w:color="auto"/>
      </w:divBdr>
    </w:div>
    <w:div w:id="2026204434">
      <w:bodyDiv w:val="1"/>
      <w:marLeft w:val="0"/>
      <w:marRight w:val="0"/>
      <w:marTop w:val="0"/>
      <w:marBottom w:val="0"/>
      <w:divBdr>
        <w:top w:val="none" w:sz="0" w:space="0" w:color="auto"/>
        <w:left w:val="none" w:sz="0" w:space="0" w:color="auto"/>
        <w:bottom w:val="none" w:sz="0" w:space="0" w:color="auto"/>
        <w:right w:val="none" w:sz="0" w:space="0" w:color="auto"/>
      </w:divBdr>
    </w:div>
    <w:div w:id="2059737632">
      <w:bodyDiv w:val="1"/>
      <w:marLeft w:val="0"/>
      <w:marRight w:val="0"/>
      <w:marTop w:val="0"/>
      <w:marBottom w:val="0"/>
      <w:divBdr>
        <w:top w:val="none" w:sz="0" w:space="0" w:color="auto"/>
        <w:left w:val="none" w:sz="0" w:space="0" w:color="auto"/>
        <w:bottom w:val="none" w:sz="0" w:space="0" w:color="auto"/>
        <w:right w:val="none" w:sz="0" w:space="0" w:color="auto"/>
      </w:divBdr>
    </w:div>
    <w:div w:id="21201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TXT/?qid=1433754778270&amp;uri=OJ:JOL_2015_141_R_0003" TargetMode="External"/><Relationship Id="rId21" Type="http://schemas.openxmlformats.org/officeDocument/2006/relationships/hyperlink" Target="http://eur-lex.europa.eu/legal-content/EN/TXT/?qid=1433754778270&amp;uri=OJ:JOL_2015_141_R_0003" TargetMode="External"/><Relationship Id="rId42" Type="http://schemas.openxmlformats.org/officeDocument/2006/relationships/hyperlink" Target="http://eur-lex.europa.eu/legal-content/EN/AUTO/?uri=OJ:C:2013:166:TOC" TargetMode="External"/><Relationship Id="rId47" Type="http://schemas.openxmlformats.org/officeDocument/2006/relationships/hyperlink" Target="http://eur-lex.europa.eu/legal-content/EN/AUTO/?uri=OJ:L:1991:166:TOC" TargetMode="External"/><Relationship Id="rId63" Type="http://schemas.openxmlformats.org/officeDocument/2006/relationships/hyperlink" Target="http://eur-lex.europa.eu/legal-content/EN/AUTO/?uri=OJ:L:1995:281:TOC" TargetMode="External"/><Relationship Id="rId68" Type="http://schemas.openxmlformats.org/officeDocument/2006/relationships/hyperlink" Target="http://eur-lex.europa.eu/legal-content/EN/TXT/?uri=celex%3A32015L0849" TargetMode="External"/><Relationship Id="rId84" Type="http://schemas.openxmlformats.org/officeDocument/2006/relationships/hyperlink" Target="http://eur-lex.europa.eu/legal-content/EN/TXT/?uri=celex%3A32015L0849" TargetMode="External"/><Relationship Id="rId89" Type="http://schemas.openxmlformats.org/officeDocument/2006/relationships/hyperlink" Target="http://eur-lex.europa.eu/legal-content/EN/AUTO/?uri=OJ:L:2004:145:TOC" TargetMode="External"/><Relationship Id="rId16" Type="http://schemas.openxmlformats.org/officeDocument/2006/relationships/hyperlink" Target="http://eur-lex.europa.eu/legal-content/EN/TXT/?qid=1433754778270&amp;uri=OJ:JOL_2015_141_R_0003" TargetMode="External"/><Relationship Id="rId11" Type="http://schemas.openxmlformats.org/officeDocument/2006/relationships/hyperlink" Target="http://eur-lex.europa.eu/legal-content/EN/TXT/?qid=1433754778270&amp;uri=OJ:JOL_2015_141_R_0003" TargetMode="External"/><Relationship Id="rId32" Type="http://schemas.openxmlformats.org/officeDocument/2006/relationships/hyperlink" Target="http://eur-lex.europa.eu/legal-content/EN/TXT/?qid=1433754778270&amp;uri=OJ:JOL_2015_141_R_0003" TargetMode="External"/><Relationship Id="rId37" Type="http://schemas.openxmlformats.org/officeDocument/2006/relationships/hyperlink" Target="http://eur-lex.europa.eu/legal-content/EN/TXT/?qid=1433754778270&amp;uri=OJ:JOL_2015_141_R_0003" TargetMode="External"/><Relationship Id="rId53" Type="http://schemas.openxmlformats.org/officeDocument/2006/relationships/hyperlink" Target="http://eur-lex.europa.eu/legal-content/EN/AUTO/?uri=OJ:L:2006:214:TOC" TargetMode="External"/><Relationship Id="rId58" Type="http://schemas.openxmlformats.org/officeDocument/2006/relationships/hyperlink" Target="http://eur-lex.europa.eu/legal-content/EN/TXT/?uri=celex%3A32015L0849" TargetMode="External"/><Relationship Id="rId74" Type="http://schemas.openxmlformats.org/officeDocument/2006/relationships/hyperlink" Target="http://eur-lex.europa.eu/legal-content/EN/TXT/?uri=celex%3A32015L0849" TargetMode="External"/><Relationship Id="rId79" Type="http://schemas.openxmlformats.org/officeDocument/2006/relationships/hyperlink" Target="http://eur-lex.europa.eu/legal-content/EN/AUTO/?uri=OJ:L:2002:164:TOC" TargetMode="External"/><Relationship Id="rId102" Type="http://schemas.openxmlformats.org/officeDocument/2006/relationships/hyperlink" Target="http://eur-lex.europa.eu/legal-content/EN/AUTO/?uri=OJ:L:2012:201:TOC" TargetMode="External"/><Relationship Id="rId5" Type="http://schemas.openxmlformats.org/officeDocument/2006/relationships/webSettings" Target="webSettings.xml"/><Relationship Id="rId90" Type="http://schemas.openxmlformats.org/officeDocument/2006/relationships/hyperlink" Target="http://eur-lex.europa.eu/legal-content/EN/TXT/?uri=celex%3A32015L0849" TargetMode="External"/><Relationship Id="rId95" Type="http://schemas.openxmlformats.org/officeDocument/2006/relationships/hyperlink" Target="http://eur-lex.europa.eu/legal-content/EN/AUTO/?uri=OJ:C:1995:316:TOC" TargetMode="External"/><Relationship Id="rId22" Type="http://schemas.openxmlformats.org/officeDocument/2006/relationships/hyperlink" Target="http://eur-lex.europa.eu/legal-content/EN/TXT/?uri=CELEX%3A32015L0849" TargetMode="External"/><Relationship Id="rId27" Type="http://schemas.openxmlformats.org/officeDocument/2006/relationships/hyperlink" Target="http://eur-lex.europa.eu/legal-content/EN/TXT/?qid=1433754778270&amp;uri=OJ:JOL_2015_141_R_0003" TargetMode="External"/><Relationship Id="rId43" Type="http://schemas.openxmlformats.org/officeDocument/2006/relationships/hyperlink" Target="http://eur-lex.europa.eu/legal-content/EN/TXT/?uri=celex%3A32015L0849" TargetMode="External"/><Relationship Id="rId48" Type="http://schemas.openxmlformats.org/officeDocument/2006/relationships/hyperlink" Target="http://eur-lex.europa.eu/legal-content/EN/TXT/?uri=celex%3A32015L0849" TargetMode="External"/><Relationship Id="rId64" Type="http://schemas.openxmlformats.org/officeDocument/2006/relationships/hyperlink" Target="http://eur-lex.europa.eu/legal-content/EN/TXT/?uri=celex%3A32015L0849" TargetMode="External"/><Relationship Id="rId69" Type="http://schemas.openxmlformats.org/officeDocument/2006/relationships/hyperlink" Target="http://eur-lex.europa.eu/legal-content/EN/AUTO/?uri=OJ:L:2011:064:TOC" TargetMode="External"/><Relationship Id="rId80" Type="http://schemas.openxmlformats.org/officeDocument/2006/relationships/hyperlink" Target="http://eur-lex.europa.eu/legal-content/EN/TXT/?uri=celex%3A32015L0849" TargetMode="External"/><Relationship Id="rId85" Type="http://schemas.openxmlformats.org/officeDocument/2006/relationships/hyperlink" Target="http://eur-lex.europa.eu/legal-content/EN/AUTO/?uri=OJ:L:2013:176:TOC" TargetMode="External"/><Relationship Id="rId12" Type="http://schemas.openxmlformats.org/officeDocument/2006/relationships/hyperlink" Target="http://eur-lex.europa.eu/legal-content/EN/TXT/?qid=1433754778270&amp;uri=OJ:JOL_2015_141_R_0003" TargetMode="External"/><Relationship Id="rId17" Type="http://schemas.openxmlformats.org/officeDocument/2006/relationships/hyperlink" Target="http://eur-lex.europa.eu/legal-content/EN/TXT/?qid=1433754778270&amp;uri=OJ:JOL_2015_141_R_0003" TargetMode="External"/><Relationship Id="rId25" Type="http://schemas.openxmlformats.org/officeDocument/2006/relationships/hyperlink" Target="http://eur-lex.europa.eu/legal-content/EN/TXT/?uri=CELEX%3A32015L0849" TargetMode="External"/><Relationship Id="rId33" Type="http://schemas.openxmlformats.org/officeDocument/2006/relationships/hyperlink" Target="http://eur-lex.europa.eu/legal-content/EN/TXT/?qid=1433754778270&amp;uri=OJ:JOL_2015_141_R_0003" TargetMode="External"/><Relationship Id="rId38" Type="http://schemas.openxmlformats.org/officeDocument/2006/relationships/hyperlink" Target="http://eur-lex.europa.eu/legal-content/EN/TXT/?qid=1433754778270&amp;uri=OJ:JOL_2015_141_R_0003" TargetMode="External"/><Relationship Id="rId46" Type="http://schemas.openxmlformats.org/officeDocument/2006/relationships/hyperlink" Target="http://eur-lex.europa.eu/legal-content/EN/TXT/?uri=celex%3A32015L0849" TargetMode="External"/><Relationship Id="rId59" Type="http://schemas.openxmlformats.org/officeDocument/2006/relationships/hyperlink" Target="http://eur-lex.europa.eu/legal-content/EN/AUTO/?uri=OJ:L:2010:331:TOC" TargetMode="External"/><Relationship Id="rId67" Type="http://schemas.openxmlformats.org/officeDocument/2006/relationships/hyperlink" Target="http://eur-lex.europa.eu/legal-content/EN/AUTO/?uri=OJ:L:2008:350:TOC" TargetMode="External"/><Relationship Id="rId103" Type="http://schemas.openxmlformats.org/officeDocument/2006/relationships/fontTable" Target="fontTable.xml"/><Relationship Id="rId20" Type="http://schemas.openxmlformats.org/officeDocument/2006/relationships/hyperlink" Target="http://eur-lex.europa.eu/legal-content/EN/TXT/?qid=1433754778270&amp;uri=OJ:JOL_2015_141_R_0003" TargetMode="External"/><Relationship Id="rId41" Type="http://schemas.openxmlformats.org/officeDocument/2006/relationships/hyperlink" Target="http://eur-lex.europa.eu/legal-content/EN/TXT/?uri=celex%3A32015L0849" TargetMode="External"/><Relationship Id="rId54" Type="http://schemas.openxmlformats.org/officeDocument/2006/relationships/hyperlink" Target="http://eur-lex.europa.eu/legal-content/EN/TXT/?uri=celex%3A32015L0849" TargetMode="External"/><Relationship Id="rId62" Type="http://schemas.openxmlformats.org/officeDocument/2006/relationships/hyperlink" Target="http://eur-lex.europa.eu/legal-content/EN/TXT/?uri=celex%3A32015L0849" TargetMode="External"/><Relationship Id="rId70" Type="http://schemas.openxmlformats.org/officeDocument/2006/relationships/hyperlink" Target="http://eur-lex.europa.eu/legal-content/EN/TXT/?uri=celex%3A32015L0849" TargetMode="External"/><Relationship Id="rId75" Type="http://schemas.openxmlformats.org/officeDocument/2006/relationships/hyperlink" Target="http://eur-lex.europa.eu/legal-content/EN/AUTO/?uri=OJ:C:2011:369:TOC" TargetMode="External"/><Relationship Id="rId83" Type="http://schemas.openxmlformats.org/officeDocument/2006/relationships/hyperlink" Target="http://eur-lex.europa.eu/legal-content/EN/AUTO/?uri=OJ:L:2013:176:TOC" TargetMode="External"/><Relationship Id="rId88" Type="http://schemas.openxmlformats.org/officeDocument/2006/relationships/hyperlink" Target="http://eur-lex.europa.eu/legal-content/EN/TXT/?uri=celex%3A32015L0849" TargetMode="External"/><Relationship Id="rId91" Type="http://schemas.openxmlformats.org/officeDocument/2006/relationships/hyperlink" Target="http://eur-lex.europa.eu/legal-content/EN/AUTO/?uri=OJ:L:2003:009:TOC" TargetMode="External"/><Relationship Id="rId96" Type="http://schemas.openxmlformats.org/officeDocument/2006/relationships/hyperlink" Target="http://eur-lex.europa.eu/legal-content/EN/TXT/?uri=celex%3A32015L084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legal-content/EN/TXT/?qid=1433754778270&amp;uri=OJ:JOL_2015_141_R_0003" TargetMode="External"/><Relationship Id="rId23" Type="http://schemas.openxmlformats.org/officeDocument/2006/relationships/hyperlink" Target="http://eur-lex.europa.eu/legal-content/EN/TXT/?uri=CELEX%3A32015L0849" TargetMode="External"/><Relationship Id="rId28" Type="http://schemas.openxmlformats.org/officeDocument/2006/relationships/hyperlink" Target="http://eur-lex.europa.eu/legal-content/EN/TXT/?qid=1433754778270&amp;uri=OJ:JOL_2015_141_R_0003" TargetMode="External"/><Relationship Id="rId36" Type="http://schemas.openxmlformats.org/officeDocument/2006/relationships/hyperlink" Target="http://eur-lex.europa.eu/legal-content/EN/TXT/?qid=1433754778270&amp;uri=OJ:JOL_2015_141_R_0003" TargetMode="External"/><Relationship Id="rId49" Type="http://schemas.openxmlformats.org/officeDocument/2006/relationships/hyperlink" Target="http://eur-lex.europa.eu/legal-content/EN/AUTO/?uri=OJ:L:2001:344:TOC" TargetMode="External"/><Relationship Id="rId57" Type="http://schemas.openxmlformats.org/officeDocument/2006/relationships/hyperlink" Target="http://eur-lex.europa.eu/legal-content/EN/AUTO/?uri=OJ:L:2010:331:TOC" TargetMode="External"/><Relationship Id="rId10" Type="http://schemas.openxmlformats.org/officeDocument/2006/relationships/hyperlink" Target="http://eur-lex.europa.eu/legal-content/EN/TXT/?qid=1433754778270&amp;uri=OJ:JOL_2015_141_R_0003" TargetMode="External"/><Relationship Id="rId31" Type="http://schemas.openxmlformats.org/officeDocument/2006/relationships/hyperlink" Target="http://eur-lex.europa.eu/legal-content/EN/TXT/?qid=1433754778270&amp;uri=OJ:JOL_2015_141_R_0003" TargetMode="External"/><Relationship Id="rId44" Type="http://schemas.openxmlformats.org/officeDocument/2006/relationships/hyperlink" Target="http://eur-lex.europa.eu/legal-content/EN/AUTO/?uri=OJ:C:2013:271:TOC" TargetMode="External"/><Relationship Id="rId52" Type="http://schemas.openxmlformats.org/officeDocument/2006/relationships/hyperlink" Target="http://eur-lex.europa.eu/legal-content/EN/TXT/?uri=celex%3A32015L0849" TargetMode="External"/><Relationship Id="rId60" Type="http://schemas.openxmlformats.org/officeDocument/2006/relationships/hyperlink" Target="http://eur-lex.europa.eu/legal-content/EN/TXT/?uri=celex%3A32015L0849" TargetMode="External"/><Relationship Id="rId65" Type="http://schemas.openxmlformats.org/officeDocument/2006/relationships/hyperlink" Target="http://eur-lex.europa.eu/legal-content/EN/AUTO/?uri=OJ:L:2001:008:TOC" TargetMode="External"/><Relationship Id="rId73" Type="http://schemas.openxmlformats.org/officeDocument/2006/relationships/hyperlink" Target="http://eur-lex.europa.eu/legal-content/EN/AUTO/?uri=OJ:L:2009:093:TOC" TargetMode="External"/><Relationship Id="rId78" Type="http://schemas.openxmlformats.org/officeDocument/2006/relationships/hyperlink" Target="http://eur-lex.europa.eu/legal-content/EN/TXT/?uri=celex%3A32015L0849" TargetMode="External"/><Relationship Id="rId81" Type="http://schemas.openxmlformats.org/officeDocument/2006/relationships/hyperlink" Target="http://eur-lex.europa.eu/legal-content/EN/AUTO/?uri=OJ:L:2007:319:TOC" TargetMode="External"/><Relationship Id="rId86" Type="http://schemas.openxmlformats.org/officeDocument/2006/relationships/hyperlink" Target="http://eur-lex.europa.eu/legal-content/EN/TXT/?uri=celex%3A32015L0849" TargetMode="External"/><Relationship Id="rId94" Type="http://schemas.openxmlformats.org/officeDocument/2006/relationships/hyperlink" Target="http://eur-lex.europa.eu/legal-content/EN/TXT/?uri=celex%3A32015L0849" TargetMode="External"/><Relationship Id="rId99" Type="http://schemas.openxmlformats.org/officeDocument/2006/relationships/hyperlink" Target="http://eur-lex.europa.eu/legal-content/EN/TXT/?uri=celex%3A32015L0849" TargetMode="External"/><Relationship Id="rId101" Type="http://schemas.openxmlformats.org/officeDocument/2006/relationships/hyperlink" Target="http://eur-lex.europa.eu/legal-content/EN/TXT/?uri=celex%3A32015L0849" TargetMode="External"/><Relationship Id="rId4" Type="http://schemas.openxmlformats.org/officeDocument/2006/relationships/settings" Target="settings.xml"/><Relationship Id="rId9" Type="http://schemas.openxmlformats.org/officeDocument/2006/relationships/hyperlink" Target="http://eur-lex.europa.eu/legal-content/EN/TXT/?qid=1433754778270&amp;uri=OJ:JOL_2015_141_R_0003" TargetMode="External"/><Relationship Id="rId13" Type="http://schemas.openxmlformats.org/officeDocument/2006/relationships/hyperlink" Target="http://eur-lex.europa.eu/legal-content/EN/TXT/?qid=1433754778270&amp;uri=OJ:JOL_2015_141_R_0003" TargetMode="External"/><Relationship Id="rId18" Type="http://schemas.openxmlformats.org/officeDocument/2006/relationships/hyperlink" Target="http://eur-lex.europa.eu/legal-content/EN/TXT/?qid=1433754778270&amp;uri=OJ:JOL_2015_141_R_0003" TargetMode="External"/><Relationship Id="rId39" Type="http://schemas.openxmlformats.org/officeDocument/2006/relationships/hyperlink" Target="http://eur-lex.europa.eu/legal-content/EN/TXT/?qid=1433754778270&amp;uri=OJ:JOL_2015_141_R_0003" TargetMode="External"/><Relationship Id="rId34" Type="http://schemas.openxmlformats.org/officeDocument/2006/relationships/hyperlink" Target="http://eur-lex.europa.eu/legal-content/EN/TXT/?qid=1433754778270&amp;uri=OJ:JOL_2015_141_R_0003" TargetMode="External"/><Relationship Id="rId50" Type="http://schemas.openxmlformats.org/officeDocument/2006/relationships/hyperlink" Target="http://eur-lex.europa.eu/legal-content/EN/TXT/?uri=celex%3A32015L0849" TargetMode="External"/><Relationship Id="rId55" Type="http://schemas.openxmlformats.org/officeDocument/2006/relationships/hyperlink" Target="http://eur-lex.europa.eu/legal-content/EN/AUTO/?uri=OJ:L:2009:267:TOC" TargetMode="External"/><Relationship Id="rId76" Type="http://schemas.openxmlformats.org/officeDocument/2006/relationships/hyperlink" Target="http://eur-lex.europa.eu/legal-content/EN/TXT/?uri=celex%3A32015L0849" TargetMode="External"/><Relationship Id="rId97" Type="http://schemas.openxmlformats.org/officeDocument/2006/relationships/hyperlink" Target="http://eur-lex.europa.eu/legal-content/EN/AUTO/?uri=OJ:L:2013:182:TOC"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ur-lex.europa.eu/legal-content/EN/AUTO/?uri=OJ:L:2009:093:TOC" TargetMode="External"/><Relationship Id="rId92" Type="http://schemas.openxmlformats.org/officeDocument/2006/relationships/hyperlink" Target="http://eur-lex.europa.eu/legal-content/EN/TXT/?uri=celex%3A32015L0849" TargetMode="External"/><Relationship Id="rId2" Type="http://schemas.openxmlformats.org/officeDocument/2006/relationships/styles" Target="styles.xml"/><Relationship Id="rId29" Type="http://schemas.openxmlformats.org/officeDocument/2006/relationships/hyperlink" Target="http://eur-lex.europa.eu/legal-content/EN/TXT/?qid=1433754778270&amp;uri=OJ:JOL_2015_141_R_0003" TargetMode="External"/><Relationship Id="rId24" Type="http://schemas.openxmlformats.org/officeDocument/2006/relationships/hyperlink" Target="http://eur-lex.europa.eu/legal-content/EN/TXT/?uri=CELEX%3A32015L0849" TargetMode="External"/><Relationship Id="rId40" Type="http://schemas.openxmlformats.org/officeDocument/2006/relationships/hyperlink" Target="http://eur-lex.europa.eu/legal-content/EN/TXT/?qid=1433754778270&amp;uri=OJ:JOL_2015_141_R_0003" TargetMode="External"/><Relationship Id="rId45" Type="http://schemas.openxmlformats.org/officeDocument/2006/relationships/hyperlink" Target="http://eur-lex.europa.eu/legal-content/EN/TXT/?uri=celex%3A32015L0849" TargetMode="External"/><Relationship Id="rId66" Type="http://schemas.openxmlformats.org/officeDocument/2006/relationships/hyperlink" Target="http://eur-lex.europa.eu/legal-content/EN/TXT/?uri=celex%3A32015L0849" TargetMode="External"/><Relationship Id="rId87" Type="http://schemas.openxmlformats.org/officeDocument/2006/relationships/hyperlink" Target="http://eur-lex.europa.eu/legal-content/EN/AUTO/?uri=OJ:L:2009:335:TOC" TargetMode="External"/><Relationship Id="rId61" Type="http://schemas.openxmlformats.org/officeDocument/2006/relationships/hyperlink" Target="http://eur-lex.europa.eu/legal-content/EN/AUTO/?uri=OJ:L:2010:331:TOC" TargetMode="External"/><Relationship Id="rId82" Type="http://schemas.openxmlformats.org/officeDocument/2006/relationships/hyperlink" Target="http://eur-lex.europa.eu/legal-content/EN/TXT/?uri=celex%3A32015L0849" TargetMode="External"/><Relationship Id="rId19" Type="http://schemas.openxmlformats.org/officeDocument/2006/relationships/hyperlink" Target="http://eur-lex.europa.eu/legal-content/EN/TXT/?qid=1433754778270&amp;uri=OJ:JOL_2015_141_R_0003" TargetMode="External"/><Relationship Id="rId14" Type="http://schemas.openxmlformats.org/officeDocument/2006/relationships/hyperlink" Target="http://eur-lex.europa.eu/legal-content/EN/TXT/?qid=1433754778270&amp;uri=OJ:JOL_2015_141_R_0003" TargetMode="External"/><Relationship Id="rId30" Type="http://schemas.openxmlformats.org/officeDocument/2006/relationships/hyperlink" Target="http://eur-lex.europa.eu/legal-content/EN/TXT/?qid=1433754778270&amp;uri=OJ:JOL_2015_141_R_0003" TargetMode="External"/><Relationship Id="rId35" Type="http://schemas.openxmlformats.org/officeDocument/2006/relationships/hyperlink" Target="http://eur-lex.europa.eu/legal-content/EN/TXT/?qid=1433754778270&amp;uri=OJ:JOL_2015_141_R_0003" TargetMode="External"/><Relationship Id="rId56" Type="http://schemas.openxmlformats.org/officeDocument/2006/relationships/hyperlink" Target="http://eur-lex.europa.eu/legal-content/EN/TXT/?uri=celex%3A32015L0849" TargetMode="External"/><Relationship Id="rId77" Type="http://schemas.openxmlformats.org/officeDocument/2006/relationships/hyperlink" Target="http://eur-lex.europa.eu/legal-content/EN/AUTO/?uri=OJ:C:2014:032:TOC" TargetMode="External"/><Relationship Id="rId100" Type="http://schemas.openxmlformats.org/officeDocument/2006/relationships/hyperlink" Target="http://eur-lex.europa.eu/legal-content/EN/AUTO/?uri=OJ:L:2009:258:TOC" TargetMode="External"/><Relationship Id="rId8" Type="http://schemas.openxmlformats.org/officeDocument/2006/relationships/hyperlink" Target="http://eur-lex.europa.eu/legal-content/EN/TXT/?qid=1433754778270&amp;uri=OJ:JOL_2015_141_R_0003" TargetMode="External"/><Relationship Id="rId51" Type="http://schemas.openxmlformats.org/officeDocument/2006/relationships/hyperlink" Target="http://eur-lex.europa.eu/legal-content/EN/AUTO/?uri=OJ:L:2005:309:TOC" TargetMode="External"/><Relationship Id="rId72" Type="http://schemas.openxmlformats.org/officeDocument/2006/relationships/hyperlink" Target="http://eur-lex.europa.eu/legal-content/EN/TXT/?uri=celex%3A32015L0849" TargetMode="External"/><Relationship Id="rId93" Type="http://schemas.openxmlformats.org/officeDocument/2006/relationships/hyperlink" Target="http://eur-lex.europa.eu/legal-content/EN/AUTO/?uri=OJ:L:1998:351:TOC" TargetMode="External"/><Relationship Id="rId98" Type="http://schemas.openxmlformats.org/officeDocument/2006/relationships/hyperlink" Target="http://eur-lex.europa.eu/legal-content/EN/TXT/?uri=celex%3A32015L0849"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BAE6-40B9-4C75-8B57-EB6069E9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23502</Words>
  <Characters>153469</Characters>
  <Application>Microsoft Office Word</Application>
  <DocSecurity>0</DocSecurity>
  <Lines>3336</Lines>
  <Paragraphs>1393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lenovo.eufsp</dc:creator>
  <cp:lastModifiedBy>london</cp:lastModifiedBy>
  <cp:revision>2</cp:revision>
  <dcterms:created xsi:type="dcterms:W3CDTF">2016-03-03T10:57:00Z</dcterms:created>
  <dcterms:modified xsi:type="dcterms:W3CDTF">2016-03-03T10:57:00Z</dcterms:modified>
</cp:coreProperties>
</file>