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264" w:rsidRPr="00BE1959" w:rsidRDefault="00E25264" w:rsidP="00E25264">
      <w:pPr>
        <w:spacing w:before="240" w:after="120" w:line="312" w:lineRule="atLeast"/>
        <w:jc w:val="center"/>
        <w:textAlignment w:val="baseline"/>
        <w:rPr>
          <w:rFonts w:ascii="Times New Roman" w:eastAsia="Times New Roman" w:hAnsi="Times New Roman" w:cs="Times New Roman"/>
          <w:b/>
          <w:bCs/>
          <w:sz w:val="24"/>
          <w:szCs w:val="24"/>
          <w:lang w:val="uk-UA"/>
        </w:rPr>
      </w:pPr>
      <w:r w:rsidRPr="00BE1959">
        <w:rPr>
          <w:rFonts w:ascii="Times New Roman" w:eastAsia="Times New Roman" w:hAnsi="Times New Roman" w:cs="Times New Roman"/>
          <w:b/>
          <w:bCs/>
          <w:sz w:val="24"/>
          <w:szCs w:val="24"/>
          <w:lang w:val="uk-UA"/>
        </w:rPr>
        <w:t>ДИРЕКТИВА</w:t>
      </w:r>
      <w:r w:rsidR="005613AB" w:rsidRPr="00BE1959">
        <w:rPr>
          <w:rFonts w:ascii="Times New Roman" w:eastAsia="Times New Roman" w:hAnsi="Times New Roman" w:cs="Times New Roman"/>
          <w:b/>
          <w:bCs/>
          <w:sz w:val="24"/>
          <w:szCs w:val="24"/>
          <w:lang w:val="uk-UA"/>
        </w:rPr>
        <w:t xml:space="preserve"> </w:t>
      </w:r>
      <w:r w:rsidR="00231118" w:rsidRPr="00BE1959">
        <w:rPr>
          <w:rFonts w:ascii="Times New Roman" w:eastAsia="Times New Roman" w:hAnsi="Times New Roman" w:cs="Times New Roman"/>
          <w:b/>
          <w:bCs/>
          <w:sz w:val="24"/>
          <w:szCs w:val="24"/>
          <w:lang w:val="uk-UA"/>
        </w:rPr>
        <w:t>2014/65</w:t>
      </w:r>
      <w:r w:rsidR="005613AB" w:rsidRPr="00BE1959">
        <w:rPr>
          <w:rFonts w:ascii="Times New Roman" w:eastAsia="Times New Roman" w:hAnsi="Times New Roman" w:cs="Times New Roman"/>
          <w:b/>
          <w:bCs/>
          <w:sz w:val="24"/>
          <w:szCs w:val="24"/>
          <w:lang w:val="uk-UA"/>
        </w:rPr>
        <w:t xml:space="preserve">/EU </w:t>
      </w:r>
      <w:r w:rsidRPr="00BE1959">
        <w:rPr>
          <w:rFonts w:ascii="Times New Roman" w:eastAsia="Times New Roman" w:hAnsi="Times New Roman" w:cs="Times New Roman"/>
          <w:b/>
          <w:bCs/>
          <w:sz w:val="24"/>
          <w:szCs w:val="24"/>
          <w:lang w:val="uk-UA"/>
        </w:rPr>
        <w:t>ЄВРОПЕЙСЬКОГО ПАРЛАМЕНТУ ТА РАДИ</w:t>
      </w:r>
    </w:p>
    <w:p w:rsidR="005613AB" w:rsidRPr="00BE1959" w:rsidRDefault="00E25264" w:rsidP="005613AB">
      <w:pPr>
        <w:spacing w:before="240" w:after="120" w:line="312" w:lineRule="atLeast"/>
        <w:jc w:val="center"/>
        <w:textAlignment w:val="baseline"/>
        <w:rPr>
          <w:rFonts w:ascii="Times New Roman" w:eastAsia="Times New Roman" w:hAnsi="Times New Roman" w:cs="Times New Roman"/>
          <w:b/>
          <w:bCs/>
          <w:sz w:val="24"/>
          <w:szCs w:val="24"/>
          <w:lang w:val="uk-UA"/>
        </w:rPr>
      </w:pPr>
      <w:r w:rsidRPr="00BE1959">
        <w:rPr>
          <w:rFonts w:ascii="Times New Roman" w:eastAsia="Times New Roman" w:hAnsi="Times New Roman" w:cs="Times New Roman"/>
          <w:b/>
          <w:bCs/>
          <w:sz w:val="24"/>
          <w:szCs w:val="24"/>
          <w:lang w:val="uk-UA"/>
        </w:rPr>
        <w:t>від 15 травня 2014 р.</w:t>
      </w:r>
    </w:p>
    <w:p w:rsidR="005613AB" w:rsidRPr="00BE1959" w:rsidRDefault="00F4071D" w:rsidP="00E25264">
      <w:pPr>
        <w:spacing w:before="240" w:after="120" w:line="312" w:lineRule="atLeast"/>
        <w:jc w:val="center"/>
        <w:textAlignment w:val="baseline"/>
        <w:rPr>
          <w:rFonts w:ascii="Times New Roman" w:eastAsia="Times New Roman" w:hAnsi="Times New Roman" w:cs="Times New Roman"/>
          <w:b/>
          <w:bCs/>
          <w:sz w:val="24"/>
          <w:szCs w:val="24"/>
          <w:lang w:val="uk-UA"/>
        </w:rPr>
      </w:pPr>
      <w:r w:rsidRPr="00BE1959">
        <w:rPr>
          <w:rFonts w:ascii="Times New Roman" w:eastAsia="Times New Roman" w:hAnsi="Times New Roman" w:cs="Times New Roman"/>
          <w:b/>
          <w:bCs/>
          <w:sz w:val="24"/>
          <w:szCs w:val="24"/>
          <w:lang w:val="uk-UA"/>
        </w:rPr>
        <w:t xml:space="preserve">про </w:t>
      </w:r>
      <w:r w:rsidR="00E25264" w:rsidRPr="00BE1959">
        <w:rPr>
          <w:rFonts w:ascii="Times New Roman" w:eastAsia="Times New Roman" w:hAnsi="Times New Roman" w:cs="Times New Roman"/>
          <w:b/>
          <w:bCs/>
          <w:sz w:val="24"/>
          <w:szCs w:val="24"/>
          <w:lang w:val="uk-UA"/>
        </w:rPr>
        <w:t>ринк</w:t>
      </w:r>
      <w:r w:rsidRPr="00BE1959">
        <w:rPr>
          <w:rFonts w:ascii="Times New Roman" w:eastAsia="Times New Roman" w:hAnsi="Times New Roman" w:cs="Times New Roman"/>
          <w:b/>
          <w:bCs/>
          <w:sz w:val="24"/>
          <w:szCs w:val="24"/>
          <w:lang w:val="uk-UA"/>
        </w:rPr>
        <w:t>и</w:t>
      </w:r>
      <w:r w:rsidR="00E25264" w:rsidRPr="00BE1959">
        <w:rPr>
          <w:rFonts w:ascii="Times New Roman" w:eastAsia="Times New Roman" w:hAnsi="Times New Roman" w:cs="Times New Roman"/>
          <w:b/>
          <w:bCs/>
          <w:sz w:val="24"/>
          <w:szCs w:val="24"/>
          <w:lang w:val="uk-UA"/>
        </w:rPr>
        <w:t xml:space="preserve"> фінансових інструментів</w:t>
      </w:r>
      <w:r w:rsidRPr="00BE1959">
        <w:rPr>
          <w:rFonts w:ascii="Times New Roman" w:eastAsia="Times New Roman" w:hAnsi="Times New Roman" w:cs="Times New Roman"/>
          <w:b/>
          <w:bCs/>
          <w:sz w:val="24"/>
          <w:szCs w:val="24"/>
          <w:lang w:val="uk-UA"/>
        </w:rPr>
        <w:t>, якою вносяться зміни у</w:t>
      </w:r>
      <w:r w:rsidR="00E25264" w:rsidRPr="00BE1959">
        <w:rPr>
          <w:rFonts w:ascii="Times New Roman" w:eastAsia="Times New Roman" w:hAnsi="Times New Roman" w:cs="Times New Roman"/>
          <w:b/>
          <w:bCs/>
          <w:sz w:val="24"/>
          <w:szCs w:val="24"/>
          <w:lang w:val="uk-UA"/>
        </w:rPr>
        <w:t xml:space="preserve"> </w:t>
      </w:r>
      <w:r w:rsidR="00292C04" w:rsidRPr="00BE1959">
        <w:rPr>
          <w:rFonts w:ascii="Times New Roman" w:eastAsia="Times New Roman" w:hAnsi="Times New Roman" w:cs="Times New Roman"/>
          <w:b/>
          <w:bCs/>
          <w:sz w:val="24"/>
          <w:szCs w:val="24"/>
          <w:lang w:val="uk-UA"/>
        </w:rPr>
        <w:t xml:space="preserve">Директиви 2002/92/EC </w:t>
      </w:r>
      <w:r w:rsidR="00E25264" w:rsidRPr="00BE1959">
        <w:rPr>
          <w:rFonts w:ascii="Times New Roman" w:eastAsia="Times New Roman" w:hAnsi="Times New Roman" w:cs="Times New Roman"/>
          <w:b/>
          <w:bCs/>
          <w:sz w:val="24"/>
          <w:szCs w:val="24"/>
          <w:lang w:val="uk-UA"/>
        </w:rPr>
        <w:t>і</w:t>
      </w:r>
      <w:r w:rsidR="005613AB" w:rsidRPr="00BE1959">
        <w:rPr>
          <w:rFonts w:ascii="Times New Roman" w:eastAsia="Times New Roman" w:hAnsi="Times New Roman" w:cs="Times New Roman"/>
          <w:b/>
          <w:bCs/>
          <w:sz w:val="24"/>
          <w:szCs w:val="24"/>
          <w:lang w:val="uk-UA"/>
        </w:rPr>
        <w:t xml:space="preserve"> </w:t>
      </w:r>
      <w:r w:rsidR="00731CD8" w:rsidRPr="00BE1959">
        <w:rPr>
          <w:rFonts w:ascii="Times New Roman" w:eastAsia="Times New Roman" w:hAnsi="Times New Roman" w:cs="Times New Roman"/>
          <w:b/>
          <w:bCs/>
          <w:sz w:val="24"/>
          <w:szCs w:val="24"/>
          <w:lang w:val="uk-UA"/>
        </w:rPr>
        <w:t>Директиви 2011/61/</w:t>
      </w:r>
      <w:r w:rsidR="005613AB" w:rsidRPr="00BE1959">
        <w:rPr>
          <w:rFonts w:ascii="Times New Roman" w:eastAsia="Times New Roman" w:hAnsi="Times New Roman" w:cs="Times New Roman"/>
          <w:b/>
          <w:bCs/>
          <w:sz w:val="24"/>
          <w:szCs w:val="24"/>
          <w:lang w:val="uk-UA"/>
        </w:rPr>
        <w:t>EU</w:t>
      </w:r>
    </w:p>
    <w:p w:rsidR="005613AB" w:rsidRPr="00BE1959" w:rsidRDefault="005613AB" w:rsidP="005613AB">
      <w:pPr>
        <w:spacing w:before="240" w:after="120" w:line="312" w:lineRule="atLeast"/>
        <w:jc w:val="center"/>
        <w:textAlignment w:val="baseline"/>
        <w:rPr>
          <w:rFonts w:ascii="Times New Roman" w:eastAsia="Times New Roman" w:hAnsi="Times New Roman" w:cs="Times New Roman"/>
          <w:b/>
          <w:bCs/>
          <w:sz w:val="24"/>
          <w:szCs w:val="24"/>
          <w:lang w:val="uk-UA"/>
        </w:rPr>
      </w:pPr>
      <w:r w:rsidRPr="00BE1959">
        <w:rPr>
          <w:rFonts w:ascii="Times New Roman" w:eastAsia="Times New Roman" w:hAnsi="Times New Roman" w:cs="Times New Roman"/>
          <w:b/>
          <w:bCs/>
          <w:sz w:val="24"/>
          <w:szCs w:val="24"/>
          <w:lang w:val="uk-UA"/>
        </w:rPr>
        <w:t>(</w:t>
      </w:r>
      <w:r w:rsidR="00E25264" w:rsidRPr="00BE1959">
        <w:rPr>
          <w:rFonts w:ascii="Times New Roman" w:eastAsia="Times New Roman" w:hAnsi="Times New Roman" w:cs="Times New Roman"/>
          <w:b/>
          <w:bCs/>
          <w:sz w:val="24"/>
          <w:szCs w:val="24"/>
          <w:lang w:val="uk-UA"/>
        </w:rPr>
        <w:t>переглянута</w:t>
      </w:r>
      <w:r w:rsidRPr="00BE1959">
        <w:rPr>
          <w:rFonts w:ascii="Times New Roman" w:eastAsia="Times New Roman" w:hAnsi="Times New Roman" w:cs="Times New Roman"/>
          <w:b/>
          <w:bCs/>
          <w:sz w:val="24"/>
          <w:szCs w:val="24"/>
          <w:lang w:val="uk-UA"/>
        </w:rPr>
        <w:t>)</w:t>
      </w:r>
    </w:p>
    <w:p w:rsidR="005613AB" w:rsidRPr="00BE1959" w:rsidRDefault="005613AB" w:rsidP="005613AB">
      <w:pPr>
        <w:spacing w:before="240" w:after="120" w:line="312" w:lineRule="atLeast"/>
        <w:jc w:val="center"/>
        <w:textAlignment w:val="baseline"/>
        <w:rPr>
          <w:rFonts w:ascii="Times New Roman" w:eastAsia="Times New Roman" w:hAnsi="Times New Roman" w:cs="Times New Roman"/>
          <w:b/>
          <w:bCs/>
          <w:sz w:val="24"/>
          <w:szCs w:val="24"/>
          <w:lang w:val="uk-UA"/>
        </w:rPr>
      </w:pPr>
      <w:r w:rsidRPr="00BE1959">
        <w:rPr>
          <w:rFonts w:ascii="Times New Roman" w:eastAsia="Times New Roman" w:hAnsi="Times New Roman" w:cs="Times New Roman"/>
          <w:b/>
          <w:bCs/>
          <w:sz w:val="24"/>
          <w:szCs w:val="24"/>
          <w:lang w:val="uk-UA"/>
        </w:rPr>
        <w:t>(</w:t>
      </w:r>
      <w:r w:rsidR="00E25264" w:rsidRPr="00BE1959">
        <w:rPr>
          <w:rFonts w:ascii="Times New Roman" w:eastAsia="Times New Roman" w:hAnsi="Times New Roman" w:cs="Times New Roman"/>
          <w:b/>
          <w:bCs/>
          <w:sz w:val="24"/>
          <w:szCs w:val="24"/>
          <w:lang w:val="uk-UA"/>
        </w:rPr>
        <w:t>Текст до</w:t>
      </w:r>
      <w:r w:rsidR="00292C04" w:rsidRPr="00BE1959">
        <w:rPr>
          <w:rFonts w:ascii="Times New Roman" w:eastAsia="Times New Roman" w:hAnsi="Times New Roman" w:cs="Times New Roman"/>
          <w:b/>
          <w:bCs/>
          <w:sz w:val="24"/>
          <w:szCs w:val="24"/>
          <w:lang w:val="uk-UA"/>
        </w:rPr>
        <w:t>речний для ЄЕП</w:t>
      </w:r>
      <w:r w:rsidRPr="00BE1959">
        <w:rPr>
          <w:rFonts w:ascii="Times New Roman" w:eastAsia="Times New Roman" w:hAnsi="Times New Roman" w:cs="Times New Roman"/>
          <w:b/>
          <w:bCs/>
          <w:sz w:val="24"/>
          <w:szCs w:val="24"/>
          <w:lang w:val="uk-UA"/>
        </w:rPr>
        <w:t>)</w:t>
      </w:r>
    </w:p>
    <w:p w:rsidR="005613AB" w:rsidRPr="00BE1959" w:rsidRDefault="00ED2EC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ЄВРОПЕЙСЬКИЙ ПАРЛАМЕНТ ТА РАДА ЄВРОПЕЙСЬКОГО СОЮЗУ,</w:t>
      </w:r>
    </w:p>
    <w:p w:rsidR="005613AB" w:rsidRPr="00BE1959" w:rsidRDefault="00ED2EC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hAnsi="Times New Roman" w:cs="Times New Roman"/>
          <w:color w:val="000000"/>
          <w:sz w:val="24"/>
          <w:szCs w:val="24"/>
          <w:lang w:val="uk-UA"/>
        </w:rPr>
        <w:t xml:space="preserve">Беручи до уваги Договір про функціонування Європейського Союзу, зокрема його статтю </w:t>
      </w:r>
      <w:r w:rsidR="001C2C0B" w:rsidRPr="00BE1959">
        <w:rPr>
          <w:rFonts w:ascii="Times New Roman" w:hAnsi="Times New Roman" w:cs="Times New Roman"/>
          <w:color w:val="000000"/>
          <w:sz w:val="24"/>
          <w:szCs w:val="24"/>
          <w:lang w:val="uk-UA"/>
        </w:rPr>
        <w:t>53(1)</w:t>
      </w:r>
      <w:r w:rsidR="005613AB" w:rsidRPr="00BE1959">
        <w:rPr>
          <w:rFonts w:ascii="Times New Roman" w:eastAsia="Times New Roman" w:hAnsi="Times New Roman" w:cs="Times New Roman"/>
          <w:sz w:val="24"/>
          <w:szCs w:val="24"/>
          <w:lang w:val="uk-UA"/>
        </w:rPr>
        <w:t>,</w:t>
      </w:r>
    </w:p>
    <w:p w:rsidR="005613AB" w:rsidRPr="00BE1959" w:rsidRDefault="001C2C0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Беручи до уваги пропозицію Європейської Комісії,</w:t>
      </w:r>
    </w:p>
    <w:p w:rsidR="005613AB" w:rsidRPr="00BE1959" w:rsidRDefault="001C2C0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Після передачі проекту законодавчого акту до національних парламентів,</w:t>
      </w:r>
    </w:p>
    <w:p w:rsidR="005613AB" w:rsidRPr="00BE1959" w:rsidRDefault="001C2C0B" w:rsidP="005613AB">
      <w:pPr>
        <w:spacing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Беручи до уваги висновок Європейського центрального банку</w:t>
      </w:r>
      <w:r w:rsidRPr="00BE1959">
        <w:rPr>
          <w:rFonts w:ascii="Times New Roman" w:hAnsi="Times New Roman" w:cs="Times New Roman"/>
          <w:sz w:val="24"/>
          <w:szCs w:val="24"/>
          <w:lang w:val="uk-UA"/>
        </w:rPr>
        <w:t xml:space="preserve"> </w:t>
      </w:r>
      <w:hyperlink r:id="rId6" w:anchor="ntr1-L_2014173EN.01034901-E0001" w:history="1">
        <w:r w:rsidR="005613AB" w:rsidRPr="00BE1959">
          <w:rPr>
            <w:rFonts w:ascii="Times New Roman" w:eastAsia="Times New Roman" w:hAnsi="Times New Roman" w:cs="Times New Roman"/>
            <w:sz w:val="24"/>
            <w:szCs w:val="24"/>
            <w:bdr w:val="none" w:sz="0" w:space="0" w:color="auto" w:frame="1"/>
            <w:lang w:val="uk-UA"/>
          </w:rPr>
          <w:t> (</w:t>
        </w:r>
        <w:r w:rsidR="005613AB" w:rsidRPr="00BE1959">
          <w:rPr>
            <w:rFonts w:ascii="Times New Roman" w:eastAsia="Times New Roman" w:hAnsi="Times New Roman" w:cs="Times New Roman"/>
            <w:sz w:val="24"/>
            <w:szCs w:val="24"/>
            <w:bdr w:val="none" w:sz="0" w:space="0" w:color="auto" w:frame="1"/>
            <w:vertAlign w:val="superscript"/>
            <w:lang w:val="uk-UA"/>
          </w:rPr>
          <w:t>1</w:t>
        </w:r>
        <w:r w:rsidR="005613AB" w:rsidRPr="00BE1959">
          <w:rPr>
            <w:rFonts w:ascii="Times New Roman" w:eastAsia="Times New Roman" w:hAnsi="Times New Roman" w:cs="Times New Roman"/>
            <w:sz w:val="24"/>
            <w:szCs w:val="24"/>
            <w:bdr w:val="none" w:sz="0" w:space="0" w:color="auto" w:frame="1"/>
            <w:lang w:val="uk-UA"/>
          </w:rPr>
          <w:t>)</w:t>
        </w:r>
      </w:hyperlink>
      <w:r w:rsidR="005613AB" w:rsidRPr="00BE1959">
        <w:rPr>
          <w:rFonts w:ascii="Times New Roman" w:eastAsia="Times New Roman" w:hAnsi="Times New Roman" w:cs="Times New Roman"/>
          <w:sz w:val="24"/>
          <w:szCs w:val="24"/>
          <w:lang w:val="uk-UA"/>
        </w:rPr>
        <w:t>,</w:t>
      </w:r>
    </w:p>
    <w:p w:rsidR="005613AB" w:rsidRPr="00BE1959" w:rsidRDefault="001C2C0B" w:rsidP="005613AB">
      <w:pPr>
        <w:spacing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Беручи до уваги висновок Європейського економічно-соціального комітету</w:t>
      </w:r>
      <w:r w:rsidRPr="00BE1959">
        <w:rPr>
          <w:rFonts w:ascii="Times New Roman" w:hAnsi="Times New Roman" w:cs="Times New Roman"/>
          <w:sz w:val="24"/>
          <w:szCs w:val="24"/>
          <w:lang w:val="uk-UA"/>
        </w:rPr>
        <w:t xml:space="preserve"> </w:t>
      </w:r>
      <w:hyperlink r:id="rId7" w:anchor="ntr2-L_2014173EN.01034901-E0002" w:history="1">
        <w:r w:rsidR="005613AB" w:rsidRPr="00BE1959">
          <w:rPr>
            <w:rFonts w:ascii="Times New Roman" w:eastAsia="Times New Roman" w:hAnsi="Times New Roman" w:cs="Times New Roman"/>
            <w:sz w:val="24"/>
            <w:szCs w:val="24"/>
            <w:bdr w:val="none" w:sz="0" w:space="0" w:color="auto" w:frame="1"/>
            <w:lang w:val="uk-UA"/>
          </w:rPr>
          <w:t> (</w:t>
        </w:r>
        <w:r w:rsidR="005613AB" w:rsidRPr="00BE1959">
          <w:rPr>
            <w:rFonts w:ascii="Times New Roman" w:eastAsia="Times New Roman" w:hAnsi="Times New Roman" w:cs="Times New Roman"/>
            <w:sz w:val="24"/>
            <w:szCs w:val="24"/>
            <w:bdr w:val="none" w:sz="0" w:space="0" w:color="auto" w:frame="1"/>
            <w:vertAlign w:val="superscript"/>
            <w:lang w:val="uk-UA"/>
          </w:rPr>
          <w:t>2</w:t>
        </w:r>
        <w:r w:rsidR="005613AB" w:rsidRPr="00BE1959">
          <w:rPr>
            <w:rFonts w:ascii="Times New Roman" w:eastAsia="Times New Roman" w:hAnsi="Times New Roman" w:cs="Times New Roman"/>
            <w:sz w:val="24"/>
            <w:szCs w:val="24"/>
            <w:bdr w:val="none" w:sz="0" w:space="0" w:color="auto" w:frame="1"/>
            <w:lang w:val="uk-UA"/>
          </w:rPr>
          <w:t>)</w:t>
        </w:r>
      </w:hyperlink>
      <w:r w:rsidR="005613AB" w:rsidRPr="00BE1959">
        <w:rPr>
          <w:rFonts w:ascii="Times New Roman" w:eastAsia="Times New Roman" w:hAnsi="Times New Roman" w:cs="Times New Roman"/>
          <w:sz w:val="24"/>
          <w:szCs w:val="24"/>
          <w:lang w:val="uk-UA"/>
        </w:rPr>
        <w:t>,</w:t>
      </w:r>
    </w:p>
    <w:p w:rsidR="005613AB" w:rsidRPr="00BE1959" w:rsidRDefault="001C2C0B" w:rsidP="005613AB">
      <w:pPr>
        <w:spacing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Діючи відповідно до звичайної законодавчої процедури</w:t>
      </w:r>
      <w:r w:rsidRPr="00BE1959">
        <w:rPr>
          <w:rFonts w:ascii="Times New Roman" w:hAnsi="Times New Roman" w:cs="Times New Roman"/>
          <w:sz w:val="24"/>
          <w:szCs w:val="24"/>
          <w:lang w:val="uk-UA"/>
        </w:rPr>
        <w:t xml:space="preserve"> </w:t>
      </w:r>
      <w:hyperlink r:id="rId8" w:anchor="ntr3-L_2014173EN.01034901-E0003" w:history="1">
        <w:r w:rsidR="005613AB" w:rsidRPr="00BE1959">
          <w:rPr>
            <w:rFonts w:ascii="Times New Roman" w:eastAsia="Times New Roman" w:hAnsi="Times New Roman" w:cs="Times New Roman"/>
            <w:sz w:val="24"/>
            <w:szCs w:val="24"/>
            <w:bdr w:val="none" w:sz="0" w:space="0" w:color="auto" w:frame="1"/>
            <w:lang w:val="uk-UA"/>
          </w:rPr>
          <w:t> (</w:t>
        </w:r>
        <w:r w:rsidR="005613AB" w:rsidRPr="00BE1959">
          <w:rPr>
            <w:rFonts w:ascii="Times New Roman" w:eastAsia="Times New Roman" w:hAnsi="Times New Roman" w:cs="Times New Roman"/>
            <w:sz w:val="24"/>
            <w:szCs w:val="24"/>
            <w:bdr w:val="none" w:sz="0" w:space="0" w:color="auto" w:frame="1"/>
            <w:vertAlign w:val="superscript"/>
            <w:lang w:val="uk-UA"/>
          </w:rPr>
          <w:t>3</w:t>
        </w:r>
        <w:r w:rsidR="005613AB" w:rsidRPr="00BE1959">
          <w:rPr>
            <w:rFonts w:ascii="Times New Roman" w:eastAsia="Times New Roman" w:hAnsi="Times New Roman" w:cs="Times New Roman"/>
            <w:sz w:val="24"/>
            <w:szCs w:val="24"/>
            <w:bdr w:val="none" w:sz="0" w:space="0" w:color="auto" w:frame="1"/>
            <w:lang w:val="uk-UA"/>
          </w:rPr>
          <w:t>)</w:t>
        </w:r>
      </w:hyperlink>
      <w:r w:rsidR="005613AB" w:rsidRPr="00BE1959">
        <w:rPr>
          <w:rFonts w:ascii="Times New Roman" w:eastAsia="Times New Roman" w:hAnsi="Times New Roman" w:cs="Times New Roman"/>
          <w:sz w:val="24"/>
          <w:szCs w:val="24"/>
          <w:lang w:val="uk-UA"/>
        </w:rPr>
        <w:t>,</w:t>
      </w:r>
    </w:p>
    <w:p w:rsidR="005613AB" w:rsidRPr="00BE1959" w:rsidRDefault="001C2C0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Ураховуючи, що:</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DC204E" w:rsidP="00E940C9">
            <w:pPr>
              <w:spacing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У Директиву </w:t>
            </w:r>
            <w:r w:rsidR="00A03F25" w:rsidRPr="00BE1959">
              <w:rPr>
                <w:rFonts w:ascii="Times New Roman" w:eastAsia="Times New Roman" w:hAnsi="Times New Roman" w:cs="Times New Roman"/>
                <w:sz w:val="24"/>
                <w:szCs w:val="24"/>
                <w:lang w:val="uk-UA"/>
              </w:rPr>
              <w:t xml:space="preserve">2004/39/EC </w:t>
            </w:r>
            <w:r w:rsidRPr="00BE1959">
              <w:rPr>
                <w:rFonts w:ascii="Times New Roman" w:eastAsia="Times New Roman" w:hAnsi="Times New Roman" w:cs="Times New Roman"/>
                <w:sz w:val="24"/>
                <w:szCs w:val="24"/>
                <w:lang w:val="uk-UA"/>
              </w:rPr>
              <w:t>Європейського Парламенту та Ради</w:t>
            </w:r>
            <w:hyperlink r:id="rId9" w:anchor="ntr4-L_2014173EN.01034901-E0004" w:history="1">
              <w:r w:rsidR="005613AB" w:rsidRPr="00BE1959">
                <w:rPr>
                  <w:rFonts w:ascii="Times New Roman" w:eastAsia="Times New Roman" w:hAnsi="Times New Roman" w:cs="Times New Roman"/>
                  <w:sz w:val="24"/>
                  <w:szCs w:val="24"/>
                  <w:bdr w:val="none" w:sz="0" w:space="0" w:color="auto" w:frame="1"/>
                  <w:lang w:val="uk-UA"/>
                </w:rPr>
                <w:t> (</w:t>
              </w:r>
              <w:r w:rsidR="005613AB" w:rsidRPr="00BE1959">
                <w:rPr>
                  <w:rFonts w:ascii="Times New Roman" w:eastAsia="Times New Roman" w:hAnsi="Times New Roman" w:cs="Times New Roman"/>
                  <w:sz w:val="24"/>
                  <w:szCs w:val="24"/>
                  <w:bdr w:val="none" w:sz="0" w:space="0" w:color="auto" w:frame="1"/>
                  <w:vertAlign w:val="superscript"/>
                  <w:lang w:val="uk-UA"/>
                </w:rPr>
                <w:t>4</w:t>
              </w:r>
              <w:r w:rsidR="005613AB" w:rsidRPr="00BE1959">
                <w:rPr>
                  <w:rFonts w:ascii="Times New Roman" w:eastAsia="Times New Roman" w:hAnsi="Times New Roman" w:cs="Times New Roman"/>
                  <w:sz w:val="24"/>
                  <w:szCs w:val="24"/>
                  <w:bdr w:val="none" w:sz="0" w:space="0" w:color="auto" w:frame="1"/>
                  <w:lang w:val="uk-UA"/>
                </w:rPr>
                <w:t>)</w:t>
              </w:r>
            </w:hyperlink>
            <w:r w:rsidR="005613AB" w:rsidRPr="00BE1959">
              <w:rPr>
                <w:rFonts w:ascii="Times New Roman" w:eastAsia="Times New Roman" w:hAnsi="Times New Roman" w:cs="Times New Roman"/>
                <w:sz w:val="24"/>
                <w:szCs w:val="24"/>
                <w:lang w:val="uk-UA"/>
              </w:rPr>
              <w:t> </w:t>
            </w:r>
            <w:r w:rsidRPr="00BE1959">
              <w:rPr>
                <w:rFonts w:ascii="Times New Roman" w:eastAsia="Times New Roman" w:hAnsi="Times New Roman" w:cs="Times New Roman"/>
                <w:sz w:val="24"/>
                <w:szCs w:val="24"/>
                <w:lang w:val="uk-UA"/>
              </w:rPr>
              <w:t>неодноразово вносилися істотні зміни</w:t>
            </w:r>
            <w:hyperlink r:id="rId10" w:anchor="ntr5-L_2014173EN.01034901-E0005" w:history="1">
              <w:r w:rsidR="005613AB" w:rsidRPr="00BE1959">
                <w:rPr>
                  <w:rFonts w:ascii="Times New Roman" w:eastAsia="Times New Roman" w:hAnsi="Times New Roman" w:cs="Times New Roman"/>
                  <w:sz w:val="24"/>
                  <w:szCs w:val="24"/>
                  <w:bdr w:val="none" w:sz="0" w:space="0" w:color="auto" w:frame="1"/>
                  <w:lang w:val="uk-UA"/>
                </w:rPr>
                <w:t> (</w:t>
              </w:r>
              <w:r w:rsidR="005613AB" w:rsidRPr="00BE1959">
                <w:rPr>
                  <w:rFonts w:ascii="Times New Roman" w:eastAsia="Times New Roman" w:hAnsi="Times New Roman" w:cs="Times New Roman"/>
                  <w:sz w:val="24"/>
                  <w:szCs w:val="24"/>
                  <w:bdr w:val="none" w:sz="0" w:space="0" w:color="auto" w:frame="1"/>
                  <w:vertAlign w:val="superscript"/>
                  <w:lang w:val="uk-UA"/>
                </w:rPr>
                <w:t>5</w:t>
              </w:r>
              <w:r w:rsidR="005613AB" w:rsidRPr="00BE1959">
                <w:rPr>
                  <w:rFonts w:ascii="Times New Roman" w:eastAsia="Times New Roman" w:hAnsi="Times New Roman" w:cs="Times New Roman"/>
                  <w:sz w:val="24"/>
                  <w:szCs w:val="24"/>
                  <w:bdr w:val="none" w:sz="0" w:space="0" w:color="auto" w:frame="1"/>
                  <w:lang w:val="uk-UA"/>
                </w:rPr>
                <w:t>)</w:t>
              </w:r>
            </w:hyperlink>
            <w:r w:rsidR="005613AB" w:rsidRPr="00BE1959">
              <w:rPr>
                <w:rFonts w:ascii="Times New Roman" w:eastAsia="Times New Roman" w:hAnsi="Times New Roman" w:cs="Times New Roman"/>
                <w:sz w:val="24"/>
                <w:szCs w:val="24"/>
                <w:lang w:val="uk-UA"/>
              </w:rPr>
              <w:t xml:space="preserve">. </w:t>
            </w:r>
            <w:r w:rsidRPr="00BE1959">
              <w:rPr>
                <w:rFonts w:ascii="Times New Roman" w:eastAsia="Times New Roman" w:hAnsi="Times New Roman" w:cs="Times New Roman"/>
                <w:sz w:val="24"/>
                <w:szCs w:val="24"/>
                <w:lang w:val="uk-UA"/>
              </w:rPr>
              <w:t>Оскільки необхідно внести подальші зміни</w:t>
            </w:r>
            <w:r w:rsidR="00E940C9" w:rsidRPr="00BE1959">
              <w:rPr>
                <w:rFonts w:ascii="Times New Roman" w:eastAsia="Times New Roman" w:hAnsi="Times New Roman" w:cs="Times New Roman"/>
                <w:sz w:val="24"/>
                <w:szCs w:val="24"/>
                <w:lang w:val="uk-UA"/>
              </w:rPr>
              <w:t>, цю директиву в інтересах ясності слід переглянути.</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(2)</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392DDE" w:rsidP="00461C14">
            <w:pPr>
              <w:spacing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Директива Ради</w:t>
            </w:r>
            <w:r w:rsidR="005613AB" w:rsidRPr="00BE1959">
              <w:rPr>
                <w:rFonts w:ascii="Times New Roman" w:eastAsia="Times New Roman" w:hAnsi="Times New Roman" w:cs="Times New Roman"/>
                <w:sz w:val="24"/>
                <w:szCs w:val="24"/>
                <w:lang w:val="uk-UA"/>
              </w:rPr>
              <w:t xml:space="preserve"> 93/22/EEC</w:t>
            </w:r>
            <w:hyperlink r:id="rId11" w:anchor="ntr6-L_2014173EN.01034901-E0006" w:history="1">
              <w:r w:rsidR="005613AB" w:rsidRPr="00BE1959">
                <w:rPr>
                  <w:rFonts w:ascii="Times New Roman" w:eastAsia="Times New Roman" w:hAnsi="Times New Roman" w:cs="Times New Roman"/>
                  <w:sz w:val="24"/>
                  <w:szCs w:val="24"/>
                  <w:bdr w:val="none" w:sz="0" w:space="0" w:color="auto" w:frame="1"/>
                  <w:lang w:val="uk-UA"/>
                </w:rPr>
                <w:t> (</w:t>
              </w:r>
              <w:r w:rsidR="005613AB" w:rsidRPr="00BE1959">
                <w:rPr>
                  <w:rFonts w:ascii="Times New Roman" w:eastAsia="Times New Roman" w:hAnsi="Times New Roman" w:cs="Times New Roman"/>
                  <w:sz w:val="24"/>
                  <w:szCs w:val="24"/>
                  <w:bdr w:val="none" w:sz="0" w:space="0" w:color="auto" w:frame="1"/>
                  <w:vertAlign w:val="superscript"/>
                  <w:lang w:val="uk-UA"/>
                </w:rPr>
                <w:t>6</w:t>
              </w:r>
              <w:r w:rsidR="005613AB" w:rsidRPr="00BE1959">
                <w:rPr>
                  <w:rFonts w:ascii="Times New Roman" w:eastAsia="Times New Roman" w:hAnsi="Times New Roman" w:cs="Times New Roman"/>
                  <w:sz w:val="24"/>
                  <w:szCs w:val="24"/>
                  <w:bdr w:val="none" w:sz="0" w:space="0" w:color="auto" w:frame="1"/>
                  <w:lang w:val="uk-UA"/>
                </w:rPr>
                <w:t>)</w:t>
              </w:r>
            </w:hyperlink>
            <w:r w:rsidR="005613AB" w:rsidRPr="00BE1959">
              <w:rPr>
                <w:rFonts w:ascii="Times New Roman" w:eastAsia="Times New Roman" w:hAnsi="Times New Roman" w:cs="Times New Roman"/>
                <w:sz w:val="24"/>
                <w:szCs w:val="24"/>
                <w:lang w:val="uk-UA"/>
              </w:rPr>
              <w:t> </w:t>
            </w:r>
            <w:r w:rsidRPr="00BE1959">
              <w:rPr>
                <w:rFonts w:ascii="Times New Roman" w:eastAsia="Times New Roman" w:hAnsi="Times New Roman" w:cs="Times New Roman"/>
                <w:sz w:val="24"/>
                <w:szCs w:val="24"/>
                <w:lang w:val="uk-UA"/>
              </w:rPr>
              <w:t xml:space="preserve">мала на меті створити умови, за яких уповноважені інвестиційні фірми та банки могли б надавати зазначені послуги або створювати філії в інших державах-членах на основі </w:t>
            </w:r>
            <w:r w:rsidR="00461C14" w:rsidRPr="00BE1959">
              <w:rPr>
                <w:rFonts w:ascii="Times New Roman" w:eastAsia="Times New Roman" w:hAnsi="Times New Roman" w:cs="Times New Roman"/>
                <w:sz w:val="24"/>
                <w:szCs w:val="24"/>
                <w:lang w:val="uk-UA"/>
              </w:rPr>
              <w:t>повноважень</w:t>
            </w:r>
            <w:r w:rsidR="004511DA" w:rsidRPr="00BE1959">
              <w:rPr>
                <w:rFonts w:ascii="Times New Roman" w:eastAsia="Times New Roman" w:hAnsi="Times New Roman" w:cs="Times New Roman"/>
                <w:sz w:val="24"/>
                <w:szCs w:val="24"/>
                <w:lang w:val="uk-UA"/>
              </w:rPr>
              <w:t>, отриманих у державі походження, та відповідного нагляду. З цією метою згадана директива була спрямована на гармонізацію початкових вимог щодо</w:t>
            </w:r>
            <w:r w:rsidR="004A25EA" w:rsidRPr="00BE1959">
              <w:rPr>
                <w:rFonts w:ascii="Times New Roman" w:eastAsia="Times New Roman" w:hAnsi="Times New Roman" w:cs="Times New Roman"/>
                <w:sz w:val="24"/>
                <w:szCs w:val="24"/>
                <w:lang w:val="uk-UA"/>
              </w:rPr>
              <w:t xml:space="preserve"> надання повноважень інвестиційним фірмам і </w:t>
            </w:r>
            <w:r w:rsidR="00461C14" w:rsidRPr="00BE1959">
              <w:rPr>
                <w:rFonts w:ascii="Times New Roman" w:eastAsia="Times New Roman" w:hAnsi="Times New Roman" w:cs="Times New Roman"/>
                <w:sz w:val="24"/>
                <w:szCs w:val="24"/>
                <w:lang w:val="uk-UA"/>
              </w:rPr>
              <w:t>вимог до їхнього функціонування, включаючи правила ведення діяльності. Вона також передбачала гармонізацію деяких умов, які регулювали діяльність регульованих ринків.</w:t>
            </w:r>
            <w:r w:rsidR="004511DA" w:rsidRPr="00BE1959">
              <w:rPr>
                <w:rFonts w:ascii="Times New Roman" w:eastAsia="Times New Roman" w:hAnsi="Times New Roman" w:cs="Times New Roman"/>
                <w:sz w:val="24"/>
                <w:szCs w:val="24"/>
                <w:lang w:val="uk-UA"/>
              </w:rPr>
              <w:t xml:space="preserve"> </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5613AB" w:rsidRPr="00BE1959"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(3)</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461C14" w:rsidP="008D602D">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В останні роки </w:t>
            </w:r>
            <w:r w:rsidR="00AA6DC6" w:rsidRPr="00BE1959">
              <w:rPr>
                <w:rFonts w:ascii="Times New Roman" w:eastAsia="Times New Roman" w:hAnsi="Times New Roman" w:cs="Times New Roman"/>
                <w:sz w:val="24"/>
                <w:szCs w:val="24"/>
                <w:lang w:val="uk-UA"/>
              </w:rPr>
              <w:t xml:space="preserve">кількість інвесторів, які почали вести активну діяльність на фінансових ринках, зросла, </w:t>
            </w:r>
            <w:r w:rsidRPr="00BE1959">
              <w:rPr>
                <w:rFonts w:ascii="Times New Roman" w:eastAsia="Times New Roman" w:hAnsi="Times New Roman" w:cs="Times New Roman"/>
                <w:sz w:val="24"/>
                <w:szCs w:val="24"/>
                <w:lang w:val="uk-UA"/>
              </w:rPr>
              <w:t xml:space="preserve">і їм пропонується ще складніший широкомасштабний набір послуг та інструментів. </w:t>
            </w:r>
            <w:r w:rsidR="00AA6DC6" w:rsidRPr="00BE1959">
              <w:rPr>
                <w:rFonts w:ascii="Times New Roman" w:eastAsia="Times New Roman" w:hAnsi="Times New Roman" w:cs="Times New Roman"/>
                <w:sz w:val="24"/>
                <w:szCs w:val="24"/>
                <w:lang w:val="uk-UA"/>
              </w:rPr>
              <w:t>Ураховуючи такий розвиток подій, правова база Союзу повинна охоплювати весь спектр видів діяльності, орієнтованих на інвесторів. З цією метою необхідно передбачити певну ступінь гармонізації, необхідної для забезпечення інвесторам високого рівня захисту й надання інвестиційним фірмам можливості надавати послуги на в</w:t>
            </w:r>
            <w:r w:rsidR="008D602D" w:rsidRPr="00BE1959">
              <w:rPr>
                <w:rFonts w:ascii="Times New Roman" w:eastAsia="Times New Roman" w:hAnsi="Times New Roman" w:cs="Times New Roman"/>
                <w:sz w:val="24"/>
                <w:szCs w:val="24"/>
                <w:lang w:val="uk-UA"/>
              </w:rPr>
              <w:t xml:space="preserve">сій території Союзу, який є внутрішнім ринком, на основі нагляду з боку держави походження. Тому Директива </w:t>
            </w:r>
            <w:r w:rsidR="005613AB" w:rsidRPr="00BE1959">
              <w:rPr>
                <w:rFonts w:ascii="Times New Roman" w:eastAsia="Times New Roman" w:hAnsi="Times New Roman" w:cs="Times New Roman"/>
                <w:sz w:val="24"/>
                <w:szCs w:val="24"/>
                <w:lang w:val="uk-UA"/>
              </w:rPr>
              <w:t xml:space="preserve">93/22/EEC </w:t>
            </w:r>
            <w:r w:rsidR="008D602D" w:rsidRPr="00BE1959">
              <w:rPr>
                <w:rFonts w:ascii="Times New Roman" w:eastAsia="Times New Roman" w:hAnsi="Times New Roman" w:cs="Times New Roman"/>
                <w:sz w:val="24"/>
                <w:szCs w:val="24"/>
                <w:lang w:val="uk-UA"/>
              </w:rPr>
              <w:t xml:space="preserve">була замінена </w:t>
            </w:r>
            <w:r w:rsidR="008D602D" w:rsidRPr="00BE1959">
              <w:rPr>
                <w:rFonts w:ascii="Times New Roman" w:eastAsia="Times New Roman" w:hAnsi="Times New Roman" w:cs="Times New Roman"/>
                <w:sz w:val="24"/>
                <w:szCs w:val="24"/>
                <w:lang w:val="uk-UA"/>
              </w:rPr>
              <w:lastRenderedPageBreak/>
              <w:t>Директивою</w:t>
            </w:r>
            <w:r w:rsidR="005613AB" w:rsidRPr="00BE1959">
              <w:rPr>
                <w:rFonts w:ascii="Times New Roman" w:eastAsia="Times New Roman" w:hAnsi="Times New Roman" w:cs="Times New Roman"/>
                <w:sz w:val="24"/>
                <w:szCs w:val="24"/>
                <w:lang w:val="uk-UA"/>
              </w:rPr>
              <w:t xml:space="preserve"> 2004/39/EC.</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(4)</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6B09F8" w:rsidP="00F1513F">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Фінансова криза виявила слабкі сторони у функціонуванні та прозорості фінансових ринків. Еволюція фінансових ринків виявила потребу у зміцненні основи для регулювання ринків фінансових інструментів, </w:t>
            </w:r>
            <w:r w:rsidR="00F1513F" w:rsidRPr="00BE1959">
              <w:rPr>
                <w:rFonts w:ascii="Times New Roman" w:eastAsia="Times New Roman" w:hAnsi="Times New Roman" w:cs="Times New Roman"/>
                <w:sz w:val="24"/>
                <w:szCs w:val="24"/>
                <w:lang w:val="uk-UA"/>
              </w:rPr>
              <w:t>зокрема там, де торгівля на таких ринках здійснюється на позабіржовій основі, з метою підвищення прозорості, посилення захисту інвесторів, зміцнення довіри, охоплення нерегульованих сфер і забезпечення надання наглядовим органам достатніх повноважень для виконання ними поставлених задач.</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(5)</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7E26B5" w:rsidP="002B06A7">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Між наглядовими органами досягнуто згоди на міжнародному рівні щодо того, що недоліки у корпоративному управлінні ряду фінансових установ, зокрема відсутність у них ефективних стримувань </w:t>
            </w:r>
            <w:r w:rsidR="001478B9" w:rsidRPr="00BE1959">
              <w:rPr>
                <w:rFonts w:ascii="Times New Roman" w:eastAsia="Times New Roman" w:hAnsi="Times New Roman" w:cs="Times New Roman"/>
                <w:sz w:val="24"/>
                <w:szCs w:val="24"/>
                <w:lang w:val="uk-UA"/>
              </w:rPr>
              <w:t>і противаг, стали сприятливим фактором для фінансової кр</w:t>
            </w:r>
            <w:r w:rsidR="001D3A39" w:rsidRPr="00BE1959">
              <w:rPr>
                <w:rFonts w:ascii="Times New Roman" w:eastAsia="Times New Roman" w:hAnsi="Times New Roman" w:cs="Times New Roman"/>
                <w:sz w:val="24"/>
                <w:szCs w:val="24"/>
                <w:lang w:val="uk-UA"/>
              </w:rPr>
              <w:t>изи. Нерозсудливе прийняття надмірних ризиків може приводити до краху окремих фінансових установ і системних проблем як у державах-членах, так і у глобальному масштабі. Неправильна поведінка фірм, що надають послуги клі</w:t>
            </w:r>
            <w:r w:rsidR="002B06A7" w:rsidRPr="00BE1959">
              <w:rPr>
                <w:rFonts w:ascii="Times New Roman" w:eastAsia="Times New Roman" w:hAnsi="Times New Roman" w:cs="Times New Roman"/>
                <w:sz w:val="24"/>
                <w:szCs w:val="24"/>
                <w:lang w:val="uk-UA"/>
              </w:rPr>
              <w:t xml:space="preserve">єнтам, може призводити до завдання шкоди інвесторам і втрати довіри з їхнього боку. Для того, щоб усунути потенційно шкідливий вплив цих недоліків у механізмах корпоративного управління, Директиву </w:t>
            </w:r>
            <w:r w:rsidR="005613AB" w:rsidRPr="00BE1959">
              <w:rPr>
                <w:rFonts w:ascii="Times New Roman" w:eastAsia="Times New Roman" w:hAnsi="Times New Roman" w:cs="Times New Roman"/>
                <w:sz w:val="24"/>
                <w:szCs w:val="24"/>
                <w:lang w:val="uk-UA"/>
              </w:rPr>
              <w:t xml:space="preserve">2004/39/EC </w:t>
            </w:r>
            <w:r w:rsidR="002B06A7" w:rsidRPr="00BE1959">
              <w:rPr>
                <w:rFonts w:ascii="Times New Roman" w:eastAsia="Times New Roman" w:hAnsi="Times New Roman" w:cs="Times New Roman"/>
                <w:sz w:val="24"/>
                <w:szCs w:val="24"/>
                <w:lang w:val="uk-UA"/>
              </w:rPr>
              <w:t>слід доповнити детальнішими принципами та мінімальними стандартами. Ці принципи та стандарти необхідно застосовувати з урахуванням характеру, масштабу і складності інвестиційних фірм.</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(6)</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202A7" w:rsidP="005202A7">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Група високого рівня з фінансового нагляду в ЄС запропонувала Союзу розробити більш узгоджений пакет нормативних актів із питань фінансового нагляду. В контексті майбутньої європейської наглядової архітектури Європейська Рада 18-19 червня 2009 року також наголосила на потребі створення єдиного європейського зведення правил, застосовного до всіх фінансових установ на внутрішньому ринку.</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(7)</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761F9C" w:rsidP="00EA3398">
            <w:pPr>
              <w:spacing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Ураховуючи вищевикладене, Директиву</w:t>
            </w:r>
            <w:r w:rsidR="005613AB" w:rsidRPr="00BE1959">
              <w:rPr>
                <w:rFonts w:ascii="Times New Roman" w:eastAsia="Times New Roman" w:hAnsi="Times New Roman" w:cs="Times New Roman"/>
                <w:sz w:val="24"/>
                <w:szCs w:val="24"/>
                <w:lang w:val="uk-UA"/>
              </w:rPr>
              <w:t xml:space="preserve"> 2004/39/EC </w:t>
            </w:r>
            <w:r w:rsidRPr="00BE1959">
              <w:rPr>
                <w:rFonts w:ascii="Times New Roman" w:eastAsia="Times New Roman" w:hAnsi="Times New Roman" w:cs="Times New Roman"/>
                <w:sz w:val="24"/>
                <w:szCs w:val="24"/>
                <w:lang w:val="uk-UA"/>
              </w:rPr>
              <w:t>слід частково пере</w:t>
            </w:r>
            <w:r w:rsidR="00D359EF" w:rsidRPr="00BE1959">
              <w:rPr>
                <w:rFonts w:ascii="Times New Roman" w:eastAsia="Times New Roman" w:hAnsi="Times New Roman" w:cs="Times New Roman"/>
                <w:sz w:val="24"/>
                <w:szCs w:val="24"/>
                <w:lang w:val="uk-UA"/>
              </w:rPr>
              <w:t>глянути у формі цієї директиви, а частково – замінити Регламентом</w:t>
            </w:r>
            <w:r w:rsidR="005613AB" w:rsidRPr="00BE1959">
              <w:rPr>
                <w:rFonts w:ascii="Times New Roman" w:eastAsia="Times New Roman" w:hAnsi="Times New Roman" w:cs="Times New Roman"/>
                <w:sz w:val="24"/>
                <w:szCs w:val="24"/>
                <w:lang w:val="uk-UA"/>
              </w:rPr>
              <w:t xml:space="preserve"> (EU) </w:t>
            </w:r>
            <w:r w:rsidR="00D359EF" w:rsidRPr="00BE1959">
              <w:rPr>
                <w:rFonts w:ascii="Times New Roman" w:eastAsia="Times New Roman" w:hAnsi="Times New Roman" w:cs="Times New Roman"/>
                <w:sz w:val="24"/>
                <w:szCs w:val="24"/>
                <w:lang w:val="uk-UA"/>
              </w:rPr>
              <w:t>№</w:t>
            </w:r>
            <w:r w:rsidR="005613AB" w:rsidRPr="00BE1959">
              <w:rPr>
                <w:rFonts w:ascii="Times New Roman" w:eastAsia="Times New Roman" w:hAnsi="Times New Roman" w:cs="Times New Roman"/>
                <w:sz w:val="24"/>
                <w:szCs w:val="24"/>
                <w:lang w:val="uk-UA"/>
              </w:rPr>
              <w:t xml:space="preserve"> 600/2014 </w:t>
            </w:r>
            <w:r w:rsidR="00D359EF" w:rsidRPr="00BE1959">
              <w:rPr>
                <w:rFonts w:ascii="Times New Roman" w:eastAsia="Times New Roman" w:hAnsi="Times New Roman" w:cs="Times New Roman"/>
                <w:sz w:val="24"/>
                <w:szCs w:val="24"/>
                <w:lang w:val="uk-UA"/>
              </w:rPr>
              <w:t>Європейського Парламенту та Ради</w:t>
            </w:r>
            <w:r w:rsidR="00D359EF" w:rsidRPr="00BE1959">
              <w:rPr>
                <w:lang w:val="uk-UA"/>
              </w:rPr>
              <w:t xml:space="preserve"> </w:t>
            </w:r>
            <w:hyperlink r:id="rId12" w:anchor="ntr7-L_2014173EN.01034901-E0007" w:history="1">
              <w:r w:rsidR="005613AB" w:rsidRPr="00BE1959">
                <w:rPr>
                  <w:rFonts w:ascii="Times New Roman" w:eastAsia="Times New Roman" w:hAnsi="Times New Roman" w:cs="Times New Roman"/>
                  <w:sz w:val="24"/>
                  <w:szCs w:val="24"/>
                  <w:bdr w:val="none" w:sz="0" w:space="0" w:color="auto" w:frame="1"/>
                  <w:lang w:val="uk-UA"/>
                </w:rPr>
                <w:t> (</w:t>
              </w:r>
              <w:r w:rsidR="005613AB" w:rsidRPr="00BE1959">
                <w:rPr>
                  <w:rFonts w:ascii="Times New Roman" w:eastAsia="Times New Roman" w:hAnsi="Times New Roman" w:cs="Times New Roman"/>
                  <w:sz w:val="24"/>
                  <w:szCs w:val="24"/>
                  <w:bdr w:val="none" w:sz="0" w:space="0" w:color="auto" w:frame="1"/>
                  <w:vertAlign w:val="superscript"/>
                  <w:lang w:val="uk-UA"/>
                </w:rPr>
                <w:t>7</w:t>
              </w:r>
              <w:r w:rsidR="005613AB" w:rsidRPr="00BE1959">
                <w:rPr>
                  <w:rFonts w:ascii="Times New Roman" w:eastAsia="Times New Roman" w:hAnsi="Times New Roman" w:cs="Times New Roman"/>
                  <w:sz w:val="24"/>
                  <w:szCs w:val="24"/>
                  <w:bdr w:val="none" w:sz="0" w:space="0" w:color="auto" w:frame="1"/>
                  <w:lang w:val="uk-UA"/>
                </w:rPr>
                <w:t>)</w:t>
              </w:r>
            </w:hyperlink>
            <w:r w:rsidR="005613AB" w:rsidRPr="00BE1959">
              <w:rPr>
                <w:rFonts w:ascii="Times New Roman" w:eastAsia="Times New Roman" w:hAnsi="Times New Roman" w:cs="Times New Roman"/>
                <w:sz w:val="24"/>
                <w:szCs w:val="24"/>
                <w:lang w:val="uk-UA"/>
              </w:rPr>
              <w:t xml:space="preserve">. </w:t>
            </w:r>
            <w:r w:rsidR="0097205A" w:rsidRPr="00BE1959">
              <w:rPr>
                <w:rFonts w:ascii="Times New Roman" w:eastAsia="Times New Roman" w:hAnsi="Times New Roman" w:cs="Times New Roman"/>
                <w:sz w:val="24"/>
                <w:szCs w:val="24"/>
                <w:lang w:val="uk-UA"/>
              </w:rPr>
              <w:t>У сукупності обидва правові інструменти повинні утворити правову базу, що регулює вимоги, застосовні до інвестиційних фірм, регульованих ринків, надавачів послуг із повідомлення даних</w:t>
            </w:r>
            <w:r w:rsidR="00C61569" w:rsidRPr="00BE1959">
              <w:rPr>
                <w:rFonts w:ascii="Times New Roman" w:eastAsia="Times New Roman" w:hAnsi="Times New Roman" w:cs="Times New Roman"/>
                <w:sz w:val="24"/>
                <w:szCs w:val="24"/>
                <w:lang w:val="uk-UA"/>
              </w:rPr>
              <w:t xml:space="preserve"> та фірм із третіх країн, які надають інвестиційні послуги або ведуть інвестиційну діяльність у Союзі. Тому цю директиву слід читати разом із вищезгаданим регламентом. Ця директива повинна містити положення, які регулюють надання дозволу на ведення діяльності, придбання </w:t>
            </w:r>
            <w:r w:rsidR="00EA3398" w:rsidRPr="00BE1959">
              <w:rPr>
                <w:rFonts w:ascii="Times New Roman" w:eastAsia="Times New Roman" w:hAnsi="Times New Roman" w:cs="Times New Roman"/>
                <w:sz w:val="24"/>
                <w:szCs w:val="24"/>
                <w:lang w:val="uk-UA"/>
              </w:rPr>
              <w:t xml:space="preserve">кваліфікованої частки участі, реалізацію свободи створення підприємств і свободи надання послуг, умови функціонування інвестиційних фірм для забезпечення захисту інвесторів, повноваження наглядових органів держав-членів походження та приймаючих держав-членів, режим накладення санкцій. </w:t>
            </w:r>
            <w:r w:rsidR="00956583" w:rsidRPr="00BE1959">
              <w:rPr>
                <w:rFonts w:ascii="Times New Roman" w:eastAsia="Times New Roman" w:hAnsi="Times New Roman" w:cs="Times New Roman"/>
                <w:sz w:val="24"/>
                <w:szCs w:val="24"/>
                <w:lang w:val="uk-UA"/>
              </w:rPr>
              <w:t xml:space="preserve">Оскільки головна мета і предмет цієї директиви полягає у гармонізації національних положень стосовно згаданих у ній сфер, то вона повинна базуватися на статті 53(1) Договору про </w:t>
            </w:r>
            <w:r w:rsidR="00956583" w:rsidRPr="00BE1959">
              <w:rPr>
                <w:rFonts w:ascii="Times New Roman" w:eastAsia="Times New Roman" w:hAnsi="Times New Roman" w:cs="Times New Roman"/>
                <w:sz w:val="24"/>
                <w:szCs w:val="24"/>
                <w:lang w:val="uk-UA"/>
              </w:rPr>
              <w:lastRenderedPageBreak/>
              <w:t xml:space="preserve">функціонування Європейського Союзу (ДФЄС). Форма директиви </w:t>
            </w:r>
            <w:r w:rsidR="00B27929" w:rsidRPr="00BE1959">
              <w:rPr>
                <w:rFonts w:ascii="Times New Roman" w:eastAsia="Times New Roman" w:hAnsi="Times New Roman" w:cs="Times New Roman"/>
                <w:sz w:val="24"/>
                <w:szCs w:val="24"/>
                <w:lang w:val="uk-UA"/>
              </w:rPr>
              <w:t>є доречною для того, щоб можна було за потреби коригувати виконавчі положення у сферах, охоплених цією директивою, на предмет урахування існуючих особливостей конкретного ринку та юридичної системи в кожній державі-члені.</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(8)</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707EF4" w:rsidP="00707EF4">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Доцільно включити у перелік фінансових інструментів товарні деривативи та інші інструменти, утворення яких і торгівля якими здійснюються у спосіб, який викликає питання регуляторного характеру порівняно з традиційними фінансовими інструментами.</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(9)</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AE3D64" w:rsidP="00B527DE">
            <w:pPr>
              <w:spacing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Такий перелік фінансових інструментів включатиме контракти на енергетичні товари, що підпадають під фізичні розрахунки, торгівля якими здійснюється на організованому торговельному майданчику (ОТМ), за винятком тих, які вже регулюються за Регламентом</w:t>
            </w:r>
            <w:r w:rsidR="005613AB" w:rsidRPr="00BE1959">
              <w:rPr>
                <w:rFonts w:ascii="Times New Roman" w:eastAsia="Times New Roman" w:hAnsi="Times New Roman" w:cs="Times New Roman"/>
                <w:sz w:val="24"/>
                <w:szCs w:val="24"/>
                <w:lang w:val="uk-UA"/>
              </w:rPr>
              <w:t xml:space="preserve"> (EU) </w:t>
            </w:r>
            <w:r w:rsidRPr="00BE1959">
              <w:rPr>
                <w:rFonts w:ascii="Times New Roman" w:eastAsia="Times New Roman" w:hAnsi="Times New Roman" w:cs="Times New Roman"/>
                <w:sz w:val="24"/>
                <w:szCs w:val="24"/>
                <w:lang w:val="uk-UA"/>
              </w:rPr>
              <w:t>№</w:t>
            </w:r>
            <w:r w:rsidR="005613AB" w:rsidRPr="00BE1959">
              <w:rPr>
                <w:rFonts w:ascii="Times New Roman" w:eastAsia="Times New Roman" w:hAnsi="Times New Roman" w:cs="Times New Roman"/>
                <w:sz w:val="24"/>
                <w:szCs w:val="24"/>
                <w:lang w:val="uk-UA"/>
              </w:rPr>
              <w:t xml:space="preserve"> 1227/2011 </w:t>
            </w:r>
            <w:r w:rsidR="00D359EF" w:rsidRPr="00BE1959">
              <w:rPr>
                <w:rFonts w:ascii="Times New Roman" w:eastAsia="Times New Roman" w:hAnsi="Times New Roman" w:cs="Times New Roman"/>
                <w:sz w:val="24"/>
                <w:szCs w:val="24"/>
                <w:lang w:val="uk-UA"/>
              </w:rPr>
              <w:t>Європейського Парламенту та Ради</w:t>
            </w:r>
            <w:hyperlink r:id="rId13" w:anchor="ntr8-L_2014173EN.01034901-E0008" w:history="1">
              <w:r w:rsidR="005613AB" w:rsidRPr="00BE1959">
                <w:rPr>
                  <w:rFonts w:ascii="Times New Roman" w:eastAsia="Times New Roman" w:hAnsi="Times New Roman" w:cs="Times New Roman"/>
                  <w:sz w:val="24"/>
                  <w:szCs w:val="24"/>
                  <w:bdr w:val="none" w:sz="0" w:space="0" w:color="auto" w:frame="1"/>
                  <w:lang w:val="uk-UA"/>
                </w:rPr>
                <w:t> (</w:t>
              </w:r>
              <w:r w:rsidR="005613AB" w:rsidRPr="00BE1959">
                <w:rPr>
                  <w:rFonts w:ascii="Times New Roman" w:eastAsia="Times New Roman" w:hAnsi="Times New Roman" w:cs="Times New Roman"/>
                  <w:sz w:val="24"/>
                  <w:szCs w:val="24"/>
                  <w:bdr w:val="none" w:sz="0" w:space="0" w:color="auto" w:frame="1"/>
                  <w:vertAlign w:val="superscript"/>
                  <w:lang w:val="uk-UA"/>
                </w:rPr>
                <w:t>8</w:t>
              </w:r>
              <w:r w:rsidR="005613AB" w:rsidRPr="00BE1959">
                <w:rPr>
                  <w:rFonts w:ascii="Times New Roman" w:eastAsia="Times New Roman" w:hAnsi="Times New Roman" w:cs="Times New Roman"/>
                  <w:sz w:val="24"/>
                  <w:szCs w:val="24"/>
                  <w:bdr w:val="none" w:sz="0" w:space="0" w:color="auto" w:frame="1"/>
                  <w:lang w:val="uk-UA"/>
                </w:rPr>
                <w:t>)</w:t>
              </w:r>
            </w:hyperlink>
            <w:r w:rsidR="005613AB" w:rsidRPr="00BE1959">
              <w:rPr>
                <w:rFonts w:ascii="Times New Roman" w:eastAsia="Times New Roman" w:hAnsi="Times New Roman" w:cs="Times New Roman"/>
                <w:sz w:val="24"/>
                <w:szCs w:val="24"/>
                <w:lang w:val="uk-UA"/>
              </w:rPr>
              <w:t xml:space="preserve">. </w:t>
            </w:r>
            <w:r w:rsidRPr="00BE1959">
              <w:rPr>
                <w:rFonts w:ascii="Times New Roman" w:eastAsia="Times New Roman" w:hAnsi="Times New Roman" w:cs="Times New Roman"/>
                <w:sz w:val="24"/>
                <w:szCs w:val="24"/>
                <w:lang w:val="uk-UA"/>
              </w:rPr>
              <w:t xml:space="preserve">Було вжито ряд заходів для ослаблення впливу такого включення на фірми, торгуючі такими продуктами. Ці фірми сьогодні звільнені від вимог </w:t>
            </w:r>
            <w:r w:rsidR="00423154" w:rsidRPr="00BE1959">
              <w:rPr>
                <w:rFonts w:ascii="Times New Roman" w:eastAsia="Times New Roman" w:hAnsi="Times New Roman" w:cs="Times New Roman"/>
                <w:sz w:val="24"/>
                <w:szCs w:val="24"/>
                <w:lang w:val="uk-UA"/>
              </w:rPr>
              <w:t>до власних коштів за Регламентом</w:t>
            </w:r>
            <w:r w:rsidR="005613AB" w:rsidRPr="00BE1959">
              <w:rPr>
                <w:rFonts w:ascii="Times New Roman" w:eastAsia="Times New Roman" w:hAnsi="Times New Roman" w:cs="Times New Roman"/>
                <w:sz w:val="24"/>
                <w:szCs w:val="24"/>
                <w:lang w:val="uk-UA"/>
              </w:rPr>
              <w:t xml:space="preserve"> (EU) </w:t>
            </w:r>
            <w:r w:rsidR="00423154" w:rsidRPr="00BE1959">
              <w:rPr>
                <w:rFonts w:ascii="Times New Roman" w:eastAsia="Times New Roman" w:hAnsi="Times New Roman" w:cs="Times New Roman"/>
                <w:sz w:val="24"/>
                <w:szCs w:val="24"/>
                <w:lang w:val="uk-UA"/>
              </w:rPr>
              <w:t>№</w:t>
            </w:r>
            <w:r w:rsidR="005613AB" w:rsidRPr="00BE1959">
              <w:rPr>
                <w:rFonts w:ascii="Times New Roman" w:eastAsia="Times New Roman" w:hAnsi="Times New Roman" w:cs="Times New Roman"/>
                <w:sz w:val="24"/>
                <w:szCs w:val="24"/>
                <w:lang w:val="uk-UA"/>
              </w:rPr>
              <w:t xml:space="preserve"> 575/2013 </w:t>
            </w:r>
            <w:r w:rsidR="00423154" w:rsidRPr="00BE1959">
              <w:rPr>
                <w:rFonts w:ascii="Times New Roman" w:eastAsia="Times New Roman" w:hAnsi="Times New Roman" w:cs="Times New Roman"/>
                <w:sz w:val="24"/>
                <w:szCs w:val="24"/>
                <w:lang w:val="uk-UA"/>
              </w:rPr>
              <w:t>Європейського Парламенту та Ради</w:t>
            </w:r>
            <w:r w:rsidR="00423154" w:rsidRPr="00BE1959">
              <w:rPr>
                <w:lang w:val="uk-UA"/>
              </w:rPr>
              <w:t xml:space="preserve"> </w:t>
            </w:r>
            <w:hyperlink r:id="rId14" w:anchor="ntr9-L_2014173EN.01034901-E0009" w:history="1">
              <w:r w:rsidR="005613AB" w:rsidRPr="00BE1959">
                <w:rPr>
                  <w:rFonts w:ascii="Times New Roman" w:eastAsia="Times New Roman" w:hAnsi="Times New Roman" w:cs="Times New Roman"/>
                  <w:sz w:val="24"/>
                  <w:szCs w:val="24"/>
                  <w:bdr w:val="none" w:sz="0" w:space="0" w:color="auto" w:frame="1"/>
                  <w:lang w:val="uk-UA"/>
                </w:rPr>
                <w:t> (</w:t>
              </w:r>
              <w:r w:rsidR="005613AB" w:rsidRPr="00BE1959">
                <w:rPr>
                  <w:rFonts w:ascii="Times New Roman" w:eastAsia="Times New Roman" w:hAnsi="Times New Roman" w:cs="Times New Roman"/>
                  <w:sz w:val="24"/>
                  <w:szCs w:val="24"/>
                  <w:bdr w:val="none" w:sz="0" w:space="0" w:color="auto" w:frame="1"/>
                  <w:vertAlign w:val="superscript"/>
                  <w:lang w:val="uk-UA"/>
                </w:rPr>
                <w:t>9</w:t>
              </w:r>
              <w:r w:rsidR="005613AB" w:rsidRPr="00BE1959">
                <w:rPr>
                  <w:rFonts w:ascii="Times New Roman" w:eastAsia="Times New Roman" w:hAnsi="Times New Roman" w:cs="Times New Roman"/>
                  <w:sz w:val="24"/>
                  <w:szCs w:val="24"/>
                  <w:bdr w:val="none" w:sz="0" w:space="0" w:color="auto" w:frame="1"/>
                  <w:lang w:val="uk-UA"/>
                </w:rPr>
                <w:t>)</w:t>
              </w:r>
            </w:hyperlink>
            <w:r w:rsidR="00F53A37" w:rsidRPr="00BE1959">
              <w:rPr>
                <w:rFonts w:ascii="Times New Roman" w:eastAsia="Times New Roman" w:hAnsi="Times New Roman" w:cs="Times New Roman"/>
                <w:sz w:val="24"/>
                <w:szCs w:val="24"/>
                <w:bdr w:val="none" w:sz="0" w:space="0" w:color="auto" w:frame="1"/>
                <w:lang w:val="uk-UA"/>
              </w:rPr>
              <w:t>, і це звільнення буде предметом перегляду за статтею 493(1) згаданого регламенту ще до закінчення терміну його дії, тобто максимум до кінця 2017 року. Оскільки ці контракти є фінансовими інструментами, то вимоги законодавства про фінансові ринки застосовуватимуться з самого початку, тому вимоги щодо лімітів позицій, звітування про операції та зловжи</w:t>
            </w:r>
            <w:r w:rsidR="00EE1792" w:rsidRPr="00BE1959">
              <w:rPr>
                <w:rFonts w:ascii="Times New Roman" w:eastAsia="Times New Roman" w:hAnsi="Times New Roman" w:cs="Times New Roman"/>
                <w:sz w:val="24"/>
                <w:szCs w:val="24"/>
                <w:bdr w:val="none" w:sz="0" w:space="0" w:color="auto" w:frame="1"/>
                <w:lang w:val="uk-UA"/>
              </w:rPr>
              <w:t>вання на ринку діятимуть з дати набрання чинності цією директивою та Регламентом</w:t>
            </w:r>
            <w:r w:rsidR="005613AB" w:rsidRPr="00BE1959">
              <w:rPr>
                <w:rFonts w:ascii="Times New Roman" w:eastAsia="Times New Roman" w:hAnsi="Times New Roman" w:cs="Times New Roman"/>
                <w:sz w:val="24"/>
                <w:szCs w:val="24"/>
                <w:lang w:val="uk-UA"/>
              </w:rPr>
              <w:t xml:space="preserve"> (EU) </w:t>
            </w:r>
            <w:r w:rsidR="00F00FBD" w:rsidRPr="00BE1959">
              <w:rPr>
                <w:rFonts w:ascii="Times New Roman" w:eastAsia="Times New Roman" w:hAnsi="Times New Roman" w:cs="Times New Roman"/>
                <w:sz w:val="24"/>
                <w:szCs w:val="24"/>
                <w:lang w:val="uk-UA"/>
              </w:rPr>
              <w:t xml:space="preserve">№ </w:t>
            </w:r>
            <w:r w:rsidR="00EE1792" w:rsidRPr="00BE1959">
              <w:rPr>
                <w:rFonts w:ascii="Times New Roman" w:eastAsia="Times New Roman" w:hAnsi="Times New Roman" w:cs="Times New Roman"/>
                <w:sz w:val="24"/>
                <w:szCs w:val="24"/>
                <w:lang w:val="uk-UA"/>
              </w:rPr>
              <w:t>600/2014</w:t>
            </w:r>
            <w:r w:rsidR="005613AB" w:rsidRPr="00BE1959">
              <w:rPr>
                <w:rFonts w:ascii="Times New Roman" w:eastAsia="Times New Roman" w:hAnsi="Times New Roman" w:cs="Times New Roman"/>
                <w:sz w:val="24"/>
                <w:szCs w:val="24"/>
                <w:lang w:val="uk-UA"/>
              </w:rPr>
              <w:t xml:space="preserve">. </w:t>
            </w:r>
            <w:r w:rsidR="00F00FBD" w:rsidRPr="00BE1959">
              <w:rPr>
                <w:rFonts w:ascii="Times New Roman" w:eastAsia="Times New Roman" w:hAnsi="Times New Roman" w:cs="Times New Roman"/>
                <w:sz w:val="24"/>
                <w:szCs w:val="24"/>
                <w:lang w:val="uk-UA"/>
              </w:rPr>
              <w:t xml:space="preserve">Проте, для застосування зобов’язання щодо </w:t>
            </w:r>
            <w:r w:rsidR="002C5A94" w:rsidRPr="00BE1959">
              <w:rPr>
                <w:rFonts w:ascii="Times New Roman" w:eastAsia="Times New Roman" w:hAnsi="Times New Roman" w:cs="Times New Roman"/>
                <w:sz w:val="24"/>
                <w:szCs w:val="24"/>
                <w:lang w:val="uk-UA"/>
              </w:rPr>
              <w:t>клірингу та вимог маржування, встановлених у Регламенті (EU) № 648/2012 Європейського Парламенту та Ради</w:t>
            </w:r>
            <w:hyperlink r:id="rId15" w:anchor="ntr10-L_2014173EN.01034901-E0010" w:history="1">
              <w:r w:rsidR="002C5A94" w:rsidRPr="00BE1959">
                <w:rPr>
                  <w:rFonts w:ascii="Times New Roman" w:eastAsia="Times New Roman" w:hAnsi="Times New Roman" w:cs="Times New Roman"/>
                  <w:sz w:val="24"/>
                  <w:szCs w:val="24"/>
                  <w:bdr w:val="none" w:sz="0" w:space="0" w:color="auto" w:frame="1"/>
                  <w:lang w:val="uk-UA"/>
                </w:rPr>
                <w:t> (</w:t>
              </w:r>
              <w:r w:rsidR="002C5A94" w:rsidRPr="00BE1959">
                <w:rPr>
                  <w:rFonts w:ascii="Times New Roman" w:eastAsia="Times New Roman" w:hAnsi="Times New Roman" w:cs="Times New Roman"/>
                  <w:sz w:val="24"/>
                  <w:szCs w:val="24"/>
                  <w:bdr w:val="none" w:sz="0" w:space="0" w:color="auto" w:frame="1"/>
                  <w:vertAlign w:val="superscript"/>
                  <w:lang w:val="uk-UA"/>
                </w:rPr>
                <w:t>10</w:t>
              </w:r>
              <w:r w:rsidR="002C5A94" w:rsidRPr="00BE1959">
                <w:rPr>
                  <w:rFonts w:ascii="Times New Roman" w:eastAsia="Times New Roman" w:hAnsi="Times New Roman" w:cs="Times New Roman"/>
                  <w:sz w:val="24"/>
                  <w:szCs w:val="24"/>
                  <w:bdr w:val="none" w:sz="0" w:space="0" w:color="auto" w:frame="1"/>
                  <w:lang w:val="uk-UA"/>
                </w:rPr>
                <w:t>)</w:t>
              </w:r>
            </w:hyperlink>
            <w:r w:rsidR="00B527DE" w:rsidRPr="00BE1959">
              <w:rPr>
                <w:rFonts w:ascii="Times New Roman" w:eastAsia="Times New Roman" w:hAnsi="Times New Roman" w:cs="Times New Roman"/>
                <w:sz w:val="24"/>
                <w:szCs w:val="24"/>
                <w:bdr w:val="none" w:sz="0" w:space="0" w:color="auto" w:frame="1"/>
                <w:lang w:val="uk-UA"/>
              </w:rPr>
              <w:t>, передбачене поступове введення у дію протягом 42 місяців.</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96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(10)</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981395" w:rsidP="004A32A0">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С</w:t>
            </w:r>
            <w:r w:rsidR="00FE23A4" w:rsidRPr="00BE1959">
              <w:rPr>
                <w:rFonts w:ascii="Times New Roman" w:eastAsia="Times New Roman" w:hAnsi="Times New Roman" w:cs="Times New Roman"/>
                <w:sz w:val="24"/>
                <w:szCs w:val="24"/>
                <w:lang w:val="uk-UA"/>
              </w:rPr>
              <w:t>фер</w:t>
            </w:r>
            <w:r w:rsidRPr="00BE1959">
              <w:rPr>
                <w:rFonts w:ascii="Times New Roman" w:eastAsia="Times New Roman" w:hAnsi="Times New Roman" w:cs="Times New Roman"/>
                <w:sz w:val="24"/>
                <w:szCs w:val="24"/>
                <w:lang w:val="uk-UA"/>
              </w:rPr>
              <w:t>у</w:t>
            </w:r>
            <w:r w:rsidR="00FE23A4" w:rsidRPr="00BE1959">
              <w:rPr>
                <w:rFonts w:ascii="Times New Roman" w:eastAsia="Times New Roman" w:hAnsi="Times New Roman" w:cs="Times New Roman"/>
                <w:sz w:val="24"/>
                <w:szCs w:val="24"/>
                <w:lang w:val="uk-UA"/>
              </w:rPr>
              <w:t xml:space="preserve"> дії стосовно товарних деривативів, торгівля якими здійснюється на ОТМ і які підпадають </w:t>
            </w:r>
            <w:r w:rsidRPr="00BE1959">
              <w:rPr>
                <w:rFonts w:ascii="Times New Roman" w:eastAsia="Times New Roman" w:hAnsi="Times New Roman" w:cs="Times New Roman"/>
                <w:sz w:val="24"/>
                <w:szCs w:val="24"/>
                <w:lang w:val="uk-UA"/>
              </w:rPr>
              <w:t>п</w:t>
            </w:r>
            <w:r w:rsidR="00FE23A4" w:rsidRPr="00BE1959">
              <w:rPr>
                <w:rFonts w:ascii="Times New Roman" w:eastAsia="Times New Roman" w:hAnsi="Times New Roman" w:cs="Times New Roman"/>
                <w:sz w:val="24"/>
                <w:szCs w:val="24"/>
                <w:lang w:val="uk-UA"/>
              </w:rPr>
              <w:t xml:space="preserve">ід фізичні розрахунки, </w:t>
            </w:r>
            <w:r w:rsidRPr="00BE1959">
              <w:rPr>
                <w:rFonts w:ascii="Times New Roman" w:eastAsia="Times New Roman" w:hAnsi="Times New Roman" w:cs="Times New Roman"/>
                <w:sz w:val="24"/>
                <w:szCs w:val="24"/>
                <w:lang w:val="uk-UA"/>
              </w:rPr>
              <w:t>слід обмежити, щоб уникнути утворення лазівки, яка може призвести до регуляторного арбітражу. Тому необхідно передбачити делегований акт, у якому буде уточнено значення вислову «</w:t>
            </w:r>
            <w:r w:rsidR="005F7748" w:rsidRPr="00BE1959">
              <w:rPr>
                <w:rFonts w:ascii="Times New Roman" w:eastAsia="Times New Roman" w:hAnsi="Times New Roman" w:cs="Times New Roman"/>
                <w:sz w:val="24"/>
                <w:szCs w:val="24"/>
                <w:lang w:val="uk-UA"/>
              </w:rPr>
              <w:t>підпадають під фізичні розрахунки»</w:t>
            </w:r>
            <w:r w:rsidR="003A5B4E" w:rsidRPr="00BE1959">
              <w:rPr>
                <w:rFonts w:ascii="Times New Roman" w:eastAsia="Times New Roman" w:hAnsi="Times New Roman" w:cs="Times New Roman"/>
                <w:sz w:val="24"/>
                <w:szCs w:val="24"/>
                <w:lang w:val="uk-UA"/>
              </w:rPr>
              <w:t xml:space="preserve"> з урахуванням принаймні створення </w:t>
            </w:r>
            <w:r w:rsidR="00265D12" w:rsidRPr="00BE1959">
              <w:rPr>
                <w:rFonts w:ascii="Times New Roman" w:eastAsia="Times New Roman" w:hAnsi="Times New Roman" w:cs="Times New Roman"/>
                <w:sz w:val="24"/>
                <w:szCs w:val="24"/>
                <w:lang w:val="uk-UA"/>
              </w:rPr>
              <w:t xml:space="preserve">зобов’язання </w:t>
            </w:r>
            <w:r w:rsidR="00B8318D" w:rsidRPr="00BE1959">
              <w:rPr>
                <w:rFonts w:ascii="Times New Roman" w:eastAsia="Times New Roman" w:hAnsi="Times New Roman" w:cs="Times New Roman"/>
                <w:sz w:val="24"/>
                <w:szCs w:val="24"/>
                <w:lang w:val="uk-UA"/>
              </w:rPr>
              <w:t>фізичного виконання</w:t>
            </w:r>
            <w:r w:rsidR="00265D12" w:rsidRPr="00BE1959">
              <w:rPr>
                <w:rFonts w:ascii="Times New Roman" w:eastAsia="Times New Roman" w:hAnsi="Times New Roman" w:cs="Times New Roman"/>
                <w:sz w:val="24"/>
                <w:szCs w:val="24"/>
                <w:lang w:val="uk-UA"/>
              </w:rPr>
              <w:t xml:space="preserve">, маючого позовну та юридичну силу, </w:t>
            </w:r>
            <w:r w:rsidR="00B8318D" w:rsidRPr="00BE1959">
              <w:rPr>
                <w:rFonts w:ascii="Times New Roman" w:eastAsia="Times New Roman" w:hAnsi="Times New Roman" w:cs="Times New Roman"/>
                <w:sz w:val="24"/>
                <w:szCs w:val="24"/>
                <w:lang w:val="uk-UA"/>
              </w:rPr>
              <w:t xml:space="preserve">яке не може бути </w:t>
            </w:r>
            <w:r w:rsidR="007F3419" w:rsidRPr="00BE1959">
              <w:rPr>
                <w:rFonts w:ascii="Times New Roman" w:eastAsia="Times New Roman" w:hAnsi="Times New Roman" w:cs="Times New Roman"/>
                <w:sz w:val="24"/>
                <w:szCs w:val="24"/>
                <w:lang w:val="uk-UA"/>
              </w:rPr>
              <w:t xml:space="preserve">скасовано, та без права готівкового розрахунку або заліку по операціях, крім як у випадку форс-мажору, дефолту або іншої справжньої нездатності </w:t>
            </w:r>
            <w:r w:rsidR="004A32A0" w:rsidRPr="00BE1959">
              <w:rPr>
                <w:rFonts w:ascii="Times New Roman" w:eastAsia="Times New Roman" w:hAnsi="Times New Roman" w:cs="Times New Roman"/>
                <w:sz w:val="24"/>
                <w:szCs w:val="24"/>
                <w:lang w:val="uk-UA"/>
              </w:rPr>
              <w:t>виконати зобов’язання.</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96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(11)</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4A32A0" w:rsidP="0043317B">
            <w:pPr>
              <w:spacing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На спотових вторинних ринках квот на викиди (</w:t>
            </w:r>
            <w:r w:rsidR="00773078" w:rsidRPr="00BE1959">
              <w:rPr>
                <w:rFonts w:ascii="Times New Roman" w:eastAsia="Times New Roman" w:hAnsi="Times New Roman" w:cs="Times New Roman"/>
                <w:sz w:val="24"/>
                <w:szCs w:val="24"/>
                <w:lang w:val="uk-UA"/>
              </w:rPr>
              <w:t>К</w:t>
            </w:r>
            <w:r w:rsidRPr="00BE1959">
              <w:rPr>
                <w:rFonts w:ascii="Times New Roman" w:eastAsia="Times New Roman" w:hAnsi="Times New Roman" w:cs="Times New Roman"/>
                <w:sz w:val="24"/>
                <w:szCs w:val="24"/>
                <w:lang w:val="uk-UA"/>
              </w:rPr>
              <w:t>ЄС)</w:t>
            </w:r>
            <w:r w:rsidR="00773078" w:rsidRPr="00BE1959">
              <w:rPr>
                <w:rFonts w:ascii="Times New Roman" w:eastAsia="Times New Roman" w:hAnsi="Times New Roman" w:cs="Times New Roman"/>
                <w:sz w:val="24"/>
                <w:szCs w:val="24"/>
                <w:lang w:val="uk-UA"/>
              </w:rPr>
              <w:t xml:space="preserve"> зафіксовані випадки шахрайства, які можуть підірвати довіру до схеми торгівлі квотами на викиди, створеної Директивою</w:t>
            </w:r>
            <w:r w:rsidR="005613AB" w:rsidRPr="00BE1959">
              <w:rPr>
                <w:rFonts w:ascii="Times New Roman" w:eastAsia="Times New Roman" w:hAnsi="Times New Roman" w:cs="Times New Roman"/>
                <w:sz w:val="24"/>
                <w:szCs w:val="24"/>
                <w:lang w:val="uk-UA"/>
              </w:rPr>
              <w:t xml:space="preserve"> 2003/87/EC </w:t>
            </w:r>
            <w:r w:rsidR="00423154" w:rsidRPr="00BE1959">
              <w:rPr>
                <w:rFonts w:ascii="Times New Roman" w:eastAsia="Times New Roman" w:hAnsi="Times New Roman" w:cs="Times New Roman"/>
                <w:sz w:val="24"/>
                <w:szCs w:val="24"/>
                <w:lang w:val="uk-UA"/>
              </w:rPr>
              <w:t>Європейського Парламенту та Ради</w:t>
            </w:r>
            <w:hyperlink r:id="rId16" w:anchor="ntr11-L_2014173EN.01034901-E0011" w:history="1">
              <w:r w:rsidR="005613AB" w:rsidRPr="00BE1959">
                <w:rPr>
                  <w:rFonts w:ascii="Times New Roman" w:eastAsia="Times New Roman" w:hAnsi="Times New Roman" w:cs="Times New Roman"/>
                  <w:sz w:val="24"/>
                  <w:szCs w:val="24"/>
                  <w:bdr w:val="none" w:sz="0" w:space="0" w:color="auto" w:frame="1"/>
                  <w:lang w:val="uk-UA"/>
                </w:rPr>
                <w:t> (</w:t>
              </w:r>
              <w:r w:rsidR="005613AB" w:rsidRPr="00BE1959">
                <w:rPr>
                  <w:rFonts w:ascii="Times New Roman" w:eastAsia="Times New Roman" w:hAnsi="Times New Roman" w:cs="Times New Roman"/>
                  <w:sz w:val="24"/>
                  <w:szCs w:val="24"/>
                  <w:bdr w:val="none" w:sz="0" w:space="0" w:color="auto" w:frame="1"/>
                  <w:vertAlign w:val="superscript"/>
                  <w:lang w:val="uk-UA"/>
                </w:rPr>
                <w:t>11</w:t>
              </w:r>
              <w:r w:rsidR="005613AB" w:rsidRPr="00BE1959">
                <w:rPr>
                  <w:rFonts w:ascii="Times New Roman" w:eastAsia="Times New Roman" w:hAnsi="Times New Roman" w:cs="Times New Roman"/>
                  <w:sz w:val="24"/>
                  <w:szCs w:val="24"/>
                  <w:bdr w:val="none" w:sz="0" w:space="0" w:color="auto" w:frame="1"/>
                  <w:lang w:val="uk-UA"/>
                </w:rPr>
                <w:t>)</w:t>
              </w:r>
            </w:hyperlink>
            <w:r w:rsidR="005613AB" w:rsidRPr="00BE1959">
              <w:rPr>
                <w:rFonts w:ascii="Times New Roman" w:eastAsia="Times New Roman" w:hAnsi="Times New Roman" w:cs="Times New Roman"/>
                <w:sz w:val="24"/>
                <w:szCs w:val="24"/>
                <w:lang w:val="uk-UA"/>
              </w:rPr>
              <w:t xml:space="preserve">, </w:t>
            </w:r>
            <w:r w:rsidR="00773078" w:rsidRPr="00BE1959">
              <w:rPr>
                <w:rFonts w:ascii="Times New Roman" w:eastAsia="Times New Roman" w:hAnsi="Times New Roman" w:cs="Times New Roman"/>
                <w:sz w:val="24"/>
                <w:szCs w:val="24"/>
                <w:lang w:val="uk-UA"/>
              </w:rPr>
              <w:t xml:space="preserve">тому вживаються заходи для зміцнення системи реєстрів КЄС та умов відкриття рахунку для торгівлі КЄС. Для того, щоб посилити </w:t>
            </w:r>
            <w:r w:rsidR="008F477F" w:rsidRPr="00BE1959">
              <w:rPr>
                <w:rFonts w:ascii="Times New Roman" w:eastAsia="Times New Roman" w:hAnsi="Times New Roman" w:cs="Times New Roman"/>
                <w:sz w:val="24"/>
                <w:szCs w:val="24"/>
                <w:lang w:val="uk-UA"/>
              </w:rPr>
              <w:t>сумлінність і гарантувати ефективне функціонування цих ринків, включно з усеосяжним наглядом за торговельною діяльністю, доцільно доповнити заходи, вжиті згідно з Директивою</w:t>
            </w:r>
            <w:r w:rsidR="005613AB" w:rsidRPr="00BE1959">
              <w:rPr>
                <w:rFonts w:ascii="Times New Roman" w:eastAsia="Times New Roman" w:hAnsi="Times New Roman" w:cs="Times New Roman"/>
                <w:sz w:val="24"/>
                <w:szCs w:val="24"/>
                <w:lang w:val="uk-UA"/>
              </w:rPr>
              <w:t xml:space="preserve"> 2003/87/EC</w:t>
            </w:r>
            <w:r w:rsidR="007B0149" w:rsidRPr="00BE1959">
              <w:rPr>
                <w:rFonts w:ascii="Times New Roman" w:eastAsia="Times New Roman" w:hAnsi="Times New Roman" w:cs="Times New Roman"/>
                <w:sz w:val="24"/>
                <w:szCs w:val="24"/>
                <w:lang w:val="uk-UA"/>
              </w:rPr>
              <w:t xml:space="preserve">, </w:t>
            </w:r>
            <w:r w:rsidR="007B0149" w:rsidRPr="00BE1959">
              <w:rPr>
                <w:rFonts w:ascii="Times New Roman" w:eastAsia="Times New Roman" w:hAnsi="Times New Roman" w:cs="Times New Roman"/>
                <w:sz w:val="24"/>
                <w:szCs w:val="24"/>
                <w:lang w:val="uk-UA"/>
              </w:rPr>
              <w:lastRenderedPageBreak/>
              <w:t>повн</w:t>
            </w:r>
            <w:r w:rsidR="0043317B" w:rsidRPr="00BE1959">
              <w:rPr>
                <w:rFonts w:ascii="Times New Roman" w:eastAsia="Times New Roman" w:hAnsi="Times New Roman" w:cs="Times New Roman"/>
                <w:sz w:val="24"/>
                <w:szCs w:val="24"/>
                <w:lang w:val="uk-UA"/>
              </w:rPr>
              <w:t>им</w:t>
            </w:r>
            <w:r w:rsidR="007B0149" w:rsidRPr="00BE1959">
              <w:rPr>
                <w:rFonts w:ascii="Times New Roman" w:eastAsia="Times New Roman" w:hAnsi="Times New Roman" w:cs="Times New Roman"/>
                <w:sz w:val="24"/>
                <w:szCs w:val="24"/>
                <w:lang w:val="uk-UA"/>
              </w:rPr>
              <w:t xml:space="preserve"> включення</w:t>
            </w:r>
            <w:r w:rsidR="0043317B" w:rsidRPr="00BE1959">
              <w:rPr>
                <w:rFonts w:ascii="Times New Roman" w:eastAsia="Times New Roman" w:hAnsi="Times New Roman" w:cs="Times New Roman"/>
                <w:sz w:val="24"/>
                <w:szCs w:val="24"/>
                <w:lang w:val="uk-UA"/>
              </w:rPr>
              <w:t>м</w:t>
            </w:r>
            <w:r w:rsidR="007B0149" w:rsidRPr="00BE1959">
              <w:rPr>
                <w:rFonts w:ascii="Times New Roman" w:eastAsia="Times New Roman" w:hAnsi="Times New Roman" w:cs="Times New Roman"/>
                <w:sz w:val="24"/>
                <w:szCs w:val="24"/>
                <w:lang w:val="uk-UA"/>
              </w:rPr>
              <w:t xml:space="preserve"> квот на викиди у сферу дії цієї директиви та Регламенту</w:t>
            </w:r>
            <w:r w:rsidR="005613AB" w:rsidRPr="00BE1959">
              <w:rPr>
                <w:rFonts w:ascii="Times New Roman" w:eastAsia="Times New Roman" w:hAnsi="Times New Roman" w:cs="Times New Roman"/>
                <w:sz w:val="24"/>
                <w:szCs w:val="24"/>
                <w:lang w:val="uk-UA"/>
              </w:rPr>
              <w:t xml:space="preserve"> </w:t>
            </w:r>
            <w:r w:rsidR="00F965FD" w:rsidRPr="00BE1959">
              <w:rPr>
                <w:rFonts w:ascii="Times New Roman" w:eastAsia="Times New Roman" w:hAnsi="Times New Roman" w:cs="Times New Roman"/>
                <w:sz w:val="24"/>
                <w:szCs w:val="24"/>
                <w:lang w:val="uk-UA"/>
              </w:rPr>
              <w:t>(EU) № 600/2014</w:t>
            </w:r>
            <w:r w:rsidR="005613AB" w:rsidRPr="00BE1959">
              <w:rPr>
                <w:rFonts w:ascii="Times New Roman" w:eastAsia="Times New Roman" w:hAnsi="Times New Roman" w:cs="Times New Roman"/>
                <w:sz w:val="24"/>
                <w:szCs w:val="24"/>
                <w:lang w:val="uk-UA"/>
              </w:rPr>
              <w:t xml:space="preserve"> </w:t>
            </w:r>
            <w:r w:rsidR="00423154" w:rsidRPr="00BE1959">
              <w:rPr>
                <w:rFonts w:ascii="Times New Roman" w:eastAsia="Times New Roman" w:hAnsi="Times New Roman" w:cs="Times New Roman"/>
                <w:sz w:val="24"/>
                <w:szCs w:val="24"/>
                <w:lang w:val="uk-UA"/>
              </w:rPr>
              <w:t>Європейського Парламенту та Ради</w:t>
            </w:r>
            <w:hyperlink r:id="rId17" w:anchor="ntr12-L_2014173EN.01034901-E0012" w:history="1">
              <w:r w:rsidR="005613AB" w:rsidRPr="00BE1959">
                <w:rPr>
                  <w:rFonts w:ascii="Times New Roman" w:eastAsia="Times New Roman" w:hAnsi="Times New Roman" w:cs="Times New Roman"/>
                  <w:sz w:val="24"/>
                  <w:szCs w:val="24"/>
                  <w:bdr w:val="none" w:sz="0" w:space="0" w:color="auto" w:frame="1"/>
                  <w:lang w:val="uk-UA"/>
                </w:rPr>
                <w:t> (</w:t>
              </w:r>
              <w:r w:rsidR="005613AB" w:rsidRPr="00BE1959">
                <w:rPr>
                  <w:rFonts w:ascii="Times New Roman" w:eastAsia="Times New Roman" w:hAnsi="Times New Roman" w:cs="Times New Roman"/>
                  <w:sz w:val="24"/>
                  <w:szCs w:val="24"/>
                  <w:bdr w:val="none" w:sz="0" w:space="0" w:color="auto" w:frame="1"/>
                  <w:vertAlign w:val="superscript"/>
                  <w:lang w:val="uk-UA"/>
                </w:rPr>
                <w:t>12</w:t>
              </w:r>
              <w:r w:rsidR="005613AB" w:rsidRPr="00BE1959">
                <w:rPr>
                  <w:rFonts w:ascii="Times New Roman" w:eastAsia="Times New Roman" w:hAnsi="Times New Roman" w:cs="Times New Roman"/>
                  <w:sz w:val="24"/>
                  <w:szCs w:val="24"/>
                  <w:bdr w:val="none" w:sz="0" w:space="0" w:color="auto" w:frame="1"/>
                  <w:lang w:val="uk-UA"/>
                </w:rPr>
                <w:t>)</w:t>
              </w:r>
            </w:hyperlink>
            <w:r w:rsidR="0043317B" w:rsidRPr="00BE1959">
              <w:rPr>
                <w:rFonts w:ascii="Times New Roman" w:eastAsia="Times New Roman" w:hAnsi="Times New Roman" w:cs="Times New Roman"/>
                <w:sz w:val="24"/>
                <w:szCs w:val="24"/>
                <w:bdr w:val="none" w:sz="0" w:space="0" w:color="auto" w:frame="1"/>
                <w:lang w:val="uk-UA"/>
              </w:rPr>
              <w:t xml:space="preserve"> шляхом класифікації їх як фінансових інструментів.</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96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(12)</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EB3F40" w:rsidRPr="00BE1959" w:rsidRDefault="00EB3F40" w:rsidP="00EB3F40">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Мета цієї директиви – охопити підприємства, постійний рід занять або постійна діяльність яких полягає в наданні інвестиційних послуг і (або) веденні інвестиційної діяльності на професійній основі. Тому сфера дії директиви не повинна охоплювати жодну особу, яка веде іншу професійну діяльність.</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96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(13)</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EB3F40" w:rsidP="00167324">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Необхідно встановити всеосяжний регуляторний режим, регламентуючий виконання </w:t>
            </w:r>
            <w:r w:rsidR="00805769" w:rsidRPr="00BE1959">
              <w:rPr>
                <w:rFonts w:ascii="Times New Roman" w:eastAsia="Times New Roman" w:hAnsi="Times New Roman" w:cs="Times New Roman"/>
                <w:sz w:val="24"/>
                <w:szCs w:val="24"/>
                <w:lang w:val="uk-UA"/>
              </w:rPr>
              <w:t>угод із</w:t>
            </w:r>
            <w:r w:rsidRPr="00BE1959">
              <w:rPr>
                <w:rFonts w:ascii="Times New Roman" w:eastAsia="Times New Roman" w:hAnsi="Times New Roman" w:cs="Times New Roman"/>
                <w:sz w:val="24"/>
                <w:szCs w:val="24"/>
                <w:lang w:val="uk-UA"/>
              </w:rPr>
              <w:t xml:space="preserve"> фінансовими інструментами незалежно від методів торгівлі, застосовуваних для </w:t>
            </w:r>
            <w:r w:rsidR="00805769" w:rsidRPr="00BE1959">
              <w:rPr>
                <w:rFonts w:ascii="Times New Roman" w:eastAsia="Times New Roman" w:hAnsi="Times New Roman" w:cs="Times New Roman"/>
                <w:sz w:val="24"/>
                <w:szCs w:val="24"/>
                <w:lang w:val="uk-UA"/>
              </w:rPr>
              <w:t xml:space="preserve">укладення цих угод, з тим, щоб забезпечити високу якість виконання </w:t>
            </w:r>
            <w:r w:rsidR="00264E4D" w:rsidRPr="00BE1959">
              <w:rPr>
                <w:rFonts w:ascii="Times New Roman" w:eastAsia="Times New Roman" w:hAnsi="Times New Roman" w:cs="Times New Roman"/>
                <w:sz w:val="24"/>
                <w:szCs w:val="24"/>
                <w:lang w:val="uk-UA"/>
              </w:rPr>
              <w:t xml:space="preserve">операцій інвесторів та </w:t>
            </w:r>
            <w:r w:rsidR="00584127" w:rsidRPr="00BE1959">
              <w:rPr>
                <w:rFonts w:ascii="Times New Roman" w:eastAsia="Times New Roman" w:hAnsi="Times New Roman" w:cs="Times New Roman"/>
                <w:sz w:val="24"/>
                <w:szCs w:val="24"/>
                <w:lang w:val="uk-UA"/>
              </w:rPr>
              <w:t>підтримати</w:t>
            </w:r>
            <w:r w:rsidR="00264E4D" w:rsidRPr="00BE1959">
              <w:rPr>
                <w:rFonts w:ascii="Times New Roman" w:eastAsia="Times New Roman" w:hAnsi="Times New Roman" w:cs="Times New Roman"/>
                <w:sz w:val="24"/>
                <w:szCs w:val="24"/>
                <w:lang w:val="uk-UA"/>
              </w:rPr>
              <w:t xml:space="preserve"> цілісність і загальну </w:t>
            </w:r>
            <w:r w:rsidR="00584127" w:rsidRPr="00BE1959">
              <w:rPr>
                <w:rFonts w:ascii="Times New Roman" w:eastAsia="Times New Roman" w:hAnsi="Times New Roman" w:cs="Times New Roman"/>
                <w:sz w:val="24"/>
                <w:szCs w:val="24"/>
                <w:lang w:val="uk-UA"/>
              </w:rPr>
              <w:t>ефективність фінансової системи. Слід передбачити узгоджену та чутливу до ризиків базу регулювання основних видів механізмів виконання замовлень, діючих на європейському фінансовому ринку.</w:t>
            </w:r>
            <w:r w:rsidR="00167324" w:rsidRPr="00BE1959">
              <w:rPr>
                <w:rFonts w:ascii="Times New Roman" w:eastAsia="Times New Roman" w:hAnsi="Times New Roman" w:cs="Times New Roman"/>
                <w:sz w:val="24"/>
                <w:szCs w:val="24"/>
                <w:lang w:val="uk-UA"/>
              </w:rPr>
              <w:t xml:space="preserve"> Необхідно визнати появу нового покоління організованих систем торгівлі поряд із регульованими ринками, які повинні підпадати під зобов’язання, спрямовані на підтримання ефективного і впорядкованого функціонування фінансових ринків та забезпечити, щоб такі організовані системи торгівлі не користувалися регуляторними лазівками.</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96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(14)</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ED3F9A" w:rsidP="00DB4825">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Усі торговельні майданчики, а саме регульовані ринки, багатосторонні </w:t>
            </w:r>
            <w:r w:rsidR="00B57A70" w:rsidRPr="00BE1959">
              <w:rPr>
                <w:rFonts w:ascii="Times New Roman" w:eastAsia="Times New Roman" w:hAnsi="Times New Roman" w:cs="Times New Roman"/>
                <w:sz w:val="24"/>
                <w:szCs w:val="24"/>
                <w:lang w:val="uk-UA"/>
              </w:rPr>
              <w:t xml:space="preserve">торговельні майданчики (БТМ) і організовані торговельні майданчики (ОТМ), повинні запровадити прозорі та недискримінаційні правила, регулюючі доступ до майданчика. Проте, у той час як регульовані ринки та БТМ повинні, як і раніше, підпадати під схожі вимоги стосовно того, кого вони можуть визнавати членом або учасником, ОТМ повинні бути здатними визначати та обмежувати доступ на основі, зокрема, </w:t>
            </w:r>
            <w:r w:rsidR="00DB4825" w:rsidRPr="00BE1959">
              <w:rPr>
                <w:rFonts w:ascii="Times New Roman" w:eastAsia="Times New Roman" w:hAnsi="Times New Roman" w:cs="Times New Roman"/>
                <w:sz w:val="24"/>
                <w:szCs w:val="24"/>
                <w:lang w:val="uk-UA"/>
              </w:rPr>
              <w:t>функцій та обов’язків, які вони стосовно своїх клієнтів. У цьому відношенні торговельні майданчики повинні бути здатними зазначати параметри, регламентуючі дану систему, як-от мінімальна затримка, за умови, що це здійснюється у відкритий та прозорий спосіб і не тягне за собою дискримінацію з боку оператора платформи.</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960"/>
      </w:tblGrid>
      <w:tr w:rsidR="005613AB" w:rsidRPr="00BE1959"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(15)</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DB4825" w:rsidP="00A32428">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Центральний контрагент (ЦКА) визначений у Регламенті(EU) № 648/2012 як юридична особа, яка встає між контрагентами контрактів, що торгуються на одному чи декількох фінансових ринках, становлячись покупцем для кожного продавця </w:t>
            </w:r>
            <w:r w:rsidR="00A32428" w:rsidRPr="00BE1959">
              <w:rPr>
                <w:rFonts w:ascii="Times New Roman" w:eastAsia="Times New Roman" w:hAnsi="Times New Roman" w:cs="Times New Roman"/>
                <w:sz w:val="24"/>
                <w:szCs w:val="24"/>
                <w:lang w:val="uk-UA"/>
              </w:rPr>
              <w:t>і продавцем для кожного покупця. ЦКА не охоплюються терміном «ОТМ», визначеним у цій директиві.</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96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(16)</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0338DA" w:rsidP="00224B13">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Осіб, що мають доступ до регульованих ринків або БТМ, називають членами або учасниками. Обидва ці терміни можна застосовувати як синоніми. Вони не охоплюють користувачів, які здійснюють доступ до торговельних майданчиків тільки </w:t>
            </w:r>
            <w:r w:rsidR="00224B13" w:rsidRPr="00BE1959">
              <w:rPr>
                <w:rFonts w:ascii="Times New Roman" w:eastAsia="Times New Roman" w:hAnsi="Times New Roman" w:cs="Times New Roman"/>
                <w:sz w:val="24"/>
                <w:szCs w:val="24"/>
                <w:lang w:val="uk-UA"/>
              </w:rPr>
              <w:t>методом прямого електронного доступу.</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96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lastRenderedPageBreak/>
              <w:t>(17)</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9F1575" w:rsidP="00824AF1">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Систематичні учасники повинні бути визначені як інвестиційні фірми, які ведуть торгівлю за власний рахунок на організованій, частій, систематичній та істотній основі, виконуючи замовлення клієнтів поза регульованим ринком, БТМ або ОТМ. Щоб забезпечити об’єктивне та ефективне застосування цього визначення до інвестиційних фірм, </w:t>
            </w:r>
            <w:r w:rsidR="00B900B9" w:rsidRPr="00BE1959">
              <w:rPr>
                <w:rFonts w:ascii="Times New Roman" w:eastAsia="Times New Roman" w:hAnsi="Times New Roman" w:cs="Times New Roman"/>
                <w:sz w:val="24"/>
                <w:szCs w:val="24"/>
                <w:lang w:val="uk-UA"/>
              </w:rPr>
              <w:t xml:space="preserve">слід ураховувати всі двосторонні торговельні операції з клієнтами та розробити критерії визначення інвестиційних фірм, що мають бути зареєстровані як систематичні учасники. У той </w:t>
            </w:r>
            <w:r w:rsidR="005903F2" w:rsidRPr="00BE1959">
              <w:rPr>
                <w:rFonts w:ascii="Times New Roman" w:eastAsia="Times New Roman" w:hAnsi="Times New Roman" w:cs="Times New Roman"/>
                <w:sz w:val="24"/>
                <w:szCs w:val="24"/>
                <w:lang w:val="uk-UA"/>
              </w:rPr>
              <w:t>час як торговельні майданчики – це механізми, в яких численні інтереси третіх осіб щодо купівлі та продажу взаємодіють</w:t>
            </w:r>
            <w:r w:rsidR="00584F2E" w:rsidRPr="00BE1959">
              <w:rPr>
                <w:rFonts w:ascii="Times New Roman" w:eastAsia="Times New Roman" w:hAnsi="Times New Roman" w:cs="Times New Roman"/>
                <w:sz w:val="24"/>
                <w:szCs w:val="24"/>
                <w:lang w:val="uk-UA"/>
              </w:rPr>
              <w:t xml:space="preserve"> у системі, систематичному учаснику не слід дозволяти поєднувати інтереси третіх осіб щодо купівлі та продажу у функціонально такий самий спосіб, що і торговельний майданчик.</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96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(18)</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2F2E65" w:rsidP="005511A3">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Особи, </w:t>
            </w:r>
            <w:r w:rsidR="00BD14A7" w:rsidRPr="00BE1959">
              <w:rPr>
                <w:rFonts w:ascii="Times New Roman" w:eastAsia="Times New Roman" w:hAnsi="Times New Roman" w:cs="Times New Roman"/>
                <w:sz w:val="24"/>
                <w:szCs w:val="24"/>
                <w:lang w:val="uk-UA"/>
              </w:rPr>
              <w:t xml:space="preserve">управляючі власними активами та підприємствами, які не надають інвестиційні послуги і не ведуть іншу інвестиційну діяльність, ніж торгівля за власний рахунок фінансовими інструментами, котрі не є товарними деривативами, квотами на викиди або деривативами на них, не повинні </w:t>
            </w:r>
            <w:r w:rsidR="005511A3" w:rsidRPr="00BE1959">
              <w:rPr>
                <w:rFonts w:ascii="Times New Roman" w:eastAsia="Times New Roman" w:hAnsi="Times New Roman" w:cs="Times New Roman"/>
                <w:sz w:val="24"/>
                <w:szCs w:val="24"/>
                <w:lang w:val="uk-UA"/>
              </w:rPr>
              <w:t xml:space="preserve">підпадати під </w:t>
            </w:r>
            <w:r w:rsidR="00BD14A7" w:rsidRPr="00BE1959">
              <w:rPr>
                <w:rFonts w:ascii="Times New Roman" w:eastAsia="Times New Roman" w:hAnsi="Times New Roman" w:cs="Times New Roman"/>
                <w:sz w:val="24"/>
                <w:szCs w:val="24"/>
                <w:lang w:val="uk-UA"/>
              </w:rPr>
              <w:t>ді</w:t>
            </w:r>
            <w:r w:rsidR="005511A3" w:rsidRPr="00BE1959">
              <w:rPr>
                <w:rFonts w:ascii="Times New Roman" w:eastAsia="Times New Roman" w:hAnsi="Times New Roman" w:cs="Times New Roman"/>
                <w:sz w:val="24"/>
                <w:szCs w:val="24"/>
                <w:lang w:val="uk-UA"/>
              </w:rPr>
              <w:t>ю</w:t>
            </w:r>
            <w:r w:rsidR="00BD14A7" w:rsidRPr="00BE1959">
              <w:rPr>
                <w:rFonts w:ascii="Times New Roman" w:eastAsia="Times New Roman" w:hAnsi="Times New Roman" w:cs="Times New Roman"/>
                <w:sz w:val="24"/>
                <w:szCs w:val="24"/>
                <w:lang w:val="uk-UA"/>
              </w:rPr>
              <w:t xml:space="preserve"> цієї директиви, якщо вони не є маркет-мейкерами, членами або учасниками регульованого ринку чи БТМ або не мають прямого електронного доступу до торговельного майданчика, не застосовують високочастотний метод алгоритмічної торгівлі або ведуть торгівлю за власний рахунок при виконанні замовлень клієнтів.</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96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(19)</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8F0D49" w:rsidP="008F0D49">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У комюніке міністрів фінансів і голів центральних банків країн «Великої двадцятки» від 15 квітня 2011 року заявлено, що учасники ринків товарних деривативів повинні піддаватися належному регулюванню і нагляду, тому певні виключення з Директиви</w:t>
            </w:r>
            <w:r w:rsidR="005613AB" w:rsidRPr="00BE1959">
              <w:rPr>
                <w:rFonts w:ascii="Times New Roman" w:eastAsia="Times New Roman" w:hAnsi="Times New Roman" w:cs="Times New Roman"/>
                <w:sz w:val="24"/>
                <w:szCs w:val="24"/>
                <w:lang w:val="uk-UA"/>
              </w:rPr>
              <w:t xml:space="preserve"> 2004/39/EC </w:t>
            </w:r>
            <w:r w:rsidRPr="00BE1959">
              <w:rPr>
                <w:rFonts w:ascii="Times New Roman" w:eastAsia="Times New Roman" w:hAnsi="Times New Roman" w:cs="Times New Roman"/>
                <w:sz w:val="24"/>
                <w:szCs w:val="24"/>
                <w:lang w:val="uk-UA"/>
              </w:rPr>
              <w:t>слід змінити.</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96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(20)</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1A5A9D" w:rsidP="00804E9E">
            <w:pPr>
              <w:spacing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Особи, які ведуть торгівлю за власний рахунок, зокрема маркет-мейкери, товарними деривативами, квотами на викиди або деривативами на них, крім осіб, які ведуть торгівлю за власний рахунок при виконанні замовлень клієнтів або які надають інвестиційні послуги щодо товарних деривативів, квот на</w:t>
            </w:r>
            <w:r w:rsidR="009F3AEC" w:rsidRPr="00BE1959">
              <w:rPr>
                <w:rFonts w:ascii="Times New Roman" w:eastAsia="Times New Roman" w:hAnsi="Times New Roman" w:cs="Times New Roman"/>
                <w:sz w:val="24"/>
                <w:szCs w:val="24"/>
                <w:lang w:val="uk-UA"/>
              </w:rPr>
              <w:t xml:space="preserve"> викиди або деривативів на них споживачам або постачальникам їхнього основного виду діяльності, не повинні </w:t>
            </w:r>
            <w:r w:rsidR="005511A3" w:rsidRPr="00BE1959">
              <w:rPr>
                <w:rFonts w:ascii="Times New Roman" w:eastAsia="Times New Roman" w:hAnsi="Times New Roman" w:cs="Times New Roman"/>
                <w:sz w:val="24"/>
                <w:szCs w:val="24"/>
                <w:lang w:val="uk-UA"/>
              </w:rPr>
              <w:t>підпадати під дію</w:t>
            </w:r>
            <w:r w:rsidR="009F3AEC" w:rsidRPr="00BE1959">
              <w:rPr>
                <w:rFonts w:ascii="Times New Roman" w:eastAsia="Times New Roman" w:hAnsi="Times New Roman" w:cs="Times New Roman"/>
                <w:sz w:val="24"/>
                <w:szCs w:val="24"/>
                <w:lang w:val="uk-UA"/>
              </w:rPr>
              <w:t xml:space="preserve"> цієї директиви, за умови, що ця діяльність є </w:t>
            </w:r>
            <w:r w:rsidR="00315D88" w:rsidRPr="00BE1959">
              <w:rPr>
                <w:rFonts w:ascii="Times New Roman" w:eastAsia="Times New Roman" w:hAnsi="Times New Roman" w:cs="Times New Roman"/>
                <w:sz w:val="24"/>
                <w:szCs w:val="24"/>
                <w:lang w:val="uk-UA"/>
              </w:rPr>
              <w:t>додатковою до</w:t>
            </w:r>
            <w:r w:rsidR="009F3AEC" w:rsidRPr="00BE1959">
              <w:rPr>
                <w:rFonts w:ascii="Times New Roman" w:eastAsia="Times New Roman" w:hAnsi="Times New Roman" w:cs="Times New Roman"/>
                <w:sz w:val="24"/>
                <w:szCs w:val="24"/>
                <w:lang w:val="uk-UA"/>
              </w:rPr>
              <w:t xml:space="preserve"> їхнього основного виду діяльності на груповій основі, </w:t>
            </w:r>
            <w:r w:rsidR="00315D88" w:rsidRPr="00BE1959">
              <w:rPr>
                <w:rFonts w:ascii="Times New Roman" w:eastAsia="Times New Roman" w:hAnsi="Times New Roman" w:cs="Times New Roman"/>
                <w:sz w:val="24"/>
                <w:szCs w:val="24"/>
                <w:lang w:val="uk-UA"/>
              </w:rPr>
              <w:t>і</w:t>
            </w:r>
            <w:r w:rsidR="009F3AEC" w:rsidRPr="00BE1959">
              <w:rPr>
                <w:rFonts w:ascii="Times New Roman" w:eastAsia="Times New Roman" w:hAnsi="Times New Roman" w:cs="Times New Roman"/>
                <w:sz w:val="24"/>
                <w:szCs w:val="24"/>
                <w:lang w:val="uk-UA"/>
              </w:rPr>
              <w:t xml:space="preserve"> цей осно</w:t>
            </w:r>
            <w:r w:rsidR="00FB3C37" w:rsidRPr="00BE1959">
              <w:rPr>
                <w:rFonts w:ascii="Times New Roman" w:eastAsia="Times New Roman" w:hAnsi="Times New Roman" w:cs="Times New Roman"/>
                <w:sz w:val="24"/>
                <w:szCs w:val="24"/>
                <w:lang w:val="uk-UA"/>
              </w:rPr>
              <w:t xml:space="preserve">вний вид діяльності не є ані наданням інвестиційних послуг у значенні цієї директиви, ані банківською діяльністю у значенні Директиви </w:t>
            </w:r>
            <w:r w:rsidR="005613AB" w:rsidRPr="00BE1959">
              <w:rPr>
                <w:rFonts w:ascii="Times New Roman" w:eastAsia="Times New Roman" w:hAnsi="Times New Roman" w:cs="Times New Roman"/>
                <w:sz w:val="24"/>
                <w:szCs w:val="24"/>
                <w:lang w:val="uk-UA"/>
              </w:rPr>
              <w:t xml:space="preserve">2013/36/EU </w:t>
            </w:r>
            <w:r w:rsidR="00423154" w:rsidRPr="00BE1959">
              <w:rPr>
                <w:rFonts w:ascii="Times New Roman" w:eastAsia="Times New Roman" w:hAnsi="Times New Roman" w:cs="Times New Roman"/>
                <w:sz w:val="24"/>
                <w:szCs w:val="24"/>
                <w:lang w:val="uk-UA"/>
              </w:rPr>
              <w:t>Європейського Парламенту та Ради</w:t>
            </w:r>
            <w:hyperlink r:id="rId18" w:anchor="ntr13-L_2014173EN.01034901-E0013" w:history="1">
              <w:r w:rsidR="005613AB" w:rsidRPr="00BE1959">
                <w:rPr>
                  <w:rFonts w:ascii="Times New Roman" w:eastAsia="Times New Roman" w:hAnsi="Times New Roman" w:cs="Times New Roman"/>
                  <w:sz w:val="24"/>
                  <w:szCs w:val="24"/>
                  <w:bdr w:val="none" w:sz="0" w:space="0" w:color="auto" w:frame="1"/>
                  <w:lang w:val="uk-UA"/>
                </w:rPr>
                <w:t> (</w:t>
              </w:r>
              <w:r w:rsidR="005613AB" w:rsidRPr="00BE1959">
                <w:rPr>
                  <w:rFonts w:ascii="Times New Roman" w:eastAsia="Times New Roman" w:hAnsi="Times New Roman" w:cs="Times New Roman"/>
                  <w:sz w:val="24"/>
                  <w:szCs w:val="24"/>
                  <w:bdr w:val="none" w:sz="0" w:space="0" w:color="auto" w:frame="1"/>
                  <w:vertAlign w:val="superscript"/>
                  <w:lang w:val="uk-UA"/>
                </w:rPr>
                <w:t>13</w:t>
              </w:r>
              <w:r w:rsidR="005613AB" w:rsidRPr="00BE1959">
                <w:rPr>
                  <w:rFonts w:ascii="Times New Roman" w:eastAsia="Times New Roman" w:hAnsi="Times New Roman" w:cs="Times New Roman"/>
                  <w:sz w:val="24"/>
                  <w:szCs w:val="24"/>
                  <w:bdr w:val="none" w:sz="0" w:space="0" w:color="auto" w:frame="1"/>
                  <w:lang w:val="uk-UA"/>
                </w:rPr>
                <w:t>)</w:t>
              </w:r>
            </w:hyperlink>
            <w:r w:rsidR="005613AB" w:rsidRPr="00BE1959">
              <w:rPr>
                <w:rFonts w:ascii="Times New Roman" w:eastAsia="Times New Roman" w:hAnsi="Times New Roman" w:cs="Times New Roman"/>
                <w:sz w:val="24"/>
                <w:szCs w:val="24"/>
                <w:lang w:val="uk-UA"/>
              </w:rPr>
              <w:t>,</w:t>
            </w:r>
            <w:r w:rsidR="00315D88" w:rsidRPr="00BE1959">
              <w:rPr>
                <w:rFonts w:ascii="Times New Roman" w:eastAsia="Times New Roman" w:hAnsi="Times New Roman" w:cs="Times New Roman"/>
                <w:sz w:val="24"/>
                <w:szCs w:val="24"/>
                <w:lang w:val="uk-UA"/>
              </w:rPr>
              <w:t xml:space="preserve"> ані організацією торгівлі на ринку товарних деривативів, а ці особи не застосовують високочастотний метод алгоритмічної торгівлі. Технічні </w:t>
            </w:r>
            <w:r w:rsidR="00804E9E" w:rsidRPr="00BE1959">
              <w:rPr>
                <w:rFonts w:ascii="Times New Roman" w:eastAsia="Times New Roman" w:hAnsi="Times New Roman" w:cs="Times New Roman"/>
                <w:sz w:val="24"/>
                <w:szCs w:val="24"/>
                <w:lang w:val="uk-UA"/>
              </w:rPr>
              <w:t xml:space="preserve">критерії визначення виду діяльності як додаткового до такого основного виду діяльності повинні бути уточнені у </w:t>
            </w:r>
            <w:r w:rsidR="00CB0B09" w:rsidRPr="00BE1959">
              <w:rPr>
                <w:rFonts w:ascii="Times New Roman" w:eastAsia="Times New Roman" w:hAnsi="Times New Roman" w:cs="Times New Roman"/>
                <w:sz w:val="24"/>
                <w:szCs w:val="24"/>
                <w:lang w:val="uk-UA"/>
              </w:rPr>
              <w:t>нормативно-</w:t>
            </w:r>
            <w:r w:rsidR="00804E9E" w:rsidRPr="00BE1959">
              <w:rPr>
                <w:rFonts w:ascii="Times New Roman" w:eastAsia="Times New Roman" w:hAnsi="Times New Roman" w:cs="Times New Roman"/>
                <w:sz w:val="24"/>
                <w:szCs w:val="24"/>
                <w:lang w:val="uk-UA"/>
              </w:rPr>
              <w:t>технічних стандартах з урахуванням критеріїв, зазначених у цій директиві.</w:t>
            </w:r>
          </w:p>
          <w:p w:rsidR="005613AB" w:rsidRPr="00BE1959" w:rsidRDefault="009A2732" w:rsidP="00920100">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Ці критерії повинні забезпечити, щоб нефінансові фірми, торгуючі фінансовими </w:t>
            </w:r>
            <w:r w:rsidRPr="00BE1959">
              <w:rPr>
                <w:rFonts w:ascii="Times New Roman" w:eastAsia="Times New Roman" w:hAnsi="Times New Roman" w:cs="Times New Roman"/>
                <w:sz w:val="24"/>
                <w:szCs w:val="24"/>
                <w:lang w:val="uk-UA"/>
              </w:rPr>
              <w:lastRenderedPageBreak/>
              <w:t xml:space="preserve">інструментами в обсязі, що є несумірним із обсягом інвестицій в основний вид діяльності, входили у сферу дії цієї директиви. При цьому такі </w:t>
            </w:r>
            <w:r w:rsidR="00AA70EB" w:rsidRPr="00BE1959">
              <w:rPr>
                <w:rFonts w:ascii="Times New Roman" w:eastAsia="Times New Roman" w:hAnsi="Times New Roman" w:cs="Times New Roman"/>
                <w:sz w:val="24"/>
                <w:szCs w:val="24"/>
                <w:lang w:val="uk-UA"/>
              </w:rPr>
              <w:t>критерії повинні враховувати принаймні необхідність того, щоб додаткові види діяльності складати меншість видів діяльності на рівні гру</w:t>
            </w:r>
            <w:r w:rsidR="00CE708A" w:rsidRPr="00BE1959">
              <w:rPr>
                <w:rFonts w:ascii="Times New Roman" w:eastAsia="Times New Roman" w:hAnsi="Times New Roman" w:cs="Times New Roman"/>
                <w:sz w:val="24"/>
                <w:szCs w:val="24"/>
                <w:lang w:val="uk-UA"/>
              </w:rPr>
              <w:t xml:space="preserve">пи та обсягу торгівлі за ними порівняно з загальним обсягом торгівлі на ринку цим класом активів. Доцільно у випадках, де зобов’язання надавати ліквідність на майданчику встановлено регуляторними органами </w:t>
            </w:r>
            <w:r w:rsidR="00920100" w:rsidRPr="00BE1959">
              <w:rPr>
                <w:rFonts w:ascii="Times New Roman" w:eastAsia="Times New Roman" w:hAnsi="Times New Roman" w:cs="Times New Roman"/>
                <w:sz w:val="24"/>
                <w:szCs w:val="24"/>
                <w:lang w:val="uk-UA"/>
              </w:rPr>
              <w:t>відповідно до законодавства, нормативних актів і адміністративних положень Союзу чи окремих держав або торговельними майданчиками, то угоди, укладені для виконання такого зобов’язання, повинні виключатися при оцінюванні того, чи є діяльність додатковою.</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96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(21)</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5151D" w:rsidP="00081D1C">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Для цілей цієї директиви та Регламенту</w:t>
            </w:r>
            <w:r w:rsidR="005613AB" w:rsidRPr="00BE1959">
              <w:rPr>
                <w:rFonts w:ascii="Times New Roman" w:eastAsia="Times New Roman" w:hAnsi="Times New Roman" w:cs="Times New Roman"/>
                <w:sz w:val="24"/>
                <w:szCs w:val="24"/>
                <w:lang w:val="uk-UA"/>
              </w:rPr>
              <w:t xml:space="preserve"> </w:t>
            </w:r>
            <w:r w:rsidR="007B0149" w:rsidRPr="00BE1959">
              <w:rPr>
                <w:rFonts w:ascii="Times New Roman" w:eastAsia="Times New Roman" w:hAnsi="Times New Roman" w:cs="Times New Roman"/>
                <w:sz w:val="24"/>
                <w:szCs w:val="24"/>
                <w:lang w:val="uk-UA"/>
              </w:rPr>
              <w:t>(EU) № 600/2014</w:t>
            </w:r>
            <w:r w:rsidR="005613AB" w:rsidRPr="00BE1959">
              <w:rPr>
                <w:rFonts w:ascii="Times New Roman" w:eastAsia="Times New Roman" w:hAnsi="Times New Roman" w:cs="Times New Roman"/>
                <w:sz w:val="24"/>
                <w:szCs w:val="24"/>
                <w:lang w:val="uk-UA"/>
              </w:rPr>
              <w:t xml:space="preserve">, </w:t>
            </w:r>
            <w:r w:rsidRPr="00BE1959">
              <w:rPr>
                <w:rFonts w:ascii="Times New Roman" w:eastAsia="Times New Roman" w:hAnsi="Times New Roman" w:cs="Times New Roman"/>
                <w:sz w:val="24"/>
                <w:szCs w:val="24"/>
                <w:lang w:val="uk-UA"/>
              </w:rPr>
              <w:t>які регулюють як позабіржові, так і біржові деривативи у значенні Регламенту</w:t>
            </w:r>
            <w:r w:rsidR="005613AB" w:rsidRPr="00BE1959">
              <w:rPr>
                <w:rFonts w:ascii="Times New Roman" w:eastAsia="Times New Roman" w:hAnsi="Times New Roman" w:cs="Times New Roman"/>
                <w:sz w:val="24"/>
                <w:szCs w:val="24"/>
                <w:lang w:val="uk-UA"/>
              </w:rPr>
              <w:t xml:space="preserve"> </w:t>
            </w:r>
            <w:r w:rsidR="007B0149" w:rsidRPr="00BE1959">
              <w:rPr>
                <w:rFonts w:ascii="Times New Roman" w:eastAsia="Times New Roman" w:hAnsi="Times New Roman" w:cs="Times New Roman"/>
                <w:sz w:val="24"/>
                <w:szCs w:val="24"/>
                <w:lang w:val="uk-UA"/>
              </w:rPr>
              <w:t>(EU) № 600/2014</w:t>
            </w:r>
            <w:r w:rsidR="005613AB" w:rsidRPr="00BE1959">
              <w:rPr>
                <w:rFonts w:ascii="Times New Roman" w:eastAsia="Times New Roman" w:hAnsi="Times New Roman" w:cs="Times New Roman"/>
                <w:sz w:val="24"/>
                <w:szCs w:val="24"/>
                <w:lang w:val="uk-UA"/>
              </w:rPr>
              <w:t xml:space="preserve">, </w:t>
            </w:r>
            <w:r w:rsidRPr="00BE1959">
              <w:rPr>
                <w:rFonts w:ascii="Times New Roman" w:eastAsia="Times New Roman" w:hAnsi="Times New Roman" w:cs="Times New Roman"/>
                <w:sz w:val="24"/>
                <w:szCs w:val="24"/>
                <w:lang w:val="uk-UA"/>
              </w:rPr>
              <w:t xml:space="preserve">види діяльності, що вважаються об’єктивно вимірюваними як такі, що зменшують ризики, безпосередньо пов'язані з комерційною діяльністю чи </w:t>
            </w:r>
            <w:r w:rsidR="00081D1C" w:rsidRPr="00BE1959">
              <w:rPr>
                <w:rFonts w:ascii="Times New Roman" w:eastAsia="Times New Roman" w:hAnsi="Times New Roman" w:cs="Times New Roman"/>
                <w:sz w:val="24"/>
                <w:szCs w:val="24"/>
                <w:lang w:val="uk-UA"/>
              </w:rPr>
              <w:t>казначейським фінансуванням і внутрішньогруповими угодами, повинні розглядатися у спосіб, узгоджений з Регламентом</w:t>
            </w:r>
            <w:r w:rsidR="005613AB" w:rsidRPr="00BE1959">
              <w:rPr>
                <w:rFonts w:ascii="Times New Roman" w:eastAsia="Times New Roman" w:hAnsi="Times New Roman" w:cs="Times New Roman"/>
                <w:sz w:val="24"/>
                <w:szCs w:val="24"/>
                <w:lang w:val="uk-UA"/>
              </w:rPr>
              <w:t xml:space="preserve"> </w:t>
            </w:r>
            <w:r w:rsidR="00DB4825" w:rsidRPr="00BE1959">
              <w:rPr>
                <w:rFonts w:ascii="Times New Roman" w:eastAsia="Times New Roman" w:hAnsi="Times New Roman" w:cs="Times New Roman"/>
                <w:sz w:val="24"/>
                <w:szCs w:val="24"/>
                <w:lang w:val="uk-UA"/>
              </w:rPr>
              <w:t>(EU) №</w:t>
            </w:r>
            <w:r w:rsidR="005613AB" w:rsidRPr="00BE1959">
              <w:rPr>
                <w:rFonts w:ascii="Times New Roman" w:eastAsia="Times New Roman" w:hAnsi="Times New Roman" w:cs="Times New Roman"/>
                <w:sz w:val="24"/>
                <w:szCs w:val="24"/>
                <w:lang w:val="uk-UA"/>
              </w:rPr>
              <w:t> 648/2012.</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96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(22)</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123417" w:rsidP="00220ACC">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Особи, які торгують товарними деривативами, квотами на викиди та деривативами на них, також можуть торгувати іншими фінансовими інструментами в рамках своєї діяльності з управління комерційними казначейськими ризиками</w:t>
            </w:r>
            <w:r w:rsidR="00220ACC" w:rsidRPr="00BE1959">
              <w:rPr>
                <w:rFonts w:ascii="Times New Roman" w:eastAsia="Times New Roman" w:hAnsi="Times New Roman" w:cs="Times New Roman"/>
                <w:sz w:val="24"/>
                <w:szCs w:val="24"/>
                <w:lang w:val="uk-UA"/>
              </w:rPr>
              <w:t xml:space="preserve"> для захисту себе від ризиків, зокрема від курсових ризиків. Тому важливо уточнити, що звільнення застосовуються сукупно. Наприклад, звільнення, що передбачено у п. (j) статті 2(1), можна використовувати спільно зі звільненням, передбаченим у п. (d) статті 2(1).</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96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(23)</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190E02" w:rsidP="00F84C1A">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Проте, щоб уникнути можливого зловживання звільненнями, маркет-мейкери, що торгують фінансовими інструментами, крім тих, що займаються товарними деривативами, квотами на викиди або деривативами на них, за умови, що їхня діяльність на ринку має додатковий характер щодо їхнього основного виду діяльності, </w:t>
            </w:r>
            <w:r w:rsidR="002060BE" w:rsidRPr="00BE1959">
              <w:rPr>
                <w:rFonts w:ascii="Times New Roman" w:eastAsia="Times New Roman" w:hAnsi="Times New Roman" w:cs="Times New Roman"/>
                <w:sz w:val="24"/>
                <w:szCs w:val="24"/>
                <w:lang w:val="uk-UA"/>
              </w:rPr>
              <w:t xml:space="preserve">розглядуваного на груповій основі, та за умови, що вони не застосовують високочастотний метод алгоритмічної торгівлі, </w:t>
            </w:r>
            <w:r w:rsidR="00F84C1A" w:rsidRPr="00BE1959">
              <w:rPr>
                <w:rFonts w:ascii="Times New Roman" w:eastAsia="Times New Roman" w:hAnsi="Times New Roman" w:cs="Times New Roman"/>
                <w:sz w:val="24"/>
                <w:szCs w:val="24"/>
                <w:lang w:val="uk-UA"/>
              </w:rPr>
              <w:t xml:space="preserve">повинні підпадати під дію </w:t>
            </w:r>
            <w:r w:rsidR="002060BE" w:rsidRPr="00BE1959">
              <w:rPr>
                <w:rFonts w:ascii="Times New Roman" w:eastAsia="Times New Roman" w:hAnsi="Times New Roman" w:cs="Times New Roman"/>
                <w:sz w:val="24"/>
                <w:szCs w:val="24"/>
                <w:lang w:val="uk-UA"/>
              </w:rPr>
              <w:t xml:space="preserve">цієї директиви і не користуватися жодними звільненнями. Особи, що ведуть торгівлю за власний рахунок при виконанні замовлень клієнтів або застосовують високочастотний метод алгоритмічної торгівлі, </w:t>
            </w:r>
            <w:r w:rsidR="00B22345" w:rsidRPr="00BE1959">
              <w:rPr>
                <w:rFonts w:ascii="Times New Roman" w:eastAsia="Times New Roman" w:hAnsi="Times New Roman" w:cs="Times New Roman"/>
                <w:sz w:val="24"/>
                <w:szCs w:val="24"/>
                <w:lang w:val="uk-UA"/>
              </w:rPr>
              <w:t xml:space="preserve">також </w:t>
            </w:r>
            <w:r w:rsidR="00F84C1A" w:rsidRPr="00BE1959">
              <w:rPr>
                <w:rFonts w:ascii="Times New Roman" w:eastAsia="Times New Roman" w:hAnsi="Times New Roman" w:cs="Times New Roman"/>
                <w:sz w:val="24"/>
                <w:szCs w:val="24"/>
                <w:lang w:val="uk-UA"/>
              </w:rPr>
              <w:t>повинні підпадати під дію</w:t>
            </w:r>
            <w:r w:rsidR="00B22345" w:rsidRPr="00BE1959">
              <w:rPr>
                <w:rFonts w:ascii="Times New Roman" w:eastAsia="Times New Roman" w:hAnsi="Times New Roman" w:cs="Times New Roman"/>
                <w:sz w:val="24"/>
                <w:szCs w:val="24"/>
                <w:lang w:val="uk-UA"/>
              </w:rPr>
              <w:t xml:space="preserve"> цієї директиви та не користуватися жодними звільненнями.</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96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(24)</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7165A9" w:rsidP="004B3E75">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Здійснення операцій</w:t>
            </w:r>
            <w:r w:rsidR="00B22345" w:rsidRPr="00BE1959">
              <w:rPr>
                <w:rFonts w:ascii="Times New Roman" w:eastAsia="Times New Roman" w:hAnsi="Times New Roman" w:cs="Times New Roman"/>
                <w:sz w:val="24"/>
                <w:szCs w:val="24"/>
                <w:lang w:val="uk-UA"/>
              </w:rPr>
              <w:t xml:space="preserve"> за власний рахунок при виконанні замовлень клієнтів повинн</w:t>
            </w:r>
            <w:r w:rsidRPr="00BE1959">
              <w:rPr>
                <w:rFonts w:ascii="Times New Roman" w:eastAsia="Times New Roman" w:hAnsi="Times New Roman" w:cs="Times New Roman"/>
                <w:sz w:val="24"/>
                <w:szCs w:val="24"/>
                <w:lang w:val="uk-UA"/>
              </w:rPr>
              <w:t>о</w:t>
            </w:r>
            <w:r w:rsidR="00B22345" w:rsidRPr="00BE1959">
              <w:rPr>
                <w:rFonts w:ascii="Times New Roman" w:eastAsia="Times New Roman" w:hAnsi="Times New Roman" w:cs="Times New Roman"/>
                <w:sz w:val="24"/>
                <w:szCs w:val="24"/>
                <w:lang w:val="uk-UA"/>
              </w:rPr>
              <w:t xml:space="preserve"> </w:t>
            </w:r>
            <w:r w:rsidRPr="00BE1959">
              <w:rPr>
                <w:rFonts w:ascii="Times New Roman" w:eastAsia="Times New Roman" w:hAnsi="Times New Roman" w:cs="Times New Roman"/>
                <w:sz w:val="24"/>
                <w:szCs w:val="24"/>
                <w:lang w:val="uk-UA"/>
              </w:rPr>
              <w:t>охоплювати</w:t>
            </w:r>
            <w:r w:rsidR="00B22345" w:rsidRPr="00BE1959">
              <w:rPr>
                <w:rFonts w:ascii="Times New Roman" w:eastAsia="Times New Roman" w:hAnsi="Times New Roman" w:cs="Times New Roman"/>
                <w:sz w:val="24"/>
                <w:szCs w:val="24"/>
                <w:lang w:val="uk-UA"/>
              </w:rPr>
              <w:t xml:space="preserve"> фірми, виконуючі замовлення інших клієнтів, зіставляючи їх за </w:t>
            </w:r>
            <w:r w:rsidR="00A45CFF" w:rsidRPr="00BE1959">
              <w:rPr>
                <w:rFonts w:ascii="Times New Roman" w:eastAsia="Times New Roman" w:hAnsi="Times New Roman" w:cs="Times New Roman"/>
                <w:sz w:val="24"/>
                <w:szCs w:val="24"/>
                <w:lang w:val="uk-UA"/>
              </w:rPr>
              <w:t xml:space="preserve">принципом зустрічної торгівлі за власний рахунок (дзеркальної торгівлі), </w:t>
            </w:r>
            <w:r w:rsidR="000215AD" w:rsidRPr="00BE1959">
              <w:rPr>
                <w:rFonts w:ascii="Times New Roman" w:eastAsia="Times New Roman" w:hAnsi="Times New Roman" w:cs="Times New Roman"/>
                <w:sz w:val="24"/>
                <w:szCs w:val="24"/>
                <w:lang w:val="uk-UA"/>
              </w:rPr>
              <w:t xml:space="preserve">які </w:t>
            </w:r>
            <w:r w:rsidR="00A45CFF" w:rsidRPr="00BE1959">
              <w:rPr>
                <w:rFonts w:ascii="Times New Roman" w:eastAsia="Times New Roman" w:hAnsi="Times New Roman" w:cs="Times New Roman"/>
                <w:sz w:val="24"/>
                <w:szCs w:val="24"/>
                <w:lang w:val="uk-UA"/>
              </w:rPr>
              <w:t xml:space="preserve">слід розглядати як </w:t>
            </w:r>
            <w:r w:rsidR="000215AD" w:rsidRPr="00BE1959">
              <w:rPr>
                <w:rFonts w:ascii="Times New Roman" w:eastAsia="Times New Roman" w:hAnsi="Times New Roman" w:cs="Times New Roman"/>
                <w:sz w:val="24"/>
                <w:szCs w:val="24"/>
                <w:lang w:val="uk-UA"/>
              </w:rPr>
              <w:t xml:space="preserve">такі, що виконують функцію принципала, та застосовувати до них положення цієї директиви, які охоплюють як виконання замовлень від імені клієнтів, так і </w:t>
            </w:r>
            <w:r w:rsidR="004B3E75" w:rsidRPr="00BE1959">
              <w:rPr>
                <w:rFonts w:ascii="Times New Roman" w:eastAsia="Times New Roman" w:hAnsi="Times New Roman" w:cs="Times New Roman"/>
                <w:sz w:val="24"/>
                <w:szCs w:val="24"/>
                <w:lang w:val="uk-UA"/>
              </w:rPr>
              <w:t>здійснення операцій</w:t>
            </w:r>
            <w:r w:rsidR="000215AD" w:rsidRPr="00BE1959">
              <w:rPr>
                <w:rFonts w:ascii="Times New Roman" w:eastAsia="Times New Roman" w:hAnsi="Times New Roman" w:cs="Times New Roman"/>
                <w:sz w:val="24"/>
                <w:szCs w:val="24"/>
                <w:lang w:val="uk-UA"/>
              </w:rPr>
              <w:t xml:space="preserve"> за власний рахунок.</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96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lastRenderedPageBreak/>
              <w:t>(25)</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0215AD" w:rsidP="00FC4C7F">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В</w:t>
            </w:r>
            <w:r w:rsidR="003C6B50" w:rsidRPr="00BE1959">
              <w:rPr>
                <w:rFonts w:ascii="Times New Roman" w:eastAsia="Times New Roman" w:hAnsi="Times New Roman" w:cs="Times New Roman"/>
                <w:sz w:val="24"/>
                <w:szCs w:val="24"/>
                <w:lang w:val="uk-UA"/>
              </w:rPr>
              <w:t xml:space="preserve">иконання замовлень на фінансові інструменти </w:t>
            </w:r>
            <w:r w:rsidR="007165A9" w:rsidRPr="00BE1959">
              <w:rPr>
                <w:rFonts w:ascii="Times New Roman" w:eastAsia="Times New Roman" w:hAnsi="Times New Roman" w:cs="Times New Roman"/>
                <w:sz w:val="24"/>
                <w:szCs w:val="24"/>
                <w:lang w:val="uk-UA"/>
              </w:rPr>
              <w:t>як</w:t>
            </w:r>
            <w:r w:rsidR="003C6B50" w:rsidRPr="00BE1959">
              <w:rPr>
                <w:rFonts w:ascii="Times New Roman" w:eastAsia="Times New Roman" w:hAnsi="Times New Roman" w:cs="Times New Roman"/>
                <w:sz w:val="24"/>
                <w:szCs w:val="24"/>
                <w:lang w:val="uk-UA"/>
              </w:rPr>
              <w:t xml:space="preserve"> додатков</w:t>
            </w:r>
            <w:r w:rsidR="007165A9" w:rsidRPr="00BE1959">
              <w:rPr>
                <w:rFonts w:ascii="Times New Roman" w:eastAsia="Times New Roman" w:hAnsi="Times New Roman" w:cs="Times New Roman"/>
                <w:sz w:val="24"/>
                <w:szCs w:val="24"/>
                <w:lang w:val="uk-UA"/>
              </w:rPr>
              <w:t>а</w:t>
            </w:r>
            <w:r w:rsidR="003C6B50" w:rsidRPr="00BE1959">
              <w:rPr>
                <w:rFonts w:ascii="Times New Roman" w:eastAsia="Times New Roman" w:hAnsi="Times New Roman" w:cs="Times New Roman"/>
                <w:sz w:val="24"/>
                <w:szCs w:val="24"/>
                <w:lang w:val="uk-UA"/>
              </w:rPr>
              <w:t xml:space="preserve"> діяльніст</w:t>
            </w:r>
            <w:r w:rsidR="007165A9" w:rsidRPr="00BE1959">
              <w:rPr>
                <w:rFonts w:ascii="Times New Roman" w:eastAsia="Times New Roman" w:hAnsi="Times New Roman" w:cs="Times New Roman"/>
                <w:sz w:val="24"/>
                <w:szCs w:val="24"/>
                <w:lang w:val="uk-UA"/>
              </w:rPr>
              <w:t>ь</w:t>
            </w:r>
            <w:r w:rsidR="003C6B50" w:rsidRPr="00BE1959">
              <w:rPr>
                <w:rFonts w:ascii="Times New Roman" w:eastAsia="Times New Roman" w:hAnsi="Times New Roman" w:cs="Times New Roman"/>
                <w:sz w:val="24"/>
                <w:szCs w:val="24"/>
                <w:lang w:val="uk-UA"/>
              </w:rPr>
              <w:t>, як</w:t>
            </w:r>
            <w:r w:rsidR="007165A9" w:rsidRPr="00BE1959">
              <w:rPr>
                <w:rFonts w:ascii="Times New Roman" w:eastAsia="Times New Roman" w:hAnsi="Times New Roman" w:cs="Times New Roman"/>
                <w:sz w:val="24"/>
                <w:szCs w:val="24"/>
                <w:lang w:val="uk-UA"/>
              </w:rPr>
              <w:t>а</w:t>
            </w:r>
            <w:r w:rsidR="003C6B50" w:rsidRPr="00BE1959">
              <w:rPr>
                <w:rFonts w:ascii="Times New Roman" w:eastAsia="Times New Roman" w:hAnsi="Times New Roman" w:cs="Times New Roman"/>
                <w:sz w:val="24"/>
                <w:szCs w:val="24"/>
                <w:lang w:val="uk-UA"/>
              </w:rPr>
              <w:t xml:space="preserve"> має місце між двома особами, основна діяльність яких, розглядувана на груповій основі, не є ані наданням інвестиційних послуг у значенні цієї директиви, ані банківською діяльністю у значенні Директиви</w:t>
            </w:r>
            <w:r w:rsidR="007165A9" w:rsidRPr="00BE1959">
              <w:rPr>
                <w:rFonts w:ascii="Times New Roman" w:eastAsia="Times New Roman" w:hAnsi="Times New Roman" w:cs="Times New Roman"/>
                <w:sz w:val="24"/>
                <w:szCs w:val="24"/>
                <w:lang w:val="uk-UA"/>
              </w:rPr>
              <w:t xml:space="preserve"> </w:t>
            </w:r>
            <w:r w:rsidR="005613AB" w:rsidRPr="00BE1959">
              <w:rPr>
                <w:rFonts w:ascii="Times New Roman" w:eastAsia="Times New Roman" w:hAnsi="Times New Roman" w:cs="Times New Roman"/>
                <w:sz w:val="24"/>
                <w:szCs w:val="24"/>
                <w:lang w:val="uk-UA"/>
              </w:rPr>
              <w:t>2013/36/EU</w:t>
            </w:r>
            <w:r w:rsidR="00FC4C7F" w:rsidRPr="00BE1959">
              <w:rPr>
                <w:rFonts w:ascii="Times New Roman" w:eastAsia="Times New Roman" w:hAnsi="Times New Roman" w:cs="Times New Roman"/>
                <w:sz w:val="24"/>
                <w:szCs w:val="24"/>
                <w:lang w:val="uk-UA"/>
              </w:rPr>
              <w:t>, не повинно вважатися здійсненням операцій за власний рахунок при виконанні замовлень клієнтів.</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96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(26)</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3E1219" w:rsidP="003E1219">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Посилання у тексті на осіб слід розуміти як такі, що охоплюють як фізичних осіб, так і юридичних осіб.</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96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(27)</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3D4327" w:rsidP="003D4327">
            <w:pPr>
              <w:spacing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Страхові компанії та організації страхування життя, діяльність яких підлягає відповідному контролю з боку компетентних органів пруденційного нагляду і які підпадають під дію Директиви</w:t>
            </w:r>
            <w:r w:rsidR="005613AB" w:rsidRPr="00BE1959">
              <w:rPr>
                <w:rFonts w:ascii="Times New Roman" w:eastAsia="Times New Roman" w:hAnsi="Times New Roman" w:cs="Times New Roman"/>
                <w:sz w:val="24"/>
                <w:szCs w:val="24"/>
                <w:lang w:val="uk-UA"/>
              </w:rPr>
              <w:t xml:space="preserve"> 2009/138/EC </w:t>
            </w:r>
            <w:r w:rsidR="00423154" w:rsidRPr="00BE1959">
              <w:rPr>
                <w:rFonts w:ascii="Times New Roman" w:eastAsia="Times New Roman" w:hAnsi="Times New Roman" w:cs="Times New Roman"/>
                <w:sz w:val="24"/>
                <w:szCs w:val="24"/>
                <w:lang w:val="uk-UA"/>
              </w:rPr>
              <w:t>Європейського Парламенту та Ради</w:t>
            </w:r>
            <w:hyperlink r:id="rId19" w:anchor="ntr14-L_2014173EN.01034901-E0014" w:history="1">
              <w:r w:rsidR="005613AB" w:rsidRPr="00BE1959">
                <w:rPr>
                  <w:rFonts w:ascii="Times New Roman" w:eastAsia="Times New Roman" w:hAnsi="Times New Roman" w:cs="Times New Roman"/>
                  <w:sz w:val="24"/>
                  <w:szCs w:val="24"/>
                  <w:bdr w:val="none" w:sz="0" w:space="0" w:color="auto" w:frame="1"/>
                  <w:lang w:val="uk-UA"/>
                </w:rPr>
                <w:t> (</w:t>
              </w:r>
              <w:r w:rsidR="005613AB" w:rsidRPr="00BE1959">
                <w:rPr>
                  <w:rFonts w:ascii="Times New Roman" w:eastAsia="Times New Roman" w:hAnsi="Times New Roman" w:cs="Times New Roman"/>
                  <w:sz w:val="24"/>
                  <w:szCs w:val="24"/>
                  <w:bdr w:val="none" w:sz="0" w:space="0" w:color="auto" w:frame="1"/>
                  <w:vertAlign w:val="superscript"/>
                  <w:lang w:val="uk-UA"/>
                </w:rPr>
                <w:t>14</w:t>
              </w:r>
              <w:r w:rsidR="005613AB" w:rsidRPr="00BE1959">
                <w:rPr>
                  <w:rFonts w:ascii="Times New Roman" w:eastAsia="Times New Roman" w:hAnsi="Times New Roman" w:cs="Times New Roman"/>
                  <w:sz w:val="24"/>
                  <w:szCs w:val="24"/>
                  <w:bdr w:val="none" w:sz="0" w:space="0" w:color="auto" w:frame="1"/>
                  <w:lang w:val="uk-UA"/>
                </w:rPr>
                <w:t>)</w:t>
              </w:r>
            </w:hyperlink>
            <w:r w:rsidRPr="00BE1959">
              <w:rPr>
                <w:rFonts w:ascii="Times New Roman" w:eastAsia="Times New Roman" w:hAnsi="Times New Roman" w:cs="Times New Roman"/>
                <w:sz w:val="24"/>
                <w:szCs w:val="24"/>
                <w:bdr w:val="none" w:sz="0" w:space="0" w:color="auto" w:frame="1"/>
                <w:lang w:val="uk-UA"/>
              </w:rPr>
              <w:t>, повинні бути виключені зі сфери дії цієї директиви при веденні діяльності, згаданої у цій директиві.</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96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(28)</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3D4327" w:rsidP="00F84C1A">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Особи, які не надають послуги третім особам, але діяльність яких полягає у наданні інвестиційних послуг виклю</w:t>
            </w:r>
            <w:r w:rsidR="003E7828" w:rsidRPr="00BE1959">
              <w:rPr>
                <w:rFonts w:ascii="Times New Roman" w:eastAsia="Times New Roman" w:hAnsi="Times New Roman" w:cs="Times New Roman"/>
                <w:sz w:val="24"/>
                <w:szCs w:val="24"/>
                <w:lang w:val="uk-UA"/>
              </w:rPr>
              <w:t xml:space="preserve">чно їхнім материнським підприємствам, їхнім дочірнім підприємствам або іншим дочірнім підприємствам їхніх материнських підприємств, не </w:t>
            </w:r>
            <w:r w:rsidR="00F84C1A" w:rsidRPr="00BE1959">
              <w:rPr>
                <w:rFonts w:ascii="Times New Roman" w:eastAsia="Times New Roman" w:hAnsi="Times New Roman" w:cs="Times New Roman"/>
                <w:sz w:val="24"/>
                <w:szCs w:val="24"/>
                <w:lang w:val="uk-UA"/>
              </w:rPr>
              <w:t>повинні підпадати під дію</w:t>
            </w:r>
            <w:r w:rsidR="003E7828" w:rsidRPr="00BE1959">
              <w:rPr>
                <w:rFonts w:ascii="Times New Roman" w:eastAsia="Times New Roman" w:hAnsi="Times New Roman" w:cs="Times New Roman"/>
                <w:sz w:val="24"/>
                <w:szCs w:val="24"/>
                <w:lang w:val="uk-UA"/>
              </w:rPr>
              <w:t xml:space="preserve"> цієї директиви.</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96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(29)</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314A0" w:rsidP="00A67238">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Деякі місцеві енергетичні компанії та деякі </w:t>
            </w:r>
            <w:r w:rsidR="00E5189D" w:rsidRPr="00BE1959">
              <w:rPr>
                <w:rFonts w:ascii="Times New Roman" w:eastAsia="Times New Roman" w:hAnsi="Times New Roman" w:cs="Times New Roman"/>
                <w:sz w:val="24"/>
                <w:szCs w:val="24"/>
                <w:lang w:val="uk-UA"/>
              </w:rPr>
              <w:t>оператори</w:t>
            </w:r>
            <w:r w:rsidRPr="00BE1959">
              <w:rPr>
                <w:rFonts w:ascii="Times New Roman" w:eastAsia="Times New Roman" w:hAnsi="Times New Roman" w:cs="Times New Roman"/>
                <w:sz w:val="24"/>
                <w:szCs w:val="24"/>
                <w:lang w:val="uk-UA"/>
              </w:rPr>
              <w:t xml:space="preserve"> промислових установок, охоплених Системою торгівлі квотами на викиди ЄС, здійснюють об’єднання і аутсорсинг своєї торговельної діяльності з метою </w:t>
            </w:r>
            <w:r w:rsidR="00E5189D" w:rsidRPr="00BE1959">
              <w:rPr>
                <w:rFonts w:ascii="Times New Roman" w:eastAsia="Times New Roman" w:hAnsi="Times New Roman" w:cs="Times New Roman"/>
                <w:sz w:val="24"/>
                <w:szCs w:val="24"/>
                <w:lang w:val="uk-UA"/>
              </w:rPr>
              <w:t xml:space="preserve">страхування комерційних ризиків щодо неконсолідованих дочірніх підприємств. Ці спільні підприємства не надають жодних інших послуг і виконують точно таку ж функцію, що й особи, згадані вище у п. 28. Для того, щоб забезпечити однакові умови діяльності, повинна також існувати можливість виключення спільних підприємств зі сфери дії цієї директиви, якщо вони спільно належать місцевим енергетичним компаніям або операторам, які підпадають під дію п. </w:t>
            </w:r>
            <w:r w:rsidR="005613AB" w:rsidRPr="00BE1959">
              <w:rPr>
                <w:rFonts w:ascii="Times New Roman" w:eastAsia="Times New Roman" w:hAnsi="Times New Roman" w:cs="Times New Roman"/>
                <w:sz w:val="24"/>
                <w:szCs w:val="24"/>
                <w:lang w:val="uk-UA"/>
              </w:rPr>
              <w:t xml:space="preserve">(f) </w:t>
            </w:r>
            <w:r w:rsidR="00E5189D" w:rsidRPr="00BE1959">
              <w:rPr>
                <w:rFonts w:ascii="Times New Roman" w:eastAsia="Times New Roman" w:hAnsi="Times New Roman" w:cs="Times New Roman"/>
                <w:sz w:val="24"/>
                <w:szCs w:val="24"/>
                <w:lang w:val="uk-UA"/>
              </w:rPr>
              <w:t>статті 3 Директиви</w:t>
            </w:r>
            <w:r w:rsidR="005613AB" w:rsidRPr="00BE1959">
              <w:rPr>
                <w:rFonts w:ascii="Times New Roman" w:eastAsia="Times New Roman" w:hAnsi="Times New Roman" w:cs="Times New Roman"/>
                <w:sz w:val="24"/>
                <w:szCs w:val="24"/>
                <w:lang w:val="uk-UA"/>
              </w:rPr>
              <w:t xml:space="preserve"> 2003/87/EC</w:t>
            </w:r>
            <w:r w:rsidR="00016E03" w:rsidRPr="00BE1959">
              <w:rPr>
                <w:rFonts w:ascii="Times New Roman" w:eastAsia="Times New Roman" w:hAnsi="Times New Roman" w:cs="Times New Roman"/>
                <w:sz w:val="24"/>
                <w:szCs w:val="24"/>
                <w:lang w:val="uk-UA"/>
              </w:rPr>
              <w:t>, що не надають жодних інших послуг, ніж інвестиційні послуги місцевим енергетичним компаніям або операторам, які підпадають під дію п.</w:t>
            </w:r>
            <w:r w:rsidR="005613AB" w:rsidRPr="00BE1959">
              <w:rPr>
                <w:rFonts w:ascii="Times New Roman" w:eastAsia="Times New Roman" w:hAnsi="Times New Roman" w:cs="Times New Roman"/>
                <w:sz w:val="24"/>
                <w:szCs w:val="24"/>
                <w:lang w:val="uk-UA"/>
              </w:rPr>
              <w:t xml:space="preserve"> (f) </w:t>
            </w:r>
            <w:r w:rsidR="00016E03" w:rsidRPr="00BE1959">
              <w:rPr>
                <w:rFonts w:ascii="Times New Roman" w:eastAsia="Times New Roman" w:hAnsi="Times New Roman" w:cs="Times New Roman"/>
                <w:sz w:val="24"/>
                <w:szCs w:val="24"/>
                <w:lang w:val="uk-UA"/>
              </w:rPr>
              <w:t xml:space="preserve">статті 3 Директиви </w:t>
            </w:r>
            <w:r w:rsidR="005613AB" w:rsidRPr="00BE1959">
              <w:rPr>
                <w:rFonts w:ascii="Times New Roman" w:eastAsia="Times New Roman" w:hAnsi="Times New Roman" w:cs="Times New Roman"/>
                <w:sz w:val="24"/>
                <w:szCs w:val="24"/>
                <w:lang w:val="uk-UA"/>
              </w:rPr>
              <w:t xml:space="preserve">2003/87/EC, </w:t>
            </w:r>
            <w:r w:rsidR="0065313E" w:rsidRPr="00BE1959">
              <w:rPr>
                <w:rFonts w:ascii="Times New Roman" w:eastAsia="Times New Roman" w:hAnsi="Times New Roman" w:cs="Times New Roman"/>
                <w:sz w:val="24"/>
                <w:szCs w:val="24"/>
                <w:lang w:val="uk-UA"/>
              </w:rPr>
              <w:t>і за умови, що ці місцеві енергетичні компанії або ці оператори будуть звільнені від дії цієї директиви згідно з п.</w:t>
            </w:r>
            <w:r w:rsidR="005613AB" w:rsidRPr="00BE1959">
              <w:rPr>
                <w:rFonts w:ascii="Times New Roman" w:eastAsia="Times New Roman" w:hAnsi="Times New Roman" w:cs="Times New Roman"/>
                <w:sz w:val="24"/>
                <w:szCs w:val="24"/>
                <w:lang w:val="uk-UA"/>
              </w:rPr>
              <w:t xml:space="preserve"> (j) </w:t>
            </w:r>
            <w:r w:rsidR="0065313E" w:rsidRPr="00BE1959">
              <w:rPr>
                <w:rFonts w:ascii="Times New Roman" w:eastAsia="Times New Roman" w:hAnsi="Times New Roman" w:cs="Times New Roman"/>
                <w:sz w:val="24"/>
                <w:szCs w:val="24"/>
                <w:lang w:val="uk-UA"/>
              </w:rPr>
              <w:t xml:space="preserve">статті </w:t>
            </w:r>
            <w:r w:rsidR="005613AB" w:rsidRPr="00BE1959">
              <w:rPr>
                <w:rFonts w:ascii="Times New Roman" w:eastAsia="Times New Roman" w:hAnsi="Times New Roman" w:cs="Times New Roman"/>
                <w:sz w:val="24"/>
                <w:szCs w:val="24"/>
                <w:lang w:val="uk-UA"/>
              </w:rPr>
              <w:t>2(1)</w:t>
            </w:r>
            <w:r w:rsidR="0065313E" w:rsidRPr="00BE1959">
              <w:rPr>
                <w:rFonts w:ascii="Times New Roman" w:eastAsia="Times New Roman" w:hAnsi="Times New Roman" w:cs="Times New Roman"/>
                <w:sz w:val="24"/>
                <w:szCs w:val="24"/>
                <w:lang w:val="uk-UA"/>
              </w:rPr>
              <w:t xml:space="preserve">, якщо вони надаватимуть вищезгадані інвестиційні послуг самостійно. Проте, щоб забезпечити наявність відповідних гарантій і належний захист інвесторів, держави-члени, що вирішили звільнити такі спільні підприємства від дії цієї директиви, </w:t>
            </w:r>
            <w:r w:rsidR="00DB3FCF" w:rsidRPr="00BE1959">
              <w:rPr>
                <w:rFonts w:ascii="Times New Roman" w:eastAsia="Times New Roman" w:hAnsi="Times New Roman" w:cs="Times New Roman"/>
                <w:sz w:val="24"/>
                <w:szCs w:val="24"/>
                <w:lang w:val="uk-UA"/>
              </w:rPr>
              <w:t xml:space="preserve">повинні поширити на них вимоги, що є принаймні аналогічними вимогам, викладеним у цій директиві, зокрема під час надання дозволу, при проведенні оцінки їхньої репутації та досвіду і </w:t>
            </w:r>
            <w:r w:rsidR="00A67238" w:rsidRPr="00BE1959">
              <w:rPr>
                <w:rFonts w:ascii="Times New Roman" w:eastAsia="Times New Roman" w:hAnsi="Times New Roman" w:cs="Times New Roman"/>
                <w:sz w:val="24"/>
                <w:szCs w:val="24"/>
                <w:lang w:val="uk-UA"/>
              </w:rPr>
              <w:t>відповідності</w:t>
            </w:r>
            <w:r w:rsidR="00DB3FCF" w:rsidRPr="00BE1959">
              <w:rPr>
                <w:rFonts w:ascii="Times New Roman" w:eastAsia="Times New Roman" w:hAnsi="Times New Roman" w:cs="Times New Roman"/>
                <w:sz w:val="24"/>
                <w:szCs w:val="24"/>
                <w:lang w:val="uk-UA"/>
              </w:rPr>
              <w:t xml:space="preserve"> акціонерів, у процесі перегляду умов надання початкового дозволу та здійснення поточного нагляду, а також при виконанні ділових зобов’язань.</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96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(30)</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2328EF" w:rsidP="00A43E4A">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Особи, що надають інвестиційні послуги тільки на нерегулярній основі в ході своєї </w:t>
            </w:r>
            <w:r w:rsidRPr="00BE1959">
              <w:rPr>
                <w:rFonts w:ascii="Times New Roman" w:eastAsia="Times New Roman" w:hAnsi="Times New Roman" w:cs="Times New Roman"/>
                <w:sz w:val="24"/>
                <w:szCs w:val="24"/>
                <w:lang w:val="uk-UA"/>
              </w:rPr>
              <w:lastRenderedPageBreak/>
              <w:t>професійної діяльності</w:t>
            </w:r>
            <w:r w:rsidR="00A43E4A" w:rsidRPr="00BE1959">
              <w:rPr>
                <w:rFonts w:ascii="Times New Roman" w:eastAsia="Times New Roman" w:hAnsi="Times New Roman" w:cs="Times New Roman"/>
                <w:sz w:val="24"/>
                <w:szCs w:val="24"/>
                <w:lang w:val="uk-UA"/>
              </w:rPr>
              <w:t>, також повинні бути звільнені від дії цієї директиви, за умови, що ця діяльність регулюється і відповідні правила не забороняють надання інвестиційних послуг на нерегулярній основі.</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96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(31)</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1639E1" w:rsidP="00F84C1A">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Особи, які надають інвестиційні послуги, що полягають виключно в управлінні схемами участі працівників, і які, отже, не надають інвестиційні послуги третім особам, не повинні </w:t>
            </w:r>
            <w:r w:rsidR="00F84C1A" w:rsidRPr="00BE1959">
              <w:rPr>
                <w:rFonts w:ascii="Times New Roman" w:eastAsia="Times New Roman" w:hAnsi="Times New Roman" w:cs="Times New Roman"/>
                <w:sz w:val="24"/>
                <w:szCs w:val="24"/>
                <w:lang w:val="uk-UA"/>
              </w:rPr>
              <w:t>підпадати під дію цієї директиви.</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96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(32)</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F84C1A" w:rsidP="00E412FD">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Зі сфери дії цієї директиви необхідно виключити центральні банки та інші органи, виконуючі аналогічні функції, а також державні органи, яким доручено здійснювати управління державним боргом або які втручаються в управління державним боргом </w:t>
            </w:r>
            <w:r w:rsidR="00023123" w:rsidRPr="00BE1959">
              <w:rPr>
                <w:rFonts w:ascii="Times New Roman" w:eastAsia="Times New Roman" w:hAnsi="Times New Roman" w:cs="Times New Roman"/>
                <w:sz w:val="24"/>
                <w:szCs w:val="24"/>
                <w:lang w:val="uk-UA"/>
              </w:rPr>
              <w:t>(причому це поняття охоплює його інвестування), за винятком органів, які частково або повністю належать державі й роль яких має комерційний характер або пов'яз</w:t>
            </w:r>
            <w:r w:rsidR="00E412FD" w:rsidRPr="00BE1959">
              <w:rPr>
                <w:rFonts w:ascii="Times New Roman" w:eastAsia="Times New Roman" w:hAnsi="Times New Roman" w:cs="Times New Roman"/>
                <w:sz w:val="24"/>
                <w:szCs w:val="24"/>
                <w:lang w:val="uk-UA"/>
              </w:rPr>
              <w:t>ана з придбанням часток участі.</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96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(33)</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9E4029" w:rsidP="00E962FA">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Для того, щоб уточнити режим звільнень для Європейської системи центральних банків (ЄСЦБ), інших національних органів, виконуючих аналогічні функції, та органів, які втручаються в управління державним боргом, доцільно обмежити такі звільнення органами та установами, виконуючими свої функції відповідно до законодавства одної держави-члена чи відповідно до законодавства Союзу, а також міжнародними органами, членами яких є дві або більше держав-членів</w:t>
            </w:r>
            <w:r w:rsidR="00E962FA" w:rsidRPr="00BE1959">
              <w:rPr>
                <w:rFonts w:ascii="Times New Roman" w:eastAsia="Times New Roman" w:hAnsi="Times New Roman" w:cs="Times New Roman"/>
                <w:sz w:val="24"/>
                <w:szCs w:val="24"/>
                <w:lang w:val="uk-UA"/>
              </w:rPr>
              <w:t xml:space="preserve"> і мета яких полягає у залученні фінансування й наданні фінансової допомоги на користь їхніх членів, котрі зазнають серйозних фінансових проблем чи котрим загрожують такі проблеми, як-от Європейський стабілізаційний механізм.</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96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(34)</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4709EB" w:rsidP="005E1C03">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Зі сфери дії цієї директиви необхідно виключити</w:t>
            </w:r>
            <w:r w:rsidR="005613AB" w:rsidRPr="00BE1959">
              <w:rPr>
                <w:rFonts w:ascii="Times New Roman" w:eastAsia="Times New Roman" w:hAnsi="Times New Roman" w:cs="Times New Roman"/>
                <w:sz w:val="24"/>
                <w:szCs w:val="24"/>
                <w:lang w:val="uk-UA"/>
              </w:rPr>
              <w:t xml:space="preserve"> </w:t>
            </w:r>
            <w:r w:rsidRPr="00BE1959">
              <w:rPr>
                <w:rFonts w:ascii="Times New Roman" w:eastAsia="Times New Roman" w:hAnsi="Times New Roman" w:cs="Times New Roman"/>
                <w:sz w:val="24"/>
                <w:szCs w:val="24"/>
                <w:lang w:val="uk-UA"/>
              </w:rPr>
              <w:t>організації колективного інвестування та пенсійні фонди незалежно від того, чи координуються вони на рівні Союзу, та депозитаріїв і керівників таких організацій</w:t>
            </w:r>
            <w:r w:rsidR="005E1C03" w:rsidRPr="00BE1959">
              <w:rPr>
                <w:rFonts w:ascii="Times New Roman" w:eastAsia="Times New Roman" w:hAnsi="Times New Roman" w:cs="Times New Roman"/>
                <w:sz w:val="24"/>
                <w:szCs w:val="24"/>
                <w:lang w:val="uk-UA"/>
              </w:rPr>
              <w:t>, тому що вони підпадають під дію особливих правил, безпосередньо адаптованих до їхньої діяльності.</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96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(35)</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4709EB" w:rsidP="00EE6518">
            <w:pPr>
              <w:spacing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Зі сфери дії цієї директиви необхідно виключити</w:t>
            </w:r>
            <w:r w:rsidR="005613AB" w:rsidRPr="00BE1959">
              <w:rPr>
                <w:rFonts w:ascii="Times New Roman" w:eastAsia="Times New Roman" w:hAnsi="Times New Roman" w:cs="Times New Roman"/>
                <w:sz w:val="24"/>
                <w:szCs w:val="24"/>
                <w:lang w:val="uk-UA"/>
              </w:rPr>
              <w:t xml:space="preserve"> </w:t>
            </w:r>
            <w:r w:rsidR="005E1C03" w:rsidRPr="00BE1959">
              <w:rPr>
                <w:rFonts w:ascii="Times New Roman" w:eastAsia="Times New Roman" w:hAnsi="Times New Roman" w:cs="Times New Roman"/>
                <w:sz w:val="24"/>
                <w:szCs w:val="24"/>
                <w:lang w:val="uk-UA"/>
              </w:rPr>
              <w:t xml:space="preserve">операторів систем передачі, визначених у статті </w:t>
            </w:r>
            <w:r w:rsidR="005613AB" w:rsidRPr="00BE1959">
              <w:rPr>
                <w:rFonts w:ascii="Times New Roman" w:eastAsia="Times New Roman" w:hAnsi="Times New Roman" w:cs="Times New Roman"/>
                <w:sz w:val="24"/>
                <w:szCs w:val="24"/>
                <w:lang w:val="uk-UA"/>
              </w:rPr>
              <w:t xml:space="preserve">2(4) </w:t>
            </w:r>
            <w:r w:rsidR="00016E03" w:rsidRPr="00BE1959">
              <w:rPr>
                <w:rFonts w:ascii="Times New Roman" w:eastAsia="Times New Roman" w:hAnsi="Times New Roman" w:cs="Times New Roman"/>
                <w:sz w:val="24"/>
                <w:szCs w:val="24"/>
                <w:lang w:val="uk-UA"/>
              </w:rPr>
              <w:t>Директиви</w:t>
            </w:r>
            <w:r w:rsidR="005613AB" w:rsidRPr="00BE1959">
              <w:rPr>
                <w:rFonts w:ascii="Times New Roman" w:eastAsia="Times New Roman" w:hAnsi="Times New Roman" w:cs="Times New Roman"/>
                <w:sz w:val="24"/>
                <w:szCs w:val="24"/>
                <w:lang w:val="uk-UA"/>
              </w:rPr>
              <w:t xml:space="preserve"> 2009/72/EC </w:t>
            </w:r>
            <w:r w:rsidR="00423154" w:rsidRPr="00BE1959">
              <w:rPr>
                <w:rFonts w:ascii="Times New Roman" w:eastAsia="Times New Roman" w:hAnsi="Times New Roman" w:cs="Times New Roman"/>
                <w:sz w:val="24"/>
                <w:szCs w:val="24"/>
                <w:lang w:val="uk-UA"/>
              </w:rPr>
              <w:t>Європейського Парламенту та Ради</w:t>
            </w:r>
            <w:hyperlink r:id="rId20" w:anchor="ntr15-L_2014173EN.01034901-E0015" w:history="1">
              <w:r w:rsidR="005613AB" w:rsidRPr="00BE1959">
                <w:rPr>
                  <w:rFonts w:ascii="Times New Roman" w:eastAsia="Times New Roman" w:hAnsi="Times New Roman" w:cs="Times New Roman"/>
                  <w:sz w:val="24"/>
                  <w:szCs w:val="24"/>
                  <w:bdr w:val="none" w:sz="0" w:space="0" w:color="auto" w:frame="1"/>
                  <w:lang w:val="uk-UA"/>
                </w:rPr>
                <w:t> (</w:t>
              </w:r>
              <w:r w:rsidR="005613AB" w:rsidRPr="00BE1959">
                <w:rPr>
                  <w:rFonts w:ascii="Times New Roman" w:eastAsia="Times New Roman" w:hAnsi="Times New Roman" w:cs="Times New Roman"/>
                  <w:sz w:val="24"/>
                  <w:szCs w:val="24"/>
                  <w:bdr w:val="none" w:sz="0" w:space="0" w:color="auto" w:frame="1"/>
                  <w:vertAlign w:val="superscript"/>
                  <w:lang w:val="uk-UA"/>
                </w:rPr>
                <w:t>15</w:t>
              </w:r>
              <w:r w:rsidR="005613AB" w:rsidRPr="00BE1959">
                <w:rPr>
                  <w:rFonts w:ascii="Times New Roman" w:eastAsia="Times New Roman" w:hAnsi="Times New Roman" w:cs="Times New Roman"/>
                  <w:sz w:val="24"/>
                  <w:szCs w:val="24"/>
                  <w:bdr w:val="none" w:sz="0" w:space="0" w:color="auto" w:frame="1"/>
                  <w:lang w:val="uk-UA"/>
                </w:rPr>
                <w:t>)</w:t>
              </w:r>
            </w:hyperlink>
            <w:r w:rsidR="005613AB" w:rsidRPr="00BE1959">
              <w:rPr>
                <w:rFonts w:ascii="Times New Roman" w:eastAsia="Times New Roman" w:hAnsi="Times New Roman" w:cs="Times New Roman"/>
                <w:sz w:val="24"/>
                <w:szCs w:val="24"/>
                <w:lang w:val="uk-UA"/>
              </w:rPr>
              <w:t> </w:t>
            </w:r>
            <w:r w:rsidR="000D3B79" w:rsidRPr="00BE1959">
              <w:rPr>
                <w:rFonts w:ascii="Times New Roman" w:eastAsia="Times New Roman" w:hAnsi="Times New Roman" w:cs="Times New Roman"/>
                <w:sz w:val="24"/>
                <w:szCs w:val="24"/>
                <w:lang w:val="uk-UA"/>
              </w:rPr>
              <w:t>або</w:t>
            </w:r>
            <w:r w:rsidR="005613AB" w:rsidRPr="00BE1959">
              <w:rPr>
                <w:rFonts w:ascii="Times New Roman" w:eastAsia="Times New Roman" w:hAnsi="Times New Roman" w:cs="Times New Roman"/>
                <w:sz w:val="24"/>
                <w:szCs w:val="24"/>
                <w:lang w:val="uk-UA"/>
              </w:rPr>
              <w:t xml:space="preserve"> </w:t>
            </w:r>
            <w:r w:rsidR="000D3B79" w:rsidRPr="00BE1959">
              <w:rPr>
                <w:rFonts w:ascii="Times New Roman" w:eastAsia="Times New Roman" w:hAnsi="Times New Roman" w:cs="Times New Roman"/>
                <w:sz w:val="24"/>
                <w:szCs w:val="24"/>
                <w:lang w:val="uk-UA"/>
              </w:rPr>
              <w:t>статті</w:t>
            </w:r>
            <w:r w:rsidR="005613AB" w:rsidRPr="00BE1959">
              <w:rPr>
                <w:rFonts w:ascii="Times New Roman" w:eastAsia="Times New Roman" w:hAnsi="Times New Roman" w:cs="Times New Roman"/>
                <w:sz w:val="24"/>
                <w:szCs w:val="24"/>
                <w:lang w:val="uk-UA"/>
              </w:rPr>
              <w:t xml:space="preserve"> 2(4) </w:t>
            </w:r>
            <w:r w:rsidR="00016E03" w:rsidRPr="00BE1959">
              <w:rPr>
                <w:rFonts w:ascii="Times New Roman" w:eastAsia="Times New Roman" w:hAnsi="Times New Roman" w:cs="Times New Roman"/>
                <w:sz w:val="24"/>
                <w:szCs w:val="24"/>
                <w:lang w:val="uk-UA"/>
              </w:rPr>
              <w:t>Директиви</w:t>
            </w:r>
            <w:r w:rsidR="005613AB" w:rsidRPr="00BE1959">
              <w:rPr>
                <w:rFonts w:ascii="Times New Roman" w:eastAsia="Times New Roman" w:hAnsi="Times New Roman" w:cs="Times New Roman"/>
                <w:sz w:val="24"/>
                <w:szCs w:val="24"/>
                <w:lang w:val="uk-UA"/>
              </w:rPr>
              <w:t xml:space="preserve"> 2009/73/EC </w:t>
            </w:r>
            <w:r w:rsidR="00423154" w:rsidRPr="00BE1959">
              <w:rPr>
                <w:rFonts w:ascii="Times New Roman" w:eastAsia="Times New Roman" w:hAnsi="Times New Roman" w:cs="Times New Roman"/>
                <w:sz w:val="24"/>
                <w:szCs w:val="24"/>
                <w:lang w:val="uk-UA"/>
              </w:rPr>
              <w:t>Європейського Парламенту та Ради</w:t>
            </w:r>
            <w:hyperlink r:id="rId21" w:anchor="ntr16-L_2014173EN.01034901-E0016" w:history="1">
              <w:r w:rsidR="005613AB" w:rsidRPr="00BE1959">
                <w:rPr>
                  <w:rFonts w:ascii="Times New Roman" w:eastAsia="Times New Roman" w:hAnsi="Times New Roman" w:cs="Times New Roman"/>
                  <w:sz w:val="24"/>
                  <w:szCs w:val="24"/>
                  <w:bdr w:val="none" w:sz="0" w:space="0" w:color="auto" w:frame="1"/>
                  <w:lang w:val="uk-UA"/>
                </w:rPr>
                <w:t> (</w:t>
              </w:r>
              <w:r w:rsidR="005613AB" w:rsidRPr="00BE1959">
                <w:rPr>
                  <w:rFonts w:ascii="Times New Roman" w:eastAsia="Times New Roman" w:hAnsi="Times New Roman" w:cs="Times New Roman"/>
                  <w:sz w:val="24"/>
                  <w:szCs w:val="24"/>
                  <w:bdr w:val="none" w:sz="0" w:space="0" w:color="auto" w:frame="1"/>
                  <w:vertAlign w:val="superscript"/>
                  <w:lang w:val="uk-UA"/>
                </w:rPr>
                <w:t>16</w:t>
              </w:r>
              <w:r w:rsidR="005613AB" w:rsidRPr="00BE1959">
                <w:rPr>
                  <w:rFonts w:ascii="Times New Roman" w:eastAsia="Times New Roman" w:hAnsi="Times New Roman" w:cs="Times New Roman"/>
                  <w:sz w:val="24"/>
                  <w:szCs w:val="24"/>
                  <w:bdr w:val="none" w:sz="0" w:space="0" w:color="auto" w:frame="1"/>
                  <w:lang w:val="uk-UA"/>
                </w:rPr>
                <w:t>)</w:t>
              </w:r>
            </w:hyperlink>
            <w:r w:rsidR="000D3B79" w:rsidRPr="00BE1959">
              <w:rPr>
                <w:rFonts w:ascii="Times New Roman" w:eastAsia="Times New Roman" w:hAnsi="Times New Roman" w:cs="Times New Roman"/>
                <w:sz w:val="24"/>
                <w:szCs w:val="24"/>
                <w:bdr w:val="none" w:sz="0" w:space="0" w:color="auto" w:frame="1"/>
                <w:lang w:val="uk-UA"/>
              </w:rPr>
              <w:t xml:space="preserve">, при виконанні ними їхніх задач за цими директивами, за Регламентом </w:t>
            </w:r>
            <w:r w:rsidR="000D3B79" w:rsidRPr="00BE1959">
              <w:rPr>
                <w:rFonts w:ascii="Times New Roman" w:eastAsia="Times New Roman" w:hAnsi="Times New Roman" w:cs="Times New Roman"/>
                <w:sz w:val="24"/>
                <w:szCs w:val="24"/>
                <w:lang w:val="uk-UA"/>
              </w:rPr>
              <w:t>(EC) №</w:t>
            </w:r>
            <w:r w:rsidR="005613AB" w:rsidRPr="00BE1959">
              <w:rPr>
                <w:rFonts w:ascii="Times New Roman" w:eastAsia="Times New Roman" w:hAnsi="Times New Roman" w:cs="Times New Roman"/>
                <w:sz w:val="24"/>
                <w:szCs w:val="24"/>
                <w:lang w:val="uk-UA"/>
              </w:rPr>
              <w:t xml:space="preserve"> 714/2009 </w:t>
            </w:r>
            <w:r w:rsidR="00423154" w:rsidRPr="00BE1959">
              <w:rPr>
                <w:rFonts w:ascii="Times New Roman" w:eastAsia="Times New Roman" w:hAnsi="Times New Roman" w:cs="Times New Roman"/>
                <w:sz w:val="24"/>
                <w:szCs w:val="24"/>
                <w:lang w:val="uk-UA"/>
              </w:rPr>
              <w:t>Європейського Парламенту та Ради</w:t>
            </w:r>
            <w:hyperlink r:id="rId22" w:anchor="ntr17-L_2014173EN.01034901-E0017" w:history="1">
              <w:r w:rsidR="005613AB" w:rsidRPr="00BE1959">
                <w:rPr>
                  <w:rFonts w:ascii="Times New Roman" w:eastAsia="Times New Roman" w:hAnsi="Times New Roman" w:cs="Times New Roman"/>
                  <w:sz w:val="24"/>
                  <w:szCs w:val="24"/>
                  <w:bdr w:val="none" w:sz="0" w:space="0" w:color="auto" w:frame="1"/>
                  <w:lang w:val="uk-UA"/>
                </w:rPr>
                <w:t> (</w:t>
              </w:r>
              <w:r w:rsidR="005613AB" w:rsidRPr="00BE1959">
                <w:rPr>
                  <w:rFonts w:ascii="Times New Roman" w:eastAsia="Times New Roman" w:hAnsi="Times New Roman" w:cs="Times New Roman"/>
                  <w:sz w:val="24"/>
                  <w:szCs w:val="24"/>
                  <w:bdr w:val="none" w:sz="0" w:space="0" w:color="auto" w:frame="1"/>
                  <w:vertAlign w:val="superscript"/>
                  <w:lang w:val="uk-UA"/>
                </w:rPr>
                <w:t>17</w:t>
              </w:r>
              <w:r w:rsidR="005613AB" w:rsidRPr="00BE1959">
                <w:rPr>
                  <w:rFonts w:ascii="Times New Roman" w:eastAsia="Times New Roman" w:hAnsi="Times New Roman" w:cs="Times New Roman"/>
                  <w:sz w:val="24"/>
                  <w:szCs w:val="24"/>
                  <w:bdr w:val="none" w:sz="0" w:space="0" w:color="auto" w:frame="1"/>
                  <w:lang w:val="uk-UA"/>
                </w:rPr>
                <w:t>)</w:t>
              </w:r>
            </w:hyperlink>
            <w:r w:rsidR="001C45D7" w:rsidRPr="00BE1959">
              <w:rPr>
                <w:rFonts w:ascii="Times New Roman" w:eastAsia="Times New Roman" w:hAnsi="Times New Roman" w:cs="Times New Roman"/>
                <w:sz w:val="24"/>
                <w:szCs w:val="24"/>
                <w:lang w:val="uk-UA"/>
              </w:rPr>
              <w:t>, за Регламентом</w:t>
            </w:r>
            <w:r w:rsidR="005613AB" w:rsidRPr="00BE1959">
              <w:rPr>
                <w:rFonts w:ascii="Times New Roman" w:eastAsia="Times New Roman" w:hAnsi="Times New Roman" w:cs="Times New Roman"/>
                <w:sz w:val="24"/>
                <w:szCs w:val="24"/>
                <w:lang w:val="uk-UA"/>
              </w:rPr>
              <w:t xml:space="preserve"> </w:t>
            </w:r>
            <w:r w:rsidR="000D3B79" w:rsidRPr="00BE1959">
              <w:rPr>
                <w:rFonts w:ascii="Times New Roman" w:eastAsia="Times New Roman" w:hAnsi="Times New Roman" w:cs="Times New Roman"/>
                <w:sz w:val="24"/>
                <w:szCs w:val="24"/>
                <w:lang w:val="uk-UA"/>
              </w:rPr>
              <w:t>(EC) №</w:t>
            </w:r>
            <w:r w:rsidR="005613AB" w:rsidRPr="00BE1959">
              <w:rPr>
                <w:rFonts w:ascii="Times New Roman" w:eastAsia="Times New Roman" w:hAnsi="Times New Roman" w:cs="Times New Roman"/>
                <w:sz w:val="24"/>
                <w:szCs w:val="24"/>
                <w:lang w:val="uk-UA"/>
              </w:rPr>
              <w:t xml:space="preserve"> 715/2009 </w:t>
            </w:r>
            <w:r w:rsidR="00423154" w:rsidRPr="00BE1959">
              <w:rPr>
                <w:rFonts w:ascii="Times New Roman" w:eastAsia="Times New Roman" w:hAnsi="Times New Roman" w:cs="Times New Roman"/>
                <w:sz w:val="24"/>
                <w:szCs w:val="24"/>
                <w:lang w:val="uk-UA"/>
              </w:rPr>
              <w:t>Європейського Парламенту та Ради</w:t>
            </w:r>
            <w:hyperlink r:id="rId23" w:anchor="ntr18-L_2014173EN.01034901-E0018" w:history="1">
              <w:r w:rsidR="005613AB" w:rsidRPr="00BE1959">
                <w:rPr>
                  <w:rFonts w:ascii="Times New Roman" w:eastAsia="Times New Roman" w:hAnsi="Times New Roman" w:cs="Times New Roman"/>
                  <w:sz w:val="24"/>
                  <w:szCs w:val="24"/>
                  <w:bdr w:val="none" w:sz="0" w:space="0" w:color="auto" w:frame="1"/>
                  <w:lang w:val="uk-UA"/>
                </w:rPr>
                <w:t> (</w:t>
              </w:r>
              <w:r w:rsidR="005613AB" w:rsidRPr="00BE1959">
                <w:rPr>
                  <w:rFonts w:ascii="Times New Roman" w:eastAsia="Times New Roman" w:hAnsi="Times New Roman" w:cs="Times New Roman"/>
                  <w:sz w:val="24"/>
                  <w:szCs w:val="24"/>
                  <w:bdr w:val="none" w:sz="0" w:space="0" w:color="auto" w:frame="1"/>
                  <w:vertAlign w:val="superscript"/>
                  <w:lang w:val="uk-UA"/>
                </w:rPr>
                <w:t>18</w:t>
              </w:r>
              <w:r w:rsidR="005613AB" w:rsidRPr="00BE1959">
                <w:rPr>
                  <w:rFonts w:ascii="Times New Roman" w:eastAsia="Times New Roman" w:hAnsi="Times New Roman" w:cs="Times New Roman"/>
                  <w:sz w:val="24"/>
                  <w:szCs w:val="24"/>
                  <w:bdr w:val="none" w:sz="0" w:space="0" w:color="auto" w:frame="1"/>
                  <w:lang w:val="uk-UA"/>
                </w:rPr>
                <w:t>)</w:t>
              </w:r>
            </w:hyperlink>
            <w:r w:rsidR="005613AB" w:rsidRPr="00BE1959">
              <w:rPr>
                <w:rFonts w:ascii="Times New Roman" w:eastAsia="Times New Roman" w:hAnsi="Times New Roman" w:cs="Times New Roman"/>
                <w:sz w:val="24"/>
                <w:szCs w:val="24"/>
                <w:lang w:val="uk-UA"/>
              </w:rPr>
              <w:t> </w:t>
            </w:r>
            <w:r w:rsidR="001C45D7" w:rsidRPr="00BE1959">
              <w:rPr>
                <w:rFonts w:ascii="Times New Roman" w:eastAsia="Times New Roman" w:hAnsi="Times New Roman" w:cs="Times New Roman"/>
                <w:sz w:val="24"/>
                <w:szCs w:val="24"/>
                <w:lang w:val="uk-UA"/>
              </w:rPr>
              <w:t>або за мережевими кодексами чи настановами, прийнятими на виконання цих законодавчих актів. Відповідно до цих законодавчих актів оператори систем передачі мають конкретні обов’язки та зобов’язання</w:t>
            </w:r>
            <w:r w:rsidR="00ED175D" w:rsidRPr="00BE1959">
              <w:rPr>
                <w:rFonts w:ascii="Times New Roman" w:eastAsia="Times New Roman" w:hAnsi="Times New Roman" w:cs="Times New Roman"/>
                <w:sz w:val="24"/>
                <w:szCs w:val="24"/>
                <w:lang w:val="uk-UA"/>
              </w:rPr>
              <w:t>, пі</w:t>
            </w:r>
            <w:r w:rsidR="0048026C" w:rsidRPr="00BE1959">
              <w:rPr>
                <w:rFonts w:ascii="Times New Roman" w:eastAsia="Times New Roman" w:hAnsi="Times New Roman" w:cs="Times New Roman"/>
                <w:sz w:val="24"/>
                <w:szCs w:val="24"/>
                <w:lang w:val="uk-UA"/>
              </w:rPr>
              <w:t xml:space="preserve">длягають особливій сертифікації, і нагляд за їхньою діяльністю здійснюють компетентні органи відповідної галузі. Оператори систем передачі також повинні користуватися таким звільненням, якщо вони залучають інших осіб, діючих як надавачі послуг від їхнього імені, для </w:t>
            </w:r>
            <w:r w:rsidR="004234CD" w:rsidRPr="00BE1959">
              <w:rPr>
                <w:rFonts w:ascii="Times New Roman" w:eastAsia="Times New Roman" w:hAnsi="Times New Roman" w:cs="Times New Roman"/>
                <w:sz w:val="24"/>
                <w:szCs w:val="24"/>
                <w:lang w:val="uk-UA"/>
              </w:rPr>
              <w:t xml:space="preserve">виконання їхніх задач за цими законодавчими актами або за мережевими кодексами чи настановами, прийнятими на </w:t>
            </w:r>
            <w:r w:rsidR="004234CD" w:rsidRPr="00BE1959">
              <w:rPr>
                <w:rFonts w:ascii="Times New Roman" w:eastAsia="Times New Roman" w:hAnsi="Times New Roman" w:cs="Times New Roman"/>
                <w:sz w:val="24"/>
                <w:szCs w:val="24"/>
                <w:lang w:val="uk-UA"/>
              </w:rPr>
              <w:lastRenderedPageBreak/>
              <w:t>виконання цих регламентів. Оператори систем передачі не повинні мати можливість користуватися таким звільненням, коли вони надають інвестиційні послуги або ведуть діяльність, пов'язану з фінансовими інструментами, зокрема при упра</w:t>
            </w:r>
            <w:r w:rsidR="00EE6518" w:rsidRPr="00BE1959">
              <w:rPr>
                <w:rFonts w:ascii="Times New Roman" w:eastAsia="Times New Roman" w:hAnsi="Times New Roman" w:cs="Times New Roman"/>
                <w:sz w:val="24"/>
                <w:szCs w:val="24"/>
                <w:lang w:val="uk-UA"/>
              </w:rPr>
              <w:t>влінні платформою для вторинної торгівлі фінансовими правами на передачу.</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96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(36)</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EE6518" w:rsidP="0000777A">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Для того, щ</w:t>
            </w:r>
            <w:r w:rsidR="001371A5" w:rsidRPr="00BE1959">
              <w:rPr>
                <w:rFonts w:ascii="Times New Roman" w:eastAsia="Times New Roman" w:hAnsi="Times New Roman" w:cs="Times New Roman"/>
                <w:sz w:val="24"/>
                <w:szCs w:val="24"/>
                <w:lang w:val="uk-UA"/>
              </w:rPr>
              <w:t>об скористатися звільненням від дотримання цієї директиви,</w:t>
            </w:r>
            <w:r w:rsidR="00BB3DAF" w:rsidRPr="00BE1959">
              <w:rPr>
                <w:rFonts w:ascii="Times New Roman" w:eastAsia="Times New Roman" w:hAnsi="Times New Roman" w:cs="Times New Roman"/>
                <w:sz w:val="24"/>
                <w:szCs w:val="24"/>
                <w:lang w:val="uk-UA"/>
              </w:rPr>
              <w:t xml:space="preserve"> зацікавлена особа</w:t>
            </w:r>
            <w:r w:rsidR="001371A5" w:rsidRPr="00BE1959">
              <w:rPr>
                <w:rFonts w:ascii="Times New Roman" w:eastAsia="Times New Roman" w:hAnsi="Times New Roman" w:cs="Times New Roman"/>
                <w:sz w:val="24"/>
                <w:szCs w:val="24"/>
                <w:lang w:val="uk-UA"/>
              </w:rPr>
              <w:t xml:space="preserve"> повинна постійно дотримуватися умов, передбачених для такого звільнення. Зокрема, якщо особа надає інвестиційні послуги або веде інвестиційну діяльність та користується звільненням від дотримання цієї директиви</w:t>
            </w:r>
            <w:r w:rsidR="00865A31" w:rsidRPr="00BE1959">
              <w:rPr>
                <w:rFonts w:ascii="Times New Roman" w:eastAsia="Times New Roman" w:hAnsi="Times New Roman" w:cs="Times New Roman"/>
                <w:sz w:val="24"/>
                <w:szCs w:val="24"/>
                <w:lang w:val="uk-UA"/>
              </w:rPr>
              <w:t xml:space="preserve">, тому що такі послуги або види діяльності є додатковими до основної діяльності цієї особи, розглядуваної на груповій основі, то ця особа втрачає право на таке звільнення </w:t>
            </w:r>
            <w:r w:rsidR="00F77B70" w:rsidRPr="00BE1959">
              <w:rPr>
                <w:rFonts w:ascii="Times New Roman" w:eastAsia="Times New Roman" w:hAnsi="Times New Roman" w:cs="Times New Roman"/>
                <w:sz w:val="24"/>
                <w:szCs w:val="24"/>
                <w:lang w:val="uk-UA"/>
              </w:rPr>
              <w:t>стосовно додаткових послуг, якщо надання цих послуг або ведення такої діяльності перестає бути додатковим до основної діяльності цієї особи.</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96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(37)</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00777A" w:rsidP="0000777A">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Особи, які надають інвестиційні послуги і (або) ведуть інвестиційну діяльність, охоплені (охоплену) цією директивою, потребують дозволу з боку держав-членів походження з метою захисту інвесторів та підтримання стабільності фінансової системи.</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96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(38)</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857289" w:rsidP="00857289">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Кредитні установи, уповноважені за Директивою</w:t>
            </w:r>
            <w:r w:rsidR="005613AB" w:rsidRPr="00BE1959">
              <w:rPr>
                <w:rFonts w:ascii="Times New Roman" w:eastAsia="Times New Roman" w:hAnsi="Times New Roman" w:cs="Times New Roman"/>
                <w:sz w:val="24"/>
                <w:szCs w:val="24"/>
                <w:lang w:val="uk-UA"/>
              </w:rPr>
              <w:t xml:space="preserve"> 2013/36/EU</w:t>
            </w:r>
            <w:r w:rsidRPr="00BE1959">
              <w:rPr>
                <w:rFonts w:ascii="Times New Roman" w:eastAsia="Times New Roman" w:hAnsi="Times New Roman" w:cs="Times New Roman"/>
                <w:sz w:val="24"/>
                <w:szCs w:val="24"/>
                <w:lang w:val="uk-UA"/>
              </w:rPr>
              <w:t>, не потребують додаткового дозволу за цією директивою для надання інвестиційних послуг або ведення інвестиційної діяльності. Якщо кредитна установа вирішила надавати інвестиційні послуги або вести інвестиційну діяльність, то компетентні органи, перш ніж надавати дозвіл за Директивою</w:t>
            </w:r>
            <w:r w:rsidR="005613AB" w:rsidRPr="00BE1959">
              <w:rPr>
                <w:rFonts w:ascii="Times New Roman" w:eastAsia="Times New Roman" w:hAnsi="Times New Roman" w:cs="Times New Roman"/>
                <w:sz w:val="24"/>
                <w:szCs w:val="24"/>
                <w:lang w:val="uk-UA"/>
              </w:rPr>
              <w:t xml:space="preserve"> 2013/36/EU, </w:t>
            </w:r>
            <w:r w:rsidRPr="00BE1959">
              <w:rPr>
                <w:rFonts w:ascii="Times New Roman" w:eastAsia="Times New Roman" w:hAnsi="Times New Roman" w:cs="Times New Roman"/>
                <w:sz w:val="24"/>
                <w:szCs w:val="24"/>
                <w:lang w:val="uk-UA"/>
              </w:rPr>
              <w:t>повинні перевірити, щоб вищезгадана установа дотримувалася відповідних положень даної директиви.</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960"/>
      </w:tblGrid>
      <w:tr w:rsidR="005613AB" w:rsidRPr="00BE1959"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(39)</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BC647C" w:rsidP="00011713">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Структуровані депозити з’явилися як форма інвестиційного продукту, але не охоплені жодним законодавчим актом щодо захисту інвесторів на рівні Союзу, тоді як інші </w:t>
            </w:r>
            <w:r w:rsidR="009F3FC1" w:rsidRPr="00BE1959">
              <w:rPr>
                <w:rFonts w:ascii="Times New Roman" w:eastAsia="Times New Roman" w:hAnsi="Times New Roman" w:cs="Times New Roman"/>
                <w:sz w:val="24"/>
                <w:szCs w:val="24"/>
                <w:lang w:val="uk-UA"/>
              </w:rPr>
              <w:t xml:space="preserve">структуровані інвестиції такими законодавчими актами охоплені. Тому доцільно зміцнити довіру інвесторів і посилити одноманітність регуляторного режиму стосовно дистрибуції різних </w:t>
            </w:r>
            <w:r w:rsidR="0031073D" w:rsidRPr="00BE1959">
              <w:rPr>
                <w:rFonts w:ascii="Times New Roman" w:eastAsia="Times New Roman" w:hAnsi="Times New Roman" w:cs="Times New Roman"/>
                <w:sz w:val="24"/>
                <w:szCs w:val="24"/>
                <w:lang w:val="uk-UA"/>
              </w:rPr>
              <w:t xml:space="preserve">пакетних роздрібних інвестиційних продуктів з метою забезпечення належного рівня захисту інвесторів на всій території Союзу. З цієї причини доречно включити структуровані депозити у сферу дії цієї директиви. У цьому відношенні необхідно уточнити, що, оскільки структуровані депозити є формою інвестиційного продукту, то вони не включають депозити, </w:t>
            </w:r>
            <w:r w:rsidR="008E7D5A" w:rsidRPr="00BE1959">
              <w:rPr>
                <w:rFonts w:ascii="Times New Roman" w:eastAsia="Times New Roman" w:hAnsi="Times New Roman" w:cs="Times New Roman"/>
                <w:sz w:val="24"/>
                <w:szCs w:val="24"/>
                <w:lang w:val="uk-UA"/>
              </w:rPr>
              <w:t>прив’язані</w:t>
            </w:r>
            <w:r w:rsidR="0031073D" w:rsidRPr="00BE1959">
              <w:rPr>
                <w:rFonts w:ascii="Times New Roman" w:eastAsia="Times New Roman" w:hAnsi="Times New Roman" w:cs="Times New Roman"/>
                <w:sz w:val="24"/>
                <w:szCs w:val="24"/>
                <w:lang w:val="uk-UA"/>
              </w:rPr>
              <w:t xml:space="preserve"> виключно до </w:t>
            </w:r>
            <w:r w:rsidR="00C851F0" w:rsidRPr="00BE1959">
              <w:rPr>
                <w:rFonts w:ascii="Times New Roman" w:eastAsia="Times New Roman" w:hAnsi="Times New Roman" w:cs="Times New Roman"/>
                <w:sz w:val="24"/>
                <w:szCs w:val="24"/>
                <w:lang w:val="uk-UA"/>
              </w:rPr>
              <w:t xml:space="preserve">процентних </w:t>
            </w:r>
            <w:r w:rsidR="0031073D" w:rsidRPr="00BE1959">
              <w:rPr>
                <w:rFonts w:ascii="Times New Roman" w:eastAsia="Times New Roman" w:hAnsi="Times New Roman" w:cs="Times New Roman"/>
                <w:sz w:val="24"/>
                <w:szCs w:val="24"/>
                <w:lang w:val="uk-UA"/>
              </w:rPr>
              <w:t xml:space="preserve">ставок, як-от ЕВРІБОР </w:t>
            </w:r>
            <w:r w:rsidR="00C851F0" w:rsidRPr="00BE1959">
              <w:rPr>
                <w:rFonts w:ascii="Times New Roman" w:eastAsia="Times New Roman" w:hAnsi="Times New Roman" w:cs="Times New Roman"/>
                <w:sz w:val="24"/>
                <w:szCs w:val="24"/>
                <w:lang w:val="uk-UA"/>
              </w:rPr>
              <w:t>або ЛІБОР, незалежн</w:t>
            </w:r>
            <w:r w:rsidR="008E7D5A" w:rsidRPr="00BE1959">
              <w:rPr>
                <w:rFonts w:ascii="Times New Roman" w:eastAsia="Times New Roman" w:hAnsi="Times New Roman" w:cs="Times New Roman"/>
                <w:sz w:val="24"/>
                <w:szCs w:val="24"/>
                <w:lang w:val="uk-UA"/>
              </w:rPr>
              <w:t xml:space="preserve">о від того, чи є процентні ставки заданими або чи є вони фіксованими або змінними. Тому такі депозити </w:t>
            </w:r>
            <w:r w:rsidR="00011713" w:rsidRPr="00BE1959">
              <w:rPr>
                <w:rFonts w:ascii="Times New Roman" w:eastAsia="Times New Roman" w:hAnsi="Times New Roman" w:cs="Times New Roman"/>
                <w:sz w:val="24"/>
                <w:szCs w:val="24"/>
                <w:lang w:val="uk-UA"/>
              </w:rPr>
              <w:t>слід виключити зі сфери цієї директиви.</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96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(40)</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F26908" w:rsidP="006806B8">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Застосування цієї директиви до інвестиційних фірм та кредитних установ при продажу або наданні клієнтам порад стосовно структурованих депозитів слід розуміти </w:t>
            </w:r>
            <w:r w:rsidR="006806B8" w:rsidRPr="00BE1959">
              <w:rPr>
                <w:rFonts w:ascii="Times New Roman" w:eastAsia="Times New Roman" w:hAnsi="Times New Roman" w:cs="Times New Roman"/>
                <w:sz w:val="24"/>
                <w:szCs w:val="24"/>
                <w:lang w:val="uk-UA"/>
              </w:rPr>
              <w:t xml:space="preserve">як застосування у випадку діяльності цих фірм та установ як посередників </w:t>
            </w:r>
            <w:r w:rsidR="006806B8" w:rsidRPr="00BE1959">
              <w:rPr>
                <w:rFonts w:ascii="Times New Roman" w:eastAsia="Times New Roman" w:hAnsi="Times New Roman" w:cs="Times New Roman"/>
                <w:sz w:val="24"/>
                <w:szCs w:val="24"/>
                <w:lang w:val="uk-UA"/>
              </w:rPr>
              <w:lastRenderedPageBreak/>
              <w:t>щодо цих продуктів, випущених кредитними установами, які можуть приймати депозити відповідно до Директиви</w:t>
            </w:r>
            <w:r w:rsidR="005613AB" w:rsidRPr="00BE1959">
              <w:rPr>
                <w:rFonts w:ascii="Times New Roman" w:eastAsia="Times New Roman" w:hAnsi="Times New Roman" w:cs="Times New Roman"/>
                <w:sz w:val="24"/>
                <w:szCs w:val="24"/>
                <w:lang w:val="uk-UA"/>
              </w:rPr>
              <w:t xml:space="preserve"> 2013/36/EU.</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96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(41)</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3A5EEF" w:rsidP="00433FA6">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Центральні депозитарії цінних паперів (ЦДЦП) – це системно важливі установи</w:t>
            </w:r>
            <w:r w:rsidR="009B3FB6" w:rsidRPr="00BE1959">
              <w:rPr>
                <w:rFonts w:ascii="Times New Roman" w:eastAsia="Times New Roman" w:hAnsi="Times New Roman" w:cs="Times New Roman"/>
                <w:sz w:val="24"/>
                <w:szCs w:val="24"/>
                <w:lang w:val="uk-UA"/>
              </w:rPr>
              <w:t xml:space="preserve"> для фінансових ринків, які забезпечують початкову реєстрацію</w:t>
            </w:r>
            <w:r w:rsidR="008062CC" w:rsidRPr="00BE1959">
              <w:rPr>
                <w:rFonts w:ascii="Times New Roman" w:eastAsia="Times New Roman" w:hAnsi="Times New Roman" w:cs="Times New Roman"/>
                <w:sz w:val="24"/>
                <w:szCs w:val="24"/>
                <w:lang w:val="uk-UA"/>
              </w:rPr>
              <w:t xml:space="preserve"> цінних паперів, ведення рахунків, що містять емітовані цінні папери, та здійснення практично всіх операцій з цінними паперами. </w:t>
            </w:r>
            <w:r w:rsidR="00F362FC" w:rsidRPr="00BE1959">
              <w:rPr>
                <w:rFonts w:ascii="Times New Roman" w:eastAsia="Times New Roman" w:hAnsi="Times New Roman" w:cs="Times New Roman"/>
                <w:sz w:val="24"/>
                <w:szCs w:val="24"/>
                <w:lang w:val="uk-UA"/>
              </w:rPr>
              <w:t>ЦДЦП повинні конкретно регулюватися згідно з законодавством Сою</w:t>
            </w:r>
            <w:r w:rsidR="00433FA6" w:rsidRPr="00BE1959">
              <w:rPr>
                <w:rFonts w:ascii="Times New Roman" w:eastAsia="Times New Roman" w:hAnsi="Times New Roman" w:cs="Times New Roman"/>
                <w:sz w:val="24"/>
                <w:szCs w:val="24"/>
                <w:lang w:val="uk-UA"/>
              </w:rPr>
              <w:t>зу, зокрема, одержувати відповідні дозволи та дотримуватися певних умов роботи. Разом з тим, ЦДЦП можуть, на додаток до базових послуг, згаданих в іншому законодавстві Союзу, надавати інвестиційні послуги та вести інвестиційну діяльність, що регулюється за цією директивою.</w:t>
            </w:r>
          </w:p>
          <w:p w:rsidR="005613AB" w:rsidRPr="00BE1959" w:rsidRDefault="00FC5B1A" w:rsidP="001E56AF">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Для забезпечення того, щоб усі суб’єкти, які надають інвестиційні послуги та ведуть інвестиційну діяльність, підпадали під дію однієї нормативної бази, доцільно забезпечити, щоб такі ЦДЦП не підпадали під вимоги цієї директиви стосовно отримання дозволів і певних умов роботи, </w:t>
            </w:r>
            <w:r w:rsidR="001E56AF" w:rsidRPr="00BE1959">
              <w:rPr>
                <w:rFonts w:ascii="Times New Roman" w:eastAsia="Times New Roman" w:hAnsi="Times New Roman" w:cs="Times New Roman"/>
                <w:sz w:val="24"/>
                <w:szCs w:val="24"/>
                <w:lang w:val="uk-UA"/>
              </w:rPr>
              <w:t>а законодавство Союзу, що регулює діяльність ЦДЦП як таких, повинно забезпечити, щоб вони підпадали під дію положень цієї директиви, якщо вони надають інвестиційні послуги або ведуть інвестиційну діяльність на додаток до послуг, зазначених у вищезгаданому законодавстві Союзу.</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96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(42)</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DB3FCF" w:rsidP="000E49F6">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Для того, щоб посилити захист інвесторів у Союзі, доречно обмежити умови, за яких держави-члени можуть виключати зі сфери дії цієї директиви осіб, що надають інвестиційні послуги клієнтам, які в результаті опиняються не захищеними за цією директивою. Зокрема, доречно поставити вимогу, щоб держави-члени застосовували до них вимоги, що є принаймні аналогічними вимогам, викладеним у цій директиві, зокрема під час надання дозволу, при проведенні оцінки їхньої репутації та досвіду і </w:t>
            </w:r>
            <w:r w:rsidR="00A67238" w:rsidRPr="00BE1959">
              <w:rPr>
                <w:rFonts w:ascii="Times New Roman" w:eastAsia="Times New Roman" w:hAnsi="Times New Roman" w:cs="Times New Roman"/>
                <w:sz w:val="24"/>
                <w:szCs w:val="24"/>
                <w:lang w:val="uk-UA"/>
              </w:rPr>
              <w:t>відповідності</w:t>
            </w:r>
            <w:r w:rsidRPr="00BE1959">
              <w:rPr>
                <w:rFonts w:ascii="Times New Roman" w:eastAsia="Times New Roman" w:hAnsi="Times New Roman" w:cs="Times New Roman"/>
                <w:sz w:val="24"/>
                <w:szCs w:val="24"/>
                <w:lang w:val="uk-UA"/>
              </w:rPr>
              <w:t xml:space="preserve"> акціонерів, у процесі перегляду умов надання початкового дозволу та здійснення поточного нагляду, а також при виконанні ділових зобов’язань.</w:t>
            </w:r>
            <w:r w:rsidR="00E37CF1" w:rsidRPr="00BE1959">
              <w:rPr>
                <w:rFonts w:ascii="Times New Roman" w:eastAsia="Times New Roman" w:hAnsi="Times New Roman" w:cs="Times New Roman"/>
                <w:sz w:val="24"/>
                <w:szCs w:val="24"/>
                <w:lang w:val="uk-UA"/>
              </w:rPr>
              <w:t xml:space="preserve"> Крім того, особи, виключені зі сфери дії цієї директиви, повинні бути охоплені схемою компенсації інвесторам, визнаною відповідно до Директиви</w:t>
            </w:r>
            <w:r w:rsidR="005613AB" w:rsidRPr="00BE1959">
              <w:rPr>
                <w:rFonts w:ascii="Times New Roman" w:eastAsia="Times New Roman" w:hAnsi="Times New Roman" w:cs="Times New Roman"/>
                <w:sz w:val="24"/>
                <w:szCs w:val="24"/>
                <w:lang w:val="uk-UA"/>
              </w:rPr>
              <w:t xml:space="preserve"> 97/9/EC </w:t>
            </w:r>
            <w:r w:rsidR="00423154" w:rsidRPr="00BE1959">
              <w:rPr>
                <w:rFonts w:ascii="Times New Roman" w:eastAsia="Times New Roman" w:hAnsi="Times New Roman" w:cs="Times New Roman"/>
                <w:sz w:val="24"/>
                <w:szCs w:val="24"/>
                <w:lang w:val="uk-UA"/>
              </w:rPr>
              <w:t>Європейського Парламенту та Ради</w:t>
            </w:r>
            <w:hyperlink r:id="rId24" w:anchor="ntr19-L_2014173EN.01034901-E0019" w:history="1">
              <w:r w:rsidR="005613AB" w:rsidRPr="00BE1959">
                <w:rPr>
                  <w:rFonts w:ascii="Times New Roman" w:eastAsia="Times New Roman" w:hAnsi="Times New Roman" w:cs="Times New Roman"/>
                  <w:sz w:val="24"/>
                  <w:szCs w:val="24"/>
                  <w:bdr w:val="none" w:sz="0" w:space="0" w:color="auto" w:frame="1"/>
                  <w:lang w:val="uk-UA"/>
                </w:rPr>
                <w:t> (</w:t>
              </w:r>
              <w:r w:rsidR="005613AB" w:rsidRPr="00BE1959">
                <w:rPr>
                  <w:rFonts w:ascii="Times New Roman" w:eastAsia="Times New Roman" w:hAnsi="Times New Roman" w:cs="Times New Roman"/>
                  <w:sz w:val="24"/>
                  <w:szCs w:val="24"/>
                  <w:bdr w:val="none" w:sz="0" w:space="0" w:color="auto" w:frame="1"/>
                  <w:vertAlign w:val="superscript"/>
                  <w:lang w:val="uk-UA"/>
                </w:rPr>
                <w:t>19</w:t>
              </w:r>
              <w:r w:rsidR="005613AB" w:rsidRPr="00BE1959">
                <w:rPr>
                  <w:rFonts w:ascii="Times New Roman" w:eastAsia="Times New Roman" w:hAnsi="Times New Roman" w:cs="Times New Roman"/>
                  <w:sz w:val="24"/>
                  <w:szCs w:val="24"/>
                  <w:bdr w:val="none" w:sz="0" w:space="0" w:color="auto" w:frame="1"/>
                  <w:lang w:val="uk-UA"/>
                </w:rPr>
                <w:t>)</w:t>
              </w:r>
            </w:hyperlink>
            <w:r w:rsidR="00E37CF1" w:rsidRPr="00BE1959">
              <w:rPr>
                <w:rFonts w:ascii="Times New Roman" w:eastAsia="Times New Roman" w:hAnsi="Times New Roman" w:cs="Times New Roman"/>
                <w:sz w:val="24"/>
                <w:szCs w:val="24"/>
                <w:bdr w:val="none" w:sz="0" w:space="0" w:color="auto" w:frame="1"/>
                <w:lang w:val="uk-UA"/>
              </w:rPr>
              <w:t>, або страхуванням професійної відповідальності, що забезпечує еквівалентний захист їхніх клієнтів у ситуаціях, передбачених даною директивою.</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96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(43)</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0E49F6" w:rsidP="000E49F6">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Якщо інвестиційна фірма надає одну чи декілька інвестиційних послуг, не охоплених наявним у неї дозволом, або веде один чи декілька видів інвестиційної діяльності, не охоплених наявним у неї дозволом, на нерегулярній основі, то додатковий дозвіл за цією директивою їй не повинен бути потрібний.</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96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(44)</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0A5A7F" w:rsidP="000A5A7F">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Для цілей цієї директиви діяльність із приймання та передачі замовлень також повинна включати зведення двох або більше інвесторів, що призводить до угоди між цими інвесторами.</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96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lastRenderedPageBreak/>
              <w:t>(45)</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604641" w:rsidP="00F42D2E">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Інвестиційні фірми та кредитні установи, що самостійно розміщують фінансові інструменти, які вони випускають, повинні підпадати під дію цієї директиви, якщо вони надають інвестиційні поради своїм клієнтам. Для того, щоб усунути невизначеність і посилити захист інвесторів, доцільно передбачити застосування цієї директиви у випадку, коли на первинному ринку інвестиційні фірми та кредитні установи розміщують фінансові інструменти, випущені ними, без будь-яких порад.</w:t>
            </w:r>
            <w:r w:rsidR="00F42D2E" w:rsidRPr="00BE1959">
              <w:rPr>
                <w:rFonts w:ascii="Times New Roman" w:eastAsia="Times New Roman" w:hAnsi="Times New Roman" w:cs="Times New Roman"/>
                <w:sz w:val="24"/>
                <w:szCs w:val="24"/>
                <w:lang w:val="uk-UA"/>
              </w:rPr>
              <w:t xml:space="preserve"> З цією метою слід розширити визначення послуги з виконання замовлень від імені клієнтів.</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96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(46)</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1A7F5D" w:rsidP="00845228">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Принципи взаємного визнання і нагляду з боку держави-члена походження вимагають, щоб компетентні органи держав-членів не надавали або відкликали дозвіл у випадках, де такі фактори, як зміст програм операцій, географічний розподіл або фактично здійснювана діяльність</w:t>
            </w:r>
            <w:r w:rsidR="000D7402" w:rsidRPr="00BE1959">
              <w:rPr>
                <w:rFonts w:ascii="Times New Roman" w:eastAsia="Times New Roman" w:hAnsi="Times New Roman" w:cs="Times New Roman"/>
                <w:sz w:val="24"/>
                <w:szCs w:val="24"/>
                <w:lang w:val="uk-UA"/>
              </w:rPr>
              <w:t xml:space="preserve">, чітко свідчать про те, </w:t>
            </w:r>
            <w:r w:rsidR="00845228" w:rsidRPr="00BE1959">
              <w:rPr>
                <w:rFonts w:ascii="Times New Roman" w:eastAsia="Times New Roman" w:hAnsi="Times New Roman" w:cs="Times New Roman"/>
                <w:sz w:val="24"/>
                <w:szCs w:val="24"/>
                <w:lang w:val="uk-UA"/>
              </w:rPr>
              <w:t xml:space="preserve">що інвестиційна фірма обрала правову систему однієї держави-члена з метою уникнути більш суворих норм, чинних в іншій державі-члені, на території котрої вона має намір вести або вже веде більшу частину своєї діяльності. </w:t>
            </w:r>
            <w:r w:rsidR="00064466" w:rsidRPr="00BE1959">
              <w:rPr>
                <w:rFonts w:ascii="Times New Roman" w:eastAsia="Times New Roman" w:hAnsi="Times New Roman" w:cs="Times New Roman"/>
                <w:sz w:val="24"/>
                <w:szCs w:val="24"/>
                <w:lang w:val="uk-UA"/>
              </w:rPr>
              <w:t>Інвестиційна фірма, що є юридичною особою, повинна мати дозвіл у державі-члені, в якій розташована її зареєстрована контора. Крім того, держави-члени повинні вимагати, щоб головна контора інвестиційної фірми завжди розташовувалася у державі-члені її походження і щоб фактично вона працювала саме там.</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96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(47)</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865F3" w:rsidRPr="00BE1959" w:rsidRDefault="00D865F3" w:rsidP="005613AB">
            <w:pPr>
              <w:spacing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Директива </w:t>
            </w:r>
            <w:r w:rsidR="005613AB" w:rsidRPr="00BE1959">
              <w:rPr>
                <w:rFonts w:ascii="Times New Roman" w:eastAsia="Times New Roman" w:hAnsi="Times New Roman" w:cs="Times New Roman"/>
                <w:sz w:val="24"/>
                <w:szCs w:val="24"/>
                <w:lang w:val="uk-UA"/>
              </w:rPr>
              <w:t xml:space="preserve">2007/44/EC </w:t>
            </w:r>
            <w:r w:rsidR="00423154" w:rsidRPr="00BE1959">
              <w:rPr>
                <w:rFonts w:ascii="Times New Roman" w:eastAsia="Times New Roman" w:hAnsi="Times New Roman" w:cs="Times New Roman"/>
                <w:sz w:val="24"/>
                <w:szCs w:val="24"/>
                <w:lang w:val="uk-UA"/>
              </w:rPr>
              <w:t>Європейського Парламенту та Ради</w:t>
            </w:r>
            <w:hyperlink r:id="rId25" w:anchor="ntr20-L_2014173EN.01034901-E0020" w:history="1">
              <w:r w:rsidR="005613AB" w:rsidRPr="00BE1959">
                <w:rPr>
                  <w:rFonts w:ascii="Times New Roman" w:eastAsia="Times New Roman" w:hAnsi="Times New Roman" w:cs="Times New Roman"/>
                  <w:sz w:val="24"/>
                  <w:szCs w:val="24"/>
                  <w:bdr w:val="none" w:sz="0" w:space="0" w:color="auto" w:frame="1"/>
                  <w:lang w:val="uk-UA"/>
                </w:rPr>
                <w:t> (</w:t>
              </w:r>
              <w:r w:rsidR="005613AB" w:rsidRPr="00BE1959">
                <w:rPr>
                  <w:rFonts w:ascii="Times New Roman" w:eastAsia="Times New Roman" w:hAnsi="Times New Roman" w:cs="Times New Roman"/>
                  <w:sz w:val="24"/>
                  <w:szCs w:val="24"/>
                  <w:bdr w:val="none" w:sz="0" w:space="0" w:color="auto" w:frame="1"/>
                  <w:vertAlign w:val="superscript"/>
                  <w:lang w:val="uk-UA"/>
                </w:rPr>
                <w:t>20</w:t>
              </w:r>
              <w:r w:rsidR="005613AB" w:rsidRPr="00BE1959">
                <w:rPr>
                  <w:rFonts w:ascii="Times New Roman" w:eastAsia="Times New Roman" w:hAnsi="Times New Roman" w:cs="Times New Roman"/>
                  <w:sz w:val="24"/>
                  <w:szCs w:val="24"/>
                  <w:bdr w:val="none" w:sz="0" w:space="0" w:color="auto" w:frame="1"/>
                  <w:lang w:val="uk-UA"/>
                </w:rPr>
                <w:t>)</w:t>
              </w:r>
            </w:hyperlink>
            <w:r w:rsidR="005613AB" w:rsidRPr="00BE1959">
              <w:rPr>
                <w:rFonts w:ascii="Times New Roman" w:eastAsia="Times New Roman" w:hAnsi="Times New Roman" w:cs="Times New Roman"/>
                <w:sz w:val="24"/>
                <w:szCs w:val="24"/>
                <w:lang w:val="uk-UA"/>
              </w:rPr>
              <w:t> </w:t>
            </w:r>
            <w:r w:rsidRPr="00BE1959">
              <w:rPr>
                <w:rFonts w:ascii="Times New Roman" w:eastAsia="Times New Roman" w:hAnsi="Times New Roman" w:cs="Times New Roman"/>
                <w:sz w:val="24"/>
                <w:szCs w:val="24"/>
                <w:lang w:val="uk-UA"/>
              </w:rPr>
              <w:t xml:space="preserve">передбачає детальні критерії пруденційної оцінки пропонованих придбань </w:t>
            </w:r>
            <w:r w:rsidR="00694D69" w:rsidRPr="00BE1959">
              <w:rPr>
                <w:rFonts w:ascii="Times New Roman" w:eastAsia="Times New Roman" w:hAnsi="Times New Roman" w:cs="Times New Roman"/>
                <w:sz w:val="24"/>
                <w:szCs w:val="24"/>
                <w:lang w:val="uk-UA"/>
              </w:rPr>
              <w:t>в інвестиційній фірмі та порядок їх застосування.</w:t>
            </w:r>
            <w:r w:rsidR="006A6180" w:rsidRPr="00BE1959">
              <w:rPr>
                <w:rFonts w:ascii="Times New Roman" w:eastAsia="Times New Roman" w:hAnsi="Times New Roman" w:cs="Times New Roman"/>
                <w:sz w:val="24"/>
                <w:szCs w:val="24"/>
                <w:lang w:val="uk-UA"/>
              </w:rPr>
              <w:t xml:space="preserve"> Для того, щоб забезпечити юридичну визначеність, чіткість і прогнозованість стосовно процесу проведення такої оцінки, а також її результату, доцільно підтвердити критерії та порядок проведення пруденційної оцінки, викладені у цій директиві.</w:t>
            </w:r>
          </w:p>
          <w:p w:rsidR="005613AB" w:rsidRPr="00BE1959" w:rsidRDefault="006A6180" w:rsidP="00CE4433">
            <w:pPr>
              <w:spacing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Зокрема, компетентні органи повинні оцінити відповідність пропонованого покупця та фінансову раціональність пропонованого придбання за всіма наступними критеріями: репутація пропонованого покупця; </w:t>
            </w:r>
            <w:r w:rsidR="009E4B83" w:rsidRPr="00BE1959">
              <w:rPr>
                <w:rFonts w:ascii="Times New Roman" w:eastAsia="Times New Roman" w:hAnsi="Times New Roman" w:cs="Times New Roman"/>
                <w:sz w:val="24"/>
                <w:szCs w:val="24"/>
                <w:lang w:val="uk-UA"/>
              </w:rPr>
              <w:t>репутація та досвід особи, яка керуватиме діяльністю інвестиційної фірми в результаті пропонованого придбання; фінансова спроможність пропонованого покупця; чи зможе інвестиційна фірма дотримуватися пруденційних вимог, основаних на цій директиві та інших директивах, зокрема на Директивах</w:t>
            </w:r>
            <w:r w:rsidR="005613AB" w:rsidRPr="00BE1959">
              <w:rPr>
                <w:rFonts w:ascii="Times New Roman" w:eastAsia="Times New Roman" w:hAnsi="Times New Roman" w:cs="Times New Roman"/>
                <w:sz w:val="24"/>
                <w:szCs w:val="24"/>
                <w:lang w:val="uk-UA"/>
              </w:rPr>
              <w:t xml:space="preserve"> 2002/87/EC </w:t>
            </w:r>
            <w:r w:rsidR="00423154" w:rsidRPr="00BE1959">
              <w:rPr>
                <w:rFonts w:ascii="Times New Roman" w:eastAsia="Times New Roman" w:hAnsi="Times New Roman" w:cs="Times New Roman"/>
                <w:sz w:val="24"/>
                <w:szCs w:val="24"/>
                <w:lang w:val="uk-UA"/>
              </w:rPr>
              <w:t>Європейського Парламенту та Ради</w:t>
            </w:r>
            <w:hyperlink r:id="rId26" w:anchor="ntr21-L_2014173EN.01034901-E0021" w:history="1">
              <w:r w:rsidR="005613AB" w:rsidRPr="00BE1959">
                <w:rPr>
                  <w:rFonts w:ascii="Times New Roman" w:eastAsia="Times New Roman" w:hAnsi="Times New Roman" w:cs="Times New Roman"/>
                  <w:sz w:val="24"/>
                  <w:szCs w:val="24"/>
                  <w:bdr w:val="none" w:sz="0" w:space="0" w:color="auto" w:frame="1"/>
                  <w:lang w:val="uk-UA"/>
                </w:rPr>
                <w:t> (</w:t>
              </w:r>
              <w:r w:rsidR="005613AB" w:rsidRPr="00BE1959">
                <w:rPr>
                  <w:rFonts w:ascii="Times New Roman" w:eastAsia="Times New Roman" w:hAnsi="Times New Roman" w:cs="Times New Roman"/>
                  <w:sz w:val="24"/>
                  <w:szCs w:val="24"/>
                  <w:bdr w:val="none" w:sz="0" w:space="0" w:color="auto" w:frame="1"/>
                  <w:vertAlign w:val="superscript"/>
                  <w:lang w:val="uk-UA"/>
                </w:rPr>
                <w:t>21</w:t>
              </w:r>
              <w:r w:rsidR="005613AB" w:rsidRPr="00BE1959">
                <w:rPr>
                  <w:rFonts w:ascii="Times New Roman" w:eastAsia="Times New Roman" w:hAnsi="Times New Roman" w:cs="Times New Roman"/>
                  <w:sz w:val="24"/>
                  <w:szCs w:val="24"/>
                  <w:bdr w:val="none" w:sz="0" w:space="0" w:color="auto" w:frame="1"/>
                  <w:lang w:val="uk-UA"/>
                </w:rPr>
                <w:t>)</w:t>
              </w:r>
            </w:hyperlink>
            <w:r w:rsidR="005613AB" w:rsidRPr="00BE1959">
              <w:rPr>
                <w:rFonts w:ascii="Times New Roman" w:eastAsia="Times New Roman" w:hAnsi="Times New Roman" w:cs="Times New Roman"/>
                <w:sz w:val="24"/>
                <w:szCs w:val="24"/>
                <w:lang w:val="uk-UA"/>
              </w:rPr>
              <w:t> </w:t>
            </w:r>
            <w:r w:rsidR="009E4B83" w:rsidRPr="00BE1959">
              <w:rPr>
                <w:rFonts w:ascii="Times New Roman" w:eastAsia="Times New Roman" w:hAnsi="Times New Roman" w:cs="Times New Roman"/>
                <w:sz w:val="24"/>
                <w:szCs w:val="24"/>
                <w:lang w:val="uk-UA"/>
              </w:rPr>
              <w:t xml:space="preserve">та </w:t>
            </w:r>
            <w:r w:rsidR="005613AB" w:rsidRPr="00BE1959">
              <w:rPr>
                <w:rFonts w:ascii="Times New Roman" w:eastAsia="Times New Roman" w:hAnsi="Times New Roman" w:cs="Times New Roman"/>
                <w:sz w:val="24"/>
                <w:szCs w:val="24"/>
                <w:lang w:val="uk-UA"/>
              </w:rPr>
              <w:t xml:space="preserve">2013/36/EU; </w:t>
            </w:r>
            <w:r w:rsidR="009E4B83" w:rsidRPr="00BE1959">
              <w:rPr>
                <w:rFonts w:ascii="Times New Roman" w:eastAsia="Times New Roman" w:hAnsi="Times New Roman" w:cs="Times New Roman"/>
                <w:sz w:val="24"/>
                <w:szCs w:val="24"/>
                <w:lang w:val="uk-UA"/>
              </w:rPr>
              <w:t>чи існують вагомі підстави підозрювати, що здійснюється</w:t>
            </w:r>
            <w:r w:rsidR="00CE4433" w:rsidRPr="00BE1959">
              <w:rPr>
                <w:rFonts w:ascii="Times New Roman" w:eastAsia="Times New Roman" w:hAnsi="Times New Roman" w:cs="Times New Roman"/>
                <w:sz w:val="24"/>
                <w:szCs w:val="24"/>
                <w:lang w:val="uk-UA"/>
              </w:rPr>
              <w:t xml:space="preserve"> або здійснено</w:t>
            </w:r>
            <w:r w:rsidR="009E4B83" w:rsidRPr="00BE1959">
              <w:rPr>
                <w:rFonts w:ascii="Times New Roman" w:eastAsia="Times New Roman" w:hAnsi="Times New Roman" w:cs="Times New Roman"/>
                <w:sz w:val="24"/>
                <w:szCs w:val="24"/>
                <w:lang w:val="uk-UA"/>
              </w:rPr>
              <w:t xml:space="preserve"> відмивання грошей або фінансування тероризму в значенні статті</w:t>
            </w:r>
            <w:r w:rsidR="005613AB" w:rsidRPr="00BE1959">
              <w:rPr>
                <w:rFonts w:ascii="Times New Roman" w:eastAsia="Times New Roman" w:hAnsi="Times New Roman" w:cs="Times New Roman"/>
                <w:sz w:val="24"/>
                <w:szCs w:val="24"/>
                <w:lang w:val="uk-UA"/>
              </w:rPr>
              <w:t xml:space="preserve"> 1 </w:t>
            </w:r>
            <w:r w:rsidR="00016E03" w:rsidRPr="00BE1959">
              <w:rPr>
                <w:rFonts w:ascii="Times New Roman" w:eastAsia="Times New Roman" w:hAnsi="Times New Roman" w:cs="Times New Roman"/>
                <w:sz w:val="24"/>
                <w:szCs w:val="24"/>
                <w:lang w:val="uk-UA"/>
              </w:rPr>
              <w:t>Директиви</w:t>
            </w:r>
            <w:r w:rsidR="005613AB" w:rsidRPr="00BE1959">
              <w:rPr>
                <w:rFonts w:ascii="Times New Roman" w:eastAsia="Times New Roman" w:hAnsi="Times New Roman" w:cs="Times New Roman"/>
                <w:sz w:val="24"/>
                <w:szCs w:val="24"/>
                <w:lang w:val="uk-UA"/>
              </w:rPr>
              <w:t xml:space="preserve"> 2005/60/EC </w:t>
            </w:r>
            <w:r w:rsidR="00423154" w:rsidRPr="00BE1959">
              <w:rPr>
                <w:rFonts w:ascii="Times New Roman" w:eastAsia="Times New Roman" w:hAnsi="Times New Roman" w:cs="Times New Roman"/>
                <w:sz w:val="24"/>
                <w:szCs w:val="24"/>
                <w:lang w:val="uk-UA"/>
              </w:rPr>
              <w:t>Європейського Парламенту та Ради</w:t>
            </w:r>
            <w:hyperlink r:id="rId27" w:anchor="ntr22-L_2014173EN.01034901-E0022" w:history="1">
              <w:r w:rsidR="005613AB" w:rsidRPr="00BE1959">
                <w:rPr>
                  <w:rFonts w:ascii="Times New Roman" w:eastAsia="Times New Roman" w:hAnsi="Times New Roman" w:cs="Times New Roman"/>
                  <w:sz w:val="24"/>
                  <w:szCs w:val="24"/>
                  <w:bdr w:val="none" w:sz="0" w:space="0" w:color="auto" w:frame="1"/>
                  <w:lang w:val="uk-UA"/>
                </w:rPr>
                <w:t> (</w:t>
              </w:r>
              <w:r w:rsidR="005613AB" w:rsidRPr="00BE1959">
                <w:rPr>
                  <w:rFonts w:ascii="Times New Roman" w:eastAsia="Times New Roman" w:hAnsi="Times New Roman" w:cs="Times New Roman"/>
                  <w:sz w:val="24"/>
                  <w:szCs w:val="24"/>
                  <w:bdr w:val="none" w:sz="0" w:space="0" w:color="auto" w:frame="1"/>
                  <w:vertAlign w:val="superscript"/>
                  <w:lang w:val="uk-UA"/>
                </w:rPr>
                <w:t>22</w:t>
              </w:r>
              <w:r w:rsidR="005613AB" w:rsidRPr="00BE1959">
                <w:rPr>
                  <w:rFonts w:ascii="Times New Roman" w:eastAsia="Times New Roman" w:hAnsi="Times New Roman" w:cs="Times New Roman"/>
                  <w:sz w:val="24"/>
                  <w:szCs w:val="24"/>
                  <w:bdr w:val="none" w:sz="0" w:space="0" w:color="auto" w:frame="1"/>
                  <w:lang w:val="uk-UA"/>
                </w:rPr>
                <w:t>)</w:t>
              </w:r>
            </w:hyperlink>
            <w:r w:rsidR="00CE4433" w:rsidRPr="00BE1959">
              <w:rPr>
                <w:rFonts w:ascii="Times New Roman" w:eastAsia="Times New Roman" w:hAnsi="Times New Roman" w:cs="Times New Roman"/>
                <w:sz w:val="24"/>
                <w:szCs w:val="24"/>
                <w:bdr w:val="none" w:sz="0" w:space="0" w:color="auto" w:frame="1"/>
                <w:lang w:val="uk-UA"/>
              </w:rPr>
              <w:t xml:space="preserve"> чи спроба таких діянь або що пропоноване придбання може підвищити ризик здійснення таких діянь.</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96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(48)</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AF5FC6" w:rsidP="00AF5FC6">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Інвестиційна фірма, що отримала дозвіл у державі-члені свого походження, повинна мати право надавати інвестиційні послуги або вести інвестиційну діяльність на всій території Союзу без необхідності отримання окремого дозволу компетентного органу </w:t>
            </w:r>
            <w:r w:rsidRPr="00BE1959">
              <w:rPr>
                <w:rFonts w:ascii="Times New Roman" w:eastAsia="Times New Roman" w:hAnsi="Times New Roman" w:cs="Times New Roman"/>
                <w:sz w:val="24"/>
                <w:szCs w:val="24"/>
                <w:lang w:val="uk-UA"/>
              </w:rPr>
              <w:lastRenderedPageBreak/>
              <w:t>держави-члена, в якій вона бажає надавати такі послуги або вести таку діяльність.</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96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(49)</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AF5FC6" w:rsidP="00E03A7C">
            <w:pPr>
              <w:spacing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Оскільки </w:t>
            </w:r>
            <w:r w:rsidR="007C6C27" w:rsidRPr="00BE1959">
              <w:rPr>
                <w:rFonts w:ascii="Times New Roman" w:eastAsia="Times New Roman" w:hAnsi="Times New Roman" w:cs="Times New Roman"/>
                <w:sz w:val="24"/>
                <w:szCs w:val="24"/>
                <w:lang w:val="uk-UA"/>
              </w:rPr>
              <w:t>певні інвестиційні фірми звільнені від виконання певних зобов’язань, передбачених Директивою</w:t>
            </w:r>
            <w:r w:rsidR="005613AB" w:rsidRPr="00BE1959">
              <w:rPr>
                <w:rFonts w:ascii="Times New Roman" w:eastAsia="Times New Roman" w:hAnsi="Times New Roman" w:cs="Times New Roman"/>
                <w:sz w:val="24"/>
                <w:szCs w:val="24"/>
                <w:lang w:val="uk-UA"/>
              </w:rPr>
              <w:t xml:space="preserve"> 2013/36/EU, </w:t>
            </w:r>
            <w:r w:rsidR="007C6C27" w:rsidRPr="00BE1959">
              <w:rPr>
                <w:rFonts w:ascii="Times New Roman" w:eastAsia="Times New Roman" w:hAnsi="Times New Roman" w:cs="Times New Roman"/>
                <w:sz w:val="24"/>
                <w:szCs w:val="24"/>
                <w:lang w:val="uk-UA"/>
              </w:rPr>
              <w:t xml:space="preserve">то вони повинні бути зобов’язані мати або мінімальний обсяг капіталу, або страховку професійної відповідальності, або і те, й інше. Коригування сум цієї </w:t>
            </w:r>
            <w:r w:rsidR="005F7210" w:rsidRPr="00BE1959">
              <w:rPr>
                <w:rFonts w:ascii="Times New Roman" w:eastAsia="Times New Roman" w:hAnsi="Times New Roman" w:cs="Times New Roman"/>
                <w:sz w:val="24"/>
                <w:szCs w:val="24"/>
                <w:lang w:val="uk-UA"/>
              </w:rPr>
              <w:t xml:space="preserve">страховки повинно здійснюватися з урахуванням коригувань, здійснюваних у рамках </w:t>
            </w:r>
            <w:r w:rsidR="00016E03" w:rsidRPr="00BE1959">
              <w:rPr>
                <w:rFonts w:ascii="Times New Roman" w:eastAsia="Times New Roman" w:hAnsi="Times New Roman" w:cs="Times New Roman"/>
                <w:sz w:val="24"/>
                <w:szCs w:val="24"/>
                <w:lang w:val="uk-UA"/>
              </w:rPr>
              <w:t>Директиви</w:t>
            </w:r>
            <w:r w:rsidR="005613AB" w:rsidRPr="00BE1959">
              <w:rPr>
                <w:rFonts w:ascii="Times New Roman" w:eastAsia="Times New Roman" w:hAnsi="Times New Roman" w:cs="Times New Roman"/>
                <w:sz w:val="24"/>
                <w:szCs w:val="24"/>
                <w:lang w:val="uk-UA"/>
              </w:rPr>
              <w:t xml:space="preserve"> 2002/92/EC </w:t>
            </w:r>
            <w:r w:rsidR="00423154" w:rsidRPr="00BE1959">
              <w:rPr>
                <w:rFonts w:ascii="Times New Roman" w:eastAsia="Times New Roman" w:hAnsi="Times New Roman" w:cs="Times New Roman"/>
                <w:sz w:val="24"/>
                <w:szCs w:val="24"/>
                <w:lang w:val="uk-UA"/>
              </w:rPr>
              <w:t>Європейського Парламенту та Ради</w:t>
            </w:r>
            <w:hyperlink r:id="rId28" w:anchor="ntr23-L_2014173EN.01034901-E0023" w:history="1">
              <w:r w:rsidR="005613AB" w:rsidRPr="00BE1959">
                <w:rPr>
                  <w:rFonts w:ascii="Times New Roman" w:eastAsia="Times New Roman" w:hAnsi="Times New Roman" w:cs="Times New Roman"/>
                  <w:sz w:val="24"/>
                  <w:szCs w:val="24"/>
                  <w:bdr w:val="none" w:sz="0" w:space="0" w:color="auto" w:frame="1"/>
                  <w:lang w:val="uk-UA"/>
                </w:rPr>
                <w:t> (</w:t>
              </w:r>
              <w:r w:rsidR="005613AB" w:rsidRPr="00BE1959">
                <w:rPr>
                  <w:rFonts w:ascii="Times New Roman" w:eastAsia="Times New Roman" w:hAnsi="Times New Roman" w:cs="Times New Roman"/>
                  <w:sz w:val="24"/>
                  <w:szCs w:val="24"/>
                  <w:bdr w:val="none" w:sz="0" w:space="0" w:color="auto" w:frame="1"/>
                  <w:vertAlign w:val="superscript"/>
                  <w:lang w:val="uk-UA"/>
                </w:rPr>
                <w:t>23</w:t>
              </w:r>
              <w:r w:rsidR="005613AB" w:rsidRPr="00BE1959">
                <w:rPr>
                  <w:rFonts w:ascii="Times New Roman" w:eastAsia="Times New Roman" w:hAnsi="Times New Roman" w:cs="Times New Roman"/>
                  <w:sz w:val="24"/>
                  <w:szCs w:val="24"/>
                  <w:bdr w:val="none" w:sz="0" w:space="0" w:color="auto" w:frame="1"/>
                  <w:lang w:val="uk-UA"/>
                </w:rPr>
                <w:t>)</w:t>
              </w:r>
            </w:hyperlink>
            <w:r w:rsidR="005613AB" w:rsidRPr="00BE1959">
              <w:rPr>
                <w:rFonts w:ascii="Times New Roman" w:eastAsia="Times New Roman" w:hAnsi="Times New Roman" w:cs="Times New Roman"/>
                <w:sz w:val="24"/>
                <w:szCs w:val="24"/>
                <w:lang w:val="uk-UA"/>
              </w:rPr>
              <w:t xml:space="preserve">. </w:t>
            </w:r>
            <w:r w:rsidR="008604F4" w:rsidRPr="00BE1959">
              <w:rPr>
                <w:rFonts w:ascii="Times New Roman" w:eastAsia="Times New Roman" w:hAnsi="Times New Roman" w:cs="Times New Roman"/>
                <w:sz w:val="24"/>
                <w:szCs w:val="24"/>
                <w:lang w:val="uk-UA"/>
              </w:rPr>
              <w:t xml:space="preserve">Даний конкретний режим у цілях забезпечення достатності капіталу не повинен шкодити іншим рішенням стосовно </w:t>
            </w:r>
            <w:r w:rsidR="00E03A7C" w:rsidRPr="00BE1959">
              <w:rPr>
                <w:rFonts w:ascii="Times New Roman" w:eastAsia="Times New Roman" w:hAnsi="Times New Roman" w:cs="Times New Roman"/>
                <w:sz w:val="24"/>
                <w:szCs w:val="24"/>
                <w:lang w:val="uk-UA"/>
              </w:rPr>
              <w:t>належного режиму для цих фірм згідно з майбутніми змінами у законодавстві Союзу щодо достатності капіталу.</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96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(50)</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685989" w:rsidP="002229A3">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Оскільки</w:t>
            </w:r>
            <w:r w:rsidR="009867CF" w:rsidRPr="00BE1959">
              <w:rPr>
                <w:rFonts w:ascii="Times New Roman" w:eastAsia="Times New Roman" w:hAnsi="Times New Roman" w:cs="Times New Roman"/>
                <w:sz w:val="24"/>
                <w:szCs w:val="24"/>
                <w:lang w:val="uk-UA"/>
              </w:rPr>
              <w:t xml:space="preserve"> сфера пруденційного регулювання повинна бути обмежена тими суб’єктами, які через ведення торговельного портфелю на професійній основі </w:t>
            </w:r>
            <w:r w:rsidR="00C06EEF" w:rsidRPr="00BE1959">
              <w:rPr>
                <w:rFonts w:ascii="Times New Roman" w:eastAsia="Times New Roman" w:hAnsi="Times New Roman" w:cs="Times New Roman"/>
                <w:sz w:val="24"/>
                <w:szCs w:val="24"/>
                <w:lang w:val="uk-UA"/>
              </w:rPr>
              <w:t>є джерелом контрагентського ризику для інших учасників ринку, то суб’єкти, які здійснюють за власний рахунок операції з іншими фінансовими інструментами, ніж товарні деривативи, квоти на викиди або деривативи на них</w:t>
            </w:r>
            <w:r w:rsidR="002229A3" w:rsidRPr="00BE1959">
              <w:rPr>
                <w:rFonts w:ascii="Times New Roman" w:eastAsia="Times New Roman" w:hAnsi="Times New Roman" w:cs="Times New Roman"/>
                <w:sz w:val="24"/>
                <w:szCs w:val="24"/>
                <w:lang w:val="uk-UA"/>
              </w:rPr>
              <w:t>, повинні бути виключені зі сфери дії цієї директиви, за умови, що вони не є маркет-мейкерами, не здійснюють операції за власний рахунок при виконанні замовлень клієнтів, не є членами чи учасниками регульованого ринку або БТМ, не мають прямого електронного доступу до торговельного майданчика і не застосовують високочастотний метод алгоритмічної торгівлі.</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96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(51)</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930A10" w:rsidP="005C047C">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Для того, щоб захистити право власності інвестора та інші аналогічні права стосовно цінних паперів, а також права інвестора стосовно коштів, довірених фірмі, ці права слід, зокрема, відрізняти від аналогічних прав фірми. Цей принцип не повинен, однак, заважати фірмі </w:t>
            </w:r>
            <w:r w:rsidR="005C047C" w:rsidRPr="00BE1959">
              <w:rPr>
                <w:rFonts w:ascii="Times New Roman" w:eastAsia="Times New Roman" w:hAnsi="Times New Roman" w:cs="Times New Roman"/>
                <w:sz w:val="24"/>
                <w:szCs w:val="24"/>
                <w:lang w:val="uk-UA"/>
              </w:rPr>
              <w:t>вести діяльність від свого імені, але за дорученням інвестора, якщо цього потребує сам характер угоди і інвестор згоден на це, як, приміром, при кредитуванні цінними паперами.</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96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(52)</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107ADA" w:rsidP="00A86396">
            <w:pPr>
              <w:spacing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Вимоги стосовно захисту активів клієнтів є ключовим засобом захисту клієнтів у наданні послуг і веденні діяльності. Ці вимоги можуть бути виключені, якщо </w:t>
            </w:r>
            <w:r w:rsidR="00F55D6C" w:rsidRPr="00BE1959">
              <w:rPr>
                <w:rFonts w:ascii="Times New Roman" w:eastAsia="Times New Roman" w:hAnsi="Times New Roman" w:cs="Times New Roman"/>
                <w:sz w:val="24"/>
                <w:szCs w:val="24"/>
                <w:lang w:val="uk-UA"/>
              </w:rPr>
              <w:t xml:space="preserve">інвестиційній фірмі передається повне право власності на кошти та фінансовий інструмент для </w:t>
            </w:r>
            <w:r w:rsidR="00A86396" w:rsidRPr="00BE1959">
              <w:rPr>
                <w:rFonts w:ascii="Times New Roman" w:eastAsia="Times New Roman" w:hAnsi="Times New Roman" w:cs="Times New Roman"/>
                <w:sz w:val="24"/>
                <w:szCs w:val="24"/>
                <w:lang w:val="uk-UA"/>
              </w:rPr>
              <w:t>покриття</w:t>
            </w:r>
            <w:r w:rsidR="00F55D6C" w:rsidRPr="00BE1959">
              <w:rPr>
                <w:rFonts w:ascii="Times New Roman" w:eastAsia="Times New Roman" w:hAnsi="Times New Roman" w:cs="Times New Roman"/>
                <w:sz w:val="24"/>
                <w:szCs w:val="24"/>
                <w:lang w:val="uk-UA"/>
              </w:rPr>
              <w:t xml:space="preserve"> існуючих або майбутніх, фактичних або умовних чи можливих зобов’язань. Така широка можливість може спричиняти невизначеність і ставити під загрозу дієвість вимог стосовно захисту активів клієнтів. Отже, принаймні у випадку, коли мова йде про активи роздрібного клієнта, доцільно обмежити можливість укладення інвестиційними фірмами </w:t>
            </w:r>
            <w:r w:rsidR="004A4CC3" w:rsidRPr="00BE1959">
              <w:rPr>
                <w:rFonts w:ascii="Times New Roman" w:eastAsia="Times New Roman" w:hAnsi="Times New Roman" w:cs="Times New Roman"/>
                <w:sz w:val="24"/>
                <w:szCs w:val="24"/>
                <w:lang w:val="uk-UA"/>
              </w:rPr>
              <w:t>угод про забезпечувальні платежі з передачею прав власності, визначення котрих наведено у Директиві</w:t>
            </w:r>
            <w:r w:rsidR="001A7F5D" w:rsidRPr="00BE1959">
              <w:rPr>
                <w:rFonts w:ascii="Times New Roman" w:eastAsia="Times New Roman" w:hAnsi="Times New Roman" w:cs="Times New Roman"/>
                <w:sz w:val="24"/>
                <w:szCs w:val="24"/>
                <w:lang w:val="uk-UA"/>
              </w:rPr>
              <w:t xml:space="preserve"> </w:t>
            </w:r>
            <w:r w:rsidR="005613AB" w:rsidRPr="00BE1959">
              <w:rPr>
                <w:rFonts w:ascii="Times New Roman" w:eastAsia="Times New Roman" w:hAnsi="Times New Roman" w:cs="Times New Roman"/>
                <w:sz w:val="24"/>
                <w:szCs w:val="24"/>
                <w:lang w:val="uk-UA"/>
              </w:rPr>
              <w:t xml:space="preserve">2002/47/EC </w:t>
            </w:r>
            <w:r w:rsidR="00423154" w:rsidRPr="00BE1959">
              <w:rPr>
                <w:rFonts w:ascii="Times New Roman" w:eastAsia="Times New Roman" w:hAnsi="Times New Roman" w:cs="Times New Roman"/>
                <w:sz w:val="24"/>
                <w:szCs w:val="24"/>
                <w:lang w:val="uk-UA"/>
              </w:rPr>
              <w:t>Європейського Парламенту та Ради</w:t>
            </w:r>
            <w:hyperlink r:id="rId29" w:anchor="ntr24-L_2014173EN.01034901-E0024" w:history="1">
              <w:r w:rsidR="005613AB" w:rsidRPr="00BE1959">
                <w:rPr>
                  <w:rFonts w:ascii="Times New Roman" w:eastAsia="Times New Roman" w:hAnsi="Times New Roman" w:cs="Times New Roman"/>
                  <w:sz w:val="24"/>
                  <w:szCs w:val="24"/>
                  <w:bdr w:val="none" w:sz="0" w:space="0" w:color="auto" w:frame="1"/>
                  <w:lang w:val="uk-UA"/>
                </w:rPr>
                <w:t> (</w:t>
              </w:r>
              <w:r w:rsidR="005613AB" w:rsidRPr="00BE1959">
                <w:rPr>
                  <w:rFonts w:ascii="Times New Roman" w:eastAsia="Times New Roman" w:hAnsi="Times New Roman" w:cs="Times New Roman"/>
                  <w:sz w:val="24"/>
                  <w:szCs w:val="24"/>
                  <w:bdr w:val="none" w:sz="0" w:space="0" w:color="auto" w:frame="1"/>
                  <w:vertAlign w:val="superscript"/>
                  <w:lang w:val="uk-UA"/>
                </w:rPr>
                <w:t>24</w:t>
              </w:r>
              <w:r w:rsidR="005613AB" w:rsidRPr="00BE1959">
                <w:rPr>
                  <w:rFonts w:ascii="Times New Roman" w:eastAsia="Times New Roman" w:hAnsi="Times New Roman" w:cs="Times New Roman"/>
                  <w:sz w:val="24"/>
                  <w:szCs w:val="24"/>
                  <w:bdr w:val="none" w:sz="0" w:space="0" w:color="auto" w:frame="1"/>
                  <w:lang w:val="uk-UA"/>
                </w:rPr>
                <w:t>)</w:t>
              </w:r>
            </w:hyperlink>
            <w:r w:rsidR="005613AB" w:rsidRPr="00BE1959">
              <w:rPr>
                <w:rFonts w:ascii="Times New Roman" w:eastAsia="Times New Roman" w:hAnsi="Times New Roman" w:cs="Times New Roman"/>
                <w:sz w:val="24"/>
                <w:szCs w:val="24"/>
                <w:lang w:val="uk-UA"/>
              </w:rPr>
              <w:t xml:space="preserve">, </w:t>
            </w:r>
            <w:r w:rsidR="004A4CC3" w:rsidRPr="00BE1959">
              <w:rPr>
                <w:rFonts w:ascii="Times New Roman" w:eastAsia="Times New Roman" w:hAnsi="Times New Roman" w:cs="Times New Roman"/>
                <w:sz w:val="24"/>
                <w:szCs w:val="24"/>
                <w:lang w:val="uk-UA"/>
              </w:rPr>
              <w:t>з мет</w:t>
            </w:r>
            <w:r w:rsidR="00A86396" w:rsidRPr="00BE1959">
              <w:rPr>
                <w:rFonts w:ascii="Times New Roman" w:eastAsia="Times New Roman" w:hAnsi="Times New Roman" w:cs="Times New Roman"/>
                <w:sz w:val="24"/>
                <w:szCs w:val="24"/>
                <w:lang w:val="uk-UA"/>
              </w:rPr>
              <w:t>ою забезпечення або іншого покриття їхніх зобов’язань.</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96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(53)</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85A65" w:rsidP="0042329D">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Необхідно посилити роль керівних органів інвестиційних фірм, регульованих ринків і надавачів послуг із повідомлення даних у забезпеченні раціонального і розумного </w:t>
            </w:r>
            <w:r w:rsidRPr="00BE1959">
              <w:rPr>
                <w:rFonts w:ascii="Times New Roman" w:eastAsia="Times New Roman" w:hAnsi="Times New Roman" w:cs="Times New Roman"/>
                <w:sz w:val="24"/>
                <w:szCs w:val="24"/>
                <w:lang w:val="uk-UA"/>
              </w:rPr>
              <w:lastRenderedPageBreak/>
              <w:t>управління фірмами, сприянні цілісності ринку та захисті інтересів інвесторів. Керівний орган інвестиційної фірм, ре</w:t>
            </w:r>
            <w:r w:rsidR="000010DF" w:rsidRPr="00BE1959">
              <w:rPr>
                <w:rFonts w:ascii="Times New Roman" w:eastAsia="Times New Roman" w:hAnsi="Times New Roman" w:cs="Times New Roman"/>
                <w:sz w:val="24"/>
                <w:szCs w:val="24"/>
                <w:lang w:val="uk-UA"/>
              </w:rPr>
              <w:t>гульованих ринків і надавачів послуг із повідомлення даних повинен завжди виділяти достатній час і володіти належними колективними знаннями, навичками й досвідом, щоб бути здатним розуміти діяльність фірми, в</w:t>
            </w:r>
            <w:r w:rsidR="00E641CC" w:rsidRPr="00BE1959">
              <w:rPr>
                <w:rFonts w:ascii="Times New Roman" w:eastAsia="Times New Roman" w:hAnsi="Times New Roman" w:cs="Times New Roman"/>
                <w:sz w:val="24"/>
                <w:szCs w:val="24"/>
                <w:lang w:val="uk-UA"/>
              </w:rPr>
              <w:t xml:space="preserve">ключаючи основні ризики. Щоб уникнути групового мислення та сприяти висловленню незалежних думок і критичних зауважень, керівні органи повинні бути достатньо різноманітними в плані віку, статі, </w:t>
            </w:r>
            <w:r w:rsidR="00633F62" w:rsidRPr="00BE1959">
              <w:rPr>
                <w:rFonts w:ascii="Times New Roman" w:eastAsia="Times New Roman" w:hAnsi="Times New Roman" w:cs="Times New Roman"/>
                <w:sz w:val="24"/>
                <w:szCs w:val="24"/>
                <w:lang w:val="uk-UA"/>
              </w:rPr>
              <w:t>географічного походження, освітнього рівня та професійної підготовки для того, щоб представляти широкий спектр поглядів і досвіду. Представництво працівників у керівних органах також можна було б розглядати як позитивний спосіб розширення різноманітно</w:t>
            </w:r>
            <w:r w:rsidR="002C66AE" w:rsidRPr="00BE1959">
              <w:rPr>
                <w:rFonts w:ascii="Times New Roman" w:eastAsia="Times New Roman" w:hAnsi="Times New Roman" w:cs="Times New Roman"/>
                <w:sz w:val="24"/>
                <w:szCs w:val="24"/>
                <w:lang w:val="uk-UA"/>
              </w:rPr>
              <w:t xml:space="preserve">сті шляхом урахування всебічних точок зору та реальних знань про внутрішні механізми роботи фірм. Отже, різноманітність повинна бути одним із критеріїв формування керівних органів. </w:t>
            </w:r>
            <w:r w:rsidR="00EE6A01" w:rsidRPr="00BE1959">
              <w:rPr>
                <w:rFonts w:ascii="Times New Roman" w:eastAsia="Times New Roman" w:hAnsi="Times New Roman" w:cs="Times New Roman"/>
                <w:sz w:val="24"/>
                <w:szCs w:val="24"/>
                <w:lang w:val="uk-UA"/>
              </w:rPr>
              <w:t>Крім того, принцип різноманітності необхідно враховувати у кадровій політиці фірм у</w:t>
            </w:r>
            <w:r w:rsidR="0042329D" w:rsidRPr="00BE1959">
              <w:rPr>
                <w:rFonts w:ascii="Times New Roman" w:eastAsia="Times New Roman" w:hAnsi="Times New Roman" w:cs="Times New Roman"/>
                <w:sz w:val="24"/>
                <w:szCs w:val="24"/>
                <w:lang w:val="uk-UA"/>
              </w:rPr>
              <w:t xml:space="preserve">загалі. Ця політика повинна, наприклад, заохочувати фірми до відбору кандидатів із остаточних списків, де представлені обидві статі. В інтересах забезпечення послідовності підходу до корпоративного управління бажано узгодити вимоги до інвестиційних фірм, наскільки це можливо, з вимогами, викладеними у Директиві </w:t>
            </w:r>
            <w:r w:rsidR="005613AB" w:rsidRPr="00BE1959">
              <w:rPr>
                <w:rFonts w:ascii="Times New Roman" w:eastAsia="Times New Roman" w:hAnsi="Times New Roman" w:cs="Times New Roman"/>
                <w:sz w:val="24"/>
                <w:szCs w:val="24"/>
                <w:lang w:val="uk-UA"/>
              </w:rPr>
              <w:t>2013/36/EU.</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96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(54)</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3A47A0" w:rsidP="00177047">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Для того, щоб забезпечити ефективний нагляд і контроль за діяльністю інвестиційних фірм, регульованих ринків і надавачів послуг із повідомлення даних, керівний орган повинен відповідати та бути підзвітним за загальну стратегію фірми, що враховує характер діяльності та ризиків фірми. Керівний орган повинен узяти на себе чіткі обов’язки на весь цикл господарської діяльності фірми, у сферах визначення і встановлення стратегічних цілей, стратегії управління ризиками та внутрішнього</w:t>
            </w:r>
            <w:r w:rsidR="002317AB" w:rsidRPr="00BE1959">
              <w:rPr>
                <w:rFonts w:ascii="Times New Roman" w:eastAsia="Times New Roman" w:hAnsi="Times New Roman" w:cs="Times New Roman"/>
                <w:sz w:val="24"/>
                <w:szCs w:val="24"/>
                <w:lang w:val="uk-UA"/>
              </w:rPr>
              <w:t xml:space="preserve"> врядування фірми, затвердження її внутрішньої організації, включаючи критерії відбору та підготовки кадрів, ефективного нагляду за вищим керівництвом, визначення загальних правил, що регламентують надання послуг і ведення діяльності, включно з оплатою праці торгового персоналу, і затвердження нових продуктів, що пропонуватимуться клієнтам. Періодичний моніторинг і оцінка стратегічних цілей фірм, їхньої внутрішньої організації та правил надання послуг і ведення діяльності повинні забезпечити їхню постійну здатність здійснювати раціональне і розумне управління в інтересах цілісності ринків і захисту інвесторів. </w:t>
            </w:r>
            <w:r w:rsidR="001B4B9D" w:rsidRPr="00BE1959">
              <w:rPr>
                <w:rFonts w:ascii="Times New Roman" w:eastAsia="Times New Roman" w:hAnsi="Times New Roman" w:cs="Times New Roman"/>
                <w:sz w:val="24"/>
                <w:szCs w:val="24"/>
                <w:lang w:val="uk-UA"/>
              </w:rPr>
              <w:t xml:space="preserve">Наявність </w:t>
            </w:r>
            <w:r w:rsidR="00177047" w:rsidRPr="00BE1959">
              <w:rPr>
                <w:rFonts w:ascii="Times New Roman" w:eastAsia="Times New Roman" w:hAnsi="Times New Roman" w:cs="Times New Roman"/>
                <w:sz w:val="24"/>
                <w:szCs w:val="24"/>
                <w:lang w:val="uk-UA"/>
              </w:rPr>
              <w:t xml:space="preserve">у члена керівного органу </w:t>
            </w:r>
            <w:r w:rsidR="001B4B9D" w:rsidRPr="00BE1959">
              <w:rPr>
                <w:rFonts w:ascii="Times New Roman" w:eastAsia="Times New Roman" w:hAnsi="Times New Roman" w:cs="Times New Roman"/>
                <w:sz w:val="24"/>
                <w:szCs w:val="24"/>
                <w:lang w:val="uk-UA"/>
              </w:rPr>
              <w:t xml:space="preserve">завеликої кількості директорських посад заважатиме </w:t>
            </w:r>
            <w:r w:rsidR="00177047" w:rsidRPr="00BE1959">
              <w:rPr>
                <w:rFonts w:ascii="Times New Roman" w:eastAsia="Times New Roman" w:hAnsi="Times New Roman" w:cs="Times New Roman"/>
                <w:sz w:val="24"/>
                <w:szCs w:val="24"/>
                <w:lang w:val="uk-UA"/>
              </w:rPr>
              <w:t>йому</w:t>
            </w:r>
            <w:r w:rsidR="001B4B9D" w:rsidRPr="00BE1959">
              <w:rPr>
                <w:rFonts w:ascii="Times New Roman" w:eastAsia="Times New Roman" w:hAnsi="Times New Roman" w:cs="Times New Roman"/>
                <w:sz w:val="24"/>
                <w:szCs w:val="24"/>
                <w:lang w:val="uk-UA"/>
              </w:rPr>
              <w:t xml:space="preserve"> витрачати достатньо часу на виконання цієї наглядової функції.</w:t>
            </w:r>
          </w:p>
          <w:p w:rsidR="005613AB" w:rsidRPr="00BE1959" w:rsidRDefault="00177047" w:rsidP="00177047">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Отже, необхідно обмежити кількість директорських посад, яку член керівного органу установи може одночасно обіймати в різних суб’єктах. Проте, директорські посади в організаціях, які не переслідують перш за все комерційні цілі, як-от безприбуткові або благодійні організації, не повинні враховуватися в цілях застосування такого ліміту.</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96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lastRenderedPageBreak/>
              <w:t>(55)</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807F09" w:rsidP="007664B8">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У державах-членах використовуються різні структури управління. У більшості випадків застосовується структура з одним або двома правліннями. </w:t>
            </w:r>
            <w:r w:rsidR="007664B8" w:rsidRPr="00BE1959">
              <w:rPr>
                <w:rFonts w:ascii="Times New Roman" w:eastAsia="Times New Roman" w:hAnsi="Times New Roman" w:cs="Times New Roman"/>
                <w:sz w:val="24"/>
                <w:szCs w:val="24"/>
                <w:lang w:val="uk-UA"/>
              </w:rPr>
              <w:t>Визначення, що вживаються в цій директиві, покликані охопити всі існуючі структури без надання переваги якійсь одній з них. Вони є суто функціональними для цілей встановлення правил, спрямованих на досягнення конкретного результату, незалежно від національного законодавства про компанії, застосовного до даної установи в кожній державі-члені. Тому ці визначення не повинні втручатися в загальний розподіл сфер компетенції відповідно до національного законодавства про компанії.</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96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(56)</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445B6E" w:rsidP="00EF27A6">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Розширення спектру видів діяльності, що їх одночасно веде багато інвестиційних фірм, збільшило вірогідність конфліктів інтересів між цими різними видами діяльності та інтересами їхніх клієнтів. </w:t>
            </w:r>
            <w:r w:rsidR="00136DF8" w:rsidRPr="00BE1959">
              <w:rPr>
                <w:rFonts w:ascii="Times New Roman" w:eastAsia="Times New Roman" w:hAnsi="Times New Roman" w:cs="Times New Roman"/>
                <w:sz w:val="24"/>
                <w:szCs w:val="24"/>
                <w:lang w:val="uk-UA"/>
              </w:rPr>
              <w:t xml:space="preserve">Тому необхідно передбачити правила, які забезпечать, щоб такі конфлікти не спричиняли негативного впливу на інтереси їхніх клієнтів. Фірми зобов’язані вживати </w:t>
            </w:r>
            <w:r w:rsidR="00A978CA" w:rsidRPr="00BE1959">
              <w:rPr>
                <w:rFonts w:ascii="Times New Roman" w:eastAsia="Times New Roman" w:hAnsi="Times New Roman" w:cs="Times New Roman"/>
                <w:sz w:val="24"/>
                <w:szCs w:val="24"/>
                <w:lang w:val="uk-UA"/>
              </w:rPr>
              <w:t xml:space="preserve">ефективних заходів для виявлення та запобігання або усунення конфліктів інтересів та пом’якшення потенційного впливу цих ризиків, наскільки це можливо. Якщо, попри це, залишається ризик шкоди інтересам клієнта, </w:t>
            </w:r>
            <w:r w:rsidR="00EF27A6" w:rsidRPr="00BE1959">
              <w:rPr>
                <w:rFonts w:ascii="Times New Roman" w:eastAsia="Times New Roman" w:hAnsi="Times New Roman" w:cs="Times New Roman"/>
                <w:sz w:val="24"/>
                <w:szCs w:val="24"/>
                <w:lang w:val="uk-UA"/>
              </w:rPr>
              <w:t>то, перш ніж вести діяльність від імені клієнта, йому необхідно чітко роз’яснити загальний характер і (або) джерела конфліктів інтересів та заходи, вжиті для пом’якшення цих ризиків.</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96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(57)</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0025A8" w:rsidP="005613AB">
            <w:pPr>
              <w:spacing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Директива Комісії</w:t>
            </w:r>
            <w:r w:rsidR="005613AB" w:rsidRPr="00BE1959">
              <w:rPr>
                <w:rFonts w:ascii="Times New Roman" w:eastAsia="Times New Roman" w:hAnsi="Times New Roman" w:cs="Times New Roman"/>
                <w:sz w:val="24"/>
                <w:szCs w:val="24"/>
                <w:lang w:val="uk-UA"/>
              </w:rPr>
              <w:t xml:space="preserve"> 2006/73/EC</w:t>
            </w:r>
            <w:hyperlink r:id="rId30" w:anchor="ntr25-L_2014173EN.01034901-E0025" w:history="1">
              <w:r w:rsidR="005613AB" w:rsidRPr="00BE1959">
                <w:rPr>
                  <w:rFonts w:ascii="Times New Roman" w:eastAsia="Times New Roman" w:hAnsi="Times New Roman" w:cs="Times New Roman"/>
                  <w:sz w:val="24"/>
                  <w:szCs w:val="24"/>
                  <w:bdr w:val="none" w:sz="0" w:space="0" w:color="auto" w:frame="1"/>
                  <w:lang w:val="uk-UA"/>
                </w:rPr>
                <w:t> (</w:t>
              </w:r>
              <w:r w:rsidR="005613AB" w:rsidRPr="00BE1959">
                <w:rPr>
                  <w:rFonts w:ascii="Times New Roman" w:eastAsia="Times New Roman" w:hAnsi="Times New Roman" w:cs="Times New Roman"/>
                  <w:sz w:val="24"/>
                  <w:szCs w:val="24"/>
                  <w:bdr w:val="none" w:sz="0" w:space="0" w:color="auto" w:frame="1"/>
                  <w:vertAlign w:val="superscript"/>
                  <w:lang w:val="uk-UA"/>
                </w:rPr>
                <w:t>25</w:t>
              </w:r>
              <w:r w:rsidR="005613AB" w:rsidRPr="00BE1959">
                <w:rPr>
                  <w:rFonts w:ascii="Times New Roman" w:eastAsia="Times New Roman" w:hAnsi="Times New Roman" w:cs="Times New Roman"/>
                  <w:sz w:val="24"/>
                  <w:szCs w:val="24"/>
                  <w:bdr w:val="none" w:sz="0" w:space="0" w:color="auto" w:frame="1"/>
                  <w:lang w:val="uk-UA"/>
                </w:rPr>
                <w:t>)</w:t>
              </w:r>
            </w:hyperlink>
            <w:r w:rsidR="005613AB" w:rsidRPr="00BE1959">
              <w:rPr>
                <w:rFonts w:ascii="Times New Roman" w:eastAsia="Times New Roman" w:hAnsi="Times New Roman" w:cs="Times New Roman"/>
                <w:sz w:val="24"/>
                <w:szCs w:val="24"/>
                <w:lang w:val="uk-UA"/>
              </w:rPr>
              <w:t> </w:t>
            </w:r>
            <w:r w:rsidRPr="00BE1959">
              <w:rPr>
                <w:rFonts w:ascii="Times New Roman" w:eastAsia="Times New Roman" w:hAnsi="Times New Roman" w:cs="Times New Roman"/>
                <w:sz w:val="24"/>
                <w:szCs w:val="24"/>
                <w:lang w:val="uk-UA"/>
              </w:rPr>
              <w:t>дозволяє державам-членам</w:t>
            </w:r>
            <w:r w:rsidR="008D4543" w:rsidRPr="00BE1959">
              <w:rPr>
                <w:rFonts w:ascii="Times New Roman" w:eastAsia="Times New Roman" w:hAnsi="Times New Roman" w:cs="Times New Roman"/>
                <w:sz w:val="24"/>
                <w:szCs w:val="24"/>
                <w:lang w:val="uk-UA"/>
              </w:rPr>
              <w:t xml:space="preserve"> вимагати, у контексті організаційних вимог до інвестиційних фірм, записування телефонних розмов або електронного листування стосовно замовлень клієнтів.</w:t>
            </w:r>
            <w:r w:rsidR="000939BD" w:rsidRPr="00BE1959">
              <w:rPr>
                <w:rFonts w:ascii="Times New Roman" w:eastAsia="Times New Roman" w:hAnsi="Times New Roman" w:cs="Times New Roman"/>
                <w:sz w:val="24"/>
                <w:szCs w:val="24"/>
                <w:lang w:val="uk-UA"/>
              </w:rPr>
              <w:t xml:space="preserve"> Записування телефонних розмов або електронного листування стосовно замовлень клієнтів є сумісним із Хартією основних прав Європейського Союзу (далі – Хартія) і виправдано з метою посилення захисту інвесторів, покращення нагляду за ринком і зміцнення правової визначеності в інтересах інвестиційних фірм та їхніх клієнтів. Важливість таких записів також згадується у технічних порадах Комісії, випущених Комітетом </w:t>
            </w:r>
            <w:r w:rsidR="00601200" w:rsidRPr="00BE1959">
              <w:rPr>
                <w:rFonts w:ascii="Times New Roman" w:eastAsia="Times New Roman" w:hAnsi="Times New Roman" w:cs="Times New Roman"/>
                <w:sz w:val="24"/>
                <w:szCs w:val="24"/>
                <w:lang w:val="uk-UA"/>
              </w:rPr>
              <w:t xml:space="preserve">європейських регуляторів цінних паперів 29 липня 2010 року. Такі записи повинні забезпечити наявність доказів умов замовлень, наданих клієнтами, та </w:t>
            </w:r>
            <w:r w:rsidR="002C3548" w:rsidRPr="00BE1959">
              <w:rPr>
                <w:rFonts w:ascii="Times New Roman" w:eastAsia="Times New Roman" w:hAnsi="Times New Roman" w:cs="Times New Roman"/>
                <w:sz w:val="24"/>
                <w:szCs w:val="24"/>
                <w:lang w:val="uk-UA"/>
              </w:rPr>
              <w:t>їхню відповідність операціям, виконаним інвестиційними фірмами, а також виявити будь-які дії, що можуть бути важливими в контексті зловживань на ринку, зокрема у випадках, коли фірми здійснюють операції за власний рахунок.</w:t>
            </w:r>
          </w:p>
          <w:p w:rsidR="005613AB" w:rsidRPr="00BE1959" w:rsidRDefault="00B46DFA" w:rsidP="00DC4213">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З цією метою потрібні записи всіх розмов за участю представників фірми, коли вона здійснює намір здійснювати операції за власний рахунок. Я</w:t>
            </w:r>
            <w:r w:rsidR="00194DAD" w:rsidRPr="00BE1959">
              <w:rPr>
                <w:rFonts w:ascii="Times New Roman" w:eastAsia="Times New Roman" w:hAnsi="Times New Roman" w:cs="Times New Roman"/>
                <w:sz w:val="24"/>
                <w:szCs w:val="24"/>
                <w:lang w:val="uk-UA"/>
              </w:rPr>
              <w:t xml:space="preserve">кщо замовлення передаються клієнтами іншими каналами, ніж телефон, така інформація повинна </w:t>
            </w:r>
            <w:r w:rsidR="007B3847" w:rsidRPr="00BE1959">
              <w:rPr>
                <w:rFonts w:ascii="Times New Roman" w:eastAsia="Times New Roman" w:hAnsi="Times New Roman" w:cs="Times New Roman"/>
                <w:sz w:val="24"/>
                <w:szCs w:val="24"/>
                <w:lang w:val="uk-UA"/>
              </w:rPr>
              <w:t xml:space="preserve">фіксуватися на надійному носії, як-от поштова кореспонденція, факсимільні повідомлення, повідомлення електронною поштою, документація щодо замовлень клієнтів, зроблених на зустрічах. Наприклад, зміст відповідної особистої розмови з клієнтом можна зафіксувати у формі письмового протоколу чи нотаток. Такі замовлення слід вважати еквівалентними замовленням, отриманим телефоном. Якщо </w:t>
            </w:r>
            <w:r w:rsidR="007B3847" w:rsidRPr="00BE1959">
              <w:rPr>
                <w:rFonts w:ascii="Times New Roman" w:eastAsia="Times New Roman" w:hAnsi="Times New Roman" w:cs="Times New Roman"/>
                <w:sz w:val="24"/>
                <w:szCs w:val="24"/>
                <w:lang w:val="uk-UA"/>
              </w:rPr>
              <w:lastRenderedPageBreak/>
              <w:t>ведеться протокол особистої розмови з клієнтом, то держави-члени повинні забезпечити наявність відповідних захисних заходів для того, щоб клієнт зазнав збитку в результаті неточного відображення у протоколі суті розмови між сторонами. Такі захисні заходи не повинні передбачати прийняття клієнтом на себе будь-якої відповідальності.</w:t>
            </w:r>
          </w:p>
          <w:p w:rsidR="005613AB" w:rsidRPr="00BE1959" w:rsidRDefault="000A6070" w:rsidP="00D801C7">
            <w:pPr>
              <w:spacing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Для того, щоб забезпечити правову визначеність стосовно сфери дії цього зобов’язання, доречно застосовувати його до всього обладнання, наданого фірмою або дозволеного для використання інвестиційною фірмою, та вимагати, щоб інвестиційні фірми вживали розумних заходів для того, щоб стосовно їхніх операцій не використовувалося обладнання приватних осіб. </w:t>
            </w:r>
            <w:r w:rsidR="007420F1" w:rsidRPr="00BE1959">
              <w:rPr>
                <w:rFonts w:ascii="Times New Roman" w:eastAsia="Times New Roman" w:hAnsi="Times New Roman" w:cs="Times New Roman"/>
                <w:sz w:val="24"/>
                <w:szCs w:val="24"/>
                <w:lang w:val="uk-UA"/>
              </w:rPr>
              <w:t>Вищезгадані записи повинні надаватися компетентним органам при виконанні ними наглядових задач у процесі здійснення правозастосовних заходів за цією директивою та за Регламентом</w:t>
            </w:r>
            <w:r w:rsidR="005613AB" w:rsidRPr="00BE1959">
              <w:rPr>
                <w:rFonts w:ascii="Times New Roman" w:eastAsia="Times New Roman" w:hAnsi="Times New Roman" w:cs="Times New Roman"/>
                <w:sz w:val="24"/>
                <w:szCs w:val="24"/>
                <w:lang w:val="uk-UA"/>
              </w:rPr>
              <w:t xml:space="preserve"> </w:t>
            </w:r>
            <w:r w:rsidR="007B0149" w:rsidRPr="00BE1959">
              <w:rPr>
                <w:rFonts w:ascii="Times New Roman" w:eastAsia="Times New Roman" w:hAnsi="Times New Roman" w:cs="Times New Roman"/>
                <w:sz w:val="24"/>
                <w:szCs w:val="24"/>
                <w:lang w:val="uk-UA"/>
              </w:rPr>
              <w:t>(EU) № 600/2014</w:t>
            </w:r>
            <w:r w:rsidR="005613AB" w:rsidRPr="00BE1959">
              <w:rPr>
                <w:rFonts w:ascii="Times New Roman" w:eastAsia="Times New Roman" w:hAnsi="Times New Roman" w:cs="Times New Roman"/>
                <w:sz w:val="24"/>
                <w:szCs w:val="24"/>
                <w:lang w:val="uk-UA"/>
              </w:rPr>
              <w:t xml:space="preserve">, </w:t>
            </w:r>
            <w:r w:rsidR="007420F1" w:rsidRPr="00BE1959">
              <w:rPr>
                <w:rFonts w:ascii="Times New Roman" w:eastAsia="Times New Roman" w:hAnsi="Times New Roman" w:cs="Times New Roman"/>
                <w:sz w:val="24"/>
                <w:szCs w:val="24"/>
                <w:lang w:val="uk-UA"/>
              </w:rPr>
              <w:t>Регламентом</w:t>
            </w:r>
            <w:r w:rsidR="005613AB" w:rsidRPr="00BE1959">
              <w:rPr>
                <w:rFonts w:ascii="Times New Roman" w:eastAsia="Times New Roman" w:hAnsi="Times New Roman" w:cs="Times New Roman"/>
                <w:sz w:val="24"/>
                <w:szCs w:val="24"/>
                <w:lang w:val="uk-UA"/>
              </w:rPr>
              <w:t xml:space="preserve"> </w:t>
            </w:r>
            <w:r w:rsidR="00DB4825" w:rsidRPr="00BE1959">
              <w:rPr>
                <w:rFonts w:ascii="Times New Roman" w:eastAsia="Times New Roman" w:hAnsi="Times New Roman" w:cs="Times New Roman"/>
                <w:sz w:val="24"/>
                <w:szCs w:val="24"/>
                <w:lang w:val="uk-UA"/>
              </w:rPr>
              <w:t>(EU) №</w:t>
            </w:r>
            <w:r w:rsidR="005613AB" w:rsidRPr="00BE1959">
              <w:rPr>
                <w:rFonts w:ascii="Times New Roman" w:eastAsia="Times New Roman" w:hAnsi="Times New Roman" w:cs="Times New Roman"/>
                <w:sz w:val="24"/>
                <w:szCs w:val="24"/>
                <w:lang w:val="uk-UA"/>
              </w:rPr>
              <w:t xml:space="preserve"> 596/2014 </w:t>
            </w:r>
            <w:r w:rsidR="007420F1" w:rsidRPr="00BE1959">
              <w:rPr>
                <w:rFonts w:ascii="Times New Roman" w:eastAsia="Times New Roman" w:hAnsi="Times New Roman" w:cs="Times New Roman"/>
                <w:sz w:val="24"/>
                <w:szCs w:val="24"/>
                <w:lang w:val="uk-UA"/>
              </w:rPr>
              <w:t>та Директивою</w:t>
            </w:r>
            <w:r w:rsidR="005613AB" w:rsidRPr="00BE1959">
              <w:rPr>
                <w:rFonts w:ascii="Times New Roman" w:eastAsia="Times New Roman" w:hAnsi="Times New Roman" w:cs="Times New Roman"/>
                <w:sz w:val="24"/>
                <w:szCs w:val="24"/>
                <w:lang w:val="uk-UA"/>
              </w:rPr>
              <w:t xml:space="preserve"> 2014/57/EU </w:t>
            </w:r>
            <w:r w:rsidR="00423154" w:rsidRPr="00BE1959">
              <w:rPr>
                <w:rFonts w:ascii="Times New Roman" w:eastAsia="Times New Roman" w:hAnsi="Times New Roman" w:cs="Times New Roman"/>
                <w:sz w:val="24"/>
                <w:szCs w:val="24"/>
                <w:lang w:val="uk-UA"/>
              </w:rPr>
              <w:t>Європейського Парламенту та Ради</w:t>
            </w:r>
            <w:hyperlink r:id="rId31" w:anchor="ntr26-L_2014173EN.01034901-E0026" w:history="1">
              <w:r w:rsidR="005613AB" w:rsidRPr="00BE1959">
                <w:rPr>
                  <w:rFonts w:ascii="Times New Roman" w:eastAsia="Times New Roman" w:hAnsi="Times New Roman" w:cs="Times New Roman"/>
                  <w:sz w:val="24"/>
                  <w:szCs w:val="24"/>
                  <w:bdr w:val="none" w:sz="0" w:space="0" w:color="auto" w:frame="1"/>
                  <w:lang w:val="uk-UA"/>
                </w:rPr>
                <w:t> (</w:t>
              </w:r>
              <w:r w:rsidR="005613AB" w:rsidRPr="00BE1959">
                <w:rPr>
                  <w:rFonts w:ascii="Times New Roman" w:eastAsia="Times New Roman" w:hAnsi="Times New Roman" w:cs="Times New Roman"/>
                  <w:sz w:val="24"/>
                  <w:szCs w:val="24"/>
                  <w:bdr w:val="none" w:sz="0" w:space="0" w:color="auto" w:frame="1"/>
                  <w:vertAlign w:val="superscript"/>
                  <w:lang w:val="uk-UA"/>
                </w:rPr>
                <w:t>26</w:t>
              </w:r>
              <w:r w:rsidR="005613AB" w:rsidRPr="00BE1959">
                <w:rPr>
                  <w:rFonts w:ascii="Times New Roman" w:eastAsia="Times New Roman" w:hAnsi="Times New Roman" w:cs="Times New Roman"/>
                  <w:sz w:val="24"/>
                  <w:szCs w:val="24"/>
                  <w:bdr w:val="none" w:sz="0" w:space="0" w:color="auto" w:frame="1"/>
                  <w:lang w:val="uk-UA"/>
                </w:rPr>
                <w:t>)</w:t>
              </w:r>
            </w:hyperlink>
            <w:r w:rsidR="005613AB" w:rsidRPr="00BE1959">
              <w:rPr>
                <w:rFonts w:ascii="Times New Roman" w:eastAsia="Times New Roman" w:hAnsi="Times New Roman" w:cs="Times New Roman"/>
                <w:sz w:val="24"/>
                <w:szCs w:val="24"/>
                <w:lang w:val="uk-UA"/>
              </w:rPr>
              <w:t> </w:t>
            </w:r>
            <w:r w:rsidR="00D801C7" w:rsidRPr="00BE1959">
              <w:rPr>
                <w:rFonts w:ascii="Times New Roman" w:eastAsia="Times New Roman" w:hAnsi="Times New Roman" w:cs="Times New Roman"/>
                <w:sz w:val="24"/>
                <w:szCs w:val="24"/>
                <w:lang w:val="uk-UA"/>
              </w:rPr>
              <w:t>для того, щоб компетентні органи могли виявляти дії, що не відповідають правовій базі, яка регулює діяльність інвестиційних фірм. Ці записи також повинні надаватися інвестиційним фірмам і клієнтам для того, щоб демонструвати розвиток їхніх відносин щодо замовлень, переданих клієнтами, та операцій, виконаних фірмами. З цих причин доцільно передбачити у цій директиві засади загального режиму стосовно записування телефонних розмов і електронного листування стосовно замовлень клієнтів.</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96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(58)</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A065ED" w:rsidP="00D52352">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Згідно з висновками Ради від червня 2009 року щодо посилення європейського фінансового нагляду і з метою сприяти створенню єдиного зводу правил для фінансових ринків Союзу, </w:t>
            </w:r>
            <w:r w:rsidR="008C31A4" w:rsidRPr="00BE1959">
              <w:rPr>
                <w:rFonts w:ascii="Times New Roman" w:eastAsia="Times New Roman" w:hAnsi="Times New Roman" w:cs="Times New Roman"/>
                <w:sz w:val="24"/>
                <w:szCs w:val="24"/>
                <w:lang w:val="uk-UA"/>
              </w:rPr>
              <w:t xml:space="preserve">допомогти у подальшому розвиткові одноманітних умов діяльності для держав-членів і учасників ринку, посилити захист інвесторів і покращити нагляд і правозастосування Союз зобов’язався звести до мінімуму, де доречно, </w:t>
            </w:r>
            <w:r w:rsidR="00025C23" w:rsidRPr="00BE1959">
              <w:rPr>
                <w:rFonts w:ascii="Times New Roman" w:eastAsia="Times New Roman" w:hAnsi="Times New Roman" w:cs="Times New Roman"/>
                <w:sz w:val="24"/>
                <w:szCs w:val="24"/>
                <w:lang w:val="uk-UA"/>
              </w:rPr>
              <w:t>свободу дій держав-членів щодо законодавства Союзу про фінансові послуги. На додаток до запровадження у цій директиві загального режиму записування телефонних розмов і електронного листування стосовно замовлень клієнтів, доцільно зменшити можливість делегування компетентними органами наглядових задач у певних випадках</w:t>
            </w:r>
            <w:r w:rsidR="00D52352" w:rsidRPr="00BE1959">
              <w:rPr>
                <w:rFonts w:ascii="Times New Roman" w:eastAsia="Times New Roman" w:hAnsi="Times New Roman" w:cs="Times New Roman"/>
                <w:sz w:val="24"/>
                <w:szCs w:val="24"/>
                <w:lang w:val="uk-UA"/>
              </w:rPr>
              <w:t xml:space="preserve"> і</w:t>
            </w:r>
            <w:r w:rsidR="00025C23" w:rsidRPr="00BE1959">
              <w:rPr>
                <w:rFonts w:ascii="Times New Roman" w:eastAsia="Times New Roman" w:hAnsi="Times New Roman" w:cs="Times New Roman"/>
                <w:sz w:val="24"/>
                <w:szCs w:val="24"/>
                <w:lang w:val="uk-UA"/>
              </w:rPr>
              <w:t xml:space="preserve"> обмежити свободу дій у вимогах, застосовних до пов'яз</w:t>
            </w:r>
            <w:r w:rsidR="00D52352" w:rsidRPr="00BE1959">
              <w:rPr>
                <w:rFonts w:ascii="Times New Roman" w:eastAsia="Times New Roman" w:hAnsi="Times New Roman" w:cs="Times New Roman"/>
                <w:sz w:val="24"/>
                <w:szCs w:val="24"/>
                <w:lang w:val="uk-UA"/>
              </w:rPr>
              <w:t>аних агентів і до звітності філій.</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96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(59)</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CB0AD1" w:rsidP="00C601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Способи використання технології торгівлі за останнє десятиріччя значно розвинулися, і її широко застосовують учасники ринку. Багато учасників ринку зараз користуються алгоритмічною торгівлею, за якої комп’ютерний алгоритм автоматично визначає характеристики замовлення з мінімальним втручанням а</w:t>
            </w:r>
            <w:r w:rsidR="008449EA" w:rsidRPr="00BE1959">
              <w:rPr>
                <w:rFonts w:ascii="Times New Roman" w:eastAsia="Times New Roman" w:hAnsi="Times New Roman" w:cs="Times New Roman"/>
                <w:sz w:val="24"/>
                <w:szCs w:val="24"/>
                <w:lang w:val="uk-UA"/>
              </w:rPr>
              <w:t xml:space="preserve">бо взагалі без втручання людини. Ризики, що випливають з алгоритмічної торгівлі, слід регулювати. Проте, використання алгоритмів у обробленні </w:t>
            </w:r>
            <w:r w:rsidR="00593F7C" w:rsidRPr="00BE1959">
              <w:rPr>
                <w:rFonts w:ascii="Times New Roman" w:eastAsia="Times New Roman" w:hAnsi="Times New Roman" w:cs="Times New Roman"/>
                <w:sz w:val="24"/>
                <w:szCs w:val="24"/>
                <w:lang w:val="uk-UA"/>
              </w:rPr>
              <w:t>результатів операцій після їх проведення не є алгоритмічною торгівлею. Інвестиційна фірма, яка бере участь у алгоритмічній торгівлі</w:t>
            </w:r>
            <w:r w:rsidR="003100CD" w:rsidRPr="00BE1959">
              <w:rPr>
                <w:rFonts w:ascii="Times New Roman" w:eastAsia="Times New Roman" w:hAnsi="Times New Roman" w:cs="Times New Roman"/>
                <w:sz w:val="24"/>
                <w:szCs w:val="24"/>
                <w:lang w:val="uk-UA"/>
              </w:rPr>
              <w:t xml:space="preserve"> відповідно до стратегії </w:t>
            </w:r>
            <w:r w:rsidR="00C601AB" w:rsidRPr="00BE1959">
              <w:rPr>
                <w:rFonts w:ascii="Times New Roman" w:eastAsia="Times New Roman" w:hAnsi="Times New Roman" w:cs="Times New Roman"/>
                <w:sz w:val="24"/>
                <w:szCs w:val="24"/>
                <w:lang w:val="uk-UA"/>
              </w:rPr>
              <w:t>формування</w:t>
            </w:r>
            <w:r w:rsidR="003100CD" w:rsidRPr="00BE1959">
              <w:rPr>
                <w:rFonts w:ascii="Times New Roman" w:eastAsia="Times New Roman" w:hAnsi="Times New Roman" w:cs="Times New Roman"/>
                <w:sz w:val="24"/>
                <w:szCs w:val="24"/>
                <w:lang w:val="uk-UA"/>
              </w:rPr>
              <w:t xml:space="preserve"> ринку, повинна </w:t>
            </w:r>
            <w:r w:rsidR="00963DEA" w:rsidRPr="00BE1959">
              <w:rPr>
                <w:rFonts w:ascii="Times New Roman" w:eastAsia="Times New Roman" w:hAnsi="Times New Roman" w:cs="Times New Roman"/>
                <w:sz w:val="24"/>
                <w:szCs w:val="24"/>
                <w:lang w:val="uk-UA"/>
              </w:rPr>
              <w:lastRenderedPageBreak/>
              <w:t>виконувати цю задачу</w:t>
            </w:r>
            <w:r w:rsidR="00B54C94" w:rsidRPr="00BE1959">
              <w:rPr>
                <w:rFonts w:ascii="Times New Roman" w:eastAsia="Times New Roman" w:hAnsi="Times New Roman" w:cs="Times New Roman"/>
                <w:sz w:val="24"/>
                <w:szCs w:val="24"/>
                <w:lang w:val="uk-UA"/>
              </w:rPr>
              <w:t xml:space="preserve"> безперервно протягом зазначеної частки часу торгівлі на торговельному майданчику</w:t>
            </w:r>
            <w:r w:rsidR="00963DEA" w:rsidRPr="00BE1959">
              <w:rPr>
                <w:rFonts w:ascii="Times New Roman" w:eastAsia="Times New Roman" w:hAnsi="Times New Roman" w:cs="Times New Roman"/>
                <w:sz w:val="24"/>
                <w:szCs w:val="24"/>
                <w:lang w:val="uk-UA"/>
              </w:rPr>
              <w:t xml:space="preserve">, забезпечуючи, щоб така зазначена частка була значною порівняно з загальним часом торгівлі, враховуючи ліквідність, масштаб і характер конкретного ринку та параметри фінансового інструмента, торгівля яким здійснюється. </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96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(60)</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037E9F" w:rsidP="00C601AB">
            <w:pPr>
              <w:spacing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Інвестиційні фірми, які займаються алгоритмічною торгівлею згідно зі стратегією</w:t>
            </w:r>
            <w:r w:rsidR="00C601AB" w:rsidRPr="00BE1959">
              <w:rPr>
                <w:rFonts w:ascii="Times New Roman" w:eastAsia="Times New Roman" w:hAnsi="Times New Roman" w:cs="Times New Roman"/>
                <w:sz w:val="24"/>
                <w:szCs w:val="24"/>
                <w:lang w:val="uk-UA"/>
              </w:rPr>
              <w:t xml:space="preserve"> формування ринку, повинні мати належні системи та засоби контролю для цієї діяльності. Такий вид діяльності слід розуміти з урахуванням її контексту і призначення. Тому визначення такого виду діяльності</w:t>
            </w:r>
            <w:r w:rsidRPr="00BE1959">
              <w:rPr>
                <w:rFonts w:ascii="Times New Roman" w:eastAsia="Times New Roman" w:hAnsi="Times New Roman" w:cs="Times New Roman"/>
                <w:sz w:val="24"/>
                <w:szCs w:val="24"/>
                <w:lang w:val="uk-UA"/>
              </w:rPr>
              <w:t xml:space="preserve"> </w:t>
            </w:r>
            <w:r w:rsidR="00C601AB" w:rsidRPr="00BE1959">
              <w:rPr>
                <w:rFonts w:ascii="Times New Roman" w:eastAsia="Times New Roman" w:hAnsi="Times New Roman" w:cs="Times New Roman"/>
                <w:sz w:val="24"/>
                <w:szCs w:val="24"/>
                <w:lang w:val="uk-UA"/>
              </w:rPr>
              <w:t>не залежить від таких визначень, як визначення терміну «діяльність із формування ринку», подане у Регламенті</w:t>
            </w:r>
            <w:r w:rsidR="005613AB" w:rsidRPr="00BE1959">
              <w:rPr>
                <w:rFonts w:ascii="Times New Roman" w:eastAsia="Times New Roman" w:hAnsi="Times New Roman" w:cs="Times New Roman"/>
                <w:sz w:val="24"/>
                <w:szCs w:val="24"/>
                <w:lang w:val="uk-UA"/>
              </w:rPr>
              <w:t xml:space="preserve"> </w:t>
            </w:r>
            <w:r w:rsidR="00DB4825" w:rsidRPr="00BE1959">
              <w:rPr>
                <w:rFonts w:ascii="Times New Roman" w:eastAsia="Times New Roman" w:hAnsi="Times New Roman" w:cs="Times New Roman"/>
                <w:sz w:val="24"/>
                <w:szCs w:val="24"/>
                <w:lang w:val="uk-UA"/>
              </w:rPr>
              <w:t>(EU) №</w:t>
            </w:r>
            <w:r w:rsidR="005613AB" w:rsidRPr="00BE1959">
              <w:rPr>
                <w:rFonts w:ascii="Times New Roman" w:eastAsia="Times New Roman" w:hAnsi="Times New Roman" w:cs="Times New Roman"/>
                <w:sz w:val="24"/>
                <w:szCs w:val="24"/>
                <w:lang w:val="uk-UA"/>
              </w:rPr>
              <w:t xml:space="preserve"> 236/2012 </w:t>
            </w:r>
            <w:r w:rsidR="00423154" w:rsidRPr="00BE1959">
              <w:rPr>
                <w:rFonts w:ascii="Times New Roman" w:eastAsia="Times New Roman" w:hAnsi="Times New Roman" w:cs="Times New Roman"/>
                <w:sz w:val="24"/>
                <w:szCs w:val="24"/>
                <w:lang w:val="uk-UA"/>
              </w:rPr>
              <w:t>Європейського Парламенту та Ради</w:t>
            </w:r>
            <w:hyperlink r:id="rId32" w:anchor="ntr27-L_2014173EN.01034901-E0027" w:history="1">
              <w:r w:rsidR="005613AB" w:rsidRPr="00BE1959">
                <w:rPr>
                  <w:rFonts w:ascii="Times New Roman" w:eastAsia="Times New Roman" w:hAnsi="Times New Roman" w:cs="Times New Roman"/>
                  <w:sz w:val="24"/>
                  <w:szCs w:val="24"/>
                  <w:bdr w:val="none" w:sz="0" w:space="0" w:color="auto" w:frame="1"/>
                  <w:lang w:val="uk-UA"/>
                </w:rPr>
                <w:t> (</w:t>
              </w:r>
              <w:r w:rsidR="005613AB" w:rsidRPr="00BE1959">
                <w:rPr>
                  <w:rFonts w:ascii="Times New Roman" w:eastAsia="Times New Roman" w:hAnsi="Times New Roman" w:cs="Times New Roman"/>
                  <w:sz w:val="24"/>
                  <w:szCs w:val="24"/>
                  <w:bdr w:val="none" w:sz="0" w:space="0" w:color="auto" w:frame="1"/>
                  <w:vertAlign w:val="superscript"/>
                  <w:lang w:val="uk-UA"/>
                </w:rPr>
                <w:t>27</w:t>
              </w:r>
              <w:r w:rsidR="005613AB" w:rsidRPr="00BE1959">
                <w:rPr>
                  <w:rFonts w:ascii="Times New Roman" w:eastAsia="Times New Roman" w:hAnsi="Times New Roman" w:cs="Times New Roman"/>
                  <w:sz w:val="24"/>
                  <w:szCs w:val="24"/>
                  <w:bdr w:val="none" w:sz="0" w:space="0" w:color="auto" w:frame="1"/>
                  <w:lang w:val="uk-UA"/>
                </w:rPr>
                <w:t>)</w:t>
              </w:r>
            </w:hyperlink>
            <w:r w:rsidR="005613AB" w:rsidRPr="00BE1959">
              <w:rPr>
                <w:rFonts w:ascii="Times New Roman" w:eastAsia="Times New Roman" w:hAnsi="Times New Roman" w:cs="Times New Roman"/>
                <w:sz w:val="24"/>
                <w:szCs w:val="24"/>
                <w:lang w:val="uk-UA"/>
              </w:rPr>
              <w:t>.</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96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(61)</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0148A0" w:rsidP="006D13D7">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Особливою</w:t>
            </w:r>
            <w:r w:rsidR="00005FD4" w:rsidRPr="00BE1959">
              <w:rPr>
                <w:rFonts w:ascii="Times New Roman" w:eastAsia="Times New Roman" w:hAnsi="Times New Roman" w:cs="Times New Roman"/>
                <w:sz w:val="24"/>
                <w:szCs w:val="24"/>
                <w:lang w:val="uk-UA"/>
              </w:rPr>
              <w:t xml:space="preserve"> підмножиною алгоритмі</w:t>
            </w:r>
            <w:r w:rsidRPr="00BE1959">
              <w:rPr>
                <w:rFonts w:ascii="Times New Roman" w:eastAsia="Times New Roman" w:hAnsi="Times New Roman" w:cs="Times New Roman"/>
                <w:sz w:val="24"/>
                <w:szCs w:val="24"/>
                <w:lang w:val="uk-UA"/>
              </w:rPr>
              <w:t>чної торгівлі є високочастотна алгоритмічна торгівля, де торговельна система з високою швидкістю аналізує дані або сигнали з ринку</w:t>
            </w:r>
            <w:r w:rsidR="004F35B6" w:rsidRPr="00BE1959">
              <w:rPr>
                <w:rFonts w:ascii="Times New Roman" w:eastAsia="Times New Roman" w:hAnsi="Times New Roman" w:cs="Times New Roman"/>
                <w:sz w:val="24"/>
                <w:szCs w:val="24"/>
                <w:lang w:val="uk-UA"/>
              </w:rPr>
              <w:t>, а потім за результатами цього аналізу надсилає або коригує великі кількості замовлень у дуже короткий період часу. Зокрема, високочастотна алгоритмічна торгівля може включати такі елементи, як ініцію</w:t>
            </w:r>
            <w:r w:rsidR="004721F6" w:rsidRPr="00BE1959">
              <w:rPr>
                <w:rFonts w:ascii="Times New Roman" w:eastAsia="Times New Roman" w:hAnsi="Times New Roman" w:cs="Times New Roman"/>
                <w:sz w:val="24"/>
                <w:szCs w:val="24"/>
                <w:lang w:val="uk-UA"/>
              </w:rPr>
              <w:t xml:space="preserve">вання, генерація, маршрутизація та виконання замовлень, які визначаються системою без втручання людини для кожної окремої угоди чи замовлення; короткий строк створення і ліквідації позицій; </w:t>
            </w:r>
            <w:r w:rsidR="00704ACB" w:rsidRPr="00BE1959">
              <w:rPr>
                <w:rFonts w:ascii="Times New Roman" w:eastAsia="Times New Roman" w:hAnsi="Times New Roman" w:cs="Times New Roman"/>
                <w:sz w:val="24"/>
                <w:szCs w:val="24"/>
                <w:lang w:val="uk-UA"/>
              </w:rPr>
              <w:t xml:space="preserve">високий денний обіг портфелю; високе співвідношення </w:t>
            </w:r>
            <w:r w:rsidR="00781523" w:rsidRPr="00BE1959">
              <w:rPr>
                <w:rFonts w:ascii="Times New Roman" w:eastAsia="Times New Roman" w:hAnsi="Times New Roman" w:cs="Times New Roman"/>
                <w:sz w:val="24"/>
                <w:szCs w:val="24"/>
                <w:lang w:val="uk-UA"/>
              </w:rPr>
              <w:t xml:space="preserve">кількості замовлень і виконаних операцій у межах дня; завершення операційного дня </w:t>
            </w:r>
            <w:r w:rsidR="00902899" w:rsidRPr="00BE1959">
              <w:rPr>
                <w:rFonts w:ascii="Times New Roman" w:eastAsia="Times New Roman" w:hAnsi="Times New Roman" w:cs="Times New Roman"/>
                <w:sz w:val="24"/>
                <w:szCs w:val="24"/>
                <w:lang w:val="uk-UA"/>
              </w:rPr>
              <w:t>зі зваженою або майже зваженою позицією. Високочастотна алгоритмічна торгівля характеризується, серед іншого, великими внутрішньоденними обсягами повідомлень, що становлять замовлення, котирування або відмови.</w:t>
            </w:r>
            <w:r w:rsidR="00D23360" w:rsidRPr="00BE1959">
              <w:rPr>
                <w:rFonts w:ascii="Times New Roman" w:eastAsia="Times New Roman" w:hAnsi="Times New Roman" w:cs="Times New Roman"/>
                <w:sz w:val="24"/>
                <w:szCs w:val="24"/>
                <w:lang w:val="uk-UA"/>
              </w:rPr>
              <w:t xml:space="preserve"> При визначенні того, що саме є великими внутрішньоденними обсягами повідомлень, слід ураховувати особу клієнта, який </w:t>
            </w:r>
            <w:r w:rsidR="00E16C8A" w:rsidRPr="00BE1959">
              <w:rPr>
                <w:rFonts w:ascii="Times New Roman" w:eastAsia="Times New Roman" w:hAnsi="Times New Roman" w:cs="Times New Roman"/>
                <w:sz w:val="24"/>
                <w:szCs w:val="24"/>
                <w:lang w:val="uk-UA"/>
              </w:rPr>
              <w:t>стоїть за цією діяльністю, тривалість періоду спостереження, порівняння з загальною ринковою активністю за цей період і відносну концентрацію або фрагментацію діяльності. Високочастотна алгоритмічна торгівля зазвичай ведеться трейдерами з використанням ними власного капіталу</w:t>
            </w:r>
            <w:r w:rsidR="006D13D7" w:rsidRPr="00BE1959">
              <w:rPr>
                <w:rFonts w:ascii="Times New Roman" w:eastAsia="Times New Roman" w:hAnsi="Times New Roman" w:cs="Times New Roman"/>
                <w:sz w:val="24"/>
                <w:szCs w:val="24"/>
                <w:lang w:val="uk-UA"/>
              </w:rPr>
              <w:t xml:space="preserve"> і є не стратегію як самоціллю, а зазвичай використанням складної технології для впровадженням більш традиційних стратегій торгівлі, як-от формування ринку чи арбітраж.</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96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(62)</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453FFE" w:rsidP="005768C9">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Технічні досягнення дозволили запровадити високочастотну торгівлю та сприяли еволюції моделей ведення бізнесу. Високочастотну торгівлю полегшує </w:t>
            </w:r>
            <w:r w:rsidR="00E16E88" w:rsidRPr="00BE1959">
              <w:rPr>
                <w:rFonts w:ascii="Times New Roman" w:eastAsia="Times New Roman" w:hAnsi="Times New Roman" w:cs="Times New Roman"/>
                <w:sz w:val="24"/>
                <w:szCs w:val="24"/>
                <w:lang w:val="uk-UA"/>
              </w:rPr>
              <w:t xml:space="preserve">спільне розміщення об’єктів учасників ринку </w:t>
            </w:r>
            <w:r w:rsidR="00FA6D93" w:rsidRPr="00BE1959">
              <w:rPr>
                <w:rFonts w:ascii="Times New Roman" w:eastAsia="Times New Roman" w:hAnsi="Times New Roman" w:cs="Times New Roman"/>
                <w:sz w:val="24"/>
                <w:szCs w:val="24"/>
                <w:lang w:val="uk-UA"/>
              </w:rPr>
              <w:t xml:space="preserve">у безпосередній близькості від механізму співставлення торговельного майданчика. </w:t>
            </w:r>
            <w:r w:rsidR="00172D8B" w:rsidRPr="00BE1959">
              <w:rPr>
                <w:rFonts w:ascii="Times New Roman" w:eastAsia="Times New Roman" w:hAnsi="Times New Roman" w:cs="Times New Roman"/>
                <w:sz w:val="24"/>
                <w:szCs w:val="24"/>
                <w:lang w:val="uk-UA"/>
              </w:rPr>
              <w:t>Для того, щоб забезпечити впорядковані та справедливі умови торгівлі, необхідно поставити вимогу про те, щоб торговельні майданчики надавали такі послуги зі спільного розміщення без будь-якої дискримінації, на справедливих і прозорих засадах. Застосування технології торгівлі</w:t>
            </w:r>
            <w:r w:rsidR="00DB2154" w:rsidRPr="00BE1959">
              <w:rPr>
                <w:rFonts w:ascii="Times New Roman" w:eastAsia="Times New Roman" w:hAnsi="Times New Roman" w:cs="Times New Roman"/>
                <w:sz w:val="24"/>
                <w:szCs w:val="24"/>
                <w:lang w:val="uk-UA"/>
              </w:rPr>
              <w:t xml:space="preserve">  збільшило швидкість, потужність і складність способів ведення торгівлі інвесторами. Воно також дозволило учасникам ринку сприяти прямому електронному доступові </w:t>
            </w:r>
            <w:r w:rsidR="00DB2154" w:rsidRPr="00BE1959">
              <w:rPr>
                <w:rFonts w:ascii="Times New Roman" w:eastAsia="Times New Roman" w:hAnsi="Times New Roman" w:cs="Times New Roman"/>
                <w:sz w:val="24"/>
                <w:szCs w:val="24"/>
                <w:lang w:val="uk-UA"/>
              </w:rPr>
              <w:lastRenderedPageBreak/>
              <w:t xml:space="preserve">їхніх клієнтів до ринків за допомогою використання їхніх </w:t>
            </w:r>
            <w:r w:rsidR="00251876" w:rsidRPr="00BE1959">
              <w:rPr>
                <w:rFonts w:ascii="Times New Roman" w:eastAsia="Times New Roman" w:hAnsi="Times New Roman" w:cs="Times New Roman"/>
                <w:sz w:val="24"/>
                <w:szCs w:val="24"/>
                <w:lang w:val="uk-UA"/>
              </w:rPr>
              <w:t>торговельних засобів</w:t>
            </w:r>
            <w:r w:rsidR="00842131" w:rsidRPr="00BE1959">
              <w:rPr>
                <w:rFonts w:ascii="Times New Roman" w:eastAsia="Times New Roman" w:hAnsi="Times New Roman" w:cs="Times New Roman"/>
                <w:sz w:val="24"/>
                <w:szCs w:val="24"/>
                <w:lang w:val="uk-UA"/>
              </w:rPr>
              <w:t xml:space="preserve"> шляхом прямого доступу до ринку або спонсорованого доступу. </w:t>
            </w:r>
            <w:r w:rsidR="00251876" w:rsidRPr="00BE1959">
              <w:rPr>
                <w:rFonts w:ascii="Times New Roman" w:eastAsia="Times New Roman" w:hAnsi="Times New Roman" w:cs="Times New Roman"/>
                <w:sz w:val="24"/>
                <w:szCs w:val="24"/>
                <w:lang w:val="uk-UA"/>
              </w:rPr>
              <w:t>Технологія торгівлі принесла переваги ринку та учасникам ринку в цілому, як-от ширша участь у ринках, збільшена ліквідність, вужчі спреди, знижен</w:t>
            </w:r>
            <w:r w:rsidR="004A1BAE" w:rsidRPr="00BE1959">
              <w:rPr>
                <w:rFonts w:ascii="Times New Roman" w:eastAsia="Times New Roman" w:hAnsi="Times New Roman" w:cs="Times New Roman"/>
                <w:sz w:val="24"/>
                <w:szCs w:val="24"/>
                <w:lang w:val="uk-UA"/>
              </w:rPr>
              <w:t xml:space="preserve">а короткострокова волатильність, засоби забезпечення кращого виконання замовлень для клієнтів. Разом з тим, ця технологія торгівлі також спричиняє ряд потенційних ризиків, наприклад, підвищений ризик перевантаження систем торговельних майданчиків через великі обсяги замовлень, ризики генерації в ході алгоритмічної торгівлі повторних або помилкових замовлень </w:t>
            </w:r>
            <w:r w:rsidR="005768C9" w:rsidRPr="00BE1959">
              <w:rPr>
                <w:rFonts w:ascii="Times New Roman" w:eastAsia="Times New Roman" w:hAnsi="Times New Roman" w:cs="Times New Roman"/>
                <w:sz w:val="24"/>
                <w:szCs w:val="24"/>
                <w:lang w:val="uk-UA"/>
              </w:rPr>
              <w:t>або інше неналежне функціонування у спосіб, що може призвести до безладу на ринку.</w:t>
            </w:r>
          </w:p>
          <w:p w:rsidR="005613AB" w:rsidRPr="00BE1959" w:rsidRDefault="00CF0585" w:rsidP="00C65950">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Крі</w:t>
            </w:r>
            <w:r w:rsidR="00263C92" w:rsidRPr="00BE1959">
              <w:rPr>
                <w:rFonts w:ascii="Times New Roman" w:eastAsia="Times New Roman" w:hAnsi="Times New Roman" w:cs="Times New Roman"/>
                <w:sz w:val="24"/>
                <w:szCs w:val="24"/>
                <w:lang w:val="uk-UA"/>
              </w:rPr>
              <w:t xml:space="preserve">м того, є ризик надмірного реагування систем алгоритмічної торгівлі на інші події на ринку, що може посилити волатильність, якщо на ринку вже існує проблема. Нарешті, методи алгоритмічної або високочастотної алгоритмічної торгівлі можуть, як і будь-яка інша форма торгівлі, </w:t>
            </w:r>
            <w:r w:rsidR="00F9197E" w:rsidRPr="00BE1959">
              <w:rPr>
                <w:rFonts w:ascii="Times New Roman" w:eastAsia="Times New Roman" w:hAnsi="Times New Roman" w:cs="Times New Roman"/>
                <w:sz w:val="24"/>
                <w:szCs w:val="24"/>
                <w:lang w:val="uk-UA"/>
              </w:rPr>
              <w:t>припускати певні форми дій, що заборонені Регламентом</w:t>
            </w:r>
            <w:r w:rsidR="005613AB" w:rsidRPr="00BE1959">
              <w:rPr>
                <w:rFonts w:ascii="Times New Roman" w:eastAsia="Times New Roman" w:hAnsi="Times New Roman" w:cs="Times New Roman"/>
                <w:sz w:val="24"/>
                <w:szCs w:val="24"/>
                <w:lang w:val="uk-UA"/>
              </w:rPr>
              <w:t xml:space="preserve"> </w:t>
            </w:r>
            <w:r w:rsidR="00DB4825" w:rsidRPr="00BE1959">
              <w:rPr>
                <w:rFonts w:ascii="Times New Roman" w:eastAsia="Times New Roman" w:hAnsi="Times New Roman" w:cs="Times New Roman"/>
                <w:sz w:val="24"/>
                <w:szCs w:val="24"/>
                <w:lang w:val="uk-UA"/>
              </w:rPr>
              <w:t>(EU) №</w:t>
            </w:r>
            <w:r w:rsidR="005613AB" w:rsidRPr="00BE1959">
              <w:rPr>
                <w:rFonts w:ascii="Times New Roman" w:eastAsia="Times New Roman" w:hAnsi="Times New Roman" w:cs="Times New Roman"/>
                <w:sz w:val="24"/>
                <w:szCs w:val="24"/>
                <w:lang w:val="uk-UA"/>
              </w:rPr>
              <w:t xml:space="preserve"> 596/2014. </w:t>
            </w:r>
            <w:r w:rsidR="00F9197E" w:rsidRPr="00BE1959">
              <w:rPr>
                <w:rFonts w:ascii="Times New Roman" w:eastAsia="Times New Roman" w:hAnsi="Times New Roman" w:cs="Times New Roman"/>
                <w:sz w:val="24"/>
                <w:szCs w:val="24"/>
                <w:lang w:val="uk-UA"/>
              </w:rPr>
              <w:t xml:space="preserve">Високочастотна торгівля також може, через інформаційну перевагу надану високочастотним трейдерам, спонукати інвесторів до рішення про проведення операцій на майданчиках, де вони можуть уникнути взаємодії з високочастотним трейдерами. </w:t>
            </w:r>
            <w:r w:rsidR="00E302CD" w:rsidRPr="00BE1959">
              <w:rPr>
                <w:rFonts w:ascii="Times New Roman" w:eastAsia="Times New Roman" w:hAnsi="Times New Roman" w:cs="Times New Roman"/>
                <w:sz w:val="24"/>
                <w:szCs w:val="24"/>
                <w:lang w:val="uk-UA"/>
              </w:rPr>
              <w:t>Доцільно піддати методи високочастотної алгоритмічної торгівлі, які основані на певних зазначених характеристиках, особлив</w:t>
            </w:r>
            <w:r w:rsidR="00C65950" w:rsidRPr="00BE1959">
              <w:rPr>
                <w:rFonts w:ascii="Times New Roman" w:eastAsia="Times New Roman" w:hAnsi="Times New Roman" w:cs="Times New Roman"/>
                <w:sz w:val="24"/>
                <w:szCs w:val="24"/>
                <w:lang w:val="uk-UA"/>
              </w:rPr>
              <w:t>ій</w:t>
            </w:r>
            <w:r w:rsidR="00E302CD" w:rsidRPr="00BE1959">
              <w:rPr>
                <w:rFonts w:ascii="Times New Roman" w:eastAsia="Times New Roman" w:hAnsi="Times New Roman" w:cs="Times New Roman"/>
                <w:sz w:val="24"/>
                <w:szCs w:val="24"/>
                <w:lang w:val="uk-UA"/>
              </w:rPr>
              <w:t xml:space="preserve"> регуляторн</w:t>
            </w:r>
            <w:r w:rsidR="00C65950" w:rsidRPr="00BE1959">
              <w:rPr>
                <w:rFonts w:ascii="Times New Roman" w:eastAsia="Times New Roman" w:hAnsi="Times New Roman" w:cs="Times New Roman"/>
                <w:sz w:val="24"/>
                <w:szCs w:val="24"/>
                <w:lang w:val="uk-UA"/>
              </w:rPr>
              <w:t>ій перевірці</w:t>
            </w:r>
            <w:r w:rsidR="00E302CD" w:rsidRPr="00BE1959">
              <w:rPr>
                <w:rFonts w:ascii="Times New Roman" w:eastAsia="Times New Roman" w:hAnsi="Times New Roman" w:cs="Times New Roman"/>
                <w:sz w:val="24"/>
                <w:szCs w:val="24"/>
                <w:lang w:val="uk-UA"/>
              </w:rPr>
              <w:t>.</w:t>
            </w:r>
            <w:r w:rsidR="00C65950" w:rsidRPr="00BE1959">
              <w:rPr>
                <w:rFonts w:ascii="Times New Roman" w:eastAsia="Times New Roman" w:hAnsi="Times New Roman" w:cs="Times New Roman"/>
                <w:sz w:val="24"/>
                <w:szCs w:val="24"/>
                <w:lang w:val="uk-UA"/>
              </w:rPr>
              <w:t xml:space="preserve"> Хоча це – переважно методи, які основані на торгівлі за власний рахунок, така перевірка повинна також здійснюватися у випадках, де застосування методу побудовано так, щоб уникнути виконання операцій за власний рахунок.</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96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(63)</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33511C" w:rsidP="00786188">
            <w:pPr>
              <w:spacing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Ці потенційні ризики від розширення використання технології</w:t>
            </w:r>
            <w:r w:rsidR="00401B3E" w:rsidRPr="00BE1959">
              <w:rPr>
                <w:rFonts w:ascii="Times New Roman" w:eastAsia="Times New Roman" w:hAnsi="Times New Roman" w:cs="Times New Roman"/>
                <w:sz w:val="24"/>
                <w:szCs w:val="24"/>
                <w:lang w:val="uk-UA"/>
              </w:rPr>
              <w:t xml:space="preserve"> краще за все зменшуються за допомогою комбінації заходів і конкретних засобів контролю ризиків</w:t>
            </w:r>
            <w:r w:rsidR="002F0727" w:rsidRPr="00BE1959">
              <w:rPr>
                <w:rFonts w:ascii="Times New Roman" w:eastAsia="Times New Roman" w:hAnsi="Times New Roman" w:cs="Times New Roman"/>
                <w:sz w:val="24"/>
                <w:szCs w:val="24"/>
                <w:lang w:val="uk-UA"/>
              </w:rPr>
              <w:t>, спрямованих на фірми, які займаються алгоритмічною торгівлею або застосовують високочастотні методи алгоритмічної торгівлі, ті, що надають прямий електронний доступ, а також інших заходів, спрямованих на операторів торговельних майданчиків, до яких мають доступ такі фірми. Для того, щоб посилити стійкість ринків у світлі розвитку технологій, ці заходи по</w:t>
            </w:r>
            <w:r w:rsidR="00700822" w:rsidRPr="00BE1959">
              <w:rPr>
                <w:rFonts w:ascii="Times New Roman" w:eastAsia="Times New Roman" w:hAnsi="Times New Roman" w:cs="Times New Roman"/>
                <w:sz w:val="24"/>
                <w:szCs w:val="24"/>
                <w:lang w:val="uk-UA"/>
              </w:rPr>
              <w:t xml:space="preserve">винні відображати технічні настанови, випущені </w:t>
            </w:r>
            <w:r w:rsidR="008A6432" w:rsidRPr="00BE1959">
              <w:rPr>
                <w:rFonts w:ascii="Times New Roman" w:eastAsia="Times New Roman" w:hAnsi="Times New Roman" w:cs="Times New Roman"/>
                <w:sz w:val="24"/>
                <w:szCs w:val="24"/>
                <w:lang w:val="uk-UA"/>
              </w:rPr>
              <w:t>у л</w:t>
            </w:r>
            <w:r w:rsidR="005E1FFE" w:rsidRPr="00BE1959">
              <w:rPr>
                <w:rFonts w:ascii="Times New Roman" w:eastAsia="Times New Roman" w:hAnsi="Times New Roman" w:cs="Times New Roman"/>
                <w:sz w:val="24"/>
                <w:szCs w:val="24"/>
                <w:lang w:val="uk-UA"/>
              </w:rPr>
              <w:t xml:space="preserve">тому 2012 року </w:t>
            </w:r>
            <w:r w:rsidR="00700822" w:rsidRPr="00BE1959">
              <w:rPr>
                <w:rFonts w:ascii="Times New Roman" w:eastAsia="Times New Roman" w:hAnsi="Times New Roman" w:cs="Times New Roman"/>
                <w:sz w:val="24"/>
                <w:szCs w:val="24"/>
                <w:lang w:val="uk-UA"/>
              </w:rPr>
              <w:t>європейським наглядовим органом (Європейською службою нагляду за ринком цінних паперів (ESMA)</w:t>
            </w:r>
            <w:r w:rsidR="005E1FFE" w:rsidRPr="00BE1959">
              <w:rPr>
                <w:rFonts w:ascii="Times New Roman" w:eastAsia="Times New Roman" w:hAnsi="Times New Roman" w:cs="Times New Roman"/>
                <w:sz w:val="24"/>
                <w:szCs w:val="24"/>
                <w:lang w:val="uk-UA"/>
              </w:rPr>
              <w:t>), створеним Регламентом</w:t>
            </w:r>
            <w:r w:rsidR="005613AB" w:rsidRPr="00BE1959">
              <w:rPr>
                <w:rFonts w:ascii="Times New Roman" w:eastAsia="Times New Roman" w:hAnsi="Times New Roman" w:cs="Times New Roman"/>
                <w:sz w:val="24"/>
                <w:szCs w:val="24"/>
                <w:lang w:val="uk-UA"/>
              </w:rPr>
              <w:t xml:space="preserve"> </w:t>
            </w:r>
            <w:r w:rsidR="00DB4825" w:rsidRPr="00BE1959">
              <w:rPr>
                <w:rFonts w:ascii="Times New Roman" w:eastAsia="Times New Roman" w:hAnsi="Times New Roman" w:cs="Times New Roman"/>
                <w:sz w:val="24"/>
                <w:szCs w:val="24"/>
                <w:lang w:val="uk-UA"/>
              </w:rPr>
              <w:t>(EU) №</w:t>
            </w:r>
            <w:r w:rsidR="005613AB" w:rsidRPr="00BE1959">
              <w:rPr>
                <w:rFonts w:ascii="Times New Roman" w:eastAsia="Times New Roman" w:hAnsi="Times New Roman" w:cs="Times New Roman"/>
                <w:sz w:val="24"/>
                <w:szCs w:val="24"/>
                <w:lang w:val="uk-UA"/>
              </w:rPr>
              <w:t xml:space="preserve"> 1095/2010 </w:t>
            </w:r>
            <w:r w:rsidR="00423154" w:rsidRPr="00BE1959">
              <w:rPr>
                <w:rFonts w:ascii="Times New Roman" w:eastAsia="Times New Roman" w:hAnsi="Times New Roman" w:cs="Times New Roman"/>
                <w:sz w:val="24"/>
                <w:szCs w:val="24"/>
                <w:lang w:val="uk-UA"/>
              </w:rPr>
              <w:t>Європейського Парламенту та Ради</w:t>
            </w:r>
            <w:hyperlink r:id="rId33" w:anchor="ntr28-L_2014173EN.01034901-E0028" w:history="1">
              <w:r w:rsidR="005613AB" w:rsidRPr="00BE1959">
                <w:rPr>
                  <w:rFonts w:ascii="Times New Roman" w:eastAsia="Times New Roman" w:hAnsi="Times New Roman" w:cs="Times New Roman"/>
                  <w:sz w:val="24"/>
                  <w:szCs w:val="24"/>
                  <w:bdr w:val="none" w:sz="0" w:space="0" w:color="auto" w:frame="1"/>
                  <w:lang w:val="uk-UA"/>
                </w:rPr>
                <w:t> (</w:t>
              </w:r>
              <w:r w:rsidR="005613AB" w:rsidRPr="00BE1959">
                <w:rPr>
                  <w:rFonts w:ascii="Times New Roman" w:eastAsia="Times New Roman" w:hAnsi="Times New Roman" w:cs="Times New Roman"/>
                  <w:sz w:val="24"/>
                  <w:szCs w:val="24"/>
                  <w:bdr w:val="none" w:sz="0" w:space="0" w:color="auto" w:frame="1"/>
                  <w:vertAlign w:val="superscript"/>
                  <w:lang w:val="uk-UA"/>
                </w:rPr>
                <w:t>28</w:t>
              </w:r>
              <w:r w:rsidR="005613AB" w:rsidRPr="00BE1959">
                <w:rPr>
                  <w:rFonts w:ascii="Times New Roman" w:eastAsia="Times New Roman" w:hAnsi="Times New Roman" w:cs="Times New Roman"/>
                  <w:sz w:val="24"/>
                  <w:szCs w:val="24"/>
                  <w:bdr w:val="none" w:sz="0" w:space="0" w:color="auto" w:frame="1"/>
                  <w:lang w:val="uk-UA"/>
                </w:rPr>
                <w:t>)</w:t>
              </w:r>
            </w:hyperlink>
            <w:r w:rsidR="005E1FFE" w:rsidRPr="00BE1959">
              <w:rPr>
                <w:rFonts w:ascii="Times New Roman" w:eastAsia="Times New Roman" w:hAnsi="Times New Roman" w:cs="Times New Roman"/>
                <w:sz w:val="24"/>
                <w:szCs w:val="24"/>
                <w:bdr w:val="none" w:sz="0" w:space="0" w:color="auto" w:frame="1"/>
                <w:lang w:val="uk-UA"/>
              </w:rPr>
              <w:t>, стосовно систем і засобів контролю в автоматизованому торговельному середовищі для торговельних платформ, інвестиційних фірм і компетентних органів</w:t>
            </w:r>
            <w:r w:rsidR="005613AB" w:rsidRPr="00BE1959">
              <w:rPr>
                <w:rFonts w:ascii="Times New Roman" w:eastAsia="Times New Roman" w:hAnsi="Times New Roman" w:cs="Times New Roman"/>
                <w:sz w:val="24"/>
                <w:szCs w:val="24"/>
                <w:lang w:val="uk-UA"/>
              </w:rPr>
              <w:t xml:space="preserve"> (ESMA/2012/122)</w:t>
            </w:r>
            <w:r w:rsidR="00173D30" w:rsidRPr="00BE1959">
              <w:rPr>
                <w:rFonts w:ascii="Times New Roman" w:eastAsia="Times New Roman" w:hAnsi="Times New Roman" w:cs="Times New Roman"/>
                <w:sz w:val="24"/>
                <w:szCs w:val="24"/>
                <w:lang w:val="uk-UA"/>
              </w:rPr>
              <w:t>, і основуватися на цих настановах</w:t>
            </w:r>
            <w:r w:rsidR="005613AB" w:rsidRPr="00BE1959">
              <w:rPr>
                <w:rFonts w:ascii="Times New Roman" w:eastAsia="Times New Roman" w:hAnsi="Times New Roman" w:cs="Times New Roman"/>
                <w:sz w:val="24"/>
                <w:szCs w:val="24"/>
                <w:lang w:val="uk-UA"/>
              </w:rPr>
              <w:t xml:space="preserve">. </w:t>
            </w:r>
            <w:r w:rsidR="005E1FFE" w:rsidRPr="00BE1959">
              <w:rPr>
                <w:rFonts w:ascii="Times New Roman" w:eastAsia="Times New Roman" w:hAnsi="Times New Roman" w:cs="Times New Roman"/>
                <w:sz w:val="24"/>
                <w:szCs w:val="24"/>
                <w:lang w:val="uk-UA"/>
              </w:rPr>
              <w:t>Бажано забезпечити, щоб усі фірми, які ведуть високочастотну</w:t>
            </w:r>
            <w:r w:rsidR="00173D30" w:rsidRPr="00BE1959">
              <w:rPr>
                <w:rFonts w:ascii="Times New Roman" w:eastAsia="Times New Roman" w:hAnsi="Times New Roman" w:cs="Times New Roman"/>
                <w:sz w:val="24"/>
                <w:szCs w:val="24"/>
                <w:lang w:val="uk-UA"/>
              </w:rPr>
              <w:t xml:space="preserve"> алгоритмічну торгівлю, мали дозволи. Такі дозволи повинні забезпечити пошире</w:t>
            </w:r>
            <w:r w:rsidR="00D67068" w:rsidRPr="00BE1959">
              <w:rPr>
                <w:rFonts w:ascii="Times New Roman" w:eastAsia="Times New Roman" w:hAnsi="Times New Roman" w:cs="Times New Roman"/>
                <w:sz w:val="24"/>
                <w:szCs w:val="24"/>
                <w:lang w:val="uk-UA"/>
              </w:rPr>
              <w:t xml:space="preserve">ння на такі фірми організаційних вимог, передбачених цією директивою, та здійснення належного нагляду за їхньою діяльністю. Проте, від суб’єктів, які уповноважені та піддаються нагляду згідно з законодавством Союзу, </w:t>
            </w:r>
            <w:r w:rsidR="00D67068" w:rsidRPr="00BE1959">
              <w:rPr>
                <w:rFonts w:ascii="Times New Roman" w:eastAsia="Times New Roman" w:hAnsi="Times New Roman" w:cs="Times New Roman"/>
                <w:sz w:val="24"/>
                <w:szCs w:val="24"/>
                <w:lang w:val="uk-UA"/>
              </w:rPr>
              <w:lastRenderedPageBreak/>
              <w:t xml:space="preserve">що регулює діяльність фінансового сектору, та звільнені від виконання цієї директиви, але займаються алгоритмічною торгівлею або застосовують високочастотні методи алгоритмічної торгівлі,  не слід вимагати отримання дозволу за цією директивою. Вони повинні підпадати під дію тільки тих заходів і засобів контролю, які призначені для усунення конкретного ризику, що випливає з ведення таких видів торгівлі. У цьому відношенні ESMA повинна відігравати важливу координуючу роль, визначаючи належні </w:t>
            </w:r>
            <w:r w:rsidR="00786188" w:rsidRPr="00BE1959">
              <w:rPr>
                <w:rFonts w:ascii="Times New Roman" w:eastAsia="Times New Roman" w:hAnsi="Times New Roman" w:cs="Times New Roman"/>
                <w:sz w:val="24"/>
                <w:szCs w:val="24"/>
                <w:lang w:val="uk-UA"/>
              </w:rPr>
              <w:t>величини тіків задля забезпечення впорядкованої діяльності ринків на рівні Союзу.</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96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(64)</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946AC" w:rsidP="003870E7">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Як</w:t>
            </w:r>
            <w:r w:rsidR="002A1355" w:rsidRPr="00BE1959">
              <w:rPr>
                <w:rFonts w:ascii="Times New Roman" w:eastAsia="Times New Roman" w:hAnsi="Times New Roman" w:cs="Times New Roman"/>
                <w:sz w:val="24"/>
                <w:szCs w:val="24"/>
                <w:lang w:val="uk-UA"/>
              </w:rPr>
              <w:t xml:space="preserve"> інвестиційні фірми</w:t>
            </w:r>
            <w:r w:rsidRPr="00BE1959">
              <w:rPr>
                <w:rFonts w:ascii="Times New Roman" w:eastAsia="Times New Roman" w:hAnsi="Times New Roman" w:cs="Times New Roman"/>
                <w:sz w:val="24"/>
                <w:szCs w:val="24"/>
                <w:lang w:val="uk-UA"/>
              </w:rPr>
              <w:t>, так і торговельні майданчики</w:t>
            </w:r>
            <w:r w:rsidR="00557EEB" w:rsidRPr="00BE1959">
              <w:rPr>
                <w:rFonts w:ascii="Times New Roman" w:eastAsia="Times New Roman" w:hAnsi="Times New Roman" w:cs="Times New Roman"/>
                <w:sz w:val="24"/>
                <w:szCs w:val="24"/>
                <w:lang w:val="uk-UA"/>
              </w:rPr>
              <w:t xml:space="preserve"> повинні запровадити надійні заходи для забезпечення того, щоб алгоритмічна торгівля або високочастотні методи алгоритмічної торгівлі не призводили до безладу на ринку й не могли використ</w:t>
            </w:r>
            <w:r w:rsidR="00C07DB7" w:rsidRPr="00BE1959">
              <w:rPr>
                <w:rFonts w:ascii="Times New Roman" w:eastAsia="Times New Roman" w:hAnsi="Times New Roman" w:cs="Times New Roman"/>
                <w:sz w:val="24"/>
                <w:szCs w:val="24"/>
                <w:lang w:val="uk-UA"/>
              </w:rPr>
              <w:t xml:space="preserve">овуватися в </w:t>
            </w:r>
            <w:r w:rsidR="00B464CD" w:rsidRPr="00BE1959">
              <w:rPr>
                <w:rFonts w:ascii="Times New Roman" w:eastAsia="Times New Roman" w:hAnsi="Times New Roman" w:cs="Times New Roman"/>
                <w:sz w:val="24"/>
                <w:szCs w:val="24"/>
                <w:lang w:val="uk-UA"/>
              </w:rPr>
              <w:t xml:space="preserve">цілях зловживань. Торговельні майданчики також повинні забезпечити, щоб їхні системи торгівлі були стійкими й належним чином випробуваними </w:t>
            </w:r>
            <w:r w:rsidR="008B080C" w:rsidRPr="00BE1959">
              <w:rPr>
                <w:rFonts w:ascii="Times New Roman" w:eastAsia="Times New Roman" w:hAnsi="Times New Roman" w:cs="Times New Roman"/>
                <w:sz w:val="24"/>
                <w:szCs w:val="24"/>
                <w:lang w:val="uk-UA"/>
              </w:rPr>
              <w:t xml:space="preserve">для оброблення зростаючих потоків замовлень і протидії порушенням на ринку, і, крім того, </w:t>
            </w:r>
            <w:r w:rsidR="003870E7" w:rsidRPr="00BE1959">
              <w:rPr>
                <w:rFonts w:ascii="Times New Roman" w:eastAsia="Times New Roman" w:hAnsi="Times New Roman" w:cs="Times New Roman"/>
                <w:sz w:val="24"/>
                <w:szCs w:val="24"/>
                <w:lang w:val="uk-UA"/>
              </w:rPr>
              <w:t>запровадити на торговельних майданчиках «вимикачі» для тимчасового припинення торгівлі або її обмеження у випадку раптових неочікуваних коливань цін.</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96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(65)</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C9303D" w:rsidP="00930F3D">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Необхідно також забезпечити, щоб </w:t>
            </w:r>
            <w:r w:rsidR="00524EE4" w:rsidRPr="00BE1959">
              <w:rPr>
                <w:rFonts w:ascii="Times New Roman" w:eastAsia="Times New Roman" w:hAnsi="Times New Roman" w:cs="Times New Roman"/>
                <w:sz w:val="24"/>
                <w:szCs w:val="24"/>
                <w:lang w:val="uk-UA"/>
              </w:rPr>
              <w:t>структура комісійних у торговельних майданчиків була прозорою, недискримінаційною та справедливою й не була побудована так, щоб сприяти виникненню безладних умов на ринку. Отже, доцільно дозволити торговельним майданчикам коригувати свої комісійні за скасовані замовлення залежно від тривалості періоду часу, протягом я</w:t>
            </w:r>
            <w:r w:rsidR="00A77412" w:rsidRPr="00BE1959">
              <w:rPr>
                <w:rFonts w:ascii="Times New Roman" w:eastAsia="Times New Roman" w:hAnsi="Times New Roman" w:cs="Times New Roman"/>
                <w:sz w:val="24"/>
                <w:szCs w:val="24"/>
                <w:lang w:val="uk-UA"/>
              </w:rPr>
              <w:t>кого зберігалося замовлення, та калібрувати комісійні під кожний конкретний фінансовий інструмент, до якого вони застосовуються. Крім того, держави-члени також повинні мати можливість дозволяти торговельним майданчикам установлювати більші комісійні за розміщення замовлень, які потім скасовуються, або для учасників</w:t>
            </w:r>
            <w:r w:rsidR="00187A2A" w:rsidRPr="00BE1959">
              <w:rPr>
                <w:rFonts w:ascii="Times New Roman" w:eastAsia="Times New Roman" w:hAnsi="Times New Roman" w:cs="Times New Roman"/>
                <w:sz w:val="24"/>
                <w:szCs w:val="24"/>
                <w:lang w:val="uk-UA"/>
              </w:rPr>
              <w:t>, у яких частка скасованих замовлень велика, та для учасників, які застосовують високочастотні методи алгоритмічної торгівлі, щоб відобразити додаткове навантаження на пот</w:t>
            </w:r>
            <w:r w:rsidR="00930F3D" w:rsidRPr="00BE1959">
              <w:rPr>
                <w:rFonts w:ascii="Times New Roman" w:eastAsia="Times New Roman" w:hAnsi="Times New Roman" w:cs="Times New Roman"/>
                <w:sz w:val="24"/>
                <w:szCs w:val="24"/>
                <w:lang w:val="uk-UA"/>
              </w:rPr>
              <w:t>ужності системи, яке не завжди призводить до вигоди для інших учасників ринку.</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96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(66)</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2A1355" w:rsidP="00CB0B09">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На додат</w:t>
            </w:r>
            <w:r w:rsidR="00A17FB7" w:rsidRPr="00BE1959">
              <w:rPr>
                <w:rFonts w:ascii="Times New Roman" w:eastAsia="Times New Roman" w:hAnsi="Times New Roman" w:cs="Times New Roman"/>
                <w:sz w:val="24"/>
                <w:szCs w:val="24"/>
                <w:lang w:val="uk-UA"/>
              </w:rPr>
              <w:t>ок до заходів, що стосуються алгоритмічних і високочастотних алгоритмічних методів торгівлі</w:t>
            </w:r>
            <w:r w:rsidR="009C10C8" w:rsidRPr="00BE1959">
              <w:rPr>
                <w:rFonts w:ascii="Times New Roman" w:eastAsia="Times New Roman" w:hAnsi="Times New Roman" w:cs="Times New Roman"/>
                <w:sz w:val="24"/>
                <w:szCs w:val="24"/>
                <w:lang w:val="uk-UA"/>
              </w:rPr>
              <w:t>, доцільно заборонити надання прямого електронного доступу інвестиційних фірм до ринків для їхніх клієнтів, якщо такий доступ не контролюється належними системами й засобами. Незалежно від форми наданого прямого електронного доступу фірми, які надають такий доступ, повинні оцінювати та переглядати відповідність клієнтів, що користуються цією послугою, і забезпеч</w:t>
            </w:r>
            <w:r w:rsidR="00247E58" w:rsidRPr="00BE1959">
              <w:rPr>
                <w:rFonts w:ascii="Times New Roman" w:eastAsia="Times New Roman" w:hAnsi="Times New Roman" w:cs="Times New Roman"/>
                <w:sz w:val="24"/>
                <w:szCs w:val="24"/>
                <w:lang w:val="uk-UA"/>
              </w:rPr>
              <w:t>и</w:t>
            </w:r>
            <w:r w:rsidR="009C10C8" w:rsidRPr="00BE1959">
              <w:rPr>
                <w:rFonts w:ascii="Times New Roman" w:eastAsia="Times New Roman" w:hAnsi="Times New Roman" w:cs="Times New Roman"/>
                <w:sz w:val="24"/>
                <w:szCs w:val="24"/>
                <w:lang w:val="uk-UA"/>
              </w:rPr>
              <w:t>ти, щоб стосовно користуван</w:t>
            </w:r>
            <w:r w:rsidR="006C4CA0" w:rsidRPr="00BE1959">
              <w:rPr>
                <w:rFonts w:ascii="Times New Roman" w:eastAsia="Times New Roman" w:hAnsi="Times New Roman" w:cs="Times New Roman"/>
                <w:sz w:val="24"/>
                <w:szCs w:val="24"/>
                <w:lang w:val="uk-UA"/>
              </w:rPr>
              <w:t xml:space="preserve">ня цієї послуги були запроваджені </w:t>
            </w:r>
            <w:r w:rsidR="00247E58" w:rsidRPr="00BE1959">
              <w:rPr>
                <w:rFonts w:ascii="Times New Roman" w:eastAsia="Times New Roman" w:hAnsi="Times New Roman" w:cs="Times New Roman"/>
                <w:sz w:val="24"/>
                <w:szCs w:val="24"/>
                <w:lang w:val="uk-UA"/>
              </w:rPr>
              <w:t xml:space="preserve">відповідні засоби контролю ризиків і ці фірми </w:t>
            </w:r>
            <w:r w:rsidR="00B922E8" w:rsidRPr="00BE1959">
              <w:rPr>
                <w:rFonts w:ascii="Times New Roman" w:eastAsia="Times New Roman" w:hAnsi="Times New Roman" w:cs="Times New Roman"/>
                <w:sz w:val="24"/>
                <w:szCs w:val="24"/>
                <w:lang w:val="uk-UA"/>
              </w:rPr>
              <w:t xml:space="preserve">зберігали відповідальність за торговельні операції, проведені їхніми клієнтами з використанням їхніх систем або з використанням їхніх торговельних кодів. Доречно у </w:t>
            </w:r>
            <w:r w:rsidR="00CB0B09" w:rsidRPr="00BE1959">
              <w:rPr>
                <w:rFonts w:ascii="Times New Roman" w:eastAsia="Times New Roman" w:hAnsi="Times New Roman" w:cs="Times New Roman"/>
                <w:sz w:val="24"/>
                <w:szCs w:val="24"/>
                <w:lang w:val="uk-UA"/>
              </w:rPr>
              <w:t xml:space="preserve">нормативно-технічних </w:t>
            </w:r>
            <w:r w:rsidR="00CB0B09" w:rsidRPr="00BE1959">
              <w:rPr>
                <w:rFonts w:ascii="Times New Roman" w:eastAsia="Times New Roman" w:hAnsi="Times New Roman" w:cs="Times New Roman"/>
                <w:sz w:val="24"/>
                <w:szCs w:val="24"/>
                <w:lang w:val="uk-UA"/>
              </w:rPr>
              <w:lastRenderedPageBreak/>
              <w:t>стандартах детальніше викласти організаційні вимоги стосовно цих нових форм торгівлі. Це має забезпечити, щоб вимоги за потреби можна було коригувати в розрахунку на подальші інновації та події у даній сфері.</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96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(67)</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AE7673" w:rsidP="00CB3753">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Для того, щоб забезпечити ефективний нагляд і дозволити компетентним органам своєчасно уживати відповідних заходів, спрямованих проти неналежних або шахрайських алгоритмічних стратегій, необхідно позначати всі замовлення, сформовані шляхом алгоритмічної торгівлі. Шляхом позначення </w:t>
            </w:r>
            <w:r w:rsidR="00740205" w:rsidRPr="00BE1959">
              <w:rPr>
                <w:rFonts w:ascii="Times New Roman" w:eastAsia="Times New Roman" w:hAnsi="Times New Roman" w:cs="Times New Roman"/>
                <w:sz w:val="24"/>
                <w:szCs w:val="24"/>
                <w:lang w:val="uk-UA"/>
              </w:rPr>
              <w:t>компетентні органи повинні мати можливість виявляти та відрізняти замовлення, що походять з різних алгоритмів, і ефективно відновлювати та оцінювати стратегії, застосовані алгоритмічним трейдерами. Це повинно зменшити ризик того, що замовлення не будуть</w:t>
            </w:r>
            <w:r w:rsidR="00CB3753" w:rsidRPr="00BE1959">
              <w:rPr>
                <w:rFonts w:ascii="Times New Roman" w:eastAsia="Times New Roman" w:hAnsi="Times New Roman" w:cs="Times New Roman"/>
                <w:sz w:val="24"/>
                <w:szCs w:val="24"/>
                <w:lang w:val="uk-UA"/>
              </w:rPr>
              <w:t xml:space="preserve"> однозначно приписані тій чи іншій алгоритмічній стратегії та тому чи іншому трейдеру. Позначення дозволяє компетентним органам реагувати в ефективний та дієвий спосіб на </w:t>
            </w:r>
            <w:r w:rsidR="008539AD" w:rsidRPr="00BE1959">
              <w:rPr>
                <w:rFonts w:ascii="Times New Roman" w:eastAsia="Times New Roman" w:hAnsi="Times New Roman" w:cs="Times New Roman"/>
                <w:sz w:val="24"/>
                <w:szCs w:val="24"/>
                <w:lang w:val="uk-UA"/>
              </w:rPr>
              <w:t xml:space="preserve">ті </w:t>
            </w:r>
            <w:r w:rsidR="00CB3753" w:rsidRPr="00BE1959">
              <w:rPr>
                <w:rFonts w:ascii="Times New Roman" w:eastAsia="Times New Roman" w:hAnsi="Times New Roman" w:cs="Times New Roman"/>
                <w:sz w:val="24"/>
                <w:szCs w:val="24"/>
                <w:lang w:val="uk-UA"/>
              </w:rPr>
              <w:t>стратегії алгоритмічної торгівлі, які працюють із зловживаннями або спричиняють ризики для впорядкованого функціонування ринку.</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96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(68)</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866AD" w:rsidP="001439EA">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Для того, щоб забезпечити збереження цілісності ринку в світлі розвитку технологій на фінансових ринках, ESMA повинна регулярно запитувати від національних експертів матеріали щодо подій у сфері технології торгівлі, зокрема високочастотної торгівлі, та нових практичних методів</w:t>
            </w:r>
            <w:r w:rsidR="001439EA" w:rsidRPr="00BE1959">
              <w:rPr>
                <w:rFonts w:ascii="Times New Roman" w:eastAsia="Times New Roman" w:hAnsi="Times New Roman" w:cs="Times New Roman"/>
                <w:sz w:val="24"/>
                <w:szCs w:val="24"/>
                <w:lang w:val="uk-UA"/>
              </w:rPr>
              <w:t>, які можуть становити зловживання на ринку, з тим, щоб визначати ефективні стратегії запобігання та усунення таких зловживань і сприяти реалізації цих стратегій.</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96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(69)</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1439EA" w:rsidP="00B56CC0">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Наразі у Союзі працює безліч торговельних майданчиків, ряд яких торгує ідентичними фінансовими інструментами. Для того, щоб запобігати потенційним ризикам для інтересів інвесторів, необхідно формалізувати й надалі координувати процеси щодо наслідків торгівлі на інших торговельн</w:t>
            </w:r>
            <w:r w:rsidR="009922D7" w:rsidRPr="00BE1959">
              <w:rPr>
                <w:rFonts w:ascii="Times New Roman" w:eastAsia="Times New Roman" w:hAnsi="Times New Roman" w:cs="Times New Roman"/>
                <w:sz w:val="24"/>
                <w:szCs w:val="24"/>
                <w:lang w:val="uk-UA"/>
              </w:rPr>
              <w:t>их майданчиках на випадок, якщо інвестиційна фірма чи оператор ринку, управляюч</w:t>
            </w:r>
            <w:r w:rsidR="00AE6855" w:rsidRPr="00BE1959">
              <w:rPr>
                <w:rFonts w:ascii="Times New Roman" w:eastAsia="Times New Roman" w:hAnsi="Times New Roman" w:cs="Times New Roman"/>
                <w:sz w:val="24"/>
                <w:szCs w:val="24"/>
                <w:lang w:val="uk-UA"/>
              </w:rPr>
              <w:t xml:space="preserve">а (управляючий) </w:t>
            </w:r>
            <w:r w:rsidR="009922D7" w:rsidRPr="00BE1959">
              <w:rPr>
                <w:rFonts w:ascii="Times New Roman" w:eastAsia="Times New Roman" w:hAnsi="Times New Roman" w:cs="Times New Roman"/>
                <w:sz w:val="24"/>
                <w:szCs w:val="24"/>
                <w:lang w:val="uk-UA"/>
              </w:rPr>
              <w:t>торговельним майданчиком, вирішить призупинити торгівлю фінансовим інструментом або взагалі вилучити його з торгівлі. В інтересах юридичної визначеності та з метою дієвого усунення конфліктів інтересів при прийнятті рішення про призупинення торгівлі фінансовими інструментами чи вилучення їх із торгівлі</w:t>
            </w:r>
            <w:r w:rsidR="00AE6855" w:rsidRPr="00BE1959">
              <w:rPr>
                <w:rFonts w:ascii="Times New Roman" w:eastAsia="Times New Roman" w:hAnsi="Times New Roman" w:cs="Times New Roman"/>
                <w:sz w:val="24"/>
                <w:szCs w:val="24"/>
                <w:lang w:val="uk-UA"/>
              </w:rPr>
              <w:t xml:space="preserve"> необхідно забезпечити, щоб, якщо інвестиційна фірма або оператор ринку, управляюча (управляючий) торговельним майданчиком припиняє торгівлю через недотримання їхніх правил, інші</w:t>
            </w:r>
            <w:r w:rsidR="000878CC" w:rsidRPr="00BE1959">
              <w:rPr>
                <w:rFonts w:ascii="Times New Roman" w:eastAsia="Times New Roman" w:hAnsi="Times New Roman" w:cs="Times New Roman"/>
                <w:sz w:val="24"/>
                <w:szCs w:val="24"/>
                <w:lang w:val="uk-UA"/>
              </w:rPr>
              <w:t xml:space="preserve"> дотримувалися цього рішення, якщо так постановили їхні компетентні органи, крім випадків, коли це продовження торгівлі можна виправдати винятковими обставинами. Крім того, необхідно формалізувати та покращити обмін інформацією та співробітництво</w:t>
            </w:r>
            <w:r w:rsidR="001135EB" w:rsidRPr="00BE1959">
              <w:rPr>
                <w:rFonts w:ascii="Times New Roman" w:eastAsia="Times New Roman" w:hAnsi="Times New Roman" w:cs="Times New Roman"/>
                <w:sz w:val="24"/>
                <w:szCs w:val="24"/>
                <w:lang w:val="uk-UA"/>
              </w:rPr>
              <w:t xml:space="preserve"> між компетентними органами стосовно призупинення торгівлі фінансовими інструментами на торговельному майданчику та вилучення їх із торгівлі. Ці </w:t>
            </w:r>
            <w:r w:rsidR="00D436E8" w:rsidRPr="00BE1959">
              <w:rPr>
                <w:rFonts w:ascii="Times New Roman" w:eastAsia="Times New Roman" w:hAnsi="Times New Roman" w:cs="Times New Roman"/>
                <w:sz w:val="24"/>
                <w:szCs w:val="24"/>
                <w:lang w:val="uk-UA"/>
              </w:rPr>
              <w:t>домовленості</w:t>
            </w:r>
            <w:r w:rsidR="001135EB" w:rsidRPr="00BE1959">
              <w:rPr>
                <w:rFonts w:ascii="Times New Roman" w:eastAsia="Times New Roman" w:hAnsi="Times New Roman" w:cs="Times New Roman"/>
                <w:sz w:val="24"/>
                <w:szCs w:val="24"/>
                <w:lang w:val="uk-UA"/>
              </w:rPr>
              <w:t xml:space="preserve"> слід застосовувати так, щоб не давати торговельним майданчикам, які використовують інформацію, передану в контексті призупинення торгівлі фінансовим інструментом або вилучення його</w:t>
            </w:r>
            <w:r w:rsidR="00B56CC0" w:rsidRPr="00BE1959">
              <w:rPr>
                <w:rFonts w:ascii="Times New Roman" w:eastAsia="Times New Roman" w:hAnsi="Times New Roman" w:cs="Times New Roman"/>
                <w:sz w:val="24"/>
                <w:szCs w:val="24"/>
                <w:lang w:val="uk-UA"/>
              </w:rPr>
              <w:t xml:space="preserve"> з </w:t>
            </w:r>
            <w:r w:rsidR="00B56CC0" w:rsidRPr="00BE1959">
              <w:rPr>
                <w:rFonts w:ascii="Times New Roman" w:eastAsia="Times New Roman" w:hAnsi="Times New Roman" w:cs="Times New Roman"/>
                <w:sz w:val="24"/>
                <w:szCs w:val="24"/>
                <w:lang w:val="uk-UA"/>
              </w:rPr>
              <w:lastRenderedPageBreak/>
              <w:t>торгівлі, можливості вести торгівлю в комерційних цілях.</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96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(70)</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ED5A5C" w:rsidP="00521175">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Кількість інвесторів, які активізували діяльність на фінансових ринках, збільшилася, причому їм пропонується складніший та ширший набір послуг та інструментів. </w:t>
            </w:r>
            <w:r w:rsidR="008D0EE4" w:rsidRPr="00BE1959">
              <w:rPr>
                <w:rFonts w:ascii="Times New Roman" w:eastAsia="Times New Roman" w:hAnsi="Times New Roman" w:cs="Times New Roman"/>
                <w:sz w:val="24"/>
                <w:szCs w:val="24"/>
                <w:lang w:val="uk-UA"/>
              </w:rPr>
              <w:t>Ураховуючи цю тенденцію, необхідно передбачити певний ступінь гармонізації, що дозволило б інвесторам отримувати більш високий рівень захисту на всій території Союзу. Коли була прийнята Директива</w:t>
            </w:r>
            <w:r w:rsidR="005613AB" w:rsidRPr="00BE1959">
              <w:rPr>
                <w:rFonts w:ascii="Times New Roman" w:eastAsia="Times New Roman" w:hAnsi="Times New Roman" w:cs="Times New Roman"/>
                <w:sz w:val="24"/>
                <w:szCs w:val="24"/>
                <w:lang w:val="uk-UA"/>
              </w:rPr>
              <w:t xml:space="preserve"> 2004/39/EC</w:t>
            </w:r>
            <w:r w:rsidR="008D0EE4" w:rsidRPr="00BE1959">
              <w:rPr>
                <w:rFonts w:ascii="Times New Roman" w:eastAsia="Times New Roman" w:hAnsi="Times New Roman" w:cs="Times New Roman"/>
                <w:sz w:val="24"/>
                <w:szCs w:val="24"/>
                <w:lang w:val="uk-UA"/>
              </w:rPr>
              <w:t>, зростаюча залежність інвесторів від особистих рекомендацій</w:t>
            </w:r>
            <w:r w:rsidR="00E81478" w:rsidRPr="00BE1959">
              <w:rPr>
                <w:rFonts w:ascii="Times New Roman" w:eastAsia="Times New Roman" w:hAnsi="Times New Roman" w:cs="Times New Roman"/>
                <w:sz w:val="24"/>
                <w:szCs w:val="24"/>
                <w:lang w:val="uk-UA"/>
              </w:rPr>
              <w:t xml:space="preserve"> обумовила необхідність</w:t>
            </w:r>
            <w:r w:rsidR="008D0EE4" w:rsidRPr="00BE1959">
              <w:rPr>
                <w:rFonts w:ascii="Times New Roman" w:eastAsia="Times New Roman" w:hAnsi="Times New Roman" w:cs="Times New Roman"/>
                <w:sz w:val="24"/>
                <w:szCs w:val="24"/>
                <w:lang w:val="uk-UA"/>
              </w:rPr>
              <w:t xml:space="preserve"> включення нада</w:t>
            </w:r>
            <w:r w:rsidR="00E81478" w:rsidRPr="00BE1959">
              <w:rPr>
                <w:rFonts w:ascii="Times New Roman" w:eastAsia="Times New Roman" w:hAnsi="Times New Roman" w:cs="Times New Roman"/>
                <w:sz w:val="24"/>
                <w:szCs w:val="24"/>
                <w:lang w:val="uk-UA"/>
              </w:rPr>
              <w:t xml:space="preserve">ння інвестиційних порад як інвестиційної послуги, яка потребує дозволу і на яку поширюються особливі </w:t>
            </w:r>
            <w:r w:rsidR="00521175" w:rsidRPr="00BE1959">
              <w:rPr>
                <w:rFonts w:ascii="Times New Roman" w:eastAsia="Times New Roman" w:hAnsi="Times New Roman" w:cs="Times New Roman"/>
                <w:sz w:val="24"/>
                <w:szCs w:val="24"/>
                <w:lang w:val="uk-UA"/>
              </w:rPr>
              <w:t>зобов’язання щодо ведення діяльності.</w:t>
            </w:r>
            <w:r w:rsidR="00E81478" w:rsidRPr="00BE1959">
              <w:rPr>
                <w:rFonts w:ascii="Times New Roman" w:eastAsia="Times New Roman" w:hAnsi="Times New Roman" w:cs="Times New Roman"/>
                <w:sz w:val="24"/>
                <w:szCs w:val="24"/>
                <w:lang w:val="uk-UA"/>
              </w:rPr>
              <w:t xml:space="preserve"> </w:t>
            </w:r>
            <w:r w:rsidR="00521175" w:rsidRPr="00BE1959">
              <w:rPr>
                <w:rFonts w:ascii="Times New Roman" w:eastAsia="Times New Roman" w:hAnsi="Times New Roman" w:cs="Times New Roman"/>
                <w:sz w:val="24"/>
                <w:szCs w:val="24"/>
                <w:lang w:val="uk-UA"/>
              </w:rPr>
              <w:t>Постійна актуальність особистих рекомендацій для клієнтів і зростаюча складність послуг та інструментів вимагають удосконалення зобов’язань щодо ведення діяльності з метою посилення захисту інвесторів.</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96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(71)</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CD5CEA" w:rsidP="003317BE">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Держави-члени повинні забезпечити, щоб інвестиційні фірми якнайкраще забезпечували інтереси своїх клієнтів і могли дотримуватися своїх зобов’язань за цією директивою. Інвестиційні фірми, відповідним чином, повинні розуміти особливості пропонованих або рекомендованих фінансових інструментів, запроваджувати та переглядати ефективні правила і механізми виявлення тієї категорії клієнтів, якій належить надавати </w:t>
            </w:r>
            <w:r w:rsidR="003122B7" w:rsidRPr="00BE1959">
              <w:rPr>
                <w:rFonts w:ascii="Times New Roman" w:eastAsia="Times New Roman" w:hAnsi="Times New Roman" w:cs="Times New Roman"/>
                <w:sz w:val="24"/>
                <w:szCs w:val="24"/>
                <w:lang w:val="uk-UA"/>
              </w:rPr>
              <w:t>продукти</w:t>
            </w:r>
            <w:r w:rsidRPr="00BE1959">
              <w:rPr>
                <w:rFonts w:ascii="Times New Roman" w:eastAsia="Times New Roman" w:hAnsi="Times New Roman" w:cs="Times New Roman"/>
                <w:sz w:val="24"/>
                <w:szCs w:val="24"/>
                <w:lang w:val="uk-UA"/>
              </w:rPr>
              <w:t xml:space="preserve"> та послуги. Держави-члени повинні забезпечити, щоб інвестиційні фірми, які випускають фінансові інструменти</w:t>
            </w:r>
            <w:r w:rsidR="003122B7" w:rsidRPr="00BE1959">
              <w:rPr>
                <w:rFonts w:ascii="Times New Roman" w:eastAsia="Times New Roman" w:hAnsi="Times New Roman" w:cs="Times New Roman"/>
                <w:sz w:val="24"/>
                <w:szCs w:val="24"/>
                <w:lang w:val="uk-UA"/>
              </w:rPr>
              <w:t>, забезпечили випуск цих продуктів для задоволення потреб виявленого цільового ринку кінцевих клієнтів у межах відповідної категорії клієнтів, вживали доцільних заходів для забезпечення збуту цих фінансових інструментів на виявленому цільовому ринку та періодично переглядали визначення цього цільового ринку та результативність продуктів, пропонованих ними. Інвестиційні фірми, які пропонують чи рекомендують клієнтам фінансові інструменти, не випущені ними, також повинні мати належні механізми отримання і розуміння доречної інформації стосовно порядку затвердження продуктів, включно з інформаціє</w:t>
            </w:r>
            <w:r w:rsidR="0050331B" w:rsidRPr="00BE1959">
              <w:rPr>
                <w:rFonts w:ascii="Times New Roman" w:eastAsia="Times New Roman" w:hAnsi="Times New Roman" w:cs="Times New Roman"/>
                <w:sz w:val="24"/>
                <w:szCs w:val="24"/>
                <w:lang w:val="uk-UA"/>
              </w:rPr>
              <w:t>ю про виявлений цільовий ринок та характеристики продукту, який вони пропонують чи рекомендують. Цей обов’язок повинен діяти без шкоди для оцінки доречності або відповідності, яку інвестиційна фірма повинна згодом проводити у процесі надання інвестиційних послуг кожному кл</w:t>
            </w:r>
            <w:r w:rsidR="003317BE" w:rsidRPr="00BE1959">
              <w:rPr>
                <w:rFonts w:ascii="Times New Roman" w:eastAsia="Times New Roman" w:hAnsi="Times New Roman" w:cs="Times New Roman"/>
                <w:sz w:val="24"/>
                <w:szCs w:val="24"/>
                <w:lang w:val="uk-UA"/>
              </w:rPr>
              <w:t>ієнтові на основі особистих потреб, характеристик і цілей клієнтів.</w:t>
            </w:r>
          </w:p>
          <w:p w:rsidR="005613AB" w:rsidRPr="00BE1959" w:rsidRDefault="003317BE" w:rsidP="00DB3170">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Для забезпечення того, щоб фінансові інструменти пропонувалися </w:t>
            </w:r>
            <w:r w:rsidR="00832A90" w:rsidRPr="00BE1959">
              <w:rPr>
                <w:rFonts w:ascii="Times New Roman" w:eastAsia="Times New Roman" w:hAnsi="Times New Roman" w:cs="Times New Roman"/>
                <w:sz w:val="24"/>
                <w:szCs w:val="24"/>
                <w:lang w:val="uk-UA"/>
              </w:rPr>
              <w:t>чи рекомендувалися тільки в інтересах клієнта, інвестиційні фірми, що пропонують або рекомендують продукт, випущений фірмами, на які не поширюються вимоги щодо управління продуктами, викла</w:t>
            </w:r>
            <w:r w:rsidR="006A0F45" w:rsidRPr="00BE1959">
              <w:rPr>
                <w:rFonts w:ascii="Times New Roman" w:eastAsia="Times New Roman" w:hAnsi="Times New Roman" w:cs="Times New Roman"/>
                <w:sz w:val="24"/>
                <w:szCs w:val="24"/>
                <w:lang w:val="uk-UA"/>
              </w:rPr>
              <w:t>дені у цій директиві, або випущений</w:t>
            </w:r>
            <w:r w:rsidR="00DB3170" w:rsidRPr="00BE1959">
              <w:rPr>
                <w:rFonts w:ascii="Times New Roman" w:eastAsia="Times New Roman" w:hAnsi="Times New Roman" w:cs="Times New Roman"/>
                <w:sz w:val="24"/>
                <w:szCs w:val="24"/>
                <w:lang w:val="uk-UA"/>
              </w:rPr>
              <w:t xml:space="preserve"> фірмами з третіх країн, також повинні мати відповідні механізми отримання достатньої інформації про ці фінансові інструменти.</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96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(72)</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240C03" w:rsidP="00225F0F">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Для того, щоб забезпечити інвесторів усією важливою інформацію, доцільно </w:t>
            </w:r>
            <w:r w:rsidRPr="00BE1959">
              <w:rPr>
                <w:rFonts w:ascii="Times New Roman" w:eastAsia="Times New Roman" w:hAnsi="Times New Roman" w:cs="Times New Roman"/>
                <w:sz w:val="24"/>
                <w:szCs w:val="24"/>
                <w:lang w:val="uk-UA"/>
              </w:rPr>
              <w:lastRenderedPageBreak/>
              <w:t xml:space="preserve">поставити вимогу про те, щоб інвестиційні фірми, що надають інвестиційні поради, повідомляли вартість поради, </w:t>
            </w:r>
            <w:r w:rsidR="00C31856" w:rsidRPr="00BE1959">
              <w:rPr>
                <w:rFonts w:ascii="Times New Roman" w:eastAsia="Times New Roman" w:hAnsi="Times New Roman" w:cs="Times New Roman"/>
                <w:sz w:val="24"/>
                <w:szCs w:val="24"/>
                <w:lang w:val="uk-UA"/>
              </w:rPr>
              <w:t xml:space="preserve">уточняли основу поради, наданої ними, зокрема асортимент продуктів, який вони розглядають при наданні особистих рекомендацій клієнтам, зазначали, чи надають вони інвестиційні поради на незалежних засадах і чи </w:t>
            </w:r>
            <w:r w:rsidR="00340D47" w:rsidRPr="00BE1959">
              <w:rPr>
                <w:rFonts w:ascii="Times New Roman" w:eastAsia="Times New Roman" w:hAnsi="Times New Roman" w:cs="Times New Roman"/>
                <w:sz w:val="24"/>
                <w:szCs w:val="24"/>
                <w:lang w:val="uk-UA"/>
              </w:rPr>
              <w:t xml:space="preserve">проводять вони для клієнтів періодичну оцінку придатності рекомендованих клієнтам фінансових інструментів. Доцільно також зажадати, щоб інвестиційні фірми пояснювали своїм клієнтам </w:t>
            </w:r>
            <w:r w:rsidR="00225F0F" w:rsidRPr="00BE1959">
              <w:rPr>
                <w:rFonts w:ascii="Times New Roman" w:eastAsia="Times New Roman" w:hAnsi="Times New Roman" w:cs="Times New Roman"/>
                <w:sz w:val="24"/>
                <w:szCs w:val="24"/>
                <w:lang w:val="uk-UA"/>
              </w:rPr>
              <w:t>підстави</w:t>
            </w:r>
            <w:r w:rsidR="00340D47" w:rsidRPr="00BE1959">
              <w:rPr>
                <w:rFonts w:ascii="Times New Roman" w:eastAsia="Times New Roman" w:hAnsi="Times New Roman" w:cs="Times New Roman"/>
                <w:sz w:val="24"/>
                <w:szCs w:val="24"/>
                <w:lang w:val="uk-UA"/>
              </w:rPr>
              <w:t xml:space="preserve"> наданих їм порад.</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96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(73)</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82366C" w:rsidP="003C2709">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Для того, щоб запровадити нормативну базу для надання інвестиційних порад, у той же час залишаючи інвестиційним фірмам та їхнім клієнтам можливість вибору, доцільно створити умови для надання цієї послуги</w:t>
            </w:r>
            <w:r w:rsidR="00E97971" w:rsidRPr="00BE1959">
              <w:rPr>
                <w:rFonts w:ascii="Times New Roman" w:eastAsia="Times New Roman" w:hAnsi="Times New Roman" w:cs="Times New Roman"/>
                <w:sz w:val="24"/>
                <w:szCs w:val="24"/>
                <w:lang w:val="uk-UA"/>
              </w:rPr>
              <w:t xml:space="preserve">, коли фірми інформують клієнтів про те, що ця послуга надається на незалежних засадах. Якщо порада надається на незалежних засадах, то перш ніж надавати особисту рекомендацію, слід оцінити достатній асортимент продуктів різних постачальників продуктів. Раднику не потрібно оцінювати інвестиційні продукти, що пропонують на ринку всі постачальники та емітенти продуктів, але спектр фінансових інструментів не повинен обмежуватися фінансовими інструментами, випущеними або надаваними суб’єктами, маючими тісні зв'язки з інвестиційною фірмою або інші юридичні чи економічні відносини, як-от договірні відносини, </w:t>
            </w:r>
            <w:r w:rsidR="003C2709" w:rsidRPr="00BE1959">
              <w:rPr>
                <w:rFonts w:ascii="Times New Roman" w:eastAsia="Times New Roman" w:hAnsi="Times New Roman" w:cs="Times New Roman"/>
                <w:sz w:val="24"/>
                <w:szCs w:val="24"/>
                <w:lang w:val="uk-UA"/>
              </w:rPr>
              <w:t>які є настільки близькими, що можуть наразити на ризик незалежну основу надаваних порад.</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96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(74)</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FC0C1C" w:rsidP="003462FC">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Для того, щоб захист інвесторів був посилений, а клієнти чіткіше розуміли, яку саме послугу вони отримують, доречно ще більше обмежити можливіс</w:t>
            </w:r>
            <w:r w:rsidR="000A0CFE" w:rsidRPr="00BE1959">
              <w:rPr>
                <w:rFonts w:ascii="Times New Roman" w:eastAsia="Times New Roman" w:hAnsi="Times New Roman" w:cs="Times New Roman"/>
                <w:sz w:val="24"/>
                <w:szCs w:val="24"/>
                <w:lang w:val="uk-UA"/>
              </w:rPr>
              <w:t>ть надання фірмами інвестиційно-дорадчої послуги на незалежній основі та послуги управління портфелями для одержання і утримання гонорарів, комісійних або будь-яких грошових і негрошових вигід від третіх осіб, особливо від емітентів або постачальників продуктів. Це означає, що всі гонорари, комісійні та будь-які грошові вигоди, сплачені або надані третьою особою, повинні бути в повному обсязі повернуті клієнтові відразу після отримання цих платежів фірмою, і останній</w:t>
            </w:r>
            <w:r w:rsidR="005256B0" w:rsidRPr="00BE1959">
              <w:rPr>
                <w:rFonts w:ascii="Times New Roman" w:eastAsia="Times New Roman" w:hAnsi="Times New Roman" w:cs="Times New Roman"/>
                <w:sz w:val="24"/>
                <w:szCs w:val="24"/>
                <w:lang w:val="uk-UA"/>
              </w:rPr>
              <w:t xml:space="preserve"> не слід дозволяти </w:t>
            </w:r>
            <w:r w:rsidR="00793530" w:rsidRPr="00BE1959">
              <w:rPr>
                <w:rFonts w:ascii="Times New Roman" w:eastAsia="Times New Roman" w:hAnsi="Times New Roman" w:cs="Times New Roman"/>
                <w:sz w:val="24"/>
                <w:szCs w:val="24"/>
                <w:lang w:val="uk-UA"/>
              </w:rPr>
              <w:t xml:space="preserve">вираховувати </w:t>
            </w:r>
            <w:r w:rsidR="009100B1" w:rsidRPr="00BE1959">
              <w:rPr>
                <w:rFonts w:ascii="Times New Roman" w:eastAsia="Times New Roman" w:hAnsi="Times New Roman" w:cs="Times New Roman"/>
                <w:sz w:val="24"/>
                <w:szCs w:val="24"/>
                <w:lang w:val="uk-UA"/>
              </w:rPr>
              <w:t xml:space="preserve">платежі третіх осіб із гонорарів, належних до сплати фірмі клієнтом. Клієнта слід точно і, де доречно, регулярно інформувати про всі гонорари, комісійні та вигоди, отримані </w:t>
            </w:r>
            <w:r w:rsidR="00575750" w:rsidRPr="00BE1959">
              <w:rPr>
                <w:rFonts w:ascii="Times New Roman" w:eastAsia="Times New Roman" w:hAnsi="Times New Roman" w:cs="Times New Roman"/>
                <w:sz w:val="24"/>
                <w:szCs w:val="24"/>
                <w:lang w:val="uk-UA"/>
              </w:rPr>
              <w:t xml:space="preserve">фірмою у зв'язку з інвестиційною послугою, наданою клієнтом, та перераховані клієнтові. Фірми, що надають незалежні поради або послуги з управління портфелями, також повинні, у рамках своїх організаційних вимог, прийняти правило, згідно з яким отримані платежі третіх осіб розподіляються та перераховуються клієнтам. Слід допустити тільки незначні негрошові вигоди, за умови, що інформація про них чітко доводиться до відому клієнта, що вони здатні покращити якість наданої послуги і що </w:t>
            </w:r>
            <w:r w:rsidR="00B53946" w:rsidRPr="00BE1959">
              <w:rPr>
                <w:rFonts w:ascii="Times New Roman" w:eastAsia="Times New Roman" w:hAnsi="Times New Roman" w:cs="Times New Roman"/>
                <w:sz w:val="24"/>
                <w:szCs w:val="24"/>
                <w:lang w:val="uk-UA"/>
              </w:rPr>
              <w:t xml:space="preserve">їх неможливо сприймати як такі, що можуть погіршити здатність інвестиційних фірм якнайкраще </w:t>
            </w:r>
            <w:r w:rsidR="003462FC" w:rsidRPr="00BE1959">
              <w:rPr>
                <w:rFonts w:ascii="Times New Roman" w:eastAsia="Times New Roman" w:hAnsi="Times New Roman" w:cs="Times New Roman"/>
                <w:sz w:val="24"/>
                <w:szCs w:val="24"/>
                <w:lang w:val="uk-UA"/>
              </w:rPr>
              <w:t>задовольня</w:t>
            </w:r>
            <w:r w:rsidR="00B53946" w:rsidRPr="00BE1959">
              <w:rPr>
                <w:rFonts w:ascii="Times New Roman" w:eastAsia="Times New Roman" w:hAnsi="Times New Roman" w:cs="Times New Roman"/>
                <w:sz w:val="24"/>
                <w:szCs w:val="24"/>
                <w:lang w:val="uk-UA"/>
              </w:rPr>
              <w:t>ти інтереси своїх клієнтів.</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96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(75)</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931B72" w:rsidP="003074E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При наданні інвестиційних порад на незалежних засадах і послуги з управління </w:t>
            </w:r>
            <w:r w:rsidRPr="00BE1959">
              <w:rPr>
                <w:rFonts w:ascii="Times New Roman" w:eastAsia="Times New Roman" w:hAnsi="Times New Roman" w:cs="Times New Roman"/>
                <w:sz w:val="24"/>
                <w:szCs w:val="24"/>
                <w:lang w:val="uk-UA"/>
              </w:rPr>
              <w:lastRenderedPageBreak/>
              <w:t>портфелями гонорари, комісійні та негрошові вигоди, сплачені або надані особою від імені клієнта, слід дозволяти тільки за умови, що цій особі відомо, що так</w:t>
            </w:r>
            <w:r w:rsidR="008D0731" w:rsidRPr="00BE1959">
              <w:rPr>
                <w:rFonts w:ascii="Times New Roman" w:eastAsia="Times New Roman" w:hAnsi="Times New Roman" w:cs="Times New Roman"/>
                <w:sz w:val="24"/>
                <w:szCs w:val="24"/>
                <w:lang w:val="uk-UA"/>
              </w:rPr>
              <w:t xml:space="preserve">і платежі здійснені від імені цієї особи, а сума і періодичність платежу погоджені між клієнтом та інвестиційною фірмою, а не визначені третьою особою. </w:t>
            </w:r>
            <w:r w:rsidR="006C4B51" w:rsidRPr="00BE1959">
              <w:rPr>
                <w:rFonts w:ascii="Times New Roman" w:eastAsia="Times New Roman" w:hAnsi="Times New Roman" w:cs="Times New Roman"/>
                <w:sz w:val="24"/>
                <w:szCs w:val="24"/>
                <w:lang w:val="uk-UA"/>
              </w:rPr>
              <w:t>До випадків, які відповідали б цій вимозі, можна віднести ситуацію, де клієнт оплачує рахунок фірми безпосередньо або цей рахунок оплачує незалежна третя особа, як</w:t>
            </w:r>
            <w:r w:rsidR="00D226A5" w:rsidRPr="00BE1959">
              <w:rPr>
                <w:rFonts w:ascii="Times New Roman" w:eastAsia="Times New Roman" w:hAnsi="Times New Roman" w:cs="Times New Roman"/>
                <w:sz w:val="24"/>
                <w:szCs w:val="24"/>
                <w:lang w:val="uk-UA"/>
              </w:rPr>
              <w:t>а</w:t>
            </w:r>
            <w:r w:rsidR="006C4B51" w:rsidRPr="00BE1959">
              <w:rPr>
                <w:rFonts w:ascii="Times New Roman" w:eastAsia="Times New Roman" w:hAnsi="Times New Roman" w:cs="Times New Roman"/>
                <w:sz w:val="24"/>
                <w:szCs w:val="24"/>
                <w:lang w:val="uk-UA"/>
              </w:rPr>
              <w:t xml:space="preserve"> не має зв'язку з інвестиційною фірмою стосовно інвестиційної послуги, наданої клієнтові, та діє тільки за інструкціями клієнта, </w:t>
            </w:r>
            <w:r w:rsidR="00D226A5" w:rsidRPr="00BE1959">
              <w:rPr>
                <w:rFonts w:ascii="Times New Roman" w:eastAsia="Times New Roman" w:hAnsi="Times New Roman" w:cs="Times New Roman"/>
                <w:sz w:val="24"/>
                <w:szCs w:val="24"/>
                <w:lang w:val="uk-UA"/>
              </w:rPr>
              <w:t>або ситуацію, де клієнт домовляється про гонорар за послугу, наданою інвестиційною фірмою, і сплачує цей гонорар. Як правило, так буває, коли бухгалтери чи юристи діють згідно з чіткою інструкцією клієнта</w:t>
            </w:r>
            <w:r w:rsidR="00481304" w:rsidRPr="00BE1959">
              <w:rPr>
                <w:rFonts w:ascii="Times New Roman" w:eastAsia="Times New Roman" w:hAnsi="Times New Roman" w:cs="Times New Roman"/>
                <w:sz w:val="24"/>
                <w:szCs w:val="24"/>
                <w:lang w:val="uk-UA"/>
              </w:rPr>
              <w:t xml:space="preserve"> про здійснення платежу або коли особа виступає суто </w:t>
            </w:r>
            <w:r w:rsidR="003074EB" w:rsidRPr="00BE1959">
              <w:rPr>
                <w:rFonts w:ascii="Times New Roman" w:eastAsia="Times New Roman" w:hAnsi="Times New Roman" w:cs="Times New Roman"/>
                <w:sz w:val="24"/>
                <w:szCs w:val="24"/>
                <w:lang w:val="uk-UA"/>
              </w:rPr>
              <w:t>каналом для платежу.</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96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(76)</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881319" w:rsidP="00881319">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Ця директива передбачає умови та процедури, що їх держави-члени мають дотримуватися при плануванні запровадження додаткових вимог. Такі вимоги можуть включати заборону або подальше обмеження пропонування або прийняття гонорарів, комісійних та інших грошових чи негрошових вигід, сплачених або наданих третьою особою або особою, яка діє від імені третьої особи, у зв'язку з наданням послуг клієнтам.</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96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(77)</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7A4752" w:rsidP="001873E5">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Для посилення захисту споживачів доцільно також забезпечити, щоб інвестиційні фірми не оплачували і не оцінювали </w:t>
            </w:r>
            <w:r w:rsidR="001873E5" w:rsidRPr="00BE1959">
              <w:rPr>
                <w:rFonts w:ascii="Times New Roman" w:eastAsia="Times New Roman" w:hAnsi="Times New Roman" w:cs="Times New Roman"/>
                <w:sz w:val="24"/>
                <w:szCs w:val="24"/>
                <w:lang w:val="uk-UA"/>
              </w:rPr>
              <w:t>результати роботи власного персоналу у спосіб, що суперечить обов’язку фірми якнайкраще задовольняти інтереси своїх клієнтів, наприклад, шляхом виплати винагороди, постановки завдань із реалізації продуктів або в інший спосіб, що створює стимул для рекомендування чи продажу конкретного фінансового інструменту, у той час як інший продукт може краще задовольнити потреби клієнта.</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96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(78)</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80249B" w:rsidP="00B64524">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Якщо відповідно до іншого законодавства Союзу надається достатня інформація стосовно вартості та відповідних витрат або стосовно ризиків щодо самого фінансового інструмента, то ця інформація повинна вважатися доречною для цілей надання інформації клієнтам, передбаченим цією директивою. Проте, інвестиційні фірми або кредитні установи, що реалізують цей фінансовий інструмент, повинні додатково інформувати своїх клієнтів про всі інші витрати та супутні </w:t>
            </w:r>
            <w:r w:rsidR="00B64524" w:rsidRPr="00BE1959">
              <w:rPr>
                <w:rFonts w:ascii="Times New Roman" w:eastAsia="Times New Roman" w:hAnsi="Times New Roman" w:cs="Times New Roman"/>
                <w:sz w:val="24"/>
                <w:szCs w:val="24"/>
                <w:lang w:val="uk-UA"/>
              </w:rPr>
              <w:t>видатки стосовно надання ними інвестиційних послуг щодо цього фінансового інструмента.</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96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(79)</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DB0A99" w:rsidP="001328FA">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Ураховуючи складність інвестиційних продуктів та безперервне впровадження інновацій у їхню структуру</w:t>
            </w:r>
            <w:r w:rsidR="001328FA" w:rsidRPr="00BE1959">
              <w:rPr>
                <w:rFonts w:ascii="Times New Roman" w:eastAsia="Times New Roman" w:hAnsi="Times New Roman" w:cs="Times New Roman"/>
                <w:sz w:val="24"/>
                <w:szCs w:val="24"/>
                <w:lang w:val="uk-UA"/>
              </w:rPr>
              <w:t>, важливо також забезпечити, щоб працівники, які надають поради щодо інвестиційних продуктів або продають такі продукти роздрібним клієнтам, володіли належним рівнем знань і компетентності стосовно пропонованих продуктів. Інвестиційні фірми повинні виділяти своїм працівникам достатньо часу та ресурсів для досягнення такого рівня знань і компетентності, а також для застосування цих знань і компетентності у наданні послуг клієнтам.</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96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lastRenderedPageBreak/>
              <w:t>(80)</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F50A49" w:rsidP="003633CE">
            <w:pPr>
              <w:spacing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Інвестиційним фірмам дозволяється надавати інвестиційні послуги, що складаються тільки з виконання і (або) приймання та передачі замовлень клієнтів, без необхідності отримувати інформацію стосовно знань і досвіду клієнта на предмет оцінки </w:t>
            </w:r>
            <w:r w:rsidR="008A099D" w:rsidRPr="00BE1959">
              <w:rPr>
                <w:rFonts w:ascii="Times New Roman" w:eastAsia="Times New Roman" w:hAnsi="Times New Roman" w:cs="Times New Roman"/>
                <w:sz w:val="24"/>
                <w:szCs w:val="24"/>
                <w:lang w:val="uk-UA"/>
              </w:rPr>
              <w:t>доречності цієї послуги чи фінансового інструмента для даного клієнта.</w:t>
            </w:r>
            <w:r w:rsidR="00BE07F7" w:rsidRPr="00BE1959">
              <w:rPr>
                <w:rFonts w:ascii="Times New Roman" w:eastAsia="Times New Roman" w:hAnsi="Times New Roman" w:cs="Times New Roman"/>
                <w:sz w:val="24"/>
                <w:szCs w:val="24"/>
                <w:lang w:val="uk-UA"/>
              </w:rPr>
              <w:t xml:space="preserve"> Оскільки ці послуги тягнуть за собою відповідне зменшення захисту клієнта, то доцільно покращити умови їхнього надання. Зокрема, доцільно виключити можливість надання цих послуг у сукупності з додатковою послугою, що складається з надання кредитів або позик інвесторам, щоб вони могли провести операцію, до якої залучена інвестиційна фірма, тому що це збільшує складність операції та утруднює розуміння ризиків, пов'язаних із нею. Доречно також краще визначити критерії вибору фінансових інструментів, яких повинні стосуватися ці послуги, щоб виключити певні фінансові інструменти, зокрема ті, в яких передбачено дериватив або структура яких ускладнює розу</w:t>
            </w:r>
            <w:r w:rsidR="00F90988" w:rsidRPr="00BE1959">
              <w:rPr>
                <w:rFonts w:ascii="Times New Roman" w:eastAsia="Times New Roman" w:hAnsi="Times New Roman" w:cs="Times New Roman"/>
                <w:sz w:val="24"/>
                <w:szCs w:val="24"/>
                <w:lang w:val="uk-UA"/>
              </w:rPr>
              <w:t>міння клієнтом існуючого ризику, акції підприємств</w:t>
            </w:r>
            <w:r w:rsidR="00A51CA9" w:rsidRPr="00BE1959">
              <w:rPr>
                <w:rFonts w:ascii="Times New Roman" w:eastAsia="Times New Roman" w:hAnsi="Times New Roman" w:cs="Times New Roman"/>
                <w:sz w:val="24"/>
                <w:szCs w:val="24"/>
                <w:lang w:val="uk-UA"/>
              </w:rPr>
              <w:t>, які не є підприємствами</w:t>
            </w:r>
            <w:r w:rsidR="00F90988" w:rsidRPr="00BE1959">
              <w:rPr>
                <w:rFonts w:ascii="Times New Roman" w:eastAsia="Times New Roman" w:hAnsi="Times New Roman" w:cs="Times New Roman"/>
                <w:sz w:val="24"/>
                <w:szCs w:val="24"/>
                <w:lang w:val="uk-UA"/>
              </w:rPr>
              <w:t xml:space="preserve"> колективного інвестування в оборотні цінні</w:t>
            </w:r>
            <w:r w:rsidR="00A51CA9" w:rsidRPr="00BE1959">
              <w:rPr>
                <w:rFonts w:ascii="Times New Roman" w:eastAsia="Times New Roman" w:hAnsi="Times New Roman" w:cs="Times New Roman"/>
                <w:sz w:val="24"/>
                <w:szCs w:val="24"/>
                <w:lang w:val="uk-UA"/>
              </w:rPr>
              <w:t xml:space="preserve"> папери</w:t>
            </w:r>
            <w:r w:rsidR="005613AB" w:rsidRPr="00BE1959">
              <w:rPr>
                <w:rFonts w:ascii="Times New Roman" w:eastAsia="Times New Roman" w:hAnsi="Times New Roman" w:cs="Times New Roman"/>
                <w:sz w:val="24"/>
                <w:szCs w:val="24"/>
                <w:lang w:val="uk-UA"/>
              </w:rPr>
              <w:t xml:space="preserve"> (</w:t>
            </w:r>
            <w:r w:rsidR="00F90988" w:rsidRPr="00BE1959">
              <w:rPr>
                <w:rFonts w:ascii="Times New Roman" w:eastAsia="Times New Roman" w:hAnsi="Times New Roman" w:cs="Times New Roman"/>
                <w:sz w:val="24"/>
                <w:szCs w:val="24"/>
                <w:lang w:val="uk-UA"/>
              </w:rPr>
              <w:t>UCITS</w:t>
            </w:r>
            <w:r w:rsidR="005613AB" w:rsidRPr="00BE1959">
              <w:rPr>
                <w:rFonts w:ascii="Times New Roman" w:eastAsia="Times New Roman" w:hAnsi="Times New Roman" w:cs="Times New Roman"/>
                <w:sz w:val="24"/>
                <w:szCs w:val="24"/>
                <w:lang w:val="uk-UA"/>
              </w:rPr>
              <w:t>) (</w:t>
            </w:r>
            <w:r w:rsidR="00A51CA9" w:rsidRPr="00BE1959">
              <w:rPr>
                <w:rFonts w:ascii="Times New Roman" w:eastAsia="Times New Roman" w:hAnsi="Times New Roman" w:cs="Times New Roman"/>
                <w:sz w:val="24"/>
                <w:szCs w:val="24"/>
                <w:lang w:val="uk-UA"/>
              </w:rPr>
              <w:t>не-UCITS)</w:t>
            </w:r>
            <w:r w:rsidR="0027432D" w:rsidRPr="00BE1959">
              <w:rPr>
                <w:rFonts w:ascii="Times New Roman" w:eastAsia="Times New Roman" w:hAnsi="Times New Roman" w:cs="Times New Roman"/>
                <w:sz w:val="24"/>
                <w:szCs w:val="24"/>
                <w:lang w:val="uk-UA"/>
              </w:rPr>
              <w:t xml:space="preserve"> та структуровані </w:t>
            </w:r>
            <w:r w:rsidR="005613AB" w:rsidRPr="00BE1959">
              <w:rPr>
                <w:rFonts w:ascii="Times New Roman" w:eastAsia="Times New Roman" w:hAnsi="Times New Roman" w:cs="Times New Roman"/>
                <w:sz w:val="24"/>
                <w:szCs w:val="24"/>
                <w:lang w:val="uk-UA"/>
              </w:rPr>
              <w:t>UCITS</w:t>
            </w:r>
            <w:r w:rsidR="0027432D" w:rsidRPr="00BE1959">
              <w:rPr>
                <w:rFonts w:ascii="Times New Roman" w:eastAsia="Times New Roman" w:hAnsi="Times New Roman" w:cs="Times New Roman"/>
                <w:sz w:val="24"/>
                <w:szCs w:val="24"/>
                <w:lang w:val="uk-UA"/>
              </w:rPr>
              <w:t xml:space="preserve">, зазначені у другому абзаці статті 36(1) Регламенту Комісії </w:t>
            </w:r>
            <w:r w:rsidR="00DB4825" w:rsidRPr="00BE1959">
              <w:rPr>
                <w:rFonts w:ascii="Times New Roman" w:eastAsia="Times New Roman" w:hAnsi="Times New Roman" w:cs="Times New Roman"/>
                <w:sz w:val="24"/>
                <w:szCs w:val="24"/>
                <w:lang w:val="uk-UA"/>
              </w:rPr>
              <w:t>№</w:t>
            </w:r>
            <w:r w:rsidR="005613AB" w:rsidRPr="00BE1959">
              <w:rPr>
                <w:rFonts w:ascii="Times New Roman" w:eastAsia="Times New Roman" w:hAnsi="Times New Roman" w:cs="Times New Roman"/>
                <w:sz w:val="24"/>
                <w:szCs w:val="24"/>
                <w:lang w:val="uk-UA"/>
              </w:rPr>
              <w:t> 583/2010</w:t>
            </w:r>
            <w:hyperlink r:id="rId34" w:anchor="ntr29-L_2014173EN.01034901-E0029" w:history="1">
              <w:r w:rsidR="005613AB" w:rsidRPr="00BE1959">
                <w:rPr>
                  <w:rFonts w:ascii="Times New Roman" w:eastAsia="Times New Roman" w:hAnsi="Times New Roman" w:cs="Times New Roman"/>
                  <w:sz w:val="24"/>
                  <w:szCs w:val="24"/>
                  <w:bdr w:val="none" w:sz="0" w:space="0" w:color="auto" w:frame="1"/>
                  <w:lang w:val="uk-UA"/>
                </w:rPr>
                <w:t> (</w:t>
              </w:r>
              <w:r w:rsidR="005613AB" w:rsidRPr="00BE1959">
                <w:rPr>
                  <w:rFonts w:ascii="Times New Roman" w:eastAsia="Times New Roman" w:hAnsi="Times New Roman" w:cs="Times New Roman"/>
                  <w:sz w:val="24"/>
                  <w:szCs w:val="24"/>
                  <w:bdr w:val="none" w:sz="0" w:space="0" w:color="auto" w:frame="1"/>
                  <w:vertAlign w:val="superscript"/>
                  <w:lang w:val="uk-UA"/>
                </w:rPr>
                <w:t>29</w:t>
              </w:r>
              <w:r w:rsidR="005613AB" w:rsidRPr="00BE1959">
                <w:rPr>
                  <w:rFonts w:ascii="Times New Roman" w:eastAsia="Times New Roman" w:hAnsi="Times New Roman" w:cs="Times New Roman"/>
                  <w:sz w:val="24"/>
                  <w:szCs w:val="24"/>
                  <w:bdr w:val="none" w:sz="0" w:space="0" w:color="auto" w:frame="1"/>
                  <w:lang w:val="uk-UA"/>
                </w:rPr>
                <w:t>)</w:t>
              </w:r>
            </w:hyperlink>
            <w:r w:rsidR="005613AB" w:rsidRPr="00BE1959">
              <w:rPr>
                <w:rFonts w:ascii="Times New Roman" w:eastAsia="Times New Roman" w:hAnsi="Times New Roman" w:cs="Times New Roman"/>
                <w:sz w:val="24"/>
                <w:szCs w:val="24"/>
                <w:lang w:val="uk-UA"/>
              </w:rPr>
              <w:t xml:space="preserve">. </w:t>
            </w:r>
            <w:r w:rsidR="0027432D" w:rsidRPr="00BE1959">
              <w:rPr>
                <w:rFonts w:ascii="Times New Roman" w:eastAsia="Times New Roman" w:hAnsi="Times New Roman" w:cs="Times New Roman"/>
                <w:sz w:val="24"/>
                <w:szCs w:val="24"/>
                <w:lang w:val="uk-UA"/>
              </w:rPr>
              <w:t xml:space="preserve">Трактування певних </w:t>
            </w:r>
            <w:r w:rsidR="004E1FC2" w:rsidRPr="00BE1959">
              <w:rPr>
                <w:rFonts w:ascii="Times New Roman" w:eastAsia="Times New Roman" w:hAnsi="Times New Roman" w:cs="Times New Roman"/>
                <w:sz w:val="24"/>
                <w:szCs w:val="24"/>
                <w:lang w:val="uk-UA"/>
              </w:rPr>
              <w:t xml:space="preserve">UCITS </w:t>
            </w:r>
            <w:r w:rsidR="0027432D" w:rsidRPr="00BE1959">
              <w:rPr>
                <w:rFonts w:ascii="Times New Roman" w:eastAsia="Times New Roman" w:hAnsi="Times New Roman" w:cs="Times New Roman"/>
                <w:sz w:val="24"/>
                <w:szCs w:val="24"/>
                <w:lang w:val="uk-UA"/>
              </w:rPr>
              <w:t xml:space="preserve">як комплексних продуктів не </w:t>
            </w:r>
            <w:r w:rsidR="004E1FC2" w:rsidRPr="00BE1959">
              <w:rPr>
                <w:rFonts w:ascii="Times New Roman" w:eastAsia="Times New Roman" w:hAnsi="Times New Roman" w:cs="Times New Roman"/>
                <w:sz w:val="24"/>
                <w:szCs w:val="24"/>
                <w:lang w:val="uk-UA"/>
              </w:rPr>
              <w:t>повинно суперечити майбутньому законодавству Союзу, де визначатимуться сфера дії та правила, застосовні до таких продуктів.</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960"/>
      </w:tblGrid>
      <w:tr w:rsidR="005613AB" w:rsidRPr="0043174D" w:rsidTr="003633CE">
        <w:tc>
          <w:tcPr>
            <w:tcW w:w="267"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(81)</w:t>
            </w:r>
          </w:p>
        </w:tc>
        <w:tc>
          <w:tcPr>
            <w:tcW w:w="4733"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3633CE" w:rsidP="00092D51">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Практика перехресних продажів є загальною стратегією для надавачів роздрібних фінансових послуг на всій території Союзу. Вона може бути корисною для роздрібних клієнтів, проте </w:t>
            </w:r>
            <w:r w:rsidR="008B2BF5" w:rsidRPr="00BE1959">
              <w:rPr>
                <w:rFonts w:ascii="Times New Roman" w:eastAsia="Times New Roman" w:hAnsi="Times New Roman" w:cs="Times New Roman"/>
                <w:sz w:val="24"/>
                <w:szCs w:val="24"/>
                <w:lang w:val="uk-UA"/>
              </w:rPr>
              <w:t xml:space="preserve">можуть бути й випадки, де за такої практики інтереси клієнтів не враховуються належним чином. Наприклад, певні форми практики перехресних продажів, а саме практика прив’язки, де дві чи більше фінансових послуг продаються разом у пакеті й принаймні одна з цих послуг окремо не надається, </w:t>
            </w:r>
            <w:r w:rsidR="00981EAF" w:rsidRPr="00BE1959">
              <w:rPr>
                <w:rFonts w:ascii="Times New Roman" w:eastAsia="Times New Roman" w:hAnsi="Times New Roman" w:cs="Times New Roman"/>
                <w:sz w:val="24"/>
                <w:szCs w:val="24"/>
                <w:lang w:val="uk-UA"/>
              </w:rPr>
              <w:t>можуть викривлювати конкуренцію й негативно впливати на мобільність клієнтів та їхню здатність робити свідомий вибір. Прикладом практики прив’язки може бути необхідність відкриття поточних рахунків при наданні інвестиційної послуги роздрібному клієнту.</w:t>
            </w:r>
            <w:r w:rsidR="00894814" w:rsidRPr="00BE1959">
              <w:rPr>
                <w:rFonts w:ascii="Times New Roman" w:eastAsia="Times New Roman" w:hAnsi="Times New Roman" w:cs="Times New Roman"/>
                <w:sz w:val="24"/>
                <w:szCs w:val="24"/>
                <w:lang w:val="uk-UA"/>
              </w:rPr>
              <w:t xml:space="preserve"> Хоча практика </w:t>
            </w:r>
            <w:r w:rsidR="00C159A4" w:rsidRPr="00BE1959">
              <w:rPr>
                <w:rFonts w:ascii="Times New Roman" w:eastAsia="Times New Roman" w:hAnsi="Times New Roman" w:cs="Times New Roman"/>
                <w:sz w:val="24"/>
                <w:szCs w:val="24"/>
                <w:lang w:val="uk-UA"/>
              </w:rPr>
              <w:t>групування, за якої дві або більше фінансових послуг продаються разом у пакеті, але кожна з них може бути придбана і окремо, також може викривлювати конкуренцію й негативно впливати на мобільність клієнтів та їхню здатність робити свідомий вибір, вона хоча б залишає клієнтові можливість вибору і тому може спричиняти менший ризик для виконання інвестиційними фірмами своїх зобов’язань за цією директивою.</w:t>
            </w:r>
            <w:r w:rsidR="00092D51" w:rsidRPr="00BE1959">
              <w:rPr>
                <w:rFonts w:ascii="Times New Roman" w:eastAsia="Times New Roman" w:hAnsi="Times New Roman" w:cs="Times New Roman"/>
                <w:sz w:val="24"/>
                <w:szCs w:val="24"/>
                <w:lang w:val="uk-UA"/>
              </w:rPr>
              <w:t xml:space="preserve"> Застосування таких форм практики слід ретельно оцінювати, щоб сприяти конкуренції та споживчого вибору.</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96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(82)</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A014A2" w:rsidP="00BD08D7">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Надаючи інвестиційні поради, інвестиційна фірма повинна у письмовій заяві про відповідність зазначити, як надана порада задовольняє пріоритети, потреби та інші характеристики роздрібного клієнта. </w:t>
            </w:r>
            <w:r w:rsidR="00E824F6" w:rsidRPr="00BE1959">
              <w:rPr>
                <w:rFonts w:ascii="Times New Roman" w:eastAsia="Times New Roman" w:hAnsi="Times New Roman" w:cs="Times New Roman"/>
                <w:sz w:val="24"/>
                <w:szCs w:val="24"/>
                <w:lang w:val="uk-UA"/>
              </w:rPr>
              <w:t xml:space="preserve">Заява повинна бути подана на надійному носії, зокрема в електронній формі. Відповідальність за проведення оцінки відповідності та </w:t>
            </w:r>
            <w:r w:rsidR="00E824F6" w:rsidRPr="00BE1959">
              <w:rPr>
                <w:rFonts w:ascii="Times New Roman" w:eastAsia="Times New Roman" w:hAnsi="Times New Roman" w:cs="Times New Roman"/>
                <w:sz w:val="24"/>
                <w:szCs w:val="24"/>
                <w:lang w:val="uk-UA"/>
              </w:rPr>
              <w:lastRenderedPageBreak/>
              <w:t xml:space="preserve">надання точного звіту про відповідність клієнтові несе інвестиційна фірма, </w:t>
            </w:r>
            <w:r w:rsidR="002561E5" w:rsidRPr="00BE1959">
              <w:rPr>
                <w:rFonts w:ascii="Times New Roman" w:eastAsia="Times New Roman" w:hAnsi="Times New Roman" w:cs="Times New Roman"/>
                <w:sz w:val="24"/>
                <w:szCs w:val="24"/>
                <w:lang w:val="uk-UA"/>
              </w:rPr>
              <w:t>і необхідно запровадити належні захисні заходи, що мають забезпечити, щоб клієнт не зазнав збитку в результаті неточного або несправедливого відображення у звіті особистої рекомендації, зокрема про те, наскільки надана рекомендація відповідає потребам клієнта</w:t>
            </w:r>
            <w:r w:rsidR="00BD08D7" w:rsidRPr="00BE1959">
              <w:rPr>
                <w:rFonts w:ascii="Times New Roman" w:eastAsia="Times New Roman" w:hAnsi="Times New Roman" w:cs="Times New Roman"/>
                <w:sz w:val="24"/>
                <w:szCs w:val="24"/>
                <w:lang w:val="uk-UA"/>
              </w:rPr>
              <w:t>, а також про недоліки рекомендованого способу дій.</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96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(83)</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BD08D7" w:rsidP="00C5349C">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Визначаючи, що </w:t>
            </w:r>
            <w:r w:rsidR="00E60981" w:rsidRPr="00BE1959">
              <w:rPr>
                <w:rFonts w:ascii="Times New Roman" w:eastAsia="Times New Roman" w:hAnsi="Times New Roman" w:cs="Times New Roman"/>
                <w:sz w:val="24"/>
                <w:szCs w:val="24"/>
                <w:lang w:val="uk-UA"/>
              </w:rPr>
              <w:t xml:space="preserve">саме </w:t>
            </w:r>
            <w:r w:rsidRPr="00BE1959">
              <w:rPr>
                <w:rFonts w:ascii="Times New Roman" w:eastAsia="Times New Roman" w:hAnsi="Times New Roman" w:cs="Times New Roman"/>
                <w:sz w:val="24"/>
                <w:szCs w:val="24"/>
                <w:lang w:val="uk-UA"/>
              </w:rPr>
              <w:t xml:space="preserve">є </w:t>
            </w:r>
            <w:r w:rsidR="00CE4392" w:rsidRPr="00BE1959">
              <w:rPr>
                <w:rFonts w:ascii="Times New Roman" w:eastAsia="Times New Roman" w:hAnsi="Times New Roman" w:cs="Times New Roman"/>
                <w:sz w:val="24"/>
                <w:szCs w:val="24"/>
                <w:lang w:val="uk-UA"/>
              </w:rPr>
              <w:t xml:space="preserve">завчасним </w:t>
            </w:r>
            <w:r w:rsidRPr="00BE1959">
              <w:rPr>
                <w:rFonts w:ascii="Times New Roman" w:eastAsia="Times New Roman" w:hAnsi="Times New Roman" w:cs="Times New Roman"/>
                <w:sz w:val="24"/>
                <w:szCs w:val="24"/>
                <w:lang w:val="uk-UA"/>
              </w:rPr>
              <w:t>наданням інформації до строку, встановленого в цій директив</w:t>
            </w:r>
            <w:r w:rsidR="00CE4392" w:rsidRPr="00BE1959">
              <w:rPr>
                <w:rFonts w:ascii="Times New Roman" w:eastAsia="Times New Roman" w:hAnsi="Times New Roman" w:cs="Times New Roman"/>
                <w:sz w:val="24"/>
                <w:szCs w:val="24"/>
                <w:lang w:val="uk-UA"/>
              </w:rPr>
              <w:t>і, інвестиційн</w:t>
            </w:r>
            <w:r w:rsidR="000732A9" w:rsidRPr="00BE1959">
              <w:rPr>
                <w:rFonts w:ascii="Times New Roman" w:eastAsia="Times New Roman" w:hAnsi="Times New Roman" w:cs="Times New Roman"/>
                <w:sz w:val="24"/>
                <w:szCs w:val="24"/>
                <w:lang w:val="uk-UA"/>
              </w:rPr>
              <w:t>а фірма повинна врахувати, з належною увагою до терміново</w:t>
            </w:r>
            <w:r w:rsidR="00E60981" w:rsidRPr="00BE1959">
              <w:rPr>
                <w:rFonts w:ascii="Times New Roman" w:eastAsia="Times New Roman" w:hAnsi="Times New Roman" w:cs="Times New Roman"/>
                <w:sz w:val="24"/>
                <w:szCs w:val="24"/>
                <w:lang w:val="uk-UA"/>
              </w:rPr>
              <w:t>сті ситуації, потребу в наявності у клієнта достатнього часу на те, щоб ознайомитися з цією інформацією та зрозуміти її, перш ніж приймати інвестиційне рішення.</w:t>
            </w:r>
            <w:r w:rsidR="00790B63" w:rsidRPr="00BE1959">
              <w:rPr>
                <w:rFonts w:ascii="Times New Roman" w:eastAsia="Times New Roman" w:hAnsi="Times New Roman" w:cs="Times New Roman"/>
                <w:sz w:val="24"/>
                <w:szCs w:val="24"/>
                <w:lang w:val="uk-UA"/>
              </w:rPr>
              <w:t xml:space="preserve"> На вивчення наданої інформації про складний чи незнайомий продукт або послугу чи про продукт або послугу, досвіду роботи з якими клієнт не має, клієнт</w:t>
            </w:r>
            <w:r w:rsidR="00C5349C" w:rsidRPr="00BE1959">
              <w:rPr>
                <w:rFonts w:ascii="Times New Roman" w:eastAsia="Times New Roman" w:hAnsi="Times New Roman" w:cs="Times New Roman"/>
                <w:sz w:val="24"/>
                <w:szCs w:val="24"/>
                <w:lang w:val="uk-UA"/>
              </w:rPr>
              <w:t>у може знадобитися більше часу, ніж на розгляд простішого або більш знайомого продукту чи послуги або у разі наявності у клієнта попереднього досвіду роботи з продуктом чи послугою.</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96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(84)</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6A1414" w:rsidP="0033188F">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Ніщо у цій директиві не повинно зобов’язувати інвестиційні фірми надавати всю потрібну інформацію про інвестиційну фірму, фінансові інструменти, вартість і відповідні витрати або стосовно захисту фінансових інструментів чи коштів клієнтів негайно або одночасно</w:t>
            </w:r>
            <w:r w:rsidR="0033188F" w:rsidRPr="00BE1959">
              <w:rPr>
                <w:rFonts w:ascii="Times New Roman" w:eastAsia="Times New Roman" w:hAnsi="Times New Roman" w:cs="Times New Roman"/>
                <w:sz w:val="24"/>
                <w:szCs w:val="24"/>
                <w:lang w:val="uk-UA"/>
              </w:rPr>
              <w:t>, за умови, що вони виконують загальний обов’язок надавати необхідну інформацію завчасно до строку, встановленого в цій директиві. За умови, що інформація доводиться до відому клієнта завчасно до надання послуги, ніщо в цій директиві не зобов’язує фірми надавати її або окремо, або шляхом включення цієї інформації в угоду з клієнтом.</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96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(85)</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B631CD" w:rsidP="00BB0617">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Послуга повинна вважатися наданою з ініціативи клієнта, якщо клієнт не затребував її у відповідь на персоналізоване звернення фірми або від її імені до даного конкретного клієнта, яке містить запрошення або спрямоване на здійснення впливу на клієнта стосовно конкретного фінансового інструмента або конкретної угоди.</w:t>
            </w:r>
            <w:r w:rsidR="000E67BE" w:rsidRPr="00BE1959">
              <w:rPr>
                <w:rFonts w:ascii="Times New Roman" w:eastAsia="Times New Roman" w:hAnsi="Times New Roman" w:cs="Times New Roman"/>
                <w:sz w:val="24"/>
                <w:szCs w:val="24"/>
                <w:lang w:val="uk-UA"/>
              </w:rPr>
              <w:t xml:space="preserve"> Послуга може вважатися наданою з ініціативи клієнта, незважаючи на те, що клієнт затребував її на основі звернення, що містить рекламу чи пропозицію фінансов</w:t>
            </w:r>
            <w:r w:rsidR="00132BB9" w:rsidRPr="00BE1959">
              <w:rPr>
                <w:rFonts w:ascii="Times New Roman" w:eastAsia="Times New Roman" w:hAnsi="Times New Roman" w:cs="Times New Roman"/>
                <w:sz w:val="24"/>
                <w:szCs w:val="24"/>
                <w:lang w:val="uk-UA"/>
              </w:rPr>
              <w:t xml:space="preserve">их інструментів, наданого будь-яким засобом, яке </w:t>
            </w:r>
            <w:r w:rsidR="00BB0617" w:rsidRPr="00BE1959">
              <w:rPr>
                <w:rFonts w:ascii="Times New Roman" w:eastAsia="Times New Roman" w:hAnsi="Times New Roman" w:cs="Times New Roman"/>
                <w:sz w:val="24"/>
                <w:szCs w:val="24"/>
                <w:lang w:val="uk-UA"/>
              </w:rPr>
              <w:t>за самим своїм характером є загальним і адресованим всьому населенню або більшій групі чи категорії фактичних або потенційних клієнтів.</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96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(86)</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E64B11" w:rsidP="002A6E0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Одна з цілей цієї директиви – захист інвесторів. Заходи з захисту інвесторів слід ад</w:t>
            </w:r>
            <w:r w:rsidR="000E315E" w:rsidRPr="00BE1959">
              <w:rPr>
                <w:rFonts w:ascii="Times New Roman" w:eastAsia="Times New Roman" w:hAnsi="Times New Roman" w:cs="Times New Roman"/>
                <w:sz w:val="24"/>
                <w:szCs w:val="24"/>
                <w:lang w:val="uk-UA"/>
              </w:rPr>
              <w:t>аптувати з урахуванням особлив</w:t>
            </w:r>
            <w:r w:rsidR="00DD75EE" w:rsidRPr="00BE1959">
              <w:rPr>
                <w:rFonts w:ascii="Times New Roman" w:eastAsia="Times New Roman" w:hAnsi="Times New Roman" w:cs="Times New Roman"/>
                <w:sz w:val="24"/>
                <w:szCs w:val="24"/>
                <w:lang w:val="uk-UA"/>
              </w:rPr>
              <w:t>остей кожної категорії інвесторів (роздрібних, професійних і контрагентів). Проте, з метою вдосконалення нормативної бази, застосовної до надання послуг незалежно від зацікавлених категорій клієнтів, доцільно уточнити, що принципи</w:t>
            </w:r>
            <w:r w:rsidR="00722B14" w:rsidRPr="00BE1959">
              <w:rPr>
                <w:rFonts w:ascii="Times New Roman" w:eastAsia="Times New Roman" w:hAnsi="Times New Roman" w:cs="Times New Roman"/>
                <w:sz w:val="24"/>
                <w:szCs w:val="24"/>
                <w:lang w:val="uk-UA"/>
              </w:rPr>
              <w:t xml:space="preserve"> чесної, справедливої та професійної роботи і обов’язок бути справедливим, відвертим і не вводити в оману</w:t>
            </w:r>
            <w:r w:rsidR="002A6E0B" w:rsidRPr="00BE1959">
              <w:rPr>
                <w:rFonts w:ascii="Times New Roman" w:eastAsia="Times New Roman" w:hAnsi="Times New Roman" w:cs="Times New Roman"/>
                <w:sz w:val="24"/>
                <w:szCs w:val="24"/>
                <w:lang w:val="uk-UA"/>
              </w:rPr>
              <w:t xml:space="preserve"> поширюються на відносини з будь-якими клієнтами.</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96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lastRenderedPageBreak/>
              <w:t>(87)</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2A6E0B" w:rsidP="00E6181F">
            <w:pPr>
              <w:spacing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Інвестиції, що передбачають </w:t>
            </w:r>
            <w:r w:rsidR="00A4298B" w:rsidRPr="00BE1959">
              <w:rPr>
                <w:rFonts w:ascii="Times New Roman" w:eastAsia="Times New Roman" w:hAnsi="Times New Roman" w:cs="Times New Roman"/>
                <w:sz w:val="24"/>
                <w:szCs w:val="24"/>
                <w:lang w:val="uk-UA"/>
              </w:rPr>
              <w:t xml:space="preserve">укладення договорів страхування, часто подаються клієнтам як можливі альтернативи або замінники фінансових інструментів, що підпадають під дію цієї директиви. Щоб забезпечити належний захист роздрібних клієнтів і однакові умови для схожих продуктів, важливо, щоб </w:t>
            </w:r>
            <w:r w:rsidR="0053630C" w:rsidRPr="00BE1959">
              <w:rPr>
                <w:rFonts w:ascii="Times New Roman" w:eastAsia="Times New Roman" w:hAnsi="Times New Roman" w:cs="Times New Roman"/>
                <w:sz w:val="24"/>
                <w:szCs w:val="24"/>
                <w:lang w:val="uk-UA"/>
              </w:rPr>
              <w:t>інвестиційні продукти, основані на страхуванні, підпадали під дію відповідних вимог. Хоча вимоги щодо захисту інвесторів, установлені у цій директив</w:t>
            </w:r>
            <w:r w:rsidR="0063334C" w:rsidRPr="00BE1959">
              <w:rPr>
                <w:rFonts w:ascii="Times New Roman" w:eastAsia="Times New Roman" w:hAnsi="Times New Roman" w:cs="Times New Roman"/>
                <w:sz w:val="24"/>
                <w:szCs w:val="24"/>
                <w:lang w:val="uk-UA"/>
              </w:rPr>
              <w:t xml:space="preserve">і, повинні, враховуючи вищевикладене, рівною мірою поширюватися на інвестиції, передбачені договорами страхування, </w:t>
            </w:r>
            <w:r w:rsidR="00EF4802" w:rsidRPr="00BE1959">
              <w:rPr>
                <w:rFonts w:ascii="Times New Roman" w:eastAsia="Times New Roman" w:hAnsi="Times New Roman" w:cs="Times New Roman"/>
                <w:sz w:val="24"/>
                <w:szCs w:val="24"/>
                <w:lang w:val="uk-UA"/>
              </w:rPr>
              <w:t>інша структура цього ринку та інші характеристики цих продуктів обумовлюють доцільність викладення детальних вимог у переглянутій Директиві</w:t>
            </w:r>
            <w:r w:rsidR="005613AB" w:rsidRPr="00BE1959">
              <w:rPr>
                <w:rFonts w:ascii="Times New Roman" w:eastAsia="Times New Roman" w:hAnsi="Times New Roman" w:cs="Times New Roman"/>
                <w:sz w:val="24"/>
                <w:szCs w:val="24"/>
                <w:lang w:val="uk-UA"/>
              </w:rPr>
              <w:t xml:space="preserve"> 2002/92/EC</w:t>
            </w:r>
            <w:r w:rsidR="00EF4802" w:rsidRPr="00BE1959">
              <w:rPr>
                <w:rFonts w:ascii="Times New Roman" w:eastAsia="Times New Roman" w:hAnsi="Times New Roman" w:cs="Times New Roman"/>
                <w:sz w:val="24"/>
                <w:szCs w:val="24"/>
                <w:lang w:val="uk-UA"/>
              </w:rPr>
              <w:t xml:space="preserve">, перегляд якої наразі здійснюється, а не у цій директиві. Тому майбутнє законодавство Союзу, що регулюватиме діяльність страхових посередників та страхових компаній, </w:t>
            </w:r>
            <w:r w:rsidR="00C73623" w:rsidRPr="00BE1959">
              <w:rPr>
                <w:rFonts w:ascii="Times New Roman" w:eastAsia="Times New Roman" w:hAnsi="Times New Roman" w:cs="Times New Roman"/>
                <w:sz w:val="24"/>
                <w:szCs w:val="24"/>
                <w:lang w:val="uk-UA"/>
              </w:rPr>
              <w:t xml:space="preserve">повинно належним чином забезпечити застосування узгодженого регуляторного підходу щодо збуту різних фінансових продуктів, які задовольняють схожі потреби інвесторів </w:t>
            </w:r>
            <w:r w:rsidR="00884ACD" w:rsidRPr="00BE1959">
              <w:rPr>
                <w:rFonts w:ascii="Times New Roman" w:eastAsia="Times New Roman" w:hAnsi="Times New Roman" w:cs="Times New Roman"/>
                <w:sz w:val="24"/>
                <w:szCs w:val="24"/>
                <w:lang w:val="uk-UA"/>
              </w:rPr>
              <w:t>і тому викликають порівнянні проблеми захисту інвесторів. Європейський наглядовий орган (Європейська служба нагляду у сфері страхування і недержавного пенсійного забезпечення (ЕІОРА)</w:t>
            </w:r>
            <w:r w:rsidR="00E8166C" w:rsidRPr="00BE1959">
              <w:rPr>
                <w:rFonts w:ascii="Times New Roman" w:eastAsia="Times New Roman" w:hAnsi="Times New Roman" w:cs="Times New Roman"/>
                <w:sz w:val="24"/>
                <w:szCs w:val="24"/>
                <w:lang w:val="uk-UA"/>
              </w:rPr>
              <w:t>), створений Регламентом</w:t>
            </w:r>
            <w:r w:rsidR="005613AB" w:rsidRPr="00BE1959">
              <w:rPr>
                <w:rFonts w:ascii="Times New Roman" w:eastAsia="Times New Roman" w:hAnsi="Times New Roman" w:cs="Times New Roman"/>
                <w:sz w:val="24"/>
                <w:szCs w:val="24"/>
                <w:lang w:val="uk-UA"/>
              </w:rPr>
              <w:t xml:space="preserve"> </w:t>
            </w:r>
            <w:r w:rsidR="00DB4825" w:rsidRPr="00BE1959">
              <w:rPr>
                <w:rFonts w:ascii="Times New Roman" w:eastAsia="Times New Roman" w:hAnsi="Times New Roman" w:cs="Times New Roman"/>
                <w:sz w:val="24"/>
                <w:szCs w:val="24"/>
                <w:lang w:val="uk-UA"/>
              </w:rPr>
              <w:t>(EU) №</w:t>
            </w:r>
            <w:r w:rsidR="005613AB" w:rsidRPr="00BE1959">
              <w:rPr>
                <w:rFonts w:ascii="Times New Roman" w:eastAsia="Times New Roman" w:hAnsi="Times New Roman" w:cs="Times New Roman"/>
                <w:sz w:val="24"/>
                <w:szCs w:val="24"/>
                <w:lang w:val="uk-UA"/>
              </w:rPr>
              <w:t xml:space="preserve"> 1094/2010 </w:t>
            </w:r>
            <w:r w:rsidR="00423154" w:rsidRPr="00BE1959">
              <w:rPr>
                <w:rFonts w:ascii="Times New Roman" w:eastAsia="Times New Roman" w:hAnsi="Times New Roman" w:cs="Times New Roman"/>
                <w:sz w:val="24"/>
                <w:szCs w:val="24"/>
                <w:lang w:val="uk-UA"/>
              </w:rPr>
              <w:t>Європейського Парламенту та Ради</w:t>
            </w:r>
            <w:hyperlink r:id="rId35" w:anchor="ntr30-L_2014173EN.01034901-E0030" w:history="1">
              <w:r w:rsidR="005613AB" w:rsidRPr="00BE1959">
                <w:rPr>
                  <w:rFonts w:ascii="Times New Roman" w:eastAsia="Times New Roman" w:hAnsi="Times New Roman" w:cs="Times New Roman"/>
                  <w:sz w:val="24"/>
                  <w:szCs w:val="24"/>
                  <w:bdr w:val="none" w:sz="0" w:space="0" w:color="auto" w:frame="1"/>
                  <w:lang w:val="uk-UA"/>
                </w:rPr>
                <w:t> (</w:t>
              </w:r>
              <w:r w:rsidR="005613AB" w:rsidRPr="00BE1959">
                <w:rPr>
                  <w:rFonts w:ascii="Times New Roman" w:eastAsia="Times New Roman" w:hAnsi="Times New Roman" w:cs="Times New Roman"/>
                  <w:sz w:val="24"/>
                  <w:szCs w:val="24"/>
                  <w:bdr w:val="none" w:sz="0" w:space="0" w:color="auto" w:frame="1"/>
                  <w:vertAlign w:val="superscript"/>
                  <w:lang w:val="uk-UA"/>
                </w:rPr>
                <w:t>30</w:t>
              </w:r>
              <w:r w:rsidR="005613AB" w:rsidRPr="00BE1959">
                <w:rPr>
                  <w:rFonts w:ascii="Times New Roman" w:eastAsia="Times New Roman" w:hAnsi="Times New Roman" w:cs="Times New Roman"/>
                  <w:sz w:val="24"/>
                  <w:szCs w:val="24"/>
                  <w:bdr w:val="none" w:sz="0" w:space="0" w:color="auto" w:frame="1"/>
                  <w:lang w:val="uk-UA"/>
                </w:rPr>
                <w:t>)</w:t>
              </w:r>
            </w:hyperlink>
            <w:r w:rsidR="00E8166C" w:rsidRPr="00BE1959">
              <w:rPr>
                <w:rFonts w:ascii="Times New Roman" w:eastAsia="Times New Roman" w:hAnsi="Times New Roman" w:cs="Times New Roman"/>
                <w:sz w:val="24"/>
                <w:szCs w:val="24"/>
                <w:bdr w:val="none" w:sz="0" w:space="0" w:color="auto" w:frame="1"/>
                <w:lang w:val="uk-UA"/>
              </w:rPr>
              <w:t>, та</w:t>
            </w:r>
            <w:r w:rsidR="005613AB" w:rsidRPr="00BE1959">
              <w:rPr>
                <w:rFonts w:ascii="Times New Roman" w:eastAsia="Times New Roman" w:hAnsi="Times New Roman" w:cs="Times New Roman"/>
                <w:sz w:val="24"/>
                <w:szCs w:val="24"/>
                <w:lang w:val="uk-UA"/>
              </w:rPr>
              <w:t xml:space="preserve"> ESMA</w:t>
            </w:r>
            <w:r w:rsidR="00E8166C" w:rsidRPr="00BE1959">
              <w:rPr>
                <w:rFonts w:ascii="Times New Roman" w:eastAsia="Times New Roman" w:hAnsi="Times New Roman" w:cs="Times New Roman"/>
                <w:sz w:val="24"/>
                <w:szCs w:val="24"/>
                <w:lang w:val="uk-UA"/>
              </w:rPr>
              <w:t xml:space="preserve"> повинні працювати разом над забезпеченням якомога більшої послідовності в стандартах ведення діяльності щодо цих інвестиційних продуктів.</w:t>
            </w:r>
            <w:r w:rsidR="00E6181F" w:rsidRPr="00BE1959">
              <w:rPr>
                <w:rFonts w:ascii="Times New Roman" w:eastAsia="Times New Roman" w:hAnsi="Times New Roman" w:cs="Times New Roman"/>
                <w:sz w:val="24"/>
                <w:szCs w:val="24"/>
                <w:lang w:val="uk-UA"/>
              </w:rPr>
              <w:t xml:space="preserve"> Ці нові вимоги до інвестиційних продуктів на основі страхування повинні бути викладені у Директиві</w:t>
            </w:r>
            <w:r w:rsidR="005613AB" w:rsidRPr="00BE1959">
              <w:rPr>
                <w:rFonts w:ascii="Times New Roman" w:eastAsia="Times New Roman" w:hAnsi="Times New Roman" w:cs="Times New Roman"/>
                <w:sz w:val="24"/>
                <w:szCs w:val="24"/>
                <w:lang w:val="uk-UA"/>
              </w:rPr>
              <w:t xml:space="preserve"> 2002/92/EC.</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96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(88)</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206E23" w:rsidP="00206E23">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Для того, щоб узгодити правила стосовно конфліктів інтересів, загальних принципів та інформування споживачів і дозволити державам-членам накладати обмеження на оплату праці страхових посередників, необхідно внести відповідні зміни у Директиву </w:t>
            </w:r>
            <w:r w:rsidR="005613AB" w:rsidRPr="00BE1959">
              <w:rPr>
                <w:rFonts w:ascii="Times New Roman" w:eastAsia="Times New Roman" w:hAnsi="Times New Roman" w:cs="Times New Roman"/>
                <w:sz w:val="24"/>
                <w:szCs w:val="24"/>
                <w:lang w:val="uk-UA"/>
              </w:rPr>
              <w:t>2002/92/EC.</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96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(89)</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1B60C1" w:rsidP="00172871">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Інвестиційні продукти на основі страхування, які не передбачають інвестиційних можливостей</w:t>
            </w:r>
            <w:r w:rsidR="00172871" w:rsidRPr="00BE1959">
              <w:rPr>
                <w:rFonts w:ascii="Times New Roman" w:eastAsia="Times New Roman" w:hAnsi="Times New Roman" w:cs="Times New Roman"/>
                <w:sz w:val="24"/>
                <w:szCs w:val="24"/>
                <w:lang w:val="uk-UA"/>
              </w:rPr>
              <w:t>,</w:t>
            </w:r>
            <w:r w:rsidRPr="00BE1959">
              <w:rPr>
                <w:rFonts w:ascii="Times New Roman" w:eastAsia="Times New Roman" w:hAnsi="Times New Roman" w:cs="Times New Roman"/>
                <w:sz w:val="24"/>
                <w:szCs w:val="24"/>
                <w:lang w:val="uk-UA"/>
              </w:rPr>
              <w:t xml:space="preserve"> і депозит</w:t>
            </w:r>
            <w:r w:rsidR="00172871" w:rsidRPr="00BE1959">
              <w:rPr>
                <w:rFonts w:ascii="Times New Roman" w:eastAsia="Times New Roman" w:hAnsi="Times New Roman" w:cs="Times New Roman"/>
                <w:sz w:val="24"/>
                <w:szCs w:val="24"/>
                <w:lang w:val="uk-UA"/>
              </w:rPr>
              <w:t>и</w:t>
            </w:r>
            <w:r w:rsidRPr="00BE1959">
              <w:rPr>
                <w:rFonts w:ascii="Times New Roman" w:eastAsia="Times New Roman" w:hAnsi="Times New Roman" w:cs="Times New Roman"/>
                <w:sz w:val="24"/>
                <w:szCs w:val="24"/>
                <w:lang w:val="uk-UA"/>
              </w:rPr>
              <w:t xml:space="preserve">, </w:t>
            </w:r>
            <w:r w:rsidR="00504A59" w:rsidRPr="00BE1959">
              <w:rPr>
                <w:rFonts w:ascii="Times New Roman" w:eastAsia="Times New Roman" w:hAnsi="Times New Roman" w:cs="Times New Roman"/>
                <w:sz w:val="24"/>
                <w:szCs w:val="24"/>
                <w:lang w:val="uk-UA"/>
              </w:rPr>
              <w:t xml:space="preserve">що передбачають виключно відсоткові ставки, повинні бути виключені зі сфери дії цієї директиви. </w:t>
            </w:r>
            <w:r w:rsidR="00172871" w:rsidRPr="00BE1959">
              <w:rPr>
                <w:rFonts w:ascii="Times New Roman" w:eastAsia="Times New Roman" w:hAnsi="Times New Roman" w:cs="Times New Roman"/>
                <w:sz w:val="24"/>
                <w:szCs w:val="24"/>
                <w:lang w:val="uk-UA"/>
              </w:rPr>
              <w:t>Індивідуальні та професійні пенсійні продукти, головна задача яких – надавати інвесторові дохід після виходу на пенсію, повинні бути виключені зі сфери дії цієї директиви, ураховуючи їхні особливості та цілі.</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96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(90)</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9B76F5" w:rsidP="001B237F">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У порядку відступу від принципу надання дозволу, нагляду і </w:t>
            </w:r>
            <w:r w:rsidR="00D537D3" w:rsidRPr="00BE1959">
              <w:rPr>
                <w:rFonts w:ascii="Times New Roman" w:eastAsia="Times New Roman" w:hAnsi="Times New Roman" w:cs="Times New Roman"/>
                <w:sz w:val="24"/>
                <w:szCs w:val="24"/>
                <w:lang w:val="uk-UA"/>
              </w:rPr>
              <w:t>забезпечення виконання зобов’язань стосовно діяльності філій</w:t>
            </w:r>
            <w:r w:rsidRPr="00BE1959">
              <w:rPr>
                <w:rFonts w:ascii="Times New Roman" w:eastAsia="Times New Roman" w:hAnsi="Times New Roman" w:cs="Times New Roman"/>
                <w:sz w:val="24"/>
                <w:szCs w:val="24"/>
                <w:lang w:val="uk-UA"/>
              </w:rPr>
              <w:t xml:space="preserve"> </w:t>
            </w:r>
            <w:r w:rsidR="00D537D3" w:rsidRPr="00BE1959">
              <w:rPr>
                <w:rFonts w:ascii="Times New Roman" w:eastAsia="Times New Roman" w:hAnsi="Times New Roman" w:cs="Times New Roman"/>
                <w:sz w:val="24"/>
                <w:szCs w:val="24"/>
                <w:lang w:val="uk-UA"/>
              </w:rPr>
              <w:t>у</w:t>
            </w:r>
            <w:r w:rsidRPr="00BE1959">
              <w:rPr>
                <w:rFonts w:ascii="Times New Roman" w:eastAsia="Times New Roman" w:hAnsi="Times New Roman" w:cs="Times New Roman"/>
                <w:sz w:val="24"/>
                <w:szCs w:val="24"/>
                <w:lang w:val="uk-UA"/>
              </w:rPr>
              <w:t xml:space="preserve"> державі-члені походження, </w:t>
            </w:r>
            <w:r w:rsidR="00D537D3" w:rsidRPr="00BE1959">
              <w:rPr>
                <w:rFonts w:ascii="Times New Roman" w:eastAsia="Times New Roman" w:hAnsi="Times New Roman" w:cs="Times New Roman"/>
                <w:sz w:val="24"/>
                <w:szCs w:val="24"/>
                <w:lang w:val="uk-UA"/>
              </w:rPr>
              <w:t>доречно, щоб компетентний орган держави-члена походження взяв на себе відповідальність за забезпечення виконання певних зобов’язань, установлених у цій директиві стосовно діяльності, що ведеться через філію</w:t>
            </w:r>
            <w:r w:rsidR="00A653CD" w:rsidRPr="00BE1959">
              <w:rPr>
                <w:rFonts w:ascii="Times New Roman" w:eastAsia="Times New Roman" w:hAnsi="Times New Roman" w:cs="Times New Roman"/>
                <w:sz w:val="24"/>
                <w:szCs w:val="24"/>
                <w:lang w:val="uk-UA"/>
              </w:rPr>
              <w:t xml:space="preserve">, у межах території, на якій розташована філія, тому що цей орган є найближчим до філії і має кращі можливості для виявлення порушень правил, регламентуючих діяльність філії, та вжиття відповідних заходів. </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96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lastRenderedPageBreak/>
              <w:t>(91)</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4D293E" w:rsidP="004D293E">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Необхідно встановити ефективне зобов’язання щодо «якнайкращого виконання», покликане забезпечити, щоб інвестиційні фірми виконували замовлення клієнтів на умовах, які є найбільш сприятливими для клієнтів. Це зобов’язання повинно діяти у випадках, де фірма має договірні або агентські зобов’язання перед клієнтом.</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96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(92)</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EC20CF" w:rsidP="00AA1FA6">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Ураховуючи</w:t>
            </w:r>
            <w:r w:rsidR="004301BF" w:rsidRPr="00BE1959">
              <w:rPr>
                <w:rFonts w:ascii="Times New Roman" w:eastAsia="Times New Roman" w:hAnsi="Times New Roman" w:cs="Times New Roman"/>
                <w:sz w:val="24"/>
                <w:szCs w:val="24"/>
                <w:lang w:val="uk-UA"/>
              </w:rPr>
              <w:t xml:space="preserve">, що </w:t>
            </w:r>
            <w:r w:rsidR="006F74F5" w:rsidRPr="00BE1959">
              <w:rPr>
                <w:rFonts w:ascii="Times New Roman" w:eastAsia="Times New Roman" w:hAnsi="Times New Roman" w:cs="Times New Roman"/>
                <w:sz w:val="24"/>
                <w:szCs w:val="24"/>
                <w:lang w:val="uk-UA"/>
              </w:rPr>
              <w:t xml:space="preserve">наразі у Союзі діє ширше коло місць виконання угод, доречно </w:t>
            </w:r>
            <w:r w:rsidR="002B78F2" w:rsidRPr="00BE1959">
              <w:rPr>
                <w:rFonts w:ascii="Times New Roman" w:eastAsia="Times New Roman" w:hAnsi="Times New Roman" w:cs="Times New Roman"/>
                <w:sz w:val="24"/>
                <w:szCs w:val="24"/>
                <w:lang w:val="uk-UA"/>
              </w:rPr>
              <w:t xml:space="preserve">вдосконалити базу якнайкращого виконання для роздрібних інвесторів. </w:t>
            </w:r>
            <w:r w:rsidR="00BB11EB" w:rsidRPr="00BE1959">
              <w:rPr>
                <w:rFonts w:ascii="Times New Roman" w:eastAsia="Times New Roman" w:hAnsi="Times New Roman" w:cs="Times New Roman"/>
                <w:sz w:val="24"/>
                <w:szCs w:val="24"/>
                <w:lang w:val="uk-UA"/>
              </w:rPr>
              <w:t>При застосуванні бази якнайкращого виконання слід ураховувати д</w:t>
            </w:r>
            <w:r w:rsidR="002B78F2" w:rsidRPr="00BE1959">
              <w:rPr>
                <w:rFonts w:ascii="Times New Roman" w:eastAsia="Times New Roman" w:hAnsi="Times New Roman" w:cs="Times New Roman"/>
                <w:sz w:val="24"/>
                <w:szCs w:val="24"/>
                <w:lang w:val="uk-UA"/>
              </w:rPr>
              <w:t xml:space="preserve">осягнення у сфері технології для </w:t>
            </w:r>
            <w:r w:rsidR="0069253E" w:rsidRPr="00BE1959">
              <w:rPr>
                <w:rFonts w:ascii="Times New Roman" w:eastAsia="Times New Roman" w:hAnsi="Times New Roman" w:cs="Times New Roman"/>
                <w:sz w:val="24"/>
                <w:szCs w:val="24"/>
                <w:lang w:val="uk-UA"/>
              </w:rPr>
              <w:t xml:space="preserve">контролю якнайкращого виконання </w:t>
            </w:r>
            <w:r w:rsidR="00BB11EB" w:rsidRPr="00BE1959">
              <w:rPr>
                <w:rFonts w:ascii="Times New Roman" w:eastAsia="Times New Roman" w:hAnsi="Times New Roman" w:cs="Times New Roman"/>
                <w:sz w:val="24"/>
                <w:szCs w:val="24"/>
                <w:lang w:val="uk-UA"/>
              </w:rPr>
              <w:t>відповідно до другого і третього абзаців статті 27(1).</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96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(93)</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C817D1" w:rsidP="00972D07">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Для цілей </w:t>
            </w:r>
            <w:r w:rsidR="00070D76" w:rsidRPr="00BE1959">
              <w:rPr>
                <w:rFonts w:ascii="Times New Roman" w:eastAsia="Times New Roman" w:hAnsi="Times New Roman" w:cs="Times New Roman"/>
                <w:sz w:val="24"/>
                <w:szCs w:val="24"/>
                <w:lang w:val="uk-UA"/>
              </w:rPr>
              <w:t>визначення якнайкращого виконання при виконанні замовлень роздрібних клієнтів витрати, пов'язані з виконанням, повинні включати власні комісійні або гонорари інвестиційної фірми</w:t>
            </w:r>
            <w:r w:rsidR="000F1E2E" w:rsidRPr="00BE1959">
              <w:rPr>
                <w:rFonts w:ascii="Times New Roman" w:eastAsia="Times New Roman" w:hAnsi="Times New Roman" w:cs="Times New Roman"/>
                <w:sz w:val="24"/>
                <w:szCs w:val="24"/>
                <w:lang w:val="uk-UA"/>
              </w:rPr>
              <w:t xml:space="preserve">, стягувані з клієнта в обмежених цілях, якщо </w:t>
            </w:r>
            <w:r w:rsidR="00276F5A" w:rsidRPr="00BE1959">
              <w:rPr>
                <w:rFonts w:ascii="Times New Roman" w:eastAsia="Times New Roman" w:hAnsi="Times New Roman" w:cs="Times New Roman"/>
                <w:sz w:val="24"/>
                <w:szCs w:val="24"/>
                <w:lang w:val="uk-UA"/>
              </w:rPr>
              <w:t xml:space="preserve">більш ніж один торговельний майданчик, згаданий у </w:t>
            </w:r>
            <w:r w:rsidR="006C5781" w:rsidRPr="00BE1959">
              <w:rPr>
                <w:rFonts w:ascii="Times New Roman" w:eastAsia="Times New Roman" w:hAnsi="Times New Roman" w:cs="Times New Roman"/>
                <w:sz w:val="24"/>
                <w:szCs w:val="24"/>
                <w:lang w:val="uk-UA"/>
              </w:rPr>
              <w:t>правилах</w:t>
            </w:r>
            <w:r w:rsidR="00276F5A" w:rsidRPr="00BE1959">
              <w:rPr>
                <w:rFonts w:ascii="Times New Roman" w:eastAsia="Times New Roman" w:hAnsi="Times New Roman" w:cs="Times New Roman"/>
                <w:sz w:val="24"/>
                <w:szCs w:val="24"/>
                <w:lang w:val="uk-UA"/>
              </w:rPr>
              <w:t xml:space="preserve"> виконання</w:t>
            </w:r>
            <w:r w:rsidR="006C5781" w:rsidRPr="00BE1959">
              <w:rPr>
                <w:rFonts w:ascii="Times New Roman" w:eastAsia="Times New Roman" w:hAnsi="Times New Roman" w:cs="Times New Roman"/>
                <w:sz w:val="24"/>
                <w:szCs w:val="24"/>
                <w:lang w:val="uk-UA"/>
              </w:rPr>
              <w:t xml:space="preserve"> замовлень фірми</w:t>
            </w:r>
            <w:r w:rsidR="00276F5A" w:rsidRPr="00BE1959">
              <w:rPr>
                <w:rFonts w:ascii="Times New Roman" w:eastAsia="Times New Roman" w:hAnsi="Times New Roman" w:cs="Times New Roman"/>
                <w:sz w:val="24"/>
                <w:szCs w:val="24"/>
                <w:lang w:val="uk-UA"/>
              </w:rPr>
              <w:t>, здатний виконати конкретне замовлення.</w:t>
            </w:r>
            <w:r w:rsidR="006D5BAF" w:rsidRPr="00BE1959">
              <w:rPr>
                <w:rFonts w:ascii="Times New Roman" w:eastAsia="Times New Roman" w:hAnsi="Times New Roman" w:cs="Times New Roman"/>
                <w:sz w:val="24"/>
                <w:szCs w:val="24"/>
                <w:lang w:val="uk-UA"/>
              </w:rPr>
              <w:t xml:space="preserve"> У таких випадках власні комісійні фірми та витрати на</w:t>
            </w:r>
            <w:r w:rsidR="00E04AA7" w:rsidRPr="00BE1959">
              <w:rPr>
                <w:rFonts w:ascii="Times New Roman" w:eastAsia="Times New Roman" w:hAnsi="Times New Roman" w:cs="Times New Roman"/>
                <w:sz w:val="24"/>
                <w:szCs w:val="24"/>
                <w:lang w:val="uk-UA"/>
              </w:rPr>
              <w:t xml:space="preserve"> виконання замовлення на кожному з місць</w:t>
            </w:r>
            <w:r w:rsidR="006D5BAF" w:rsidRPr="00BE1959">
              <w:rPr>
                <w:rFonts w:ascii="Times New Roman" w:eastAsia="Times New Roman" w:hAnsi="Times New Roman" w:cs="Times New Roman"/>
                <w:sz w:val="24"/>
                <w:szCs w:val="24"/>
                <w:lang w:val="uk-UA"/>
              </w:rPr>
              <w:t xml:space="preserve"> </w:t>
            </w:r>
            <w:r w:rsidR="00BD65D1" w:rsidRPr="00BE1959">
              <w:rPr>
                <w:rFonts w:ascii="Times New Roman" w:eastAsia="Times New Roman" w:hAnsi="Times New Roman" w:cs="Times New Roman"/>
                <w:sz w:val="24"/>
                <w:szCs w:val="24"/>
                <w:lang w:val="uk-UA"/>
              </w:rPr>
              <w:t xml:space="preserve">виконання, що відповідають критеріям, </w:t>
            </w:r>
            <w:r w:rsidR="00C91D91" w:rsidRPr="00BE1959">
              <w:rPr>
                <w:rFonts w:ascii="Times New Roman" w:eastAsia="Times New Roman" w:hAnsi="Times New Roman" w:cs="Times New Roman"/>
                <w:sz w:val="24"/>
                <w:szCs w:val="24"/>
                <w:lang w:val="uk-UA"/>
              </w:rPr>
              <w:t>повинні враховуватися на предмет оцінювання і порівняння результатів для клієнта, які були б досягнуті шляхом виконання замовлення на кожному такому місці.</w:t>
            </w:r>
            <w:r w:rsidR="00BD65D1" w:rsidRPr="00BE1959">
              <w:rPr>
                <w:rFonts w:ascii="Times New Roman" w:eastAsia="Times New Roman" w:hAnsi="Times New Roman" w:cs="Times New Roman"/>
                <w:sz w:val="24"/>
                <w:szCs w:val="24"/>
                <w:lang w:val="uk-UA"/>
              </w:rPr>
              <w:t xml:space="preserve"> </w:t>
            </w:r>
            <w:r w:rsidR="00C91D91" w:rsidRPr="00BE1959">
              <w:rPr>
                <w:rFonts w:ascii="Times New Roman" w:eastAsia="Times New Roman" w:hAnsi="Times New Roman" w:cs="Times New Roman"/>
                <w:sz w:val="24"/>
                <w:szCs w:val="24"/>
                <w:lang w:val="uk-UA"/>
              </w:rPr>
              <w:t xml:space="preserve">Разом з тим, це не означає, що фірма повинна порівнювати </w:t>
            </w:r>
            <w:r w:rsidR="006C5781" w:rsidRPr="00BE1959">
              <w:rPr>
                <w:rFonts w:ascii="Times New Roman" w:eastAsia="Times New Roman" w:hAnsi="Times New Roman" w:cs="Times New Roman"/>
                <w:sz w:val="24"/>
                <w:szCs w:val="24"/>
                <w:lang w:val="uk-UA"/>
              </w:rPr>
              <w:t>результати, які були б досягнуті для клієнта на основі її власних правил виконання замовлень</w:t>
            </w:r>
            <w:r w:rsidR="00D46F26" w:rsidRPr="00BE1959">
              <w:rPr>
                <w:rFonts w:ascii="Times New Roman" w:eastAsia="Times New Roman" w:hAnsi="Times New Roman" w:cs="Times New Roman"/>
                <w:sz w:val="24"/>
                <w:szCs w:val="24"/>
                <w:lang w:val="uk-UA"/>
              </w:rPr>
              <w:t xml:space="preserve"> та з її власними комісійними та гонорарами, з результатами, яких мо</w:t>
            </w:r>
            <w:r w:rsidR="00DA11C7" w:rsidRPr="00BE1959">
              <w:rPr>
                <w:rFonts w:ascii="Times New Roman" w:eastAsia="Times New Roman" w:hAnsi="Times New Roman" w:cs="Times New Roman"/>
                <w:sz w:val="24"/>
                <w:szCs w:val="24"/>
                <w:lang w:val="uk-UA"/>
              </w:rPr>
              <w:t>гла</w:t>
            </w:r>
            <w:r w:rsidR="00D46F26" w:rsidRPr="00BE1959">
              <w:rPr>
                <w:rFonts w:ascii="Times New Roman" w:eastAsia="Times New Roman" w:hAnsi="Times New Roman" w:cs="Times New Roman"/>
                <w:sz w:val="24"/>
                <w:szCs w:val="24"/>
                <w:lang w:val="uk-UA"/>
              </w:rPr>
              <w:t xml:space="preserve"> б досягти для цього ж клієнта </w:t>
            </w:r>
            <w:r w:rsidR="00DA11C7" w:rsidRPr="00BE1959">
              <w:rPr>
                <w:rFonts w:ascii="Times New Roman" w:eastAsia="Times New Roman" w:hAnsi="Times New Roman" w:cs="Times New Roman"/>
                <w:sz w:val="24"/>
                <w:szCs w:val="24"/>
                <w:lang w:val="uk-UA"/>
              </w:rPr>
              <w:t xml:space="preserve">будь-яка інша інвестиційна фірма на основі інших правил виконання або іншої структури комісійних чи гонорарів. Це також не означає, що фірма повинна порівнювати відмінності у власних комісійних, які викликані відмінностями у характері послуг, </w:t>
            </w:r>
            <w:r w:rsidR="00972D07" w:rsidRPr="00BE1959">
              <w:rPr>
                <w:rFonts w:ascii="Times New Roman" w:eastAsia="Times New Roman" w:hAnsi="Times New Roman" w:cs="Times New Roman"/>
                <w:sz w:val="24"/>
                <w:szCs w:val="24"/>
                <w:lang w:val="uk-UA"/>
              </w:rPr>
              <w:t>котрі фірма надає клієнтам.</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96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(94)</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EC076B" w:rsidP="00245231">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Положення цієї директиви, які передбачають, що витрати на виконання повинні включати власні комісійні або гонорари інвестиційної фірми, стягувані з клієнта з надання йому </w:t>
            </w:r>
            <w:r w:rsidR="0089261D" w:rsidRPr="00BE1959">
              <w:rPr>
                <w:rFonts w:ascii="Times New Roman" w:eastAsia="Times New Roman" w:hAnsi="Times New Roman" w:cs="Times New Roman"/>
                <w:sz w:val="24"/>
                <w:szCs w:val="24"/>
                <w:lang w:val="uk-UA"/>
              </w:rPr>
              <w:t xml:space="preserve">інвестиційної послуги, не повинні враховуватися в цілях визначення того, які місця виконання замовлень слід включати в правила виконання замовлень фірми в цілях </w:t>
            </w:r>
            <w:r w:rsidR="00245231" w:rsidRPr="00BE1959">
              <w:rPr>
                <w:rFonts w:ascii="Times New Roman" w:eastAsia="Times New Roman" w:hAnsi="Times New Roman" w:cs="Times New Roman"/>
                <w:sz w:val="24"/>
                <w:szCs w:val="24"/>
                <w:lang w:val="uk-UA"/>
              </w:rPr>
              <w:t>27(5) цієї директиви.</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96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(95)</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245231" w:rsidP="00D765B2">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Слід вважати, що інвестиційна фірма розраховує або стягує </w:t>
            </w:r>
            <w:r w:rsidR="00C06BEB" w:rsidRPr="00BE1959">
              <w:rPr>
                <w:rFonts w:ascii="Times New Roman" w:eastAsia="Times New Roman" w:hAnsi="Times New Roman" w:cs="Times New Roman"/>
                <w:sz w:val="24"/>
                <w:szCs w:val="24"/>
                <w:lang w:val="uk-UA"/>
              </w:rPr>
              <w:t>свої комісійні у спосіб, який є несправедливою дискримінацією місць виконання замовлень, якщо вона стягує різні комісійні або спреди з клі</w:t>
            </w:r>
            <w:r w:rsidR="00D13844" w:rsidRPr="00BE1959">
              <w:rPr>
                <w:rFonts w:ascii="Times New Roman" w:eastAsia="Times New Roman" w:hAnsi="Times New Roman" w:cs="Times New Roman"/>
                <w:sz w:val="24"/>
                <w:szCs w:val="24"/>
                <w:lang w:val="uk-UA"/>
              </w:rPr>
              <w:t>єнтів</w:t>
            </w:r>
            <w:r w:rsidR="00BB7E03" w:rsidRPr="00BE1959">
              <w:rPr>
                <w:rFonts w:ascii="Times New Roman" w:eastAsia="Times New Roman" w:hAnsi="Times New Roman" w:cs="Times New Roman"/>
                <w:sz w:val="24"/>
                <w:szCs w:val="24"/>
                <w:lang w:val="uk-UA"/>
              </w:rPr>
              <w:t xml:space="preserve"> за виконання замовлень у різних місцях і ця різниця не відображає фактичну різницю у вартості виконання замовлень у цих місцях</w:t>
            </w:r>
            <w:r w:rsidR="00D765B2" w:rsidRPr="00BE1959">
              <w:rPr>
                <w:rFonts w:ascii="Times New Roman" w:eastAsia="Times New Roman" w:hAnsi="Times New Roman" w:cs="Times New Roman"/>
                <w:sz w:val="24"/>
                <w:szCs w:val="24"/>
                <w:lang w:val="uk-UA"/>
              </w:rPr>
              <w:t xml:space="preserve"> для даної фірми.</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96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(96)</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D765B2" w:rsidP="00B15583">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Для того, щоб покращити </w:t>
            </w:r>
            <w:r w:rsidR="00A26E93" w:rsidRPr="00BE1959">
              <w:rPr>
                <w:rFonts w:ascii="Times New Roman" w:eastAsia="Times New Roman" w:hAnsi="Times New Roman" w:cs="Times New Roman"/>
                <w:sz w:val="24"/>
                <w:szCs w:val="24"/>
                <w:lang w:val="uk-UA"/>
              </w:rPr>
              <w:t xml:space="preserve">умови, за яких інвестиційні фірми дотримуються свого зобов’язання виконувати замовлення на умовах, найбільш сприятливих для їхніх клієнтів, відповідно до цієї директиви, </w:t>
            </w:r>
            <w:r w:rsidR="002E6E47" w:rsidRPr="00BE1959">
              <w:rPr>
                <w:rFonts w:ascii="Times New Roman" w:eastAsia="Times New Roman" w:hAnsi="Times New Roman" w:cs="Times New Roman"/>
                <w:sz w:val="24"/>
                <w:szCs w:val="24"/>
                <w:lang w:val="uk-UA"/>
              </w:rPr>
              <w:t xml:space="preserve">доцільно поставити вимогу про те, щоб </w:t>
            </w:r>
            <w:r w:rsidR="00B15583" w:rsidRPr="00BE1959">
              <w:rPr>
                <w:rFonts w:ascii="Times New Roman" w:eastAsia="Times New Roman" w:hAnsi="Times New Roman" w:cs="Times New Roman"/>
                <w:sz w:val="24"/>
                <w:szCs w:val="24"/>
                <w:lang w:val="uk-UA"/>
              </w:rPr>
              <w:t>для</w:t>
            </w:r>
            <w:r w:rsidR="00671B3D" w:rsidRPr="00BE1959">
              <w:rPr>
                <w:rFonts w:ascii="Times New Roman" w:eastAsia="Times New Roman" w:hAnsi="Times New Roman" w:cs="Times New Roman"/>
                <w:sz w:val="24"/>
                <w:szCs w:val="24"/>
                <w:lang w:val="uk-UA"/>
              </w:rPr>
              <w:t xml:space="preserve"> </w:t>
            </w:r>
            <w:r w:rsidR="002E6E47" w:rsidRPr="00BE1959">
              <w:rPr>
                <w:rFonts w:ascii="Times New Roman" w:eastAsia="Times New Roman" w:hAnsi="Times New Roman" w:cs="Times New Roman"/>
                <w:sz w:val="24"/>
                <w:szCs w:val="24"/>
                <w:lang w:val="uk-UA"/>
              </w:rPr>
              <w:lastRenderedPageBreak/>
              <w:t>фінансов</w:t>
            </w:r>
            <w:r w:rsidR="00671B3D" w:rsidRPr="00BE1959">
              <w:rPr>
                <w:rFonts w:ascii="Times New Roman" w:eastAsia="Times New Roman" w:hAnsi="Times New Roman" w:cs="Times New Roman"/>
                <w:sz w:val="24"/>
                <w:szCs w:val="24"/>
                <w:lang w:val="uk-UA"/>
              </w:rPr>
              <w:t>их</w:t>
            </w:r>
            <w:r w:rsidR="002E6E47" w:rsidRPr="00BE1959">
              <w:rPr>
                <w:rFonts w:ascii="Times New Roman" w:eastAsia="Times New Roman" w:hAnsi="Times New Roman" w:cs="Times New Roman"/>
                <w:sz w:val="24"/>
                <w:szCs w:val="24"/>
                <w:lang w:val="uk-UA"/>
              </w:rPr>
              <w:t xml:space="preserve"> інструмент</w:t>
            </w:r>
            <w:r w:rsidR="00671B3D" w:rsidRPr="00BE1959">
              <w:rPr>
                <w:rFonts w:ascii="Times New Roman" w:eastAsia="Times New Roman" w:hAnsi="Times New Roman" w:cs="Times New Roman"/>
                <w:sz w:val="24"/>
                <w:szCs w:val="24"/>
                <w:lang w:val="uk-UA"/>
              </w:rPr>
              <w:t>ів</w:t>
            </w:r>
            <w:r w:rsidR="002E6E47" w:rsidRPr="00BE1959">
              <w:rPr>
                <w:rFonts w:ascii="Times New Roman" w:eastAsia="Times New Roman" w:hAnsi="Times New Roman" w:cs="Times New Roman"/>
                <w:sz w:val="24"/>
                <w:szCs w:val="24"/>
                <w:lang w:val="uk-UA"/>
              </w:rPr>
              <w:t xml:space="preserve">, які підпадають під дію </w:t>
            </w:r>
            <w:r w:rsidR="00671B3D" w:rsidRPr="00BE1959">
              <w:rPr>
                <w:rFonts w:ascii="Times New Roman" w:eastAsia="Times New Roman" w:hAnsi="Times New Roman" w:cs="Times New Roman"/>
                <w:sz w:val="24"/>
                <w:szCs w:val="24"/>
                <w:lang w:val="uk-UA"/>
              </w:rPr>
              <w:t>зобов’язання щодо торгівлі у статтях 23 та 28 Регламенту</w:t>
            </w:r>
            <w:r w:rsidR="00B15583" w:rsidRPr="00BE1959">
              <w:rPr>
                <w:rFonts w:ascii="Times New Roman" w:eastAsia="Times New Roman" w:hAnsi="Times New Roman" w:cs="Times New Roman"/>
                <w:sz w:val="24"/>
                <w:szCs w:val="24"/>
                <w:lang w:val="uk-UA"/>
              </w:rPr>
              <w:t xml:space="preserve"> (EU) № 600/2014</w:t>
            </w:r>
            <w:r w:rsidR="00700556" w:rsidRPr="00BE1959">
              <w:rPr>
                <w:rFonts w:ascii="Times New Roman" w:eastAsia="Times New Roman" w:hAnsi="Times New Roman" w:cs="Times New Roman"/>
                <w:sz w:val="24"/>
                <w:szCs w:val="24"/>
                <w:lang w:val="uk-UA"/>
              </w:rPr>
              <w:t>, кожний торговельний майданчик і систематичний учасник, а для інших фінансових інструментів – кожне місце виконання замовлень оприлюднювали дані стосовно якості викон</w:t>
            </w:r>
            <w:r w:rsidR="00B15583" w:rsidRPr="00BE1959">
              <w:rPr>
                <w:rFonts w:ascii="Times New Roman" w:eastAsia="Times New Roman" w:hAnsi="Times New Roman" w:cs="Times New Roman"/>
                <w:sz w:val="24"/>
                <w:szCs w:val="24"/>
                <w:lang w:val="uk-UA"/>
              </w:rPr>
              <w:t>ання угод на кожному торговельному майданчику і в кожному місці виконання замовлень.</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96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(97)</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8856CE" w:rsidP="00CA3914">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Інформація, надавана інвестиційними фірмами клієнтам, стосовно </w:t>
            </w:r>
            <w:r w:rsidR="003476F1" w:rsidRPr="00BE1959">
              <w:rPr>
                <w:rFonts w:ascii="Times New Roman" w:eastAsia="Times New Roman" w:hAnsi="Times New Roman" w:cs="Times New Roman"/>
                <w:sz w:val="24"/>
                <w:szCs w:val="24"/>
                <w:lang w:val="uk-UA"/>
              </w:rPr>
              <w:t>їхніх правил виконання замовле</w:t>
            </w:r>
            <w:r w:rsidR="00A71801" w:rsidRPr="00BE1959">
              <w:rPr>
                <w:rFonts w:ascii="Times New Roman" w:eastAsia="Times New Roman" w:hAnsi="Times New Roman" w:cs="Times New Roman"/>
                <w:sz w:val="24"/>
                <w:szCs w:val="24"/>
                <w:lang w:val="uk-UA"/>
              </w:rPr>
              <w:t>нь часто має загальний та типовий характер і не дозволяє клієнтам зрозуміти, як виконуватиметься замовлення, та перевірити дотримання фірмами їхнього зобов’язання щодо виконання замовлень на умовах, найбільш сприятливих для клієнтів. Для того, щоб</w:t>
            </w:r>
            <w:r w:rsidR="00963786" w:rsidRPr="00BE1959">
              <w:rPr>
                <w:rFonts w:ascii="Times New Roman" w:eastAsia="Times New Roman" w:hAnsi="Times New Roman" w:cs="Times New Roman"/>
                <w:sz w:val="24"/>
                <w:szCs w:val="24"/>
                <w:lang w:val="uk-UA"/>
              </w:rPr>
              <w:t xml:space="preserve"> посилити захист інвесторів, доцільно зазначити принципи стосовно інформації, надаваної інвестиційними фірмами їхнім клієнтам щодо правил виконання замовлень, і поставити вимогу про те, що фірми повинні щорічно оприлюднювати, по кожному класу фінансових інструментів, перелік </w:t>
            </w:r>
            <w:r w:rsidR="00B2246C" w:rsidRPr="00BE1959">
              <w:rPr>
                <w:rFonts w:ascii="Times New Roman" w:eastAsia="Times New Roman" w:hAnsi="Times New Roman" w:cs="Times New Roman"/>
                <w:sz w:val="24"/>
                <w:szCs w:val="24"/>
                <w:lang w:val="uk-UA"/>
              </w:rPr>
              <w:t>п’яти</w:t>
            </w:r>
            <w:r w:rsidR="00963786" w:rsidRPr="00BE1959">
              <w:rPr>
                <w:rFonts w:ascii="Times New Roman" w:eastAsia="Times New Roman" w:hAnsi="Times New Roman" w:cs="Times New Roman"/>
                <w:sz w:val="24"/>
                <w:szCs w:val="24"/>
                <w:lang w:val="uk-UA"/>
              </w:rPr>
              <w:t xml:space="preserve"> </w:t>
            </w:r>
            <w:r w:rsidR="00B2246C" w:rsidRPr="00BE1959">
              <w:rPr>
                <w:rFonts w:ascii="Times New Roman" w:eastAsia="Times New Roman" w:hAnsi="Times New Roman" w:cs="Times New Roman"/>
                <w:sz w:val="24"/>
                <w:szCs w:val="24"/>
                <w:lang w:val="uk-UA"/>
              </w:rPr>
              <w:t>провідних місць виконання замовлень, де вони в минулому році виконували замовлення, та враховувати цю інформацію та інформацію, оприлюднену місцями виконання замовлень</w:t>
            </w:r>
            <w:r w:rsidR="00CA3914" w:rsidRPr="00BE1959">
              <w:rPr>
                <w:rFonts w:ascii="Times New Roman" w:eastAsia="Times New Roman" w:hAnsi="Times New Roman" w:cs="Times New Roman"/>
                <w:sz w:val="24"/>
                <w:szCs w:val="24"/>
                <w:lang w:val="uk-UA"/>
              </w:rPr>
              <w:t>, щодо якості виконання у своїх правилах щодо якнайкращого виконання замовлень клієнтів.</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96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(98)</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CA3914" w:rsidP="00CA3914">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Налагоджуючи ділові відносини з клієнтом, інвестиційна фірма може попросити у фактичного чи потенційного клієнта згоди одночасно на встановлені нею правила виконання замовлень і на можливе виконання замовлень даної особи поза межами торговельного майданчика.</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96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(99)</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CA3914" w:rsidP="00CA3914">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Особи, які надають інвестиційні послуги від імені більш ніж однієї інвестиційної фірми, повинні вважатися не пов'язаними агентами, а інвестиційними фірмами, якщо вони підпадають під відповідне визначення, наведене у цій директиві, за винятком певних осіб, які можуть бути звільнені від виконання цієї директиви.</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25"/>
        <w:gridCol w:w="884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(100)</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CA3914" w:rsidP="00346F1E">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Ця директива не впливає на право пов'язаних агентів вести діяльність, охоплену іншими директивами, та супутню діяльність щодо фінансових послуг або продуктів, не охоплених </w:t>
            </w:r>
            <w:r w:rsidR="00346F1E" w:rsidRPr="00BE1959">
              <w:rPr>
                <w:rFonts w:ascii="Times New Roman" w:eastAsia="Times New Roman" w:hAnsi="Times New Roman" w:cs="Times New Roman"/>
                <w:sz w:val="24"/>
                <w:szCs w:val="24"/>
                <w:lang w:val="uk-UA"/>
              </w:rPr>
              <w:t>цією директивою, зокрема від імені суб’єктів, що входять у цю ж саму фінансову групу.</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25"/>
        <w:gridCol w:w="884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(101)</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B3E47" w:rsidP="00845228">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Умови ведення діяльності поза приміщенням інвестиційної фірми (</w:t>
            </w:r>
            <w:r w:rsidR="00845228" w:rsidRPr="00BE1959">
              <w:rPr>
                <w:rFonts w:ascii="Times New Roman" w:eastAsia="Times New Roman" w:hAnsi="Times New Roman" w:cs="Times New Roman"/>
                <w:sz w:val="24"/>
                <w:szCs w:val="24"/>
                <w:lang w:val="uk-UA"/>
              </w:rPr>
              <w:t>адресного продажу) не повинні охоплюватися цією директивою.</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25"/>
        <w:gridCol w:w="884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(102)</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845228" w:rsidP="00C46704">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Компетентні органи держав-членів не повинні здійснювати реєстрацію, а за наявності реєстрації повинні скасовувати її, якщо діяльність, що фактично ведеться, чітко свідчить про те, що пов'язаний </w:t>
            </w:r>
            <w:r w:rsidR="00C46704" w:rsidRPr="00BE1959">
              <w:rPr>
                <w:rFonts w:ascii="Times New Roman" w:eastAsia="Times New Roman" w:hAnsi="Times New Roman" w:cs="Times New Roman"/>
                <w:sz w:val="24"/>
                <w:szCs w:val="24"/>
                <w:lang w:val="uk-UA"/>
              </w:rPr>
              <w:t>агент обрав</w:t>
            </w:r>
            <w:r w:rsidRPr="00BE1959">
              <w:rPr>
                <w:rFonts w:ascii="Times New Roman" w:eastAsia="Times New Roman" w:hAnsi="Times New Roman" w:cs="Times New Roman"/>
                <w:sz w:val="24"/>
                <w:szCs w:val="24"/>
                <w:lang w:val="uk-UA"/>
              </w:rPr>
              <w:t xml:space="preserve"> правову систему однієї держави-члена з метою уникнути більш суворих норм, чинних в іншій державі-члені, на території котрої в</w:t>
            </w:r>
            <w:r w:rsidR="00C46704" w:rsidRPr="00BE1959">
              <w:rPr>
                <w:rFonts w:ascii="Times New Roman" w:eastAsia="Times New Roman" w:hAnsi="Times New Roman" w:cs="Times New Roman"/>
                <w:sz w:val="24"/>
                <w:szCs w:val="24"/>
                <w:lang w:val="uk-UA"/>
              </w:rPr>
              <w:t>і</w:t>
            </w:r>
            <w:r w:rsidRPr="00BE1959">
              <w:rPr>
                <w:rFonts w:ascii="Times New Roman" w:eastAsia="Times New Roman" w:hAnsi="Times New Roman" w:cs="Times New Roman"/>
                <w:sz w:val="24"/>
                <w:szCs w:val="24"/>
                <w:lang w:val="uk-UA"/>
              </w:rPr>
              <w:t>н має намір вести або вже веде більшу частину своєї діяльності.</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25"/>
        <w:gridCol w:w="884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lastRenderedPageBreak/>
              <w:t>(103)</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04148" w:rsidP="00D957EA">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Для цілей цієї директиви</w:t>
            </w:r>
            <w:r w:rsidR="00D957EA" w:rsidRPr="00BE1959">
              <w:rPr>
                <w:rFonts w:ascii="Times New Roman" w:eastAsia="Times New Roman" w:hAnsi="Times New Roman" w:cs="Times New Roman"/>
                <w:sz w:val="24"/>
                <w:szCs w:val="24"/>
                <w:lang w:val="uk-UA"/>
              </w:rPr>
              <w:t xml:space="preserve"> правомочні</w:t>
            </w:r>
            <w:r w:rsidRPr="00BE1959">
              <w:rPr>
                <w:rFonts w:ascii="Times New Roman" w:eastAsia="Times New Roman" w:hAnsi="Times New Roman" w:cs="Times New Roman"/>
                <w:sz w:val="24"/>
                <w:szCs w:val="24"/>
                <w:lang w:val="uk-UA"/>
              </w:rPr>
              <w:t xml:space="preserve"> контрагенти повинні вважатися діючими як клієнти.</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25"/>
        <w:gridCol w:w="884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(104)</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04148" w:rsidP="00A614D8">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Фінансова криза продемонструвала межі здатності нероздрібних клієнтів оцінювати ризик їхніх інвестицій. Хоча </w:t>
            </w:r>
            <w:r w:rsidR="006D5F66" w:rsidRPr="00BE1959">
              <w:rPr>
                <w:rFonts w:ascii="Times New Roman" w:eastAsia="Times New Roman" w:hAnsi="Times New Roman" w:cs="Times New Roman"/>
                <w:sz w:val="24"/>
                <w:szCs w:val="24"/>
                <w:lang w:val="uk-UA"/>
              </w:rPr>
              <w:t xml:space="preserve">слід довести, що необхідно забезпечити дотримання правил ведення діяльності щодо тих інвесторів, які найбільш потребують захисту, доцільно краще адаптувати вимоги, застосовні до різних категорій клієнтів. </w:t>
            </w:r>
            <w:r w:rsidR="00D957EA" w:rsidRPr="00BE1959">
              <w:rPr>
                <w:rFonts w:ascii="Times New Roman" w:eastAsia="Times New Roman" w:hAnsi="Times New Roman" w:cs="Times New Roman"/>
                <w:sz w:val="24"/>
                <w:szCs w:val="24"/>
                <w:lang w:val="uk-UA"/>
              </w:rPr>
              <w:t>У цьому контексті доречно поширити деякі вимоги щодо інформування та звітування на відносини з правомочними контрагентами. Зокрема, відповідні вимоги повинні стосуватися захисту фінансових інструментів і коштів клієнтів, а також вимог</w:t>
            </w:r>
            <w:r w:rsidR="005557CA" w:rsidRPr="00BE1959">
              <w:rPr>
                <w:rFonts w:ascii="Times New Roman" w:eastAsia="Times New Roman" w:hAnsi="Times New Roman" w:cs="Times New Roman"/>
                <w:sz w:val="24"/>
                <w:szCs w:val="24"/>
                <w:lang w:val="uk-UA"/>
              </w:rPr>
              <w:t xml:space="preserve"> щодо інформування та звітування стосовно складніших фінансових інструментів і операцій. Для того, щоб краще визначити класифікацію муніципалітетів і місцевих органів державної влади, доцільно чітко виключити їх зі списку правомочних контрагентів та клієнтів, які вважаються професіоналами, водночас дозволяючи цим клієнтам вимагати </w:t>
            </w:r>
            <w:r w:rsidR="00A614D8" w:rsidRPr="00BE1959">
              <w:rPr>
                <w:rFonts w:ascii="Times New Roman" w:eastAsia="Times New Roman" w:hAnsi="Times New Roman" w:cs="Times New Roman"/>
                <w:sz w:val="24"/>
                <w:szCs w:val="24"/>
                <w:lang w:val="uk-UA"/>
              </w:rPr>
              <w:t>ставлення до них як до професійних клієнтів.</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25"/>
        <w:gridCol w:w="884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(105)</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48309C" w:rsidP="000300F1">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Стосовно угод, виконуваних між правомочними контрагентами, зобов’язання щодо оприлюднення лімітних замовлень клієнтів повинно діяти лише у випадку, де контрагент прямо надсилає лімітне замовлення інвестиційній фірм</w:t>
            </w:r>
            <w:r w:rsidR="000300F1" w:rsidRPr="00BE1959">
              <w:rPr>
                <w:rFonts w:ascii="Times New Roman" w:eastAsia="Times New Roman" w:hAnsi="Times New Roman" w:cs="Times New Roman"/>
                <w:sz w:val="24"/>
                <w:szCs w:val="24"/>
                <w:lang w:val="uk-UA"/>
              </w:rPr>
              <w:t>і</w:t>
            </w:r>
            <w:r w:rsidRPr="00BE1959">
              <w:rPr>
                <w:rFonts w:ascii="Times New Roman" w:eastAsia="Times New Roman" w:hAnsi="Times New Roman" w:cs="Times New Roman"/>
                <w:sz w:val="24"/>
                <w:szCs w:val="24"/>
                <w:lang w:val="uk-UA"/>
              </w:rPr>
              <w:t xml:space="preserve"> для виконання.</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25"/>
        <w:gridCol w:w="884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(106)</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0300F1" w:rsidP="007625B4">
            <w:pPr>
              <w:spacing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Держави-члени </w:t>
            </w:r>
            <w:r w:rsidR="00665322" w:rsidRPr="00BE1959">
              <w:rPr>
                <w:rFonts w:ascii="Times New Roman" w:eastAsia="Times New Roman" w:hAnsi="Times New Roman" w:cs="Times New Roman"/>
                <w:sz w:val="24"/>
                <w:szCs w:val="24"/>
                <w:lang w:val="uk-UA"/>
              </w:rPr>
              <w:t xml:space="preserve">повинні забезпечити дотримання права на захист </w:t>
            </w:r>
            <w:r w:rsidR="007625B4" w:rsidRPr="00BE1959">
              <w:rPr>
                <w:rFonts w:ascii="Times New Roman" w:eastAsia="Times New Roman" w:hAnsi="Times New Roman" w:cs="Times New Roman"/>
                <w:sz w:val="24"/>
                <w:szCs w:val="24"/>
                <w:lang w:val="uk-UA"/>
              </w:rPr>
              <w:t>персональн</w:t>
            </w:r>
            <w:r w:rsidR="00665322" w:rsidRPr="00BE1959">
              <w:rPr>
                <w:rFonts w:ascii="Times New Roman" w:eastAsia="Times New Roman" w:hAnsi="Times New Roman" w:cs="Times New Roman"/>
                <w:sz w:val="24"/>
                <w:szCs w:val="24"/>
                <w:lang w:val="uk-UA"/>
              </w:rPr>
              <w:t>их даних відповідно до Директиви</w:t>
            </w:r>
            <w:r w:rsidR="005613AB" w:rsidRPr="00BE1959">
              <w:rPr>
                <w:rFonts w:ascii="Times New Roman" w:eastAsia="Times New Roman" w:hAnsi="Times New Roman" w:cs="Times New Roman"/>
                <w:sz w:val="24"/>
                <w:szCs w:val="24"/>
                <w:lang w:val="uk-UA"/>
              </w:rPr>
              <w:t xml:space="preserve"> 95/46/EC </w:t>
            </w:r>
            <w:r w:rsidR="00423154" w:rsidRPr="00BE1959">
              <w:rPr>
                <w:rFonts w:ascii="Times New Roman" w:eastAsia="Times New Roman" w:hAnsi="Times New Roman" w:cs="Times New Roman"/>
                <w:sz w:val="24"/>
                <w:szCs w:val="24"/>
                <w:lang w:val="uk-UA"/>
              </w:rPr>
              <w:t>Європейського Парламенту та Ради</w:t>
            </w:r>
            <w:hyperlink r:id="rId36" w:anchor="ntr31-L_2014173EN.01034901-E0031" w:history="1">
              <w:r w:rsidR="005613AB" w:rsidRPr="00BE1959">
                <w:rPr>
                  <w:rFonts w:ascii="Times New Roman" w:eastAsia="Times New Roman" w:hAnsi="Times New Roman" w:cs="Times New Roman"/>
                  <w:sz w:val="24"/>
                  <w:szCs w:val="24"/>
                  <w:bdr w:val="none" w:sz="0" w:space="0" w:color="auto" w:frame="1"/>
                  <w:lang w:val="uk-UA"/>
                </w:rPr>
                <w:t> (</w:t>
              </w:r>
              <w:r w:rsidR="005613AB" w:rsidRPr="00BE1959">
                <w:rPr>
                  <w:rFonts w:ascii="Times New Roman" w:eastAsia="Times New Roman" w:hAnsi="Times New Roman" w:cs="Times New Roman"/>
                  <w:sz w:val="24"/>
                  <w:szCs w:val="24"/>
                  <w:bdr w:val="none" w:sz="0" w:space="0" w:color="auto" w:frame="1"/>
                  <w:vertAlign w:val="superscript"/>
                  <w:lang w:val="uk-UA"/>
                </w:rPr>
                <w:t>31</w:t>
              </w:r>
              <w:r w:rsidR="005613AB" w:rsidRPr="00BE1959">
                <w:rPr>
                  <w:rFonts w:ascii="Times New Roman" w:eastAsia="Times New Roman" w:hAnsi="Times New Roman" w:cs="Times New Roman"/>
                  <w:sz w:val="24"/>
                  <w:szCs w:val="24"/>
                  <w:bdr w:val="none" w:sz="0" w:space="0" w:color="auto" w:frame="1"/>
                  <w:lang w:val="uk-UA"/>
                </w:rPr>
                <w:t>)</w:t>
              </w:r>
            </w:hyperlink>
            <w:r w:rsidR="005613AB" w:rsidRPr="00BE1959">
              <w:rPr>
                <w:rFonts w:ascii="Times New Roman" w:eastAsia="Times New Roman" w:hAnsi="Times New Roman" w:cs="Times New Roman"/>
                <w:sz w:val="24"/>
                <w:szCs w:val="24"/>
                <w:lang w:val="uk-UA"/>
              </w:rPr>
              <w:t> </w:t>
            </w:r>
            <w:r w:rsidR="00665322" w:rsidRPr="00BE1959">
              <w:rPr>
                <w:rFonts w:ascii="Times New Roman" w:eastAsia="Times New Roman" w:hAnsi="Times New Roman" w:cs="Times New Roman"/>
                <w:sz w:val="24"/>
                <w:szCs w:val="24"/>
                <w:lang w:val="uk-UA"/>
              </w:rPr>
              <w:t>і Директиви</w:t>
            </w:r>
            <w:r w:rsidR="005613AB" w:rsidRPr="00BE1959">
              <w:rPr>
                <w:rFonts w:ascii="Times New Roman" w:eastAsia="Times New Roman" w:hAnsi="Times New Roman" w:cs="Times New Roman"/>
                <w:sz w:val="24"/>
                <w:szCs w:val="24"/>
                <w:lang w:val="uk-UA"/>
              </w:rPr>
              <w:t xml:space="preserve"> 2002/58/EC </w:t>
            </w:r>
            <w:r w:rsidR="00423154" w:rsidRPr="00BE1959">
              <w:rPr>
                <w:rFonts w:ascii="Times New Roman" w:eastAsia="Times New Roman" w:hAnsi="Times New Roman" w:cs="Times New Roman"/>
                <w:sz w:val="24"/>
                <w:szCs w:val="24"/>
                <w:lang w:val="uk-UA"/>
              </w:rPr>
              <w:t>Європейського Парламенту та Ради</w:t>
            </w:r>
            <w:hyperlink r:id="rId37" w:anchor="ntr32-L_2014173EN.01034901-E0032" w:history="1">
              <w:r w:rsidR="005613AB" w:rsidRPr="00BE1959">
                <w:rPr>
                  <w:rFonts w:ascii="Times New Roman" w:eastAsia="Times New Roman" w:hAnsi="Times New Roman" w:cs="Times New Roman"/>
                  <w:sz w:val="24"/>
                  <w:szCs w:val="24"/>
                  <w:bdr w:val="none" w:sz="0" w:space="0" w:color="auto" w:frame="1"/>
                  <w:lang w:val="uk-UA"/>
                </w:rPr>
                <w:t> (</w:t>
              </w:r>
              <w:r w:rsidR="005613AB" w:rsidRPr="00BE1959">
                <w:rPr>
                  <w:rFonts w:ascii="Times New Roman" w:eastAsia="Times New Roman" w:hAnsi="Times New Roman" w:cs="Times New Roman"/>
                  <w:sz w:val="24"/>
                  <w:szCs w:val="24"/>
                  <w:bdr w:val="none" w:sz="0" w:space="0" w:color="auto" w:frame="1"/>
                  <w:vertAlign w:val="superscript"/>
                  <w:lang w:val="uk-UA"/>
                </w:rPr>
                <w:t>32</w:t>
              </w:r>
              <w:r w:rsidR="005613AB" w:rsidRPr="00BE1959">
                <w:rPr>
                  <w:rFonts w:ascii="Times New Roman" w:eastAsia="Times New Roman" w:hAnsi="Times New Roman" w:cs="Times New Roman"/>
                  <w:sz w:val="24"/>
                  <w:szCs w:val="24"/>
                  <w:bdr w:val="none" w:sz="0" w:space="0" w:color="auto" w:frame="1"/>
                  <w:lang w:val="uk-UA"/>
                </w:rPr>
                <w:t>)</w:t>
              </w:r>
            </w:hyperlink>
            <w:r w:rsidR="00665322" w:rsidRPr="00BE1959">
              <w:rPr>
                <w:rFonts w:ascii="Times New Roman" w:eastAsia="Times New Roman" w:hAnsi="Times New Roman" w:cs="Times New Roman"/>
                <w:sz w:val="24"/>
                <w:szCs w:val="24"/>
                <w:bdr w:val="none" w:sz="0" w:space="0" w:color="auto" w:frame="1"/>
                <w:lang w:val="uk-UA"/>
              </w:rPr>
              <w:t>, які регламентуют</w:t>
            </w:r>
            <w:r w:rsidR="007625B4" w:rsidRPr="00BE1959">
              <w:rPr>
                <w:rFonts w:ascii="Times New Roman" w:eastAsia="Times New Roman" w:hAnsi="Times New Roman" w:cs="Times New Roman"/>
                <w:sz w:val="24"/>
                <w:szCs w:val="24"/>
                <w:bdr w:val="none" w:sz="0" w:space="0" w:color="auto" w:frame="1"/>
                <w:lang w:val="uk-UA"/>
              </w:rPr>
              <w:t xml:space="preserve">ь оброблення персональних даних, при застосуванні цієї директиви. Оброблення персональних даних </w:t>
            </w:r>
            <w:r w:rsidR="005613AB" w:rsidRPr="00BE1959">
              <w:rPr>
                <w:rFonts w:ascii="Times New Roman" w:eastAsia="Times New Roman" w:hAnsi="Times New Roman" w:cs="Times New Roman"/>
                <w:sz w:val="24"/>
                <w:szCs w:val="24"/>
                <w:lang w:val="uk-UA"/>
              </w:rPr>
              <w:t xml:space="preserve">ESMA </w:t>
            </w:r>
            <w:r w:rsidR="007625B4" w:rsidRPr="00BE1959">
              <w:rPr>
                <w:rFonts w:ascii="Times New Roman" w:eastAsia="Times New Roman" w:hAnsi="Times New Roman" w:cs="Times New Roman"/>
                <w:sz w:val="24"/>
                <w:szCs w:val="24"/>
                <w:lang w:val="uk-UA"/>
              </w:rPr>
              <w:t>при застосуванні цієї директиви здійснюється відповідно до Регламенту</w:t>
            </w:r>
            <w:r w:rsidR="005613AB" w:rsidRPr="00BE1959">
              <w:rPr>
                <w:rFonts w:ascii="Times New Roman" w:eastAsia="Times New Roman" w:hAnsi="Times New Roman" w:cs="Times New Roman"/>
                <w:sz w:val="24"/>
                <w:szCs w:val="24"/>
                <w:lang w:val="uk-UA"/>
              </w:rPr>
              <w:t xml:space="preserve"> </w:t>
            </w:r>
            <w:r w:rsidR="00DB4825" w:rsidRPr="00BE1959">
              <w:rPr>
                <w:rFonts w:ascii="Times New Roman" w:eastAsia="Times New Roman" w:hAnsi="Times New Roman" w:cs="Times New Roman"/>
                <w:sz w:val="24"/>
                <w:szCs w:val="24"/>
                <w:lang w:val="uk-UA"/>
              </w:rPr>
              <w:t>(EU) №</w:t>
            </w:r>
            <w:r w:rsidR="005613AB" w:rsidRPr="00BE1959">
              <w:rPr>
                <w:rFonts w:ascii="Times New Roman" w:eastAsia="Times New Roman" w:hAnsi="Times New Roman" w:cs="Times New Roman"/>
                <w:sz w:val="24"/>
                <w:szCs w:val="24"/>
                <w:lang w:val="uk-UA"/>
              </w:rPr>
              <w:t xml:space="preserve"> 45/2001 </w:t>
            </w:r>
            <w:r w:rsidR="00423154" w:rsidRPr="00BE1959">
              <w:rPr>
                <w:rFonts w:ascii="Times New Roman" w:eastAsia="Times New Roman" w:hAnsi="Times New Roman" w:cs="Times New Roman"/>
                <w:sz w:val="24"/>
                <w:szCs w:val="24"/>
                <w:lang w:val="uk-UA"/>
              </w:rPr>
              <w:t>Європейського Парламенту та Ради</w:t>
            </w:r>
            <w:hyperlink r:id="rId38" w:anchor="ntr33-L_2014173EN.01034901-E0033" w:history="1">
              <w:r w:rsidR="005613AB" w:rsidRPr="00BE1959">
                <w:rPr>
                  <w:rFonts w:ascii="Times New Roman" w:eastAsia="Times New Roman" w:hAnsi="Times New Roman" w:cs="Times New Roman"/>
                  <w:sz w:val="24"/>
                  <w:szCs w:val="24"/>
                  <w:bdr w:val="none" w:sz="0" w:space="0" w:color="auto" w:frame="1"/>
                  <w:lang w:val="uk-UA"/>
                </w:rPr>
                <w:t> (</w:t>
              </w:r>
              <w:r w:rsidR="005613AB" w:rsidRPr="00BE1959">
                <w:rPr>
                  <w:rFonts w:ascii="Times New Roman" w:eastAsia="Times New Roman" w:hAnsi="Times New Roman" w:cs="Times New Roman"/>
                  <w:sz w:val="24"/>
                  <w:szCs w:val="24"/>
                  <w:bdr w:val="none" w:sz="0" w:space="0" w:color="auto" w:frame="1"/>
                  <w:vertAlign w:val="superscript"/>
                  <w:lang w:val="uk-UA"/>
                </w:rPr>
                <w:t>33</w:t>
              </w:r>
              <w:r w:rsidR="005613AB" w:rsidRPr="00BE1959">
                <w:rPr>
                  <w:rFonts w:ascii="Times New Roman" w:eastAsia="Times New Roman" w:hAnsi="Times New Roman" w:cs="Times New Roman"/>
                  <w:sz w:val="24"/>
                  <w:szCs w:val="24"/>
                  <w:bdr w:val="none" w:sz="0" w:space="0" w:color="auto" w:frame="1"/>
                  <w:lang w:val="uk-UA"/>
                </w:rPr>
                <w:t>)</w:t>
              </w:r>
            </w:hyperlink>
            <w:r w:rsidR="005613AB" w:rsidRPr="00BE1959">
              <w:rPr>
                <w:rFonts w:ascii="Times New Roman" w:eastAsia="Times New Roman" w:hAnsi="Times New Roman" w:cs="Times New Roman"/>
                <w:sz w:val="24"/>
                <w:szCs w:val="24"/>
                <w:lang w:val="uk-UA"/>
              </w:rPr>
              <w:t>.</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25"/>
        <w:gridCol w:w="884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(107)</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7625B4" w:rsidP="007625B4">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Усі інвестиційні фірми повинні мати однакові можливості приєднання до регульованих ринків або доступу до них на всій території Союзу. Незалежно від способу, в який наразі організовані угоди в державах-членах, важливо усунути технічні та юридичні обмеження на доступ до регульованих ринків.</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25"/>
        <w:gridCol w:w="884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(108)</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7625B4" w:rsidP="00B57149">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Для того, щоб </w:t>
            </w:r>
            <w:r w:rsidR="00B57149" w:rsidRPr="00BE1959">
              <w:rPr>
                <w:rFonts w:ascii="Times New Roman" w:eastAsia="Times New Roman" w:hAnsi="Times New Roman" w:cs="Times New Roman"/>
                <w:sz w:val="24"/>
                <w:szCs w:val="24"/>
                <w:lang w:val="uk-UA"/>
              </w:rPr>
              <w:t>сприяти оформленню транскордонних угод, доцільно передбачити доступ інвестиційних фірм до розрахунково-клірингових систем на всій території Союзу незалежно від того, чи проводилися операції через регульовані ринки відповідної держави-члена. Інвестиційні фірми, що бажають брати безпосередню участь у розрахункових системах інших держав-членів, повинні виконати відповідні операційні та комерційні вимоги до їхніх членів та здійснити пруденційні заходи для підтримання безперебійного та впорядкованого функціонування фінансових ринків.</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25"/>
        <w:gridCol w:w="884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(109)</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453BAF" w:rsidP="006C6058">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Надання послуг фірмами з третіх країн у Союзі підпадає під дію національних режимів і вимог. Фірми, уповноважені згідно з ними, не користуються свободою </w:t>
            </w:r>
            <w:r w:rsidRPr="00BE1959">
              <w:rPr>
                <w:rFonts w:ascii="Times New Roman" w:eastAsia="Times New Roman" w:hAnsi="Times New Roman" w:cs="Times New Roman"/>
                <w:sz w:val="24"/>
                <w:szCs w:val="24"/>
                <w:lang w:val="uk-UA"/>
              </w:rPr>
              <w:lastRenderedPageBreak/>
              <w:t xml:space="preserve">надання послуг і правом на створення підприємств у державах-членах, крім тієї держави, де вони створені. </w:t>
            </w:r>
            <w:r w:rsidR="002D3E5B" w:rsidRPr="00BE1959">
              <w:rPr>
                <w:rFonts w:ascii="Times New Roman" w:eastAsia="Times New Roman" w:hAnsi="Times New Roman" w:cs="Times New Roman"/>
                <w:sz w:val="24"/>
                <w:szCs w:val="24"/>
                <w:lang w:val="uk-UA"/>
              </w:rPr>
              <w:t xml:space="preserve">Якщо держава-член вважає, що відповідний рівень захисту її роздрібних клієнтів або роздрібних клієнтів, які звернулися з вимогою про ставлення до них як до професійних клієнтів, може бути забезпечений шляхом створення філії фірмою з третьої країни, то доцільно запровадити мінімальну спільну нормативну базу на рівні Союзу щодо вимог, застосовних до цих філій, у світлі положення про те, що </w:t>
            </w:r>
            <w:r w:rsidR="006C6058" w:rsidRPr="00BE1959">
              <w:rPr>
                <w:rFonts w:ascii="Times New Roman" w:eastAsia="Times New Roman" w:hAnsi="Times New Roman" w:cs="Times New Roman"/>
                <w:sz w:val="24"/>
                <w:szCs w:val="24"/>
                <w:lang w:val="uk-UA"/>
              </w:rPr>
              <w:t xml:space="preserve">ставлення до </w:t>
            </w:r>
            <w:r w:rsidR="002D3E5B" w:rsidRPr="00BE1959">
              <w:rPr>
                <w:rFonts w:ascii="Times New Roman" w:eastAsia="Times New Roman" w:hAnsi="Times New Roman" w:cs="Times New Roman"/>
                <w:sz w:val="24"/>
                <w:szCs w:val="24"/>
                <w:lang w:val="uk-UA"/>
              </w:rPr>
              <w:t>фірм</w:t>
            </w:r>
            <w:r w:rsidR="006C6058" w:rsidRPr="00BE1959">
              <w:rPr>
                <w:rFonts w:ascii="Times New Roman" w:eastAsia="Times New Roman" w:hAnsi="Times New Roman" w:cs="Times New Roman"/>
                <w:sz w:val="24"/>
                <w:szCs w:val="24"/>
                <w:lang w:val="uk-UA"/>
              </w:rPr>
              <w:t xml:space="preserve"> з третіх країн не повинно бути більш сприятливим, ніж до фірм Союзу.</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25"/>
        <w:gridCol w:w="884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(110)</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432567" w:rsidP="00CA0AB3">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Імплементуючи положення цієї директиви, держави-члени повинні належним чином ураховувати рекомендації </w:t>
            </w:r>
            <w:r w:rsidR="000077BC" w:rsidRPr="00BE1959">
              <w:rPr>
                <w:rFonts w:ascii="Times New Roman" w:eastAsia="Times New Roman" w:hAnsi="Times New Roman" w:cs="Times New Roman"/>
                <w:sz w:val="24"/>
                <w:szCs w:val="24"/>
                <w:lang w:val="uk-UA"/>
              </w:rPr>
              <w:t>Групи розробки фінансових заходів боротьби з відмиванням грошей (ФАТФ) щодо юрисдикцій</w:t>
            </w:r>
            <w:r w:rsidR="004C31EA" w:rsidRPr="00BE1959">
              <w:rPr>
                <w:rFonts w:ascii="Times New Roman" w:eastAsia="Times New Roman" w:hAnsi="Times New Roman" w:cs="Times New Roman"/>
                <w:sz w:val="24"/>
                <w:szCs w:val="24"/>
                <w:lang w:val="uk-UA"/>
              </w:rPr>
              <w:t>, які мають стратегічні недоліки у сфері боротьби з відмиванням грошей та протидії фінансуванню тероризму й до яких застосовуються контрзаходи, та юрисдикцій, які мають стратегічні недоліки у сфері боротьби з відмиванням грошей та протидії фінансуванню тероризму</w:t>
            </w:r>
            <w:r w:rsidR="00CA0AB3" w:rsidRPr="00BE1959">
              <w:rPr>
                <w:rFonts w:ascii="Times New Roman" w:eastAsia="Times New Roman" w:hAnsi="Times New Roman" w:cs="Times New Roman"/>
                <w:sz w:val="24"/>
                <w:szCs w:val="24"/>
                <w:lang w:val="uk-UA"/>
              </w:rPr>
              <w:t xml:space="preserve"> і не досягли істотного прогресу в усуненні цих недоліків або не дотрималися плану заходів, розробленого разом з ФАТФ для усунення цих недоліків.</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25"/>
        <w:gridCol w:w="884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(111)</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CA0AB3" w:rsidP="003872C2">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Положення</w:t>
            </w:r>
            <w:r w:rsidR="005613AB" w:rsidRPr="00BE1959">
              <w:rPr>
                <w:rFonts w:ascii="Times New Roman" w:eastAsia="Times New Roman" w:hAnsi="Times New Roman" w:cs="Times New Roman"/>
                <w:sz w:val="24"/>
                <w:szCs w:val="24"/>
                <w:lang w:val="uk-UA"/>
              </w:rPr>
              <w:t xml:space="preserve"> </w:t>
            </w:r>
            <w:r w:rsidR="00432567" w:rsidRPr="00BE1959">
              <w:rPr>
                <w:rFonts w:ascii="Times New Roman" w:eastAsia="Times New Roman" w:hAnsi="Times New Roman" w:cs="Times New Roman"/>
                <w:sz w:val="24"/>
                <w:szCs w:val="24"/>
                <w:lang w:val="uk-UA"/>
              </w:rPr>
              <w:t>цієї директиви</w:t>
            </w:r>
            <w:r w:rsidRPr="00BE1959">
              <w:rPr>
                <w:rFonts w:ascii="Times New Roman" w:eastAsia="Times New Roman" w:hAnsi="Times New Roman" w:cs="Times New Roman"/>
                <w:sz w:val="24"/>
                <w:szCs w:val="24"/>
                <w:lang w:val="uk-UA"/>
              </w:rPr>
              <w:t xml:space="preserve">, що регулює надання інвестиційних послуг або ведення інвестиційної діяльності фірмами з третіх країн у Союзі, не повинно впливати на можливість осіб, створених у Союзі, отримувати інвестиційні послуги від фірми з третьої країни </w:t>
            </w:r>
            <w:r w:rsidR="00C84CB9" w:rsidRPr="00BE1959">
              <w:rPr>
                <w:rFonts w:ascii="Times New Roman" w:eastAsia="Times New Roman" w:hAnsi="Times New Roman" w:cs="Times New Roman"/>
                <w:sz w:val="24"/>
                <w:szCs w:val="24"/>
                <w:lang w:val="uk-UA"/>
              </w:rPr>
              <w:t xml:space="preserve">виключно </w:t>
            </w:r>
            <w:r w:rsidRPr="00BE1959">
              <w:rPr>
                <w:rFonts w:ascii="Times New Roman" w:eastAsia="Times New Roman" w:hAnsi="Times New Roman" w:cs="Times New Roman"/>
                <w:sz w:val="24"/>
                <w:szCs w:val="24"/>
                <w:lang w:val="uk-UA"/>
              </w:rPr>
              <w:t xml:space="preserve">з їхньої </w:t>
            </w:r>
            <w:r w:rsidR="00C84CB9" w:rsidRPr="00BE1959">
              <w:rPr>
                <w:rFonts w:ascii="Times New Roman" w:eastAsia="Times New Roman" w:hAnsi="Times New Roman" w:cs="Times New Roman"/>
                <w:sz w:val="24"/>
                <w:szCs w:val="24"/>
                <w:lang w:val="uk-UA"/>
              </w:rPr>
              <w:t>ініціативи. Якщо фірма з третьої країни надає послуги виключно з власної ініціативи особи, створеної у Союзі, ці послуги не вважаються наданими на території Сою</w:t>
            </w:r>
            <w:r w:rsidR="004C32C6" w:rsidRPr="00BE1959">
              <w:rPr>
                <w:rFonts w:ascii="Times New Roman" w:eastAsia="Times New Roman" w:hAnsi="Times New Roman" w:cs="Times New Roman"/>
                <w:sz w:val="24"/>
                <w:szCs w:val="24"/>
                <w:lang w:val="uk-UA"/>
              </w:rPr>
              <w:t>зу. Якщо фірма з третьої країни пропонує свої послуги фактичним або потенційним клієнтам у Союзі або просуває чи рекламує інвестиційні послуги або інвестиційну діяльність разом із додатковими послугами у Союзі, то таку послугу не слід вважати послугою, наданою виключно за власною ініціативою клієнта.</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25"/>
        <w:gridCol w:w="884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(112)</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F12269" w:rsidP="00EA2E92">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Дозвіл на управління регульованим ринком повинен поширюватися на всі види діяльності, що безпосередньо стосуються демонстрації, оброблення, виконання, підтвердження замовлень і звітування про них, з моменту отримання таких замовлень </w:t>
            </w:r>
            <w:r w:rsidR="003F0887" w:rsidRPr="00BE1959">
              <w:rPr>
                <w:rFonts w:ascii="Times New Roman" w:eastAsia="Times New Roman" w:hAnsi="Times New Roman" w:cs="Times New Roman"/>
                <w:sz w:val="24"/>
                <w:szCs w:val="24"/>
                <w:lang w:val="uk-UA"/>
              </w:rPr>
              <w:t xml:space="preserve">регульованим ринком до моменту їхньої передачі для наступного завершення, і на види діяльності, що стосуються допуску фінансових інструментів до торгівлі. Це також повинно включати угоди, укладені через посередництво уповноважених маркет-мейкерів, призначених регульованим ринком, </w:t>
            </w:r>
            <w:r w:rsidR="00D37C0B" w:rsidRPr="00BE1959">
              <w:rPr>
                <w:rFonts w:ascii="Times New Roman" w:eastAsia="Times New Roman" w:hAnsi="Times New Roman" w:cs="Times New Roman"/>
                <w:sz w:val="24"/>
                <w:szCs w:val="24"/>
                <w:lang w:val="uk-UA"/>
              </w:rPr>
              <w:t>які виконуються у його системах і відповідно до правил, що регламентують роботу цих систем. Не всі угоди, укладені членами або учасниками регульованого ринку, БТМ або ОТМ, слід вважати укладеними у системах регульованого ринку, БТМ або ОТМ.</w:t>
            </w:r>
            <w:r w:rsidR="00EA2E92" w:rsidRPr="00BE1959">
              <w:rPr>
                <w:rFonts w:ascii="Times New Roman" w:eastAsia="Times New Roman" w:hAnsi="Times New Roman" w:cs="Times New Roman"/>
                <w:sz w:val="24"/>
                <w:szCs w:val="24"/>
                <w:lang w:val="uk-UA"/>
              </w:rPr>
              <w:t xml:space="preserve"> Угоди, які укладені членами або учасниками на двосторонній основі й які не відповідають усім зобов’язанням, установленим для регульованого ринку, БТМ або ОТМ за цією директивою, слід вважати угодами, укладеними поза межами </w:t>
            </w:r>
            <w:r w:rsidR="00EA2E92" w:rsidRPr="00BE1959">
              <w:rPr>
                <w:rFonts w:ascii="Times New Roman" w:eastAsia="Times New Roman" w:hAnsi="Times New Roman" w:cs="Times New Roman"/>
                <w:sz w:val="24"/>
                <w:szCs w:val="24"/>
                <w:lang w:val="uk-UA"/>
              </w:rPr>
              <w:lastRenderedPageBreak/>
              <w:t>регульованого ринку, БТМ або ОТМ у цілях визначення систематичного учасника. У такому випадку зобов’язання інвестиційних фірм оприлюднювати тверді котирування має діяти, якщо виконані умови, встановлені цією директивою та Регламентом</w:t>
            </w:r>
            <w:r w:rsidR="005613AB" w:rsidRPr="00BE1959">
              <w:rPr>
                <w:rFonts w:ascii="Times New Roman" w:eastAsia="Times New Roman" w:hAnsi="Times New Roman" w:cs="Times New Roman"/>
                <w:sz w:val="24"/>
                <w:szCs w:val="24"/>
                <w:lang w:val="uk-UA"/>
              </w:rPr>
              <w:t xml:space="preserve"> </w:t>
            </w:r>
            <w:r w:rsidR="007B0149" w:rsidRPr="00BE1959">
              <w:rPr>
                <w:rFonts w:ascii="Times New Roman" w:eastAsia="Times New Roman" w:hAnsi="Times New Roman" w:cs="Times New Roman"/>
                <w:sz w:val="24"/>
                <w:szCs w:val="24"/>
                <w:lang w:val="uk-UA"/>
              </w:rPr>
              <w:t>(EU) № 600/2014</w:t>
            </w:r>
            <w:r w:rsidR="005613AB" w:rsidRPr="00BE1959">
              <w:rPr>
                <w:rFonts w:ascii="Times New Roman" w:eastAsia="Times New Roman" w:hAnsi="Times New Roman" w:cs="Times New Roman"/>
                <w:sz w:val="24"/>
                <w:szCs w:val="24"/>
                <w:lang w:val="uk-UA"/>
              </w:rPr>
              <w:t>.</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25"/>
        <w:gridCol w:w="884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(113)</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292C6B" w:rsidP="003A5BF6">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Ураховуючи важливість забезпечення ліквідності для впорядкованого і ефективного функціонування ринків, інвестиційні фірми, які займаються алгоритмічною торгівлею для реалізації стратегії формування ринку, повинні мати письмові угоди з торговельними майданчиками з уточненням їхніх зобов’язань щодо надання ліквідності ринку. </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25"/>
        <w:gridCol w:w="8840"/>
      </w:tblGrid>
      <w:tr w:rsidR="005613AB" w:rsidRPr="00BE1959"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(114)</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3A5BF6" w:rsidP="00EC1BC7">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Ніщо у цій директиві </w:t>
            </w:r>
            <w:r w:rsidR="00EC1BC7" w:rsidRPr="00BE1959">
              <w:rPr>
                <w:rFonts w:ascii="Times New Roman" w:eastAsia="Times New Roman" w:hAnsi="Times New Roman" w:cs="Times New Roman"/>
                <w:sz w:val="24"/>
                <w:szCs w:val="24"/>
                <w:lang w:val="uk-UA"/>
              </w:rPr>
              <w:t>не повинно вимагати від компетентних органів затверджувати або вивчати зміст письмової угоди між регульованим ринком та інвестиційною фірмою, що потрібна через участь у схемі формування ринку. Проте, ніщо не забороняє компетентним органам робити це, за умови, що таке затвердження або вивчення основане тільки на відповідності регульованих ринків їхнім зобов’язанням за статтею 48.</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25"/>
        <w:gridCol w:w="884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(115)</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E249A5" w:rsidP="000061BA">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Надання основних послуг щодо ринкових даних, які грають центральну роль для здатності користувачів отримувати бажаний огляд торговельної діяльності на фінансових ринках Союзу і для здатності компетентних органів</w:t>
            </w:r>
            <w:r w:rsidR="000061BA" w:rsidRPr="00BE1959">
              <w:rPr>
                <w:rFonts w:ascii="Times New Roman" w:eastAsia="Times New Roman" w:hAnsi="Times New Roman" w:cs="Times New Roman"/>
                <w:sz w:val="24"/>
                <w:szCs w:val="24"/>
                <w:lang w:val="uk-UA"/>
              </w:rPr>
              <w:t xml:space="preserve"> одержувати точну і всебічну інформацію про відповідні угоди, має вимагати дозволу та підлягати регулюванню для забезпечення необхідного рівня якості.</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25"/>
        <w:gridCol w:w="884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(116)</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6C3019" w:rsidP="00682CDA">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Запровадження затверджених механізмів публікації (ЗМП) повинно покращити якість інформації про прозорість торгівлі, що публікується у </w:t>
            </w:r>
            <w:r w:rsidR="00682CDA" w:rsidRPr="00BE1959">
              <w:rPr>
                <w:rFonts w:ascii="Times New Roman" w:eastAsia="Times New Roman" w:hAnsi="Times New Roman" w:cs="Times New Roman"/>
                <w:sz w:val="24"/>
                <w:szCs w:val="24"/>
                <w:lang w:val="uk-UA"/>
              </w:rPr>
              <w:t>позабіржовому просторі, і значно сприяти забезпеченню публікації таких даних у спосіб, сприяючий їхній консолідації з даними, що публікуються торговельними майданчиками.</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25"/>
        <w:gridCol w:w="884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(117)</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607586" w:rsidP="00663B1A">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Тепер, коли створена ринкова структура, що дозволяє конкуренцію між численними торговельними майданчиками, важливо</w:t>
            </w:r>
            <w:r w:rsidR="00887269" w:rsidRPr="00BE1959">
              <w:rPr>
                <w:rFonts w:ascii="Times New Roman" w:eastAsia="Times New Roman" w:hAnsi="Times New Roman" w:cs="Times New Roman"/>
                <w:sz w:val="24"/>
                <w:szCs w:val="24"/>
                <w:lang w:val="uk-UA"/>
              </w:rPr>
              <w:t xml:space="preserve"> якомога швидше ввести в дію ефективну та всеосяжну консолідовану систему інформації про угоди. </w:t>
            </w:r>
            <w:r w:rsidR="00B460E7" w:rsidRPr="00BE1959">
              <w:rPr>
                <w:rFonts w:ascii="Times New Roman" w:eastAsia="Times New Roman" w:hAnsi="Times New Roman" w:cs="Times New Roman"/>
                <w:sz w:val="24"/>
                <w:szCs w:val="24"/>
                <w:lang w:val="uk-UA"/>
              </w:rPr>
              <w:t>Впровадження комерційного рішення щодо консолідованої системи інформації про угоди стосовно</w:t>
            </w:r>
            <w:r w:rsidR="009F31E0" w:rsidRPr="00BE1959">
              <w:rPr>
                <w:rFonts w:ascii="Times New Roman" w:eastAsia="Times New Roman" w:hAnsi="Times New Roman" w:cs="Times New Roman"/>
                <w:sz w:val="24"/>
                <w:szCs w:val="24"/>
                <w:lang w:val="uk-UA"/>
              </w:rPr>
              <w:t xml:space="preserve"> акцій та подібних до них фінансових інструментів повинно сприяти створенню більш інтегрованого європейського ринку та полегшити учасникам ринку доступ до зведеного представлення наявної інформації про прозорість торгівлі.</w:t>
            </w:r>
            <w:r w:rsidR="00B460E7" w:rsidRPr="00BE1959">
              <w:rPr>
                <w:rFonts w:ascii="Times New Roman" w:eastAsia="Times New Roman" w:hAnsi="Times New Roman" w:cs="Times New Roman"/>
                <w:sz w:val="24"/>
                <w:szCs w:val="24"/>
                <w:lang w:val="uk-UA"/>
              </w:rPr>
              <w:t xml:space="preserve"> </w:t>
            </w:r>
            <w:r w:rsidR="009F31E0" w:rsidRPr="00BE1959">
              <w:rPr>
                <w:rFonts w:ascii="Times New Roman" w:eastAsia="Times New Roman" w:hAnsi="Times New Roman" w:cs="Times New Roman"/>
                <w:sz w:val="24"/>
                <w:szCs w:val="24"/>
                <w:lang w:val="uk-UA"/>
              </w:rPr>
              <w:t xml:space="preserve">Передбачене рішення базується на </w:t>
            </w:r>
            <w:r w:rsidR="006472A4" w:rsidRPr="00BE1959">
              <w:rPr>
                <w:rFonts w:ascii="Times New Roman" w:eastAsia="Times New Roman" w:hAnsi="Times New Roman" w:cs="Times New Roman"/>
                <w:sz w:val="24"/>
                <w:szCs w:val="24"/>
                <w:lang w:val="uk-UA"/>
              </w:rPr>
              <w:t>наданні дозволів надавачам послуг, які працюють відповідно до встановлених і контрольованих параметрів, конкуруючи один з одним, із метою створення інноваційних рішень високого технічного рівня</w:t>
            </w:r>
            <w:r w:rsidR="00834AB6" w:rsidRPr="00BE1959">
              <w:rPr>
                <w:rFonts w:ascii="Times New Roman" w:eastAsia="Times New Roman" w:hAnsi="Times New Roman" w:cs="Times New Roman"/>
                <w:sz w:val="24"/>
                <w:szCs w:val="24"/>
                <w:lang w:val="uk-UA"/>
              </w:rPr>
              <w:t xml:space="preserve">, обслуговуючи ринок у максимально можливому ступені й забезпечуючи наявність погоджених і точних ринкових даних. </w:t>
            </w:r>
            <w:r w:rsidR="00150128" w:rsidRPr="00BE1959">
              <w:rPr>
                <w:rFonts w:ascii="Times New Roman" w:eastAsia="Times New Roman" w:hAnsi="Times New Roman" w:cs="Times New Roman"/>
                <w:sz w:val="24"/>
                <w:szCs w:val="24"/>
                <w:lang w:val="uk-UA"/>
              </w:rPr>
              <w:t xml:space="preserve">За допомогою вимоги до всіх надавачів зведень даних (НЗД) щодо </w:t>
            </w:r>
            <w:r w:rsidR="00150128" w:rsidRPr="00BE1959">
              <w:rPr>
                <w:rFonts w:ascii="Times New Roman" w:eastAsia="Times New Roman" w:hAnsi="Times New Roman" w:cs="Times New Roman"/>
                <w:sz w:val="24"/>
                <w:szCs w:val="24"/>
                <w:lang w:val="uk-UA"/>
              </w:rPr>
              <w:lastRenderedPageBreak/>
              <w:t xml:space="preserve">зведення даних від усіх ЗМП та торговельних майданчиків буде забезпечено конкуренцію на основі якості надання послуг клієнтам, а не обсягу охоплених даних. </w:t>
            </w:r>
            <w:r w:rsidR="00663B1A" w:rsidRPr="00BE1959">
              <w:rPr>
                <w:rFonts w:ascii="Times New Roman" w:eastAsia="Times New Roman" w:hAnsi="Times New Roman" w:cs="Times New Roman"/>
                <w:sz w:val="24"/>
                <w:szCs w:val="24"/>
                <w:lang w:val="uk-UA"/>
              </w:rPr>
              <w:t>Тим не менш, доцільно зараз передбачити запровадження консолідованої системи інформації про угоди на основі процесу державних закупівель, якщо передбачений механізм не призведе до своєчасного створення ефективної та всебічної такої системи стосовно акцій та подібних акціям фінансових інструментів.</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25"/>
        <w:gridCol w:w="884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(118)</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987C72" w:rsidP="00534633">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Створення </w:t>
            </w:r>
            <w:r w:rsidR="00173D31" w:rsidRPr="00BE1959">
              <w:rPr>
                <w:rFonts w:ascii="Times New Roman" w:eastAsia="Times New Roman" w:hAnsi="Times New Roman" w:cs="Times New Roman"/>
                <w:sz w:val="24"/>
                <w:szCs w:val="24"/>
                <w:lang w:val="uk-UA"/>
              </w:rPr>
              <w:t xml:space="preserve">консолідованої системи інформації про угоди щодо неакціонерних фінансових інструментів </w:t>
            </w:r>
            <w:r w:rsidR="00004AC2" w:rsidRPr="00BE1959">
              <w:rPr>
                <w:rFonts w:ascii="Times New Roman" w:eastAsia="Times New Roman" w:hAnsi="Times New Roman" w:cs="Times New Roman"/>
                <w:sz w:val="24"/>
                <w:szCs w:val="24"/>
                <w:lang w:val="uk-UA"/>
              </w:rPr>
              <w:t>вважається складнішим завданням, ніж аналогічної системи щодо акці</w:t>
            </w:r>
            <w:r w:rsidR="00554ADA" w:rsidRPr="00BE1959">
              <w:rPr>
                <w:rFonts w:ascii="Times New Roman" w:eastAsia="Times New Roman" w:hAnsi="Times New Roman" w:cs="Times New Roman"/>
                <w:sz w:val="24"/>
                <w:szCs w:val="24"/>
                <w:lang w:val="uk-UA"/>
              </w:rPr>
              <w:t>онерних фінансових інструментів</w:t>
            </w:r>
            <w:r w:rsidR="00173D31" w:rsidRPr="00BE1959">
              <w:rPr>
                <w:rFonts w:ascii="Times New Roman" w:eastAsia="Times New Roman" w:hAnsi="Times New Roman" w:cs="Times New Roman"/>
                <w:sz w:val="24"/>
                <w:szCs w:val="24"/>
                <w:lang w:val="uk-UA"/>
              </w:rPr>
              <w:t xml:space="preserve">, тому потенційні надавачі цих послуг повинні мати можливість набути досвіду роботи з останньою, перш ніж будувати її. Отже, для того, щоб сприяти належному запровадженню консолідованої системи інформації про угоди щодо неакціонерних фінансових інструментів, доцільно передбачити продовження терміну застосування національних заходів із транспозиції відповідного положення. </w:t>
            </w:r>
            <w:r w:rsidR="00663B1A" w:rsidRPr="00BE1959">
              <w:rPr>
                <w:rFonts w:ascii="Times New Roman" w:eastAsia="Times New Roman" w:hAnsi="Times New Roman" w:cs="Times New Roman"/>
                <w:sz w:val="24"/>
                <w:szCs w:val="24"/>
                <w:lang w:val="uk-UA"/>
              </w:rPr>
              <w:t>Тим не менш, доцільно зараз передбачити запровадження консолідованої системи інформації про угоди на основі процесу державних закупівель, якщо передбачений механізм не призведе до своєчасного створення ефективної та всебічної такої системи стосовно</w:t>
            </w:r>
            <w:r w:rsidR="00534633" w:rsidRPr="00BE1959">
              <w:rPr>
                <w:rFonts w:ascii="Times New Roman" w:eastAsia="Times New Roman" w:hAnsi="Times New Roman" w:cs="Times New Roman"/>
                <w:sz w:val="24"/>
                <w:szCs w:val="24"/>
                <w:lang w:val="uk-UA"/>
              </w:rPr>
              <w:t xml:space="preserve"> неакціонерних фінансових інструментів</w:t>
            </w:r>
            <w:r w:rsidR="00663B1A" w:rsidRPr="00BE1959">
              <w:rPr>
                <w:rFonts w:ascii="Times New Roman" w:eastAsia="Times New Roman" w:hAnsi="Times New Roman" w:cs="Times New Roman"/>
                <w:sz w:val="24"/>
                <w:szCs w:val="24"/>
                <w:lang w:val="uk-UA"/>
              </w:rPr>
              <w:t>.</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25"/>
        <w:gridCol w:w="884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(119)</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34633" w:rsidP="001C0C51">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Визначаючи по відношенню до неакціонерних фінансових інструментів торговельні майданчики та ЗМП, які необхідно включи</w:t>
            </w:r>
            <w:r w:rsidR="001C0C51" w:rsidRPr="00BE1959">
              <w:rPr>
                <w:rFonts w:ascii="Times New Roman" w:eastAsia="Times New Roman" w:hAnsi="Times New Roman" w:cs="Times New Roman"/>
                <w:sz w:val="24"/>
                <w:szCs w:val="24"/>
                <w:lang w:val="uk-UA"/>
              </w:rPr>
              <w:t>ти в інформацію, надавану після виконання угод, яку мають поширювати НЗД, ESMA повинна забезпечити досягнення мети щодо створення комплексного ринку Союзу для цих фінансових інструментів і недискримінаційний режим для ЗМП і торговельних майданчиків.</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25"/>
        <w:gridCol w:w="884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(120)</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641D9C" w:rsidP="00695EF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У законодавстві Союзу про вимоги до власних коштів слід зафіксувати мінімальні вимоги до капіталу</w:t>
            </w:r>
            <w:r w:rsidR="002C2913" w:rsidRPr="00BE1959">
              <w:rPr>
                <w:rFonts w:ascii="Times New Roman" w:eastAsia="Times New Roman" w:hAnsi="Times New Roman" w:cs="Times New Roman"/>
                <w:sz w:val="24"/>
                <w:szCs w:val="24"/>
                <w:lang w:val="uk-UA"/>
              </w:rPr>
              <w:t>, яким регульовані ринки повинні відповідати</w:t>
            </w:r>
            <w:r w:rsidR="00695EFB" w:rsidRPr="00BE1959">
              <w:rPr>
                <w:rFonts w:ascii="Times New Roman" w:eastAsia="Times New Roman" w:hAnsi="Times New Roman" w:cs="Times New Roman"/>
                <w:sz w:val="24"/>
                <w:szCs w:val="24"/>
                <w:lang w:val="uk-UA"/>
              </w:rPr>
              <w:t>, щоб отримати відповідний дозвіл, і при цьому слід урахувати специфічний характер ризиків, пов'язаних із такими ринками.</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25"/>
        <w:gridCol w:w="884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(121)</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6B7F47" w:rsidP="006B7F47">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Оператори регульованого ринку також повинні бути здатними управляти БТМ або ОТМ згідно з відповідними положеннями</w:t>
            </w:r>
            <w:r w:rsidR="005613AB" w:rsidRPr="00BE1959">
              <w:rPr>
                <w:rFonts w:ascii="Times New Roman" w:eastAsia="Times New Roman" w:hAnsi="Times New Roman" w:cs="Times New Roman"/>
                <w:sz w:val="24"/>
                <w:szCs w:val="24"/>
                <w:lang w:val="uk-UA"/>
              </w:rPr>
              <w:t xml:space="preserve"> </w:t>
            </w:r>
            <w:r w:rsidR="00432567" w:rsidRPr="00BE1959">
              <w:rPr>
                <w:rFonts w:ascii="Times New Roman" w:eastAsia="Times New Roman" w:hAnsi="Times New Roman" w:cs="Times New Roman"/>
                <w:sz w:val="24"/>
                <w:szCs w:val="24"/>
                <w:lang w:val="uk-UA"/>
              </w:rPr>
              <w:t>цієї директиви</w:t>
            </w:r>
            <w:r w:rsidR="005613AB" w:rsidRPr="00BE1959">
              <w:rPr>
                <w:rFonts w:ascii="Times New Roman" w:eastAsia="Times New Roman" w:hAnsi="Times New Roman" w:cs="Times New Roman"/>
                <w:sz w:val="24"/>
                <w:szCs w:val="24"/>
                <w:lang w:val="uk-UA"/>
              </w:rPr>
              <w:t>.</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25"/>
        <w:gridCol w:w="884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(122)</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6B7F47" w:rsidP="006B7F47">
            <w:pPr>
              <w:spacing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Положення</w:t>
            </w:r>
            <w:r w:rsidR="005613AB" w:rsidRPr="00BE1959">
              <w:rPr>
                <w:rFonts w:ascii="Times New Roman" w:eastAsia="Times New Roman" w:hAnsi="Times New Roman" w:cs="Times New Roman"/>
                <w:sz w:val="24"/>
                <w:szCs w:val="24"/>
                <w:lang w:val="uk-UA"/>
              </w:rPr>
              <w:t xml:space="preserve"> </w:t>
            </w:r>
            <w:r w:rsidR="00432567" w:rsidRPr="00BE1959">
              <w:rPr>
                <w:rFonts w:ascii="Times New Roman" w:eastAsia="Times New Roman" w:hAnsi="Times New Roman" w:cs="Times New Roman"/>
                <w:sz w:val="24"/>
                <w:szCs w:val="24"/>
                <w:lang w:val="uk-UA"/>
              </w:rPr>
              <w:t>цієї директиви</w:t>
            </w:r>
            <w:r w:rsidR="005613AB" w:rsidRPr="00BE1959">
              <w:rPr>
                <w:rFonts w:ascii="Times New Roman" w:eastAsia="Times New Roman" w:hAnsi="Times New Roman" w:cs="Times New Roman"/>
                <w:sz w:val="24"/>
                <w:szCs w:val="24"/>
                <w:lang w:val="uk-UA"/>
              </w:rPr>
              <w:t xml:space="preserve"> </w:t>
            </w:r>
            <w:r w:rsidRPr="00BE1959">
              <w:rPr>
                <w:rFonts w:ascii="Times New Roman" w:eastAsia="Times New Roman" w:hAnsi="Times New Roman" w:cs="Times New Roman"/>
                <w:sz w:val="24"/>
                <w:szCs w:val="24"/>
                <w:lang w:val="uk-UA"/>
              </w:rPr>
              <w:t>стосовно допуску фінансових інструментів до торгівлі за правилами, запровадженими регульованим ринком, не повинні заважати застосуванню</w:t>
            </w:r>
            <w:r w:rsidR="005613AB" w:rsidRPr="00BE1959">
              <w:rPr>
                <w:rFonts w:ascii="Times New Roman" w:eastAsia="Times New Roman" w:hAnsi="Times New Roman" w:cs="Times New Roman"/>
                <w:sz w:val="24"/>
                <w:szCs w:val="24"/>
                <w:lang w:val="uk-UA"/>
              </w:rPr>
              <w:t xml:space="preserve"> </w:t>
            </w:r>
            <w:r w:rsidR="00016E03" w:rsidRPr="00BE1959">
              <w:rPr>
                <w:rFonts w:ascii="Times New Roman" w:eastAsia="Times New Roman" w:hAnsi="Times New Roman" w:cs="Times New Roman"/>
                <w:sz w:val="24"/>
                <w:szCs w:val="24"/>
                <w:lang w:val="uk-UA"/>
              </w:rPr>
              <w:t>Директиви</w:t>
            </w:r>
            <w:r w:rsidR="005613AB" w:rsidRPr="00BE1959">
              <w:rPr>
                <w:rFonts w:ascii="Times New Roman" w:eastAsia="Times New Roman" w:hAnsi="Times New Roman" w:cs="Times New Roman"/>
                <w:sz w:val="24"/>
                <w:szCs w:val="24"/>
                <w:lang w:val="uk-UA"/>
              </w:rPr>
              <w:t xml:space="preserve"> 2001/34/EC </w:t>
            </w:r>
            <w:r w:rsidR="00423154" w:rsidRPr="00BE1959">
              <w:rPr>
                <w:rFonts w:ascii="Times New Roman" w:eastAsia="Times New Roman" w:hAnsi="Times New Roman" w:cs="Times New Roman"/>
                <w:sz w:val="24"/>
                <w:szCs w:val="24"/>
                <w:lang w:val="uk-UA"/>
              </w:rPr>
              <w:t>Європейського Парламенту та Ради</w:t>
            </w:r>
            <w:hyperlink r:id="rId39" w:anchor="ntr34-L_2014173EN.01034901-E0034" w:history="1">
              <w:r w:rsidR="005613AB" w:rsidRPr="00BE1959">
                <w:rPr>
                  <w:rFonts w:ascii="Times New Roman" w:eastAsia="Times New Roman" w:hAnsi="Times New Roman" w:cs="Times New Roman"/>
                  <w:sz w:val="24"/>
                  <w:szCs w:val="24"/>
                  <w:bdr w:val="none" w:sz="0" w:space="0" w:color="auto" w:frame="1"/>
                  <w:lang w:val="uk-UA"/>
                </w:rPr>
                <w:t> (</w:t>
              </w:r>
              <w:r w:rsidR="005613AB" w:rsidRPr="00BE1959">
                <w:rPr>
                  <w:rFonts w:ascii="Times New Roman" w:eastAsia="Times New Roman" w:hAnsi="Times New Roman" w:cs="Times New Roman"/>
                  <w:sz w:val="24"/>
                  <w:szCs w:val="24"/>
                  <w:bdr w:val="none" w:sz="0" w:space="0" w:color="auto" w:frame="1"/>
                  <w:vertAlign w:val="superscript"/>
                  <w:lang w:val="uk-UA"/>
                </w:rPr>
                <w:t>34</w:t>
              </w:r>
              <w:r w:rsidR="005613AB" w:rsidRPr="00BE1959">
                <w:rPr>
                  <w:rFonts w:ascii="Times New Roman" w:eastAsia="Times New Roman" w:hAnsi="Times New Roman" w:cs="Times New Roman"/>
                  <w:sz w:val="24"/>
                  <w:szCs w:val="24"/>
                  <w:bdr w:val="none" w:sz="0" w:space="0" w:color="auto" w:frame="1"/>
                  <w:lang w:val="uk-UA"/>
                </w:rPr>
                <w:t>)</w:t>
              </w:r>
            </w:hyperlink>
            <w:r w:rsidR="005613AB" w:rsidRPr="00BE1959">
              <w:rPr>
                <w:rFonts w:ascii="Times New Roman" w:eastAsia="Times New Roman" w:hAnsi="Times New Roman" w:cs="Times New Roman"/>
                <w:sz w:val="24"/>
                <w:szCs w:val="24"/>
                <w:lang w:val="uk-UA"/>
              </w:rPr>
              <w:t> </w:t>
            </w:r>
            <w:r w:rsidRPr="00BE1959">
              <w:rPr>
                <w:rFonts w:ascii="Times New Roman" w:eastAsia="Times New Roman" w:hAnsi="Times New Roman" w:cs="Times New Roman"/>
                <w:sz w:val="24"/>
                <w:szCs w:val="24"/>
                <w:lang w:val="uk-UA"/>
              </w:rPr>
              <w:t>і</w:t>
            </w:r>
            <w:r w:rsidR="005613AB" w:rsidRPr="00BE1959">
              <w:rPr>
                <w:rFonts w:ascii="Times New Roman" w:eastAsia="Times New Roman" w:hAnsi="Times New Roman" w:cs="Times New Roman"/>
                <w:sz w:val="24"/>
                <w:szCs w:val="24"/>
                <w:lang w:val="uk-UA"/>
              </w:rPr>
              <w:t xml:space="preserve"> </w:t>
            </w:r>
            <w:r w:rsidR="00016E03" w:rsidRPr="00BE1959">
              <w:rPr>
                <w:rFonts w:ascii="Times New Roman" w:eastAsia="Times New Roman" w:hAnsi="Times New Roman" w:cs="Times New Roman"/>
                <w:sz w:val="24"/>
                <w:szCs w:val="24"/>
                <w:lang w:val="uk-UA"/>
              </w:rPr>
              <w:t>Директиви</w:t>
            </w:r>
            <w:r w:rsidR="005613AB" w:rsidRPr="00BE1959">
              <w:rPr>
                <w:rFonts w:ascii="Times New Roman" w:eastAsia="Times New Roman" w:hAnsi="Times New Roman" w:cs="Times New Roman"/>
                <w:sz w:val="24"/>
                <w:szCs w:val="24"/>
                <w:lang w:val="uk-UA"/>
              </w:rPr>
              <w:t xml:space="preserve"> 2003/71/EC </w:t>
            </w:r>
            <w:r w:rsidR="00423154" w:rsidRPr="00BE1959">
              <w:rPr>
                <w:rFonts w:ascii="Times New Roman" w:eastAsia="Times New Roman" w:hAnsi="Times New Roman" w:cs="Times New Roman"/>
                <w:sz w:val="24"/>
                <w:szCs w:val="24"/>
                <w:lang w:val="uk-UA"/>
              </w:rPr>
              <w:t>Європейського Парламенту та Ради</w:t>
            </w:r>
            <w:hyperlink r:id="rId40" w:anchor="ntr35-L_2014173EN.01034901-E0035" w:history="1">
              <w:r w:rsidR="005613AB" w:rsidRPr="00BE1959">
                <w:rPr>
                  <w:rFonts w:ascii="Times New Roman" w:eastAsia="Times New Roman" w:hAnsi="Times New Roman" w:cs="Times New Roman"/>
                  <w:sz w:val="24"/>
                  <w:szCs w:val="24"/>
                  <w:bdr w:val="none" w:sz="0" w:space="0" w:color="auto" w:frame="1"/>
                  <w:lang w:val="uk-UA"/>
                </w:rPr>
                <w:t> (</w:t>
              </w:r>
              <w:r w:rsidR="005613AB" w:rsidRPr="00BE1959">
                <w:rPr>
                  <w:rFonts w:ascii="Times New Roman" w:eastAsia="Times New Roman" w:hAnsi="Times New Roman" w:cs="Times New Roman"/>
                  <w:sz w:val="24"/>
                  <w:szCs w:val="24"/>
                  <w:bdr w:val="none" w:sz="0" w:space="0" w:color="auto" w:frame="1"/>
                  <w:vertAlign w:val="superscript"/>
                  <w:lang w:val="uk-UA"/>
                </w:rPr>
                <w:t>35</w:t>
              </w:r>
              <w:r w:rsidR="005613AB" w:rsidRPr="00BE1959">
                <w:rPr>
                  <w:rFonts w:ascii="Times New Roman" w:eastAsia="Times New Roman" w:hAnsi="Times New Roman" w:cs="Times New Roman"/>
                  <w:sz w:val="24"/>
                  <w:szCs w:val="24"/>
                  <w:bdr w:val="none" w:sz="0" w:space="0" w:color="auto" w:frame="1"/>
                  <w:lang w:val="uk-UA"/>
                </w:rPr>
                <w:t>)</w:t>
              </w:r>
            </w:hyperlink>
            <w:r w:rsidRPr="00BE1959">
              <w:rPr>
                <w:rFonts w:ascii="Times New Roman" w:eastAsia="Times New Roman" w:hAnsi="Times New Roman" w:cs="Times New Roman"/>
                <w:sz w:val="24"/>
                <w:szCs w:val="24"/>
                <w:lang w:val="uk-UA"/>
              </w:rPr>
              <w:t>. Регульованому ринку не слід заважати застосовувати більш суворі вимоги до емітентів фінансових інструментів, які він розглядає на предмет допуску до торгівлі, ніж вимоги, встановлені на виконання цієї директиви.</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25"/>
        <w:gridCol w:w="884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(123)</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271561" w:rsidP="00271561">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Держави-члени повинні мати можливість призначати інші компетентні органи для </w:t>
            </w:r>
            <w:r w:rsidRPr="00BE1959">
              <w:rPr>
                <w:rFonts w:ascii="Times New Roman" w:eastAsia="Times New Roman" w:hAnsi="Times New Roman" w:cs="Times New Roman"/>
                <w:sz w:val="24"/>
                <w:szCs w:val="24"/>
                <w:lang w:val="uk-UA"/>
              </w:rPr>
              <w:lastRenderedPageBreak/>
              <w:t>забезпечення виконання широких зобов’язань, викладених у цій директиві. Такі органи повинні мати публічний характер, гарантуючий їхню незалежність від господарюючих суб’єктів і уникнення конфліктів інтересів. Відповідно до національного законодавства держави-члени повинні забезпечити належне фінансування компетентного органу. Призначення таких органів не повинно виключати можливість делегування повноважень під відповідальність компетентного органу.</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25"/>
        <w:gridCol w:w="884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(124)</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3B52AC" w:rsidP="003B52AC">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Щоб забезпечити ефективність і своєчасність спілкування між компетентними органами щодо призупинення, усунення, порушень, невпорядкованих умов торгівлі та обставин, які можуть свідчити про зловживання на ринку, потрібен ефективний процес спілкування та координації між національними компетентними органами, який буде забезпечений за допомогою механізмів, розроблених</w:t>
            </w:r>
            <w:r w:rsidR="005613AB" w:rsidRPr="00BE1959">
              <w:rPr>
                <w:rFonts w:ascii="Times New Roman" w:eastAsia="Times New Roman" w:hAnsi="Times New Roman" w:cs="Times New Roman"/>
                <w:sz w:val="24"/>
                <w:szCs w:val="24"/>
                <w:lang w:val="uk-UA"/>
              </w:rPr>
              <w:t xml:space="preserve"> ESMA.</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25"/>
        <w:gridCol w:w="884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(125)</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3F66A4" w:rsidP="009573F9">
            <w:pPr>
              <w:spacing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На саміті «Великої двадцятки» 25 вересня 2009 року у Пітсбургу було домовлено вдосконалити регулювання, функціонування і прозорість фінансових і товарних ринків для усунення надмірної волатильності товарних цін. </w:t>
            </w:r>
            <w:r w:rsidR="009119D4" w:rsidRPr="00BE1959">
              <w:rPr>
                <w:rFonts w:ascii="Times New Roman" w:eastAsia="Times New Roman" w:hAnsi="Times New Roman" w:cs="Times New Roman"/>
                <w:sz w:val="24"/>
                <w:szCs w:val="24"/>
                <w:lang w:val="uk-UA"/>
              </w:rPr>
              <w:t>У Повідомленнях Комісії від 28 жовтня 2009 р. «Покращення функціонування системи постачань продуктів харчування у Європі» та від 2 лютого 2011 року «Протидія викликам на товарних ринках і</w:t>
            </w:r>
            <w:r w:rsidR="001B3C6B" w:rsidRPr="00BE1959">
              <w:rPr>
                <w:rFonts w:ascii="Times New Roman" w:eastAsia="Times New Roman" w:hAnsi="Times New Roman" w:cs="Times New Roman"/>
                <w:sz w:val="24"/>
                <w:szCs w:val="24"/>
                <w:lang w:val="uk-UA"/>
              </w:rPr>
              <w:t xml:space="preserve"> у сфері сировини й матеріалів» були окреслені заходи, які слід здійснити у контексті перегляду</w:t>
            </w:r>
            <w:r w:rsidR="005613AB" w:rsidRPr="00BE1959">
              <w:rPr>
                <w:rFonts w:ascii="Times New Roman" w:eastAsia="Times New Roman" w:hAnsi="Times New Roman" w:cs="Times New Roman"/>
                <w:sz w:val="24"/>
                <w:szCs w:val="24"/>
                <w:lang w:val="uk-UA"/>
              </w:rPr>
              <w:t xml:space="preserve"> </w:t>
            </w:r>
            <w:r w:rsidR="00016E03" w:rsidRPr="00BE1959">
              <w:rPr>
                <w:rFonts w:ascii="Times New Roman" w:eastAsia="Times New Roman" w:hAnsi="Times New Roman" w:cs="Times New Roman"/>
                <w:sz w:val="24"/>
                <w:szCs w:val="24"/>
                <w:lang w:val="uk-UA"/>
              </w:rPr>
              <w:t>Директиви</w:t>
            </w:r>
            <w:r w:rsidR="005613AB" w:rsidRPr="00BE1959">
              <w:rPr>
                <w:rFonts w:ascii="Times New Roman" w:eastAsia="Times New Roman" w:hAnsi="Times New Roman" w:cs="Times New Roman"/>
                <w:sz w:val="24"/>
                <w:szCs w:val="24"/>
                <w:lang w:val="uk-UA"/>
              </w:rPr>
              <w:t xml:space="preserve"> 2004/39/EC. </w:t>
            </w:r>
            <w:r w:rsidR="001B3C6B" w:rsidRPr="00BE1959">
              <w:rPr>
                <w:rFonts w:ascii="Times New Roman" w:eastAsia="Times New Roman" w:hAnsi="Times New Roman" w:cs="Times New Roman"/>
                <w:sz w:val="24"/>
                <w:szCs w:val="24"/>
                <w:lang w:val="uk-UA"/>
              </w:rPr>
              <w:t>У вересні 2011 року Міжнародна організація комісій з цінних паперів опублікувала «Принципи регулювання ринків товарних деривативів і нагляду за ними». Ці принципи були схвалені на саміті «Великої двадцятки» 4 листопада 2011 року в Канні, учасники яко</w:t>
            </w:r>
            <w:r w:rsidR="00BE0BDF" w:rsidRPr="00BE1959">
              <w:rPr>
                <w:rFonts w:ascii="Times New Roman" w:eastAsia="Times New Roman" w:hAnsi="Times New Roman" w:cs="Times New Roman"/>
                <w:sz w:val="24"/>
                <w:szCs w:val="24"/>
                <w:lang w:val="uk-UA"/>
              </w:rPr>
              <w:t xml:space="preserve">го закликали наділити ринкових регуляторів формальними повноваженнями з управління позиціями, зокрема повноваженням з установлення </w:t>
            </w:r>
            <w:r w:rsidR="009573F9" w:rsidRPr="00BE1959">
              <w:rPr>
                <w:rFonts w:ascii="Times New Roman" w:eastAsia="Times New Roman" w:hAnsi="Times New Roman" w:cs="Times New Roman"/>
                <w:sz w:val="24"/>
                <w:szCs w:val="24"/>
                <w:lang w:val="uk-UA"/>
              </w:rPr>
              <w:t>очікуваних лімітів позицій залежно від обставин.</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25"/>
        <w:gridCol w:w="884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(126)</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746BD2" w:rsidP="005511FC">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Повноваження, надані компетентним органам, слід доповнити прямими повноваженнями на одержання від будь-якої особи інформації про розмір та призначення позиції </w:t>
            </w:r>
            <w:r w:rsidR="005511FC" w:rsidRPr="00BE1959">
              <w:rPr>
                <w:rFonts w:ascii="Times New Roman" w:eastAsia="Times New Roman" w:hAnsi="Times New Roman" w:cs="Times New Roman"/>
                <w:sz w:val="24"/>
                <w:szCs w:val="24"/>
                <w:lang w:val="uk-UA"/>
              </w:rPr>
              <w:t>щодо</w:t>
            </w:r>
            <w:r w:rsidRPr="00BE1959">
              <w:rPr>
                <w:rFonts w:ascii="Times New Roman" w:eastAsia="Times New Roman" w:hAnsi="Times New Roman" w:cs="Times New Roman"/>
                <w:sz w:val="24"/>
                <w:szCs w:val="24"/>
                <w:lang w:val="uk-UA"/>
              </w:rPr>
              <w:t xml:space="preserve"> контракт</w:t>
            </w:r>
            <w:r w:rsidR="005511FC" w:rsidRPr="00BE1959">
              <w:rPr>
                <w:rFonts w:ascii="Times New Roman" w:eastAsia="Times New Roman" w:hAnsi="Times New Roman" w:cs="Times New Roman"/>
                <w:sz w:val="24"/>
                <w:szCs w:val="24"/>
                <w:lang w:val="uk-UA"/>
              </w:rPr>
              <w:t>ів</w:t>
            </w:r>
            <w:r w:rsidRPr="00BE1959">
              <w:rPr>
                <w:rFonts w:ascii="Times New Roman" w:eastAsia="Times New Roman" w:hAnsi="Times New Roman" w:cs="Times New Roman"/>
                <w:sz w:val="24"/>
                <w:szCs w:val="24"/>
                <w:lang w:val="uk-UA"/>
              </w:rPr>
              <w:t xml:space="preserve"> на деривативи, </w:t>
            </w:r>
            <w:r w:rsidR="00AC5109" w:rsidRPr="00BE1959">
              <w:rPr>
                <w:rFonts w:ascii="Times New Roman" w:eastAsia="Times New Roman" w:hAnsi="Times New Roman" w:cs="Times New Roman"/>
                <w:sz w:val="24"/>
                <w:szCs w:val="24"/>
                <w:lang w:val="uk-UA"/>
              </w:rPr>
              <w:t xml:space="preserve">що стосуються товарів, і на зажадання від цієї </w:t>
            </w:r>
            <w:r w:rsidR="005511FC" w:rsidRPr="00BE1959">
              <w:rPr>
                <w:rFonts w:ascii="Times New Roman" w:eastAsia="Times New Roman" w:hAnsi="Times New Roman" w:cs="Times New Roman"/>
                <w:sz w:val="24"/>
                <w:szCs w:val="24"/>
                <w:lang w:val="uk-UA"/>
              </w:rPr>
              <w:t>особи вжиття заходів для зменшення розміру позиції щодо контрактів на деривативи.</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25"/>
        <w:gridCol w:w="884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(127)</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511FC" w:rsidP="00621090">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Необхідно запровадити гармонізований режим лімітів позицій</w:t>
            </w:r>
            <w:r w:rsidR="00BD208F" w:rsidRPr="00BE1959">
              <w:rPr>
                <w:rFonts w:ascii="Times New Roman" w:eastAsia="Times New Roman" w:hAnsi="Times New Roman" w:cs="Times New Roman"/>
                <w:sz w:val="24"/>
                <w:szCs w:val="24"/>
                <w:lang w:val="uk-UA"/>
              </w:rPr>
              <w:t>, щоб забезпечити кращу координацію та послідовність у застосуванні вищезгаданої домовленості «Великої двадцятки», особливо для контрактів, які торгуються на всій території Союзу. Отже, слід надати компетентним органам прямі повноваження на встановлення лімітів, на основі методики, визначеної ESMA, на позиції, що їх може постійно утримувати будь-яка особа, на сукупному груповому рівні, у контракті на дериватив щодо товару</w:t>
            </w:r>
            <w:r w:rsidR="000E6CDF" w:rsidRPr="00BE1959">
              <w:rPr>
                <w:rFonts w:ascii="Times New Roman" w:eastAsia="Times New Roman" w:hAnsi="Times New Roman" w:cs="Times New Roman"/>
                <w:sz w:val="24"/>
                <w:szCs w:val="24"/>
                <w:lang w:val="uk-UA"/>
              </w:rPr>
              <w:t xml:space="preserve">, для запобігання зловживань на ринку, зокрема спекулятивної скупки, </w:t>
            </w:r>
            <w:r w:rsidR="00171DD2" w:rsidRPr="00BE1959">
              <w:rPr>
                <w:rFonts w:ascii="Times New Roman" w:eastAsia="Times New Roman" w:hAnsi="Times New Roman" w:cs="Times New Roman"/>
                <w:sz w:val="24"/>
                <w:szCs w:val="24"/>
                <w:lang w:val="uk-UA"/>
              </w:rPr>
              <w:t xml:space="preserve">а також для підтримання впорядкованих умов ціноутворення </w:t>
            </w:r>
            <w:r w:rsidR="00171DD2" w:rsidRPr="00BE1959">
              <w:rPr>
                <w:rFonts w:ascii="Times New Roman" w:eastAsia="Times New Roman" w:hAnsi="Times New Roman" w:cs="Times New Roman"/>
                <w:sz w:val="24"/>
                <w:szCs w:val="24"/>
                <w:lang w:val="uk-UA"/>
              </w:rPr>
              <w:lastRenderedPageBreak/>
              <w:t>і розрахунків, зокрема попередження утворення позицій, що викривлюють ринок</w:t>
            </w:r>
            <w:r w:rsidR="003C00FB" w:rsidRPr="00BE1959">
              <w:rPr>
                <w:rFonts w:ascii="Times New Roman" w:eastAsia="Times New Roman" w:hAnsi="Times New Roman" w:cs="Times New Roman"/>
                <w:sz w:val="24"/>
                <w:szCs w:val="24"/>
                <w:lang w:val="uk-UA"/>
              </w:rPr>
              <w:t>. Такі ліміти повинні сприяти цілісності ринку для даного деривативу та відповідного товару без шкоди для відкриття ціни на ринку на цей товар і не повинні застосовуватися до позицій, які об’єктивно зменшують ризики, безпосередньо пов'язані з комерційною діяльністю стосовно даного товару.</w:t>
            </w:r>
            <w:r w:rsidR="00D95B3A" w:rsidRPr="00BE1959">
              <w:rPr>
                <w:rFonts w:ascii="Times New Roman" w:eastAsia="Times New Roman" w:hAnsi="Times New Roman" w:cs="Times New Roman"/>
                <w:sz w:val="24"/>
                <w:szCs w:val="24"/>
                <w:lang w:val="uk-UA"/>
              </w:rPr>
              <w:t xml:space="preserve"> Слід також уточнити різницю між спотовими контрактами на товари та контрактами на товарні деривативи. Для того, щоб досягти гармонізованого режиму, доцільно також, щоб ESMA контролювала запровадження лімітів позицій, а компетентні органи ввели в дію механізми співробітництва між собою, зокрема обмін важливими даними</w:t>
            </w:r>
            <w:r w:rsidR="00395B2B" w:rsidRPr="00BE1959">
              <w:rPr>
                <w:rFonts w:ascii="Times New Roman" w:eastAsia="Times New Roman" w:hAnsi="Times New Roman" w:cs="Times New Roman"/>
                <w:sz w:val="24"/>
                <w:szCs w:val="24"/>
                <w:lang w:val="uk-UA"/>
              </w:rPr>
              <w:t>, і сприяли моніторингу та забезпеченню дотримання вищезгаданих лімітів.</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25"/>
        <w:gridCol w:w="884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(128)</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39AF" w:rsidP="00390585">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Усі торговельні майданчики, де можлива торгівля товарними деривативами, повинні запровадити належні засоби управління позиціями, </w:t>
            </w:r>
            <w:r w:rsidR="005B1FEB" w:rsidRPr="00BE1959">
              <w:rPr>
                <w:rFonts w:ascii="Times New Roman" w:eastAsia="Times New Roman" w:hAnsi="Times New Roman" w:cs="Times New Roman"/>
                <w:sz w:val="24"/>
                <w:szCs w:val="24"/>
                <w:lang w:val="uk-UA"/>
              </w:rPr>
              <w:t xml:space="preserve">надавши необхідні повноваження принаймні на моніторинг і використання інформації про позиції щодо товарних деривативів, на зажадання зменшення або закриття таких позицій і на зажадання повернення </w:t>
            </w:r>
            <w:r w:rsidR="00474FAC" w:rsidRPr="00BE1959">
              <w:rPr>
                <w:rFonts w:ascii="Times New Roman" w:eastAsia="Times New Roman" w:hAnsi="Times New Roman" w:cs="Times New Roman"/>
                <w:sz w:val="24"/>
                <w:szCs w:val="24"/>
                <w:lang w:val="uk-UA"/>
              </w:rPr>
              <w:t xml:space="preserve">ліквідності на ринок для пом’якшення наслідків великої або домінуючої позиції. </w:t>
            </w:r>
            <w:r w:rsidR="005613AB" w:rsidRPr="00BE1959">
              <w:rPr>
                <w:rFonts w:ascii="Times New Roman" w:eastAsia="Times New Roman" w:hAnsi="Times New Roman" w:cs="Times New Roman"/>
                <w:sz w:val="24"/>
                <w:szCs w:val="24"/>
                <w:lang w:val="uk-UA"/>
              </w:rPr>
              <w:t xml:space="preserve">ESMA </w:t>
            </w:r>
            <w:r w:rsidR="00474FAC" w:rsidRPr="00BE1959">
              <w:rPr>
                <w:rFonts w:ascii="Times New Roman" w:eastAsia="Times New Roman" w:hAnsi="Times New Roman" w:cs="Times New Roman"/>
                <w:sz w:val="24"/>
                <w:szCs w:val="24"/>
                <w:lang w:val="uk-UA"/>
              </w:rPr>
              <w:t xml:space="preserve">повинна вести та публікувати перелік, що містить стислі дані про всі чинні ліміти позицій та засоби управління позиціями. Ці ліміти та механізми слід застосовувати узгоджено, враховуючи конкретні характеристики даного ринку. Необхідно чітко викласти порядок їхнього застосування та відповідні кількісні пороги, які становлять ліміти або які можуть </w:t>
            </w:r>
            <w:r w:rsidR="00390585" w:rsidRPr="00BE1959">
              <w:rPr>
                <w:rFonts w:ascii="Times New Roman" w:eastAsia="Times New Roman" w:hAnsi="Times New Roman" w:cs="Times New Roman"/>
                <w:sz w:val="24"/>
                <w:szCs w:val="24"/>
                <w:lang w:val="uk-UA"/>
              </w:rPr>
              <w:t>ініціювати інші зобов’язання.</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25"/>
        <w:gridCol w:w="8840"/>
      </w:tblGrid>
      <w:tr w:rsidR="005613AB" w:rsidRPr="00BE1959"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(129)</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0F1CFF" w:rsidP="00092D83">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Торговельні майданчики повинні публікувати сукупну щотижневу розбивку позицій, наявних у різних категорій осіб щодо різних контрактів на товарні деривативи, квоти на викиди та деривативи на них, якими здійснюється торгівля на їхніх платформах. </w:t>
            </w:r>
            <w:r w:rsidR="00092D83" w:rsidRPr="00BE1959">
              <w:rPr>
                <w:rFonts w:ascii="Times New Roman" w:eastAsia="Times New Roman" w:hAnsi="Times New Roman" w:cs="Times New Roman"/>
                <w:sz w:val="24"/>
                <w:szCs w:val="24"/>
                <w:lang w:val="uk-UA"/>
              </w:rPr>
              <w:t>Компетентному органові як мінімум щоденно слід подавати вичерпну та детальну розбивку позицій, наявних у всіх осіб. Механізм звітування за цією директивою повинен ураховувати, де це доречно, вимоги до звітування, вже встановлені статтею 8 Регламенту</w:t>
            </w:r>
            <w:r w:rsidR="005613AB" w:rsidRPr="00BE1959">
              <w:rPr>
                <w:rFonts w:ascii="Times New Roman" w:eastAsia="Times New Roman" w:hAnsi="Times New Roman" w:cs="Times New Roman"/>
                <w:sz w:val="24"/>
                <w:szCs w:val="24"/>
                <w:lang w:val="uk-UA"/>
              </w:rPr>
              <w:t xml:space="preserve"> </w:t>
            </w:r>
            <w:r w:rsidR="00DB4825" w:rsidRPr="00BE1959">
              <w:rPr>
                <w:rFonts w:ascii="Times New Roman" w:eastAsia="Times New Roman" w:hAnsi="Times New Roman" w:cs="Times New Roman"/>
                <w:sz w:val="24"/>
                <w:szCs w:val="24"/>
                <w:lang w:val="uk-UA"/>
              </w:rPr>
              <w:t>(EU) №</w:t>
            </w:r>
            <w:r w:rsidR="005613AB" w:rsidRPr="00BE1959">
              <w:rPr>
                <w:rFonts w:ascii="Times New Roman" w:eastAsia="Times New Roman" w:hAnsi="Times New Roman" w:cs="Times New Roman"/>
                <w:sz w:val="24"/>
                <w:szCs w:val="24"/>
                <w:lang w:val="uk-UA"/>
              </w:rPr>
              <w:t> 1227/2011.</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25"/>
        <w:gridCol w:w="884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(130)</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0D197A" w:rsidP="0068569A">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Хоча методика, застосовувана для розрахунку лімітів позицій, не повинна створювати перешкоди для розроблення нових товарних деривативів, ESMA при визначенні методики розрахунку повинна забезпечити, щоб розробленням нових товарних деривативів неможливо було скористатися для </w:t>
            </w:r>
            <w:r w:rsidR="0068569A" w:rsidRPr="00BE1959">
              <w:rPr>
                <w:rFonts w:ascii="Times New Roman" w:eastAsia="Times New Roman" w:hAnsi="Times New Roman" w:cs="Times New Roman"/>
                <w:sz w:val="24"/>
                <w:szCs w:val="24"/>
                <w:lang w:val="uk-UA"/>
              </w:rPr>
              <w:t>ухилення від</w:t>
            </w:r>
            <w:r w:rsidRPr="00BE1959">
              <w:rPr>
                <w:rFonts w:ascii="Times New Roman" w:eastAsia="Times New Roman" w:hAnsi="Times New Roman" w:cs="Times New Roman"/>
                <w:sz w:val="24"/>
                <w:szCs w:val="24"/>
                <w:lang w:val="uk-UA"/>
              </w:rPr>
              <w:t xml:space="preserve"> режиму лімітів позицій.</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25"/>
        <w:gridCol w:w="884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(131)</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68569A" w:rsidP="006D643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Ліміти позицій слід установлювати для кожного окремого контракту на товарний дериватив. Для того, щоб уникнути ухилення від режиму лімітів позицій шляхом постійного розроблення нових контрактів на товарні деривативи, ESMA повинна забезпечити, щоб методика розрахунку запобігала будь-якому ухиленню, врах</w:t>
            </w:r>
            <w:r w:rsidR="006D643B" w:rsidRPr="00BE1959">
              <w:rPr>
                <w:rFonts w:ascii="Times New Roman" w:eastAsia="Times New Roman" w:hAnsi="Times New Roman" w:cs="Times New Roman"/>
                <w:sz w:val="24"/>
                <w:szCs w:val="24"/>
                <w:lang w:val="uk-UA"/>
              </w:rPr>
              <w:t>овуючи суму відкритих позицій щодо інших товарних деривативів із тим самим базовим товаром.</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25"/>
        <w:gridCol w:w="884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lastRenderedPageBreak/>
              <w:t>(132)</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EC1555" w:rsidP="007A251D">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Бажано сприяти доступові малих і середніх підприємств (МСП) до капіталу та полегшити подальший розвиток спеціалізованих ринків, спрямованих на задоволення потреб малих і середніх емітентів. Ці ринки, що зазвичай функціонують за цією директивою як БТМ, загалом відомі як ринки МСП, що розвиваються, ринки зростання або молодші ринки.</w:t>
            </w:r>
            <w:r w:rsidR="00265198" w:rsidRPr="00BE1959">
              <w:rPr>
                <w:rFonts w:ascii="Times New Roman" w:eastAsia="Times New Roman" w:hAnsi="Times New Roman" w:cs="Times New Roman"/>
                <w:sz w:val="24"/>
                <w:szCs w:val="24"/>
                <w:lang w:val="uk-UA"/>
              </w:rPr>
              <w:t xml:space="preserve"> Створення у категорії БТМ нової підкатегорії – ринків МСП, що розвиваються – і реєстрація цих ринків повинні покращити їхню помітність і рівень та сприяти </w:t>
            </w:r>
            <w:r w:rsidR="007A251D" w:rsidRPr="00BE1959">
              <w:rPr>
                <w:rFonts w:ascii="Times New Roman" w:eastAsia="Times New Roman" w:hAnsi="Times New Roman" w:cs="Times New Roman"/>
                <w:sz w:val="24"/>
                <w:szCs w:val="24"/>
                <w:lang w:val="uk-UA"/>
              </w:rPr>
              <w:t>розробленню в Союзі загальних нормативних стандартів для цих ринків. Слід зосередити увагу на тому, як майбутнє регулювання повинно далі сприяти і заохочувати використання цього ринку з тим, щоб зробити його привабливим для інвесторів, забезпечити зменшення адміністративного тягаря та надати МСП додаткові стимули для виходу на ринки капіталу через ринки МСП, що розвиваються.</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25"/>
        <w:gridCol w:w="884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(133)</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6A6519" w:rsidP="005A0922">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Вимоги, що застосовуються до цієї нової категорії ринків, повинні передбачати достатню гнучкість для того, щоб вони могли враховувати той спектр успішних ринкових моделей, який зараз існує в Європі. </w:t>
            </w:r>
            <w:r w:rsidR="006D4955" w:rsidRPr="00BE1959">
              <w:rPr>
                <w:rFonts w:ascii="Times New Roman" w:eastAsia="Times New Roman" w:hAnsi="Times New Roman" w:cs="Times New Roman"/>
                <w:sz w:val="24"/>
                <w:szCs w:val="24"/>
                <w:lang w:val="uk-UA"/>
              </w:rPr>
              <w:t>Крім того, у них необхідно добитися правильного балансу між підтриманням високих рівнів захисту інвесторів, що потрібно для сприяння довіри інвесторів до емітентів на цих ринках</w:t>
            </w:r>
            <w:r w:rsidR="005A0922" w:rsidRPr="00BE1959">
              <w:rPr>
                <w:rFonts w:ascii="Times New Roman" w:eastAsia="Times New Roman" w:hAnsi="Times New Roman" w:cs="Times New Roman"/>
                <w:sz w:val="24"/>
                <w:szCs w:val="24"/>
                <w:lang w:val="uk-UA"/>
              </w:rPr>
              <w:t>, з одночасним зменшенням зайвого адміністративного навантаження на емітентів на цих ринках. Пропонується детальніше викласти вимоги щодо ринків МСП, що розвиваються, зокрема стосовно критеріїв допуску до торгівлі на такому ринку, у делегованих актах або технічних стандартах.</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25"/>
        <w:gridCol w:w="884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(134)</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867DA3" w:rsidP="00867DA3">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Ураховуючи важливість попередження негативного впливу на існуючі успішні ринки, у операторів ринків, орієнтованих на малих і середніх емітентів, повинна залишитися можливість вибрати варіант із продовженням роботи на такому ринку згідно з вимогами, викладеними у цій директиві, без необхідності реєстрації в якості ринку МСП, що розвивається. Емітент, який є МСП, не повинен бути зобов’язаним подавати заяву про допуск його фінансових інструментів до торгівлі на ринку МСП, що розвивається.</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25"/>
        <w:gridCol w:w="884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(135)</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0214FB" w:rsidP="00A4503E">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Для того, щоб ця нова </w:t>
            </w:r>
            <w:r w:rsidR="00C95169" w:rsidRPr="00BE1959">
              <w:rPr>
                <w:rFonts w:ascii="Times New Roman" w:eastAsia="Times New Roman" w:hAnsi="Times New Roman" w:cs="Times New Roman"/>
                <w:sz w:val="24"/>
                <w:szCs w:val="24"/>
                <w:lang w:val="uk-UA"/>
              </w:rPr>
              <w:t>категорія ринків була корисною для МСП, принаймні 50% емітентів, чиї фінансові інструменти торгуються на ринку МСП, що розвивається,</w:t>
            </w:r>
            <w:r w:rsidR="005544CF" w:rsidRPr="00BE1959">
              <w:rPr>
                <w:rFonts w:ascii="Times New Roman" w:eastAsia="Times New Roman" w:hAnsi="Times New Roman" w:cs="Times New Roman"/>
                <w:sz w:val="24"/>
                <w:szCs w:val="24"/>
                <w:lang w:val="uk-UA"/>
              </w:rPr>
              <w:t xml:space="preserve"> повинні бути МСП. Ця оцінка повинна проводитися на щорічній основі. </w:t>
            </w:r>
            <w:r w:rsidR="00915314" w:rsidRPr="00BE1959">
              <w:rPr>
                <w:rFonts w:ascii="Times New Roman" w:eastAsia="Times New Roman" w:hAnsi="Times New Roman" w:cs="Times New Roman"/>
                <w:sz w:val="24"/>
                <w:szCs w:val="24"/>
                <w:lang w:val="uk-UA"/>
              </w:rPr>
              <w:t xml:space="preserve">Вищезгаданий критерій – 50% - необхідно запровадити у гнучкий спосіб. </w:t>
            </w:r>
            <w:r w:rsidR="003C1AB1" w:rsidRPr="00BE1959">
              <w:rPr>
                <w:rFonts w:ascii="Times New Roman" w:eastAsia="Times New Roman" w:hAnsi="Times New Roman" w:cs="Times New Roman"/>
                <w:sz w:val="24"/>
                <w:szCs w:val="24"/>
                <w:lang w:val="uk-UA"/>
              </w:rPr>
              <w:t>Тимчасове недотримання цього критерію не повинно означати, що торговельний майданчик доведеться негайно зняти з реєстрації або відмовити йому в реєстрації в якості ринку МСП, що розвивається, якщо в нього є обґрунтована перспектива дотриматися цього критерію починаючи з наступного року.</w:t>
            </w:r>
            <w:r w:rsidR="00FC409A" w:rsidRPr="00BE1959">
              <w:rPr>
                <w:rFonts w:ascii="Times New Roman" w:eastAsia="Times New Roman" w:hAnsi="Times New Roman" w:cs="Times New Roman"/>
                <w:sz w:val="24"/>
                <w:szCs w:val="24"/>
                <w:lang w:val="uk-UA"/>
              </w:rPr>
              <w:t xml:space="preserve"> Що стосується оцінки на предмет визначення того, чи є емітент МСП, то її слід проводити на основі ринкової капіталізації за попередні три календарні роки. </w:t>
            </w:r>
            <w:r w:rsidR="00C079FB" w:rsidRPr="00BE1959">
              <w:rPr>
                <w:rFonts w:ascii="Times New Roman" w:eastAsia="Times New Roman" w:hAnsi="Times New Roman" w:cs="Times New Roman"/>
                <w:sz w:val="24"/>
                <w:szCs w:val="24"/>
                <w:lang w:val="uk-UA"/>
              </w:rPr>
              <w:t xml:space="preserve">Це повинно забезпечити </w:t>
            </w:r>
            <w:r w:rsidR="00C079FB" w:rsidRPr="00BE1959">
              <w:rPr>
                <w:rFonts w:ascii="Times New Roman" w:eastAsia="Times New Roman" w:hAnsi="Times New Roman" w:cs="Times New Roman"/>
                <w:sz w:val="24"/>
                <w:szCs w:val="24"/>
                <w:lang w:val="uk-UA"/>
              </w:rPr>
              <w:lastRenderedPageBreak/>
              <w:t xml:space="preserve">більш поступовий перехід </w:t>
            </w:r>
            <w:r w:rsidR="00A4503E" w:rsidRPr="00BE1959">
              <w:rPr>
                <w:rFonts w:ascii="Times New Roman" w:eastAsia="Times New Roman" w:hAnsi="Times New Roman" w:cs="Times New Roman"/>
                <w:sz w:val="24"/>
                <w:szCs w:val="24"/>
                <w:lang w:val="uk-UA"/>
              </w:rPr>
              <w:t>для цих емітентів від таких спеціалізованих ринків до основних ринків.</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25"/>
        <w:gridCol w:w="884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(136)</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EF08A2" w:rsidP="00EF08A2">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Будь-яка інформація, отримана контактною особою однієї держави-члена через контактну особу іншої держави-члена, не повинна розглядатися як суто внутрішня.</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25"/>
        <w:gridCol w:w="884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(137)</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EF08A2" w:rsidP="006D7DA1">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Необхідно посилити узгодження повноважень, наданих компетентним органам, з тим, що прокласти шлях до еквівалентного рівня забезпечення дотримання на всьому інтегрованому фінансовому ринку. </w:t>
            </w:r>
            <w:r w:rsidR="006D7DA1" w:rsidRPr="00BE1959">
              <w:rPr>
                <w:rFonts w:ascii="Times New Roman" w:eastAsia="Times New Roman" w:hAnsi="Times New Roman" w:cs="Times New Roman"/>
                <w:sz w:val="24"/>
                <w:szCs w:val="24"/>
                <w:lang w:val="uk-UA"/>
              </w:rPr>
              <w:t>Загальний мінімальний набір повноважень, поєднаний з достатніми ресурсами, повинен гарантувати ефективність нагляду. Тому в цій директиві слід передбачити мінімальний набір наглядових і слідчих повноважень, які необхідно покласти на компетентні органи держав-членів згідно з національним законодавством. Ці повноваження повинні здійснюватися, де цього вимагає національне законодавство, шляхом звернення до компетентних судових органів. Здійснюючи свої повноваження за цією директивою, компетентні органи повинні діяти об’єктивно і неупереджено, зберігаючи самостійність у прийняття рішень.</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25"/>
        <w:gridCol w:w="884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(138)</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2579A" w:rsidRPr="00BE1959" w:rsidRDefault="00A956FA" w:rsidP="0062579A">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Хоча у цій директиві визначено мінімальний набір повноважень, що його повинні мати компетентні органи, ці повноваження слід здійснювати у межах повної системи національного законодавства, яка гарантує повагу до основних прав, зокрема прав</w:t>
            </w:r>
            <w:r w:rsidR="00627210" w:rsidRPr="00BE1959">
              <w:rPr>
                <w:rFonts w:ascii="Times New Roman" w:eastAsia="Times New Roman" w:hAnsi="Times New Roman" w:cs="Times New Roman"/>
                <w:sz w:val="24"/>
                <w:szCs w:val="24"/>
                <w:lang w:val="uk-UA"/>
              </w:rPr>
              <w:t>а</w:t>
            </w:r>
            <w:r w:rsidRPr="00BE1959">
              <w:rPr>
                <w:rFonts w:ascii="Times New Roman" w:eastAsia="Times New Roman" w:hAnsi="Times New Roman" w:cs="Times New Roman"/>
                <w:sz w:val="24"/>
                <w:szCs w:val="24"/>
                <w:lang w:val="uk-UA"/>
              </w:rPr>
              <w:t xml:space="preserve"> на </w:t>
            </w:r>
            <w:r w:rsidR="00627210" w:rsidRPr="00BE1959">
              <w:rPr>
                <w:rFonts w:ascii="Times New Roman" w:eastAsia="Times New Roman" w:hAnsi="Times New Roman" w:cs="Times New Roman"/>
                <w:sz w:val="24"/>
                <w:szCs w:val="24"/>
                <w:lang w:val="uk-UA"/>
              </w:rPr>
              <w:t>недоторканість</w:t>
            </w:r>
            <w:r w:rsidRPr="00BE1959">
              <w:rPr>
                <w:rFonts w:ascii="Times New Roman" w:eastAsia="Times New Roman" w:hAnsi="Times New Roman" w:cs="Times New Roman"/>
                <w:sz w:val="24"/>
                <w:szCs w:val="24"/>
                <w:lang w:val="uk-UA"/>
              </w:rPr>
              <w:t xml:space="preserve"> приватного життя.</w:t>
            </w:r>
            <w:r w:rsidR="00627210" w:rsidRPr="00BE1959">
              <w:rPr>
                <w:rFonts w:ascii="Times New Roman" w:eastAsia="Times New Roman" w:hAnsi="Times New Roman" w:cs="Times New Roman"/>
                <w:sz w:val="24"/>
                <w:szCs w:val="24"/>
                <w:lang w:val="uk-UA"/>
              </w:rPr>
              <w:t xml:space="preserve"> Для здійснення цих повноважень, які можуть означати серйозне втручання у право на </w:t>
            </w:r>
            <w:r w:rsidR="0062579A" w:rsidRPr="00BE1959">
              <w:rPr>
                <w:rFonts w:ascii="Times New Roman" w:eastAsia="Times New Roman" w:hAnsi="Times New Roman" w:cs="Times New Roman"/>
                <w:sz w:val="24"/>
                <w:szCs w:val="24"/>
                <w:lang w:val="uk-UA"/>
              </w:rPr>
              <w:t xml:space="preserve">повагу </w:t>
            </w:r>
            <w:r w:rsidR="00627210" w:rsidRPr="00BE1959">
              <w:rPr>
                <w:rFonts w:ascii="Times New Roman" w:eastAsia="Times New Roman" w:hAnsi="Times New Roman" w:cs="Times New Roman"/>
                <w:sz w:val="24"/>
                <w:szCs w:val="24"/>
                <w:lang w:val="uk-UA"/>
              </w:rPr>
              <w:t xml:space="preserve">приватного і сімейного життя, </w:t>
            </w:r>
            <w:r w:rsidR="0062579A" w:rsidRPr="00BE1959">
              <w:rPr>
                <w:rFonts w:ascii="Times New Roman" w:eastAsia="Times New Roman" w:hAnsi="Times New Roman" w:cs="Times New Roman"/>
                <w:sz w:val="24"/>
                <w:szCs w:val="24"/>
                <w:lang w:val="uk-UA"/>
              </w:rPr>
              <w:t xml:space="preserve">недоторканість </w:t>
            </w:r>
            <w:r w:rsidR="00102B49" w:rsidRPr="00BE1959">
              <w:rPr>
                <w:rFonts w:ascii="Times New Roman" w:eastAsia="Times New Roman" w:hAnsi="Times New Roman" w:cs="Times New Roman"/>
                <w:sz w:val="24"/>
                <w:szCs w:val="24"/>
                <w:lang w:val="uk-UA"/>
              </w:rPr>
              <w:t>житла</w:t>
            </w:r>
            <w:r w:rsidR="00627210" w:rsidRPr="00BE1959">
              <w:rPr>
                <w:rFonts w:ascii="Times New Roman" w:eastAsia="Times New Roman" w:hAnsi="Times New Roman" w:cs="Times New Roman"/>
                <w:sz w:val="24"/>
                <w:szCs w:val="24"/>
                <w:lang w:val="uk-UA"/>
              </w:rPr>
              <w:t xml:space="preserve"> </w:t>
            </w:r>
            <w:r w:rsidR="0062579A" w:rsidRPr="00BE1959">
              <w:rPr>
                <w:rFonts w:ascii="Times New Roman" w:eastAsia="Times New Roman" w:hAnsi="Times New Roman" w:cs="Times New Roman"/>
                <w:sz w:val="24"/>
                <w:szCs w:val="24"/>
                <w:lang w:val="uk-UA"/>
              </w:rPr>
              <w:t>і таємницю</w:t>
            </w:r>
            <w:r w:rsidR="00627210" w:rsidRPr="00BE1959">
              <w:rPr>
                <w:rFonts w:ascii="Times New Roman" w:eastAsia="Times New Roman" w:hAnsi="Times New Roman" w:cs="Times New Roman"/>
                <w:sz w:val="24"/>
                <w:szCs w:val="24"/>
                <w:lang w:val="uk-UA"/>
              </w:rPr>
              <w:t xml:space="preserve"> кореспонденції</w:t>
            </w:r>
            <w:r w:rsidR="00102B49" w:rsidRPr="00BE1959">
              <w:rPr>
                <w:rFonts w:ascii="Times New Roman" w:eastAsia="Times New Roman" w:hAnsi="Times New Roman" w:cs="Times New Roman"/>
                <w:sz w:val="24"/>
                <w:szCs w:val="24"/>
                <w:lang w:val="uk-UA"/>
              </w:rPr>
              <w:t>, держави-члени повинні запровадити адекватні та ефективні захисні заходи проти будь-якого зловживання, наприклад, де доречно, необхідність попереднього отримання дозволу судових органів відповідної держави-члена. Держави-члени повинні надавати компетентним органам можливість здійснювати такі</w:t>
            </w:r>
            <w:r w:rsidR="001C42B4" w:rsidRPr="00BE1959">
              <w:rPr>
                <w:rFonts w:ascii="Times New Roman" w:eastAsia="Times New Roman" w:hAnsi="Times New Roman" w:cs="Times New Roman"/>
                <w:sz w:val="24"/>
                <w:szCs w:val="24"/>
                <w:lang w:val="uk-UA"/>
              </w:rPr>
              <w:t xml:space="preserve"> інтрузивні заходи</w:t>
            </w:r>
            <w:r w:rsidR="00607624" w:rsidRPr="00BE1959">
              <w:rPr>
                <w:rFonts w:ascii="Times New Roman" w:eastAsia="Times New Roman" w:hAnsi="Times New Roman" w:cs="Times New Roman"/>
                <w:sz w:val="24"/>
                <w:szCs w:val="24"/>
                <w:lang w:val="uk-UA"/>
              </w:rPr>
              <w:t xml:space="preserve"> мірою, необхідною для належного розслідування серйозних випадків, якщо еквівалентних засобів для реального досягнення такого самого результату немає.</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25"/>
        <w:gridCol w:w="884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(139)</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34DFC" w:rsidP="00534DFC">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Жодна дія, вжита будь-яким компетентним органом або ESMA при виконанні їхніх обов’язків, не повинна прямо чи непрямо дискримінувати жодну державу-член або групу держав-членів як місце надання інвестиційних послуг і ведення інвестиційної діяльності в будь-якій валюті.</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25"/>
        <w:gridCol w:w="884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(140)</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6128AF" w:rsidP="005B6A97">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Ураховуючи </w:t>
            </w:r>
            <w:r w:rsidR="00A11AE5" w:rsidRPr="00BE1959">
              <w:rPr>
                <w:rFonts w:ascii="Times New Roman" w:eastAsia="Times New Roman" w:hAnsi="Times New Roman" w:cs="Times New Roman"/>
                <w:sz w:val="24"/>
                <w:szCs w:val="24"/>
                <w:lang w:val="uk-UA"/>
              </w:rPr>
              <w:t>значний вплив і частку на ринку, набуту рі</w:t>
            </w:r>
            <w:r w:rsidR="00C05C5D" w:rsidRPr="00BE1959">
              <w:rPr>
                <w:rFonts w:ascii="Times New Roman" w:eastAsia="Times New Roman" w:hAnsi="Times New Roman" w:cs="Times New Roman"/>
                <w:sz w:val="24"/>
                <w:szCs w:val="24"/>
                <w:lang w:val="uk-UA"/>
              </w:rPr>
              <w:t xml:space="preserve">зними БТМ, доцільно забезпечити укладення належних угод про співробітництво між компетентним органом БТМ і компетентним органом </w:t>
            </w:r>
            <w:r w:rsidR="005B6A97" w:rsidRPr="00BE1959">
              <w:rPr>
                <w:rFonts w:ascii="Times New Roman" w:eastAsia="Times New Roman" w:hAnsi="Times New Roman" w:cs="Times New Roman"/>
                <w:sz w:val="24"/>
                <w:szCs w:val="24"/>
                <w:lang w:val="uk-UA"/>
              </w:rPr>
              <w:t>тієї юрисдикції, в якій БТМ надає послуги. Для того, щоб передбачити схожий розвиток подій, це слід поширити й на ОТМ.</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25"/>
        <w:gridCol w:w="884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(141)</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B6A97" w:rsidP="005D1A77">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Щоб забезпечити </w:t>
            </w:r>
            <w:r w:rsidR="004006C6" w:rsidRPr="00BE1959">
              <w:rPr>
                <w:rFonts w:ascii="Times New Roman" w:eastAsia="Times New Roman" w:hAnsi="Times New Roman" w:cs="Times New Roman"/>
                <w:sz w:val="24"/>
                <w:szCs w:val="24"/>
                <w:lang w:val="uk-UA"/>
              </w:rPr>
              <w:t>дотримання зобов’язань інвестиційними фірмами, оператор</w:t>
            </w:r>
            <w:r w:rsidR="009304D8" w:rsidRPr="00BE1959">
              <w:rPr>
                <w:rFonts w:ascii="Times New Roman" w:eastAsia="Times New Roman" w:hAnsi="Times New Roman" w:cs="Times New Roman"/>
                <w:sz w:val="24"/>
                <w:szCs w:val="24"/>
                <w:lang w:val="uk-UA"/>
              </w:rPr>
              <w:t>ам</w:t>
            </w:r>
            <w:r w:rsidR="004006C6" w:rsidRPr="00BE1959">
              <w:rPr>
                <w:rFonts w:ascii="Times New Roman" w:eastAsia="Times New Roman" w:hAnsi="Times New Roman" w:cs="Times New Roman"/>
                <w:sz w:val="24"/>
                <w:szCs w:val="24"/>
                <w:lang w:val="uk-UA"/>
              </w:rPr>
              <w:t>и ринку, уповноважен</w:t>
            </w:r>
            <w:r w:rsidR="009304D8" w:rsidRPr="00BE1959">
              <w:rPr>
                <w:rFonts w:ascii="Times New Roman" w:eastAsia="Times New Roman" w:hAnsi="Times New Roman" w:cs="Times New Roman"/>
                <w:sz w:val="24"/>
                <w:szCs w:val="24"/>
                <w:lang w:val="uk-UA"/>
              </w:rPr>
              <w:t>ими</w:t>
            </w:r>
            <w:r w:rsidR="004006C6" w:rsidRPr="00BE1959">
              <w:rPr>
                <w:rFonts w:ascii="Times New Roman" w:eastAsia="Times New Roman" w:hAnsi="Times New Roman" w:cs="Times New Roman"/>
                <w:sz w:val="24"/>
                <w:szCs w:val="24"/>
                <w:lang w:val="uk-UA"/>
              </w:rPr>
              <w:t xml:space="preserve"> на управл</w:t>
            </w:r>
            <w:r w:rsidR="00016AA4" w:rsidRPr="00BE1959">
              <w:rPr>
                <w:rFonts w:ascii="Times New Roman" w:eastAsia="Times New Roman" w:hAnsi="Times New Roman" w:cs="Times New Roman"/>
                <w:sz w:val="24"/>
                <w:szCs w:val="24"/>
                <w:lang w:val="uk-UA"/>
              </w:rPr>
              <w:t>іння Б</w:t>
            </w:r>
            <w:r w:rsidR="00866512" w:rsidRPr="00BE1959">
              <w:rPr>
                <w:rFonts w:ascii="Times New Roman" w:eastAsia="Times New Roman" w:hAnsi="Times New Roman" w:cs="Times New Roman"/>
                <w:sz w:val="24"/>
                <w:szCs w:val="24"/>
                <w:lang w:val="uk-UA"/>
              </w:rPr>
              <w:t>ТМ або ОТМ, регульован</w:t>
            </w:r>
            <w:r w:rsidR="009304D8" w:rsidRPr="00BE1959">
              <w:rPr>
                <w:rFonts w:ascii="Times New Roman" w:eastAsia="Times New Roman" w:hAnsi="Times New Roman" w:cs="Times New Roman"/>
                <w:sz w:val="24"/>
                <w:szCs w:val="24"/>
                <w:lang w:val="uk-UA"/>
              </w:rPr>
              <w:t>ими</w:t>
            </w:r>
            <w:r w:rsidR="00866512" w:rsidRPr="00BE1959">
              <w:rPr>
                <w:rFonts w:ascii="Times New Roman" w:eastAsia="Times New Roman" w:hAnsi="Times New Roman" w:cs="Times New Roman"/>
                <w:sz w:val="24"/>
                <w:szCs w:val="24"/>
                <w:lang w:val="uk-UA"/>
              </w:rPr>
              <w:t xml:space="preserve"> ринк</w:t>
            </w:r>
            <w:r w:rsidR="009304D8" w:rsidRPr="00BE1959">
              <w:rPr>
                <w:rFonts w:ascii="Times New Roman" w:eastAsia="Times New Roman" w:hAnsi="Times New Roman" w:cs="Times New Roman"/>
                <w:sz w:val="24"/>
                <w:szCs w:val="24"/>
                <w:lang w:val="uk-UA"/>
              </w:rPr>
              <w:t>ам</w:t>
            </w:r>
            <w:r w:rsidR="00866512" w:rsidRPr="00BE1959">
              <w:rPr>
                <w:rFonts w:ascii="Times New Roman" w:eastAsia="Times New Roman" w:hAnsi="Times New Roman" w:cs="Times New Roman"/>
                <w:sz w:val="24"/>
                <w:szCs w:val="24"/>
                <w:lang w:val="uk-UA"/>
              </w:rPr>
              <w:t xml:space="preserve">и, </w:t>
            </w:r>
            <w:r w:rsidR="00866512" w:rsidRPr="00BE1959">
              <w:rPr>
                <w:rFonts w:ascii="Times New Roman" w:eastAsia="Times New Roman" w:hAnsi="Times New Roman" w:cs="Times New Roman"/>
                <w:sz w:val="24"/>
                <w:szCs w:val="24"/>
                <w:lang w:val="uk-UA"/>
              </w:rPr>
              <w:lastRenderedPageBreak/>
              <w:t>ЗМП, НЗД або затверджен</w:t>
            </w:r>
            <w:r w:rsidR="009304D8" w:rsidRPr="00BE1959">
              <w:rPr>
                <w:rFonts w:ascii="Times New Roman" w:eastAsia="Times New Roman" w:hAnsi="Times New Roman" w:cs="Times New Roman"/>
                <w:sz w:val="24"/>
                <w:szCs w:val="24"/>
                <w:lang w:val="uk-UA"/>
              </w:rPr>
              <w:t>ими</w:t>
            </w:r>
            <w:r w:rsidR="00866512" w:rsidRPr="00BE1959">
              <w:rPr>
                <w:rFonts w:ascii="Times New Roman" w:eastAsia="Times New Roman" w:hAnsi="Times New Roman" w:cs="Times New Roman"/>
                <w:sz w:val="24"/>
                <w:szCs w:val="24"/>
                <w:lang w:val="uk-UA"/>
              </w:rPr>
              <w:t xml:space="preserve"> механізми звітування (ЗМЗ), т</w:t>
            </w:r>
            <w:r w:rsidR="009304D8" w:rsidRPr="00BE1959">
              <w:rPr>
                <w:rFonts w:ascii="Times New Roman" w:eastAsia="Times New Roman" w:hAnsi="Times New Roman" w:cs="Times New Roman"/>
                <w:sz w:val="24"/>
                <w:szCs w:val="24"/>
                <w:lang w:val="uk-UA"/>
              </w:rPr>
              <w:t>ими</w:t>
            </w:r>
            <w:r w:rsidR="00866512" w:rsidRPr="00BE1959">
              <w:rPr>
                <w:rFonts w:ascii="Times New Roman" w:eastAsia="Times New Roman" w:hAnsi="Times New Roman" w:cs="Times New Roman"/>
                <w:sz w:val="24"/>
                <w:szCs w:val="24"/>
                <w:lang w:val="uk-UA"/>
              </w:rPr>
              <w:t>,</w:t>
            </w:r>
            <w:r w:rsidR="000D6683" w:rsidRPr="00BE1959">
              <w:rPr>
                <w:rFonts w:ascii="Times New Roman" w:eastAsia="Times New Roman" w:hAnsi="Times New Roman" w:cs="Times New Roman"/>
                <w:sz w:val="24"/>
                <w:szCs w:val="24"/>
                <w:lang w:val="uk-UA"/>
              </w:rPr>
              <w:t xml:space="preserve"> хто реально контролює їхній бізнес, і член</w:t>
            </w:r>
            <w:r w:rsidR="009304D8" w:rsidRPr="00BE1959">
              <w:rPr>
                <w:rFonts w:ascii="Times New Roman" w:eastAsia="Times New Roman" w:hAnsi="Times New Roman" w:cs="Times New Roman"/>
                <w:sz w:val="24"/>
                <w:szCs w:val="24"/>
                <w:lang w:val="uk-UA"/>
              </w:rPr>
              <w:t>ам</w:t>
            </w:r>
            <w:r w:rsidR="000D6683" w:rsidRPr="00BE1959">
              <w:rPr>
                <w:rFonts w:ascii="Times New Roman" w:eastAsia="Times New Roman" w:hAnsi="Times New Roman" w:cs="Times New Roman"/>
                <w:sz w:val="24"/>
                <w:szCs w:val="24"/>
                <w:lang w:val="uk-UA"/>
              </w:rPr>
              <w:t>и керівного органу інвестиційних фірм і регульованих ринків із зобов’язаннями, що випливають із цієї директиви та з Регламенту</w:t>
            </w:r>
            <w:r w:rsidR="007B0149" w:rsidRPr="00BE1959">
              <w:rPr>
                <w:rFonts w:ascii="Times New Roman" w:eastAsia="Times New Roman" w:hAnsi="Times New Roman" w:cs="Times New Roman"/>
                <w:sz w:val="24"/>
                <w:szCs w:val="24"/>
                <w:lang w:val="uk-UA"/>
              </w:rPr>
              <w:t xml:space="preserve"> № 600/2014</w:t>
            </w:r>
            <w:r w:rsidR="000D6683" w:rsidRPr="00BE1959">
              <w:rPr>
                <w:rFonts w:ascii="Times New Roman" w:eastAsia="Times New Roman" w:hAnsi="Times New Roman" w:cs="Times New Roman"/>
                <w:sz w:val="24"/>
                <w:szCs w:val="24"/>
                <w:lang w:val="uk-UA"/>
              </w:rPr>
              <w:t xml:space="preserve">, </w:t>
            </w:r>
            <w:r w:rsidR="009304D8" w:rsidRPr="00BE1959">
              <w:rPr>
                <w:rFonts w:ascii="Times New Roman" w:eastAsia="Times New Roman" w:hAnsi="Times New Roman" w:cs="Times New Roman"/>
                <w:sz w:val="24"/>
                <w:szCs w:val="24"/>
                <w:lang w:val="uk-UA"/>
              </w:rPr>
              <w:t>а також забезпечити поширення на них одноманітного режиму на всій території Союзу, держави-члени повинні передбачити санкції та заходи, які є ефективними, сумірними та стримуючими. Адміністративні санкції та заходи, встановлені державами-членами, повинні задовольняти певні основні вимоги</w:t>
            </w:r>
            <w:r w:rsidR="005D1A77" w:rsidRPr="00BE1959">
              <w:rPr>
                <w:rFonts w:ascii="Times New Roman" w:eastAsia="Times New Roman" w:hAnsi="Times New Roman" w:cs="Times New Roman"/>
                <w:sz w:val="24"/>
                <w:szCs w:val="24"/>
                <w:lang w:val="uk-UA"/>
              </w:rPr>
              <w:t xml:space="preserve"> щодо адресатів, критеріїв, що слід ураховувати при застосуванні санкції чи заходу, оприлюднення, основних повноважень на накладення санкцій та сум адміністративних штрафів.</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25"/>
        <w:gridCol w:w="884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(142)</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D1A77" w:rsidP="00F61771">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Зокрема, компетентні органи повинні мати повноваж</w:t>
            </w:r>
            <w:r w:rsidR="00F61771" w:rsidRPr="00BE1959">
              <w:rPr>
                <w:rFonts w:ascii="Times New Roman" w:eastAsia="Times New Roman" w:hAnsi="Times New Roman" w:cs="Times New Roman"/>
                <w:sz w:val="24"/>
                <w:szCs w:val="24"/>
                <w:lang w:val="uk-UA"/>
              </w:rPr>
              <w:t>ення на накладення штрафів, достатньо великих для того, щоб компенсувати вигоди, яких можна очікувати, та бути стримуючими навіть для великих установ та їхніх керівників.</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25"/>
        <w:gridCol w:w="884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(143)</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A30210" w:rsidP="000B5755">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Необхідно також, щоб компетентні органи мали, відповідно до національного законодавства і </w:t>
            </w:r>
            <w:r w:rsidR="000B5755" w:rsidRPr="00BE1959">
              <w:rPr>
                <w:rFonts w:ascii="Times New Roman" w:eastAsia="Times New Roman" w:hAnsi="Times New Roman" w:cs="Times New Roman"/>
                <w:sz w:val="24"/>
                <w:szCs w:val="24"/>
                <w:lang w:val="uk-UA"/>
              </w:rPr>
              <w:t>Хартії</w:t>
            </w:r>
            <w:r w:rsidRPr="00BE1959">
              <w:rPr>
                <w:rFonts w:ascii="Times New Roman" w:eastAsia="Times New Roman" w:hAnsi="Times New Roman" w:cs="Times New Roman"/>
                <w:sz w:val="24"/>
                <w:szCs w:val="24"/>
                <w:lang w:val="uk-UA"/>
              </w:rPr>
              <w:t xml:space="preserve">, можливість заходити у приміщення фізичних і юридичних осіб. Доступ </w:t>
            </w:r>
            <w:r w:rsidR="00D50389" w:rsidRPr="00BE1959">
              <w:rPr>
                <w:rFonts w:ascii="Times New Roman" w:eastAsia="Times New Roman" w:hAnsi="Times New Roman" w:cs="Times New Roman"/>
                <w:sz w:val="24"/>
                <w:szCs w:val="24"/>
                <w:lang w:val="uk-UA"/>
              </w:rPr>
              <w:t>у</w:t>
            </w:r>
            <w:r w:rsidRPr="00BE1959">
              <w:rPr>
                <w:rFonts w:ascii="Times New Roman" w:eastAsia="Times New Roman" w:hAnsi="Times New Roman" w:cs="Times New Roman"/>
                <w:sz w:val="24"/>
                <w:szCs w:val="24"/>
                <w:lang w:val="uk-UA"/>
              </w:rPr>
              <w:t xml:space="preserve"> так</w:t>
            </w:r>
            <w:r w:rsidR="00D50389" w:rsidRPr="00BE1959">
              <w:rPr>
                <w:rFonts w:ascii="Times New Roman" w:eastAsia="Times New Roman" w:hAnsi="Times New Roman" w:cs="Times New Roman"/>
                <w:sz w:val="24"/>
                <w:szCs w:val="24"/>
                <w:lang w:val="uk-UA"/>
              </w:rPr>
              <w:t>і</w:t>
            </w:r>
            <w:r w:rsidRPr="00BE1959">
              <w:rPr>
                <w:rFonts w:ascii="Times New Roman" w:eastAsia="Times New Roman" w:hAnsi="Times New Roman" w:cs="Times New Roman"/>
                <w:sz w:val="24"/>
                <w:szCs w:val="24"/>
                <w:lang w:val="uk-UA"/>
              </w:rPr>
              <w:t xml:space="preserve"> приміщен</w:t>
            </w:r>
            <w:r w:rsidR="00D50389" w:rsidRPr="00BE1959">
              <w:rPr>
                <w:rFonts w:ascii="Times New Roman" w:eastAsia="Times New Roman" w:hAnsi="Times New Roman" w:cs="Times New Roman"/>
                <w:sz w:val="24"/>
                <w:szCs w:val="24"/>
                <w:lang w:val="uk-UA"/>
              </w:rPr>
              <w:t>ня</w:t>
            </w:r>
            <w:r w:rsidRPr="00BE1959">
              <w:rPr>
                <w:rFonts w:ascii="Times New Roman" w:eastAsia="Times New Roman" w:hAnsi="Times New Roman" w:cs="Times New Roman"/>
                <w:sz w:val="24"/>
                <w:szCs w:val="24"/>
                <w:lang w:val="uk-UA"/>
              </w:rPr>
              <w:t xml:space="preserve"> є необхідним, якщо є </w:t>
            </w:r>
            <w:r w:rsidR="00D50389" w:rsidRPr="00BE1959">
              <w:rPr>
                <w:rFonts w:ascii="Times New Roman" w:eastAsia="Times New Roman" w:hAnsi="Times New Roman" w:cs="Times New Roman"/>
                <w:sz w:val="24"/>
                <w:szCs w:val="24"/>
                <w:lang w:val="uk-UA"/>
              </w:rPr>
              <w:t>обґрунтована</w:t>
            </w:r>
            <w:r w:rsidRPr="00BE1959">
              <w:rPr>
                <w:rFonts w:ascii="Times New Roman" w:eastAsia="Times New Roman" w:hAnsi="Times New Roman" w:cs="Times New Roman"/>
                <w:sz w:val="24"/>
                <w:szCs w:val="24"/>
                <w:lang w:val="uk-UA"/>
              </w:rPr>
              <w:t xml:space="preserve"> підозра, що існують документи та інші дані стосовно предмету розслідування</w:t>
            </w:r>
            <w:r w:rsidR="00D50389" w:rsidRPr="00BE1959">
              <w:rPr>
                <w:rFonts w:ascii="Times New Roman" w:eastAsia="Times New Roman" w:hAnsi="Times New Roman" w:cs="Times New Roman"/>
                <w:sz w:val="24"/>
                <w:szCs w:val="24"/>
                <w:lang w:val="uk-UA"/>
              </w:rPr>
              <w:t xml:space="preserve"> і що вони можуть бути важливими для доведення факту порушення</w:t>
            </w:r>
            <w:r w:rsidR="005613AB" w:rsidRPr="00BE1959">
              <w:rPr>
                <w:rFonts w:ascii="Times New Roman" w:eastAsia="Times New Roman" w:hAnsi="Times New Roman" w:cs="Times New Roman"/>
                <w:sz w:val="24"/>
                <w:szCs w:val="24"/>
                <w:lang w:val="uk-UA"/>
              </w:rPr>
              <w:t xml:space="preserve"> </w:t>
            </w:r>
            <w:r w:rsidR="00432567" w:rsidRPr="00BE1959">
              <w:rPr>
                <w:rFonts w:ascii="Times New Roman" w:eastAsia="Times New Roman" w:hAnsi="Times New Roman" w:cs="Times New Roman"/>
                <w:sz w:val="24"/>
                <w:szCs w:val="24"/>
                <w:lang w:val="uk-UA"/>
              </w:rPr>
              <w:t>цієї директиви</w:t>
            </w:r>
            <w:r w:rsidR="005613AB" w:rsidRPr="00BE1959">
              <w:rPr>
                <w:rFonts w:ascii="Times New Roman" w:eastAsia="Times New Roman" w:hAnsi="Times New Roman" w:cs="Times New Roman"/>
                <w:sz w:val="24"/>
                <w:szCs w:val="24"/>
                <w:lang w:val="uk-UA"/>
              </w:rPr>
              <w:t xml:space="preserve"> </w:t>
            </w:r>
            <w:r w:rsidR="00D50389" w:rsidRPr="00BE1959">
              <w:rPr>
                <w:rFonts w:ascii="Times New Roman" w:eastAsia="Times New Roman" w:hAnsi="Times New Roman" w:cs="Times New Roman"/>
                <w:sz w:val="24"/>
                <w:szCs w:val="24"/>
                <w:lang w:val="uk-UA"/>
              </w:rPr>
              <w:t>або Регламенту</w:t>
            </w:r>
            <w:r w:rsidR="005613AB" w:rsidRPr="00BE1959">
              <w:rPr>
                <w:rFonts w:ascii="Times New Roman" w:eastAsia="Times New Roman" w:hAnsi="Times New Roman" w:cs="Times New Roman"/>
                <w:sz w:val="24"/>
                <w:szCs w:val="24"/>
                <w:lang w:val="uk-UA"/>
              </w:rPr>
              <w:t xml:space="preserve"> </w:t>
            </w:r>
            <w:r w:rsidR="007B0149" w:rsidRPr="00BE1959">
              <w:rPr>
                <w:rFonts w:ascii="Times New Roman" w:eastAsia="Times New Roman" w:hAnsi="Times New Roman" w:cs="Times New Roman"/>
                <w:sz w:val="24"/>
                <w:szCs w:val="24"/>
                <w:lang w:val="uk-UA"/>
              </w:rPr>
              <w:t>(EU) № 600/2014</w:t>
            </w:r>
            <w:r w:rsidR="005613AB" w:rsidRPr="00BE1959">
              <w:rPr>
                <w:rFonts w:ascii="Times New Roman" w:eastAsia="Times New Roman" w:hAnsi="Times New Roman" w:cs="Times New Roman"/>
                <w:sz w:val="24"/>
                <w:szCs w:val="24"/>
                <w:lang w:val="uk-UA"/>
              </w:rPr>
              <w:t xml:space="preserve">. </w:t>
            </w:r>
            <w:r w:rsidR="00D50389" w:rsidRPr="00BE1959">
              <w:rPr>
                <w:rFonts w:ascii="Times New Roman" w:eastAsia="Times New Roman" w:hAnsi="Times New Roman" w:cs="Times New Roman"/>
                <w:sz w:val="24"/>
                <w:szCs w:val="24"/>
                <w:lang w:val="uk-UA"/>
              </w:rPr>
              <w:t>Крім того, доступ у такі приміщення є необхідним, якщо особа, якій уже направлено вимогу про надання інформації, не виконує цю вимогу повністю або частково, або якщо є вагомі підстави вважати, що у разі направлення такої вимоги вона не була б виконана або що документи чи інформація, яких стосується вимога про надання інформації</w:t>
            </w:r>
            <w:r w:rsidR="0007452B" w:rsidRPr="00BE1959">
              <w:rPr>
                <w:rFonts w:ascii="Times New Roman" w:eastAsia="Times New Roman" w:hAnsi="Times New Roman" w:cs="Times New Roman"/>
                <w:sz w:val="24"/>
                <w:szCs w:val="24"/>
                <w:lang w:val="uk-UA"/>
              </w:rPr>
              <w:t>, були б видалені, підроблені або знищені. Якщо потрібен попередній дозвіл судового органу зацікавленої держави-члена, відповідно до національного законодавства, то таке повноваження на доступ у приміщення</w:t>
            </w:r>
            <w:r w:rsidR="00F77DD5" w:rsidRPr="00BE1959">
              <w:rPr>
                <w:rFonts w:ascii="Times New Roman" w:eastAsia="Times New Roman" w:hAnsi="Times New Roman" w:cs="Times New Roman"/>
                <w:sz w:val="24"/>
                <w:szCs w:val="24"/>
                <w:lang w:val="uk-UA"/>
              </w:rPr>
              <w:t xml:space="preserve"> слід здійснити після отримання такого попереднього судового дозволу.</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25"/>
        <w:gridCol w:w="884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(144)</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270867" w:rsidP="00DD1BE4">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Існуючі записи телефонних розмов і записи потоку даних інвестиційних фірм, які виконують операції та документують їхнє виконання, а також існуючі записи телефонних розмов і записи потоків даних операторів зв'язку є вирішальним, а іноді й єдиним, доказом, що дозволяє виявити та довести факт зловживання на ринку, а також перевірити дотримання фірмами вимог щодо захисту інвесторів та інших вимог, викладених у цій директиві або у Регламенті</w:t>
            </w:r>
            <w:r w:rsidR="005613AB" w:rsidRPr="00BE1959">
              <w:rPr>
                <w:rFonts w:ascii="Times New Roman" w:eastAsia="Times New Roman" w:hAnsi="Times New Roman" w:cs="Times New Roman"/>
                <w:sz w:val="24"/>
                <w:szCs w:val="24"/>
                <w:lang w:val="uk-UA"/>
              </w:rPr>
              <w:t xml:space="preserve"> </w:t>
            </w:r>
            <w:r w:rsidR="007B0149" w:rsidRPr="00BE1959">
              <w:rPr>
                <w:rFonts w:ascii="Times New Roman" w:eastAsia="Times New Roman" w:hAnsi="Times New Roman" w:cs="Times New Roman"/>
                <w:sz w:val="24"/>
                <w:szCs w:val="24"/>
                <w:lang w:val="uk-UA"/>
              </w:rPr>
              <w:t>(EU) № 600/2014</w:t>
            </w:r>
            <w:r w:rsidR="005613AB" w:rsidRPr="00BE1959">
              <w:rPr>
                <w:rFonts w:ascii="Times New Roman" w:eastAsia="Times New Roman" w:hAnsi="Times New Roman" w:cs="Times New Roman"/>
                <w:sz w:val="24"/>
                <w:szCs w:val="24"/>
                <w:lang w:val="uk-UA"/>
              </w:rPr>
              <w:t xml:space="preserve">. </w:t>
            </w:r>
            <w:r w:rsidR="00DD1BE4" w:rsidRPr="00BE1959">
              <w:rPr>
                <w:rFonts w:ascii="Times New Roman" w:eastAsia="Times New Roman" w:hAnsi="Times New Roman" w:cs="Times New Roman"/>
                <w:sz w:val="24"/>
                <w:szCs w:val="24"/>
                <w:lang w:val="uk-UA"/>
              </w:rPr>
              <w:t>Тому компетентні органи повинні мати можливість вимагати надання існуючих записів телефонних розмов, електронного листування та потоків даних, наявних у інвестиційної</w:t>
            </w:r>
            <w:r w:rsidR="00B90954" w:rsidRPr="00BE1959">
              <w:rPr>
                <w:rFonts w:ascii="Times New Roman" w:eastAsia="Times New Roman" w:hAnsi="Times New Roman" w:cs="Times New Roman"/>
                <w:sz w:val="24"/>
                <w:szCs w:val="24"/>
                <w:lang w:val="uk-UA"/>
              </w:rPr>
              <w:t xml:space="preserve"> фірми. Доступ до даних і записів телефонних розмов є необхідним для виявлення та покарання зловживань на ринку або порушень вимог, викладених у цій директиві або </w:t>
            </w:r>
            <w:r w:rsidRPr="00BE1959">
              <w:rPr>
                <w:rFonts w:ascii="Times New Roman" w:eastAsia="Times New Roman" w:hAnsi="Times New Roman" w:cs="Times New Roman"/>
                <w:sz w:val="24"/>
                <w:szCs w:val="24"/>
                <w:lang w:val="uk-UA"/>
              </w:rPr>
              <w:t>у Регламенті</w:t>
            </w:r>
            <w:r w:rsidR="005613AB" w:rsidRPr="00BE1959">
              <w:rPr>
                <w:rFonts w:ascii="Times New Roman" w:eastAsia="Times New Roman" w:hAnsi="Times New Roman" w:cs="Times New Roman"/>
                <w:sz w:val="24"/>
                <w:szCs w:val="24"/>
                <w:lang w:val="uk-UA"/>
              </w:rPr>
              <w:t xml:space="preserve"> </w:t>
            </w:r>
            <w:r w:rsidR="007B0149" w:rsidRPr="00BE1959">
              <w:rPr>
                <w:rFonts w:ascii="Times New Roman" w:eastAsia="Times New Roman" w:hAnsi="Times New Roman" w:cs="Times New Roman"/>
                <w:sz w:val="24"/>
                <w:szCs w:val="24"/>
                <w:lang w:val="uk-UA"/>
              </w:rPr>
              <w:t>(EU) № 600/2014</w:t>
            </w:r>
            <w:r w:rsidR="005613AB" w:rsidRPr="00BE1959">
              <w:rPr>
                <w:rFonts w:ascii="Times New Roman" w:eastAsia="Times New Roman" w:hAnsi="Times New Roman" w:cs="Times New Roman"/>
                <w:sz w:val="24"/>
                <w:szCs w:val="24"/>
                <w:lang w:val="uk-UA"/>
              </w:rPr>
              <w:t>.</w:t>
            </w:r>
          </w:p>
          <w:p w:rsidR="005613AB" w:rsidRPr="00BE1959" w:rsidRDefault="00A260EF" w:rsidP="00C72C3F">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Для того, щоб запровадити у Союзі одноманітні умови щодо доступу до записів </w:t>
            </w:r>
            <w:r w:rsidRPr="00BE1959">
              <w:rPr>
                <w:rFonts w:ascii="Times New Roman" w:eastAsia="Times New Roman" w:hAnsi="Times New Roman" w:cs="Times New Roman"/>
                <w:sz w:val="24"/>
                <w:szCs w:val="24"/>
                <w:lang w:val="uk-UA"/>
              </w:rPr>
              <w:lastRenderedPageBreak/>
              <w:t>телефонних розмов і записів потоків даних, наявних у оператора зв'язку, або до існуючих записів телефонних розмов і потоків даних, наявних у інвестиційної фірми, компетентні органи повинні, відповідно до національного законодавства, мати можливість вимагати надання записів телефонних розмов і записів потоків даних, наявних у оператора зв'язку, якщо це дозволено національним законодавством, і існуючих записів телефонних розмов і потоків даних, наявних у інвестиційної фірми</w:t>
            </w:r>
            <w:r w:rsidR="00AF2D61" w:rsidRPr="00BE1959">
              <w:rPr>
                <w:rFonts w:ascii="Times New Roman" w:eastAsia="Times New Roman" w:hAnsi="Times New Roman" w:cs="Times New Roman"/>
                <w:sz w:val="24"/>
                <w:szCs w:val="24"/>
                <w:lang w:val="uk-UA"/>
              </w:rPr>
              <w:t>, у тих випадках, коли існує підозра, що такі записи, які стосуються предмету перевірки чи розслідування, можуть бути важливими для доведення факту діянь, заборонених Регламентом</w:t>
            </w:r>
            <w:r w:rsidR="005613AB" w:rsidRPr="00BE1959">
              <w:rPr>
                <w:rFonts w:ascii="Times New Roman" w:eastAsia="Times New Roman" w:hAnsi="Times New Roman" w:cs="Times New Roman"/>
                <w:sz w:val="24"/>
                <w:szCs w:val="24"/>
                <w:lang w:val="uk-UA"/>
              </w:rPr>
              <w:t xml:space="preserve"> </w:t>
            </w:r>
            <w:r w:rsidR="00DB4825" w:rsidRPr="00BE1959">
              <w:rPr>
                <w:rFonts w:ascii="Times New Roman" w:eastAsia="Times New Roman" w:hAnsi="Times New Roman" w:cs="Times New Roman"/>
                <w:sz w:val="24"/>
                <w:szCs w:val="24"/>
                <w:lang w:val="uk-UA"/>
              </w:rPr>
              <w:t>(EU) №</w:t>
            </w:r>
            <w:r w:rsidR="005613AB" w:rsidRPr="00BE1959">
              <w:rPr>
                <w:rFonts w:ascii="Times New Roman" w:eastAsia="Times New Roman" w:hAnsi="Times New Roman" w:cs="Times New Roman"/>
                <w:sz w:val="24"/>
                <w:szCs w:val="24"/>
                <w:lang w:val="uk-UA"/>
              </w:rPr>
              <w:t xml:space="preserve"> 596/2014</w:t>
            </w:r>
            <w:r w:rsidR="00AF2D61" w:rsidRPr="00BE1959">
              <w:rPr>
                <w:rFonts w:ascii="Times New Roman" w:eastAsia="Times New Roman" w:hAnsi="Times New Roman" w:cs="Times New Roman"/>
                <w:sz w:val="24"/>
                <w:szCs w:val="24"/>
                <w:lang w:val="uk-UA"/>
              </w:rPr>
              <w:t xml:space="preserve">, або порушень вимог </w:t>
            </w:r>
            <w:r w:rsidR="00432567" w:rsidRPr="00BE1959">
              <w:rPr>
                <w:rFonts w:ascii="Times New Roman" w:eastAsia="Times New Roman" w:hAnsi="Times New Roman" w:cs="Times New Roman"/>
                <w:sz w:val="24"/>
                <w:szCs w:val="24"/>
                <w:lang w:val="uk-UA"/>
              </w:rPr>
              <w:t>цієї директиви</w:t>
            </w:r>
            <w:r w:rsidR="005613AB" w:rsidRPr="00BE1959">
              <w:rPr>
                <w:rFonts w:ascii="Times New Roman" w:eastAsia="Times New Roman" w:hAnsi="Times New Roman" w:cs="Times New Roman"/>
                <w:sz w:val="24"/>
                <w:szCs w:val="24"/>
                <w:lang w:val="uk-UA"/>
              </w:rPr>
              <w:t xml:space="preserve"> </w:t>
            </w:r>
            <w:r w:rsidR="00AF2D61" w:rsidRPr="00BE1959">
              <w:rPr>
                <w:rFonts w:ascii="Times New Roman" w:eastAsia="Times New Roman" w:hAnsi="Times New Roman" w:cs="Times New Roman"/>
                <w:sz w:val="24"/>
                <w:szCs w:val="24"/>
                <w:lang w:val="uk-UA"/>
              </w:rPr>
              <w:t>або Регламенту</w:t>
            </w:r>
            <w:r w:rsidR="005613AB" w:rsidRPr="00BE1959">
              <w:rPr>
                <w:rFonts w:ascii="Times New Roman" w:eastAsia="Times New Roman" w:hAnsi="Times New Roman" w:cs="Times New Roman"/>
                <w:sz w:val="24"/>
                <w:szCs w:val="24"/>
                <w:lang w:val="uk-UA"/>
              </w:rPr>
              <w:t xml:space="preserve"> </w:t>
            </w:r>
            <w:r w:rsidR="007B0149" w:rsidRPr="00BE1959">
              <w:rPr>
                <w:rFonts w:ascii="Times New Roman" w:eastAsia="Times New Roman" w:hAnsi="Times New Roman" w:cs="Times New Roman"/>
                <w:sz w:val="24"/>
                <w:szCs w:val="24"/>
                <w:lang w:val="uk-UA"/>
              </w:rPr>
              <w:t>(EU) № 600/2014</w:t>
            </w:r>
            <w:r w:rsidR="005613AB" w:rsidRPr="00BE1959">
              <w:rPr>
                <w:rFonts w:ascii="Times New Roman" w:eastAsia="Times New Roman" w:hAnsi="Times New Roman" w:cs="Times New Roman"/>
                <w:sz w:val="24"/>
                <w:szCs w:val="24"/>
                <w:lang w:val="uk-UA"/>
              </w:rPr>
              <w:t xml:space="preserve">. </w:t>
            </w:r>
            <w:r w:rsidR="00AF2D61" w:rsidRPr="00BE1959">
              <w:rPr>
                <w:rFonts w:ascii="Times New Roman" w:eastAsia="Times New Roman" w:hAnsi="Times New Roman" w:cs="Times New Roman"/>
                <w:sz w:val="24"/>
                <w:szCs w:val="24"/>
                <w:lang w:val="uk-UA"/>
              </w:rPr>
              <w:t xml:space="preserve">Доступ до записів телефонних </w:t>
            </w:r>
            <w:r w:rsidR="007C1469" w:rsidRPr="00BE1959">
              <w:rPr>
                <w:rFonts w:ascii="Times New Roman" w:eastAsia="Times New Roman" w:hAnsi="Times New Roman" w:cs="Times New Roman"/>
                <w:sz w:val="24"/>
                <w:szCs w:val="24"/>
                <w:lang w:val="uk-UA"/>
              </w:rPr>
              <w:t xml:space="preserve">розмов і потоків даних, наявних у оператора зв'язку, не повинен стосуватися змісту </w:t>
            </w:r>
            <w:r w:rsidR="00C72C3F" w:rsidRPr="00BE1959">
              <w:rPr>
                <w:rFonts w:ascii="Times New Roman" w:eastAsia="Times New Roman" w:hAnsi="Times New Roman" w:cs="Times New Roman"/>
                <w:sz w:val="24"/>
                <w:szCs w:val="24"/>
                <w:lang w:val="uk-UA"/>
              </w:rPr>
              <w:t>голосових повідомлень телефоном.</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25"/>
        <w:gridCol w:w="884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(145)</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E4500D" w:rsidP="00BE0ABC">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Для того, </w:t>
            </w:r>
            <w:r w:rsidR="00BE0ABC" w:rsidRPr="00BE1959">
              <w:rPr>
                <w:rFonts w:ascii="Times New Roman" w:eastAsia="Times New Roman" w:hAnsi="Times New Roman" w:cs="Times New Roman"/>
                <w:sz w:val="24"/>
                <w:szCs w:val="24"/>
                <w:lang w:val="uk-UA"/>
              </w:rPr>
              <w:t>щоб забезпечити узгоджене застосування санкцій на всій території Союзу, держав-членів слід зобов’язати забезпечити, щоб при визначенні виду адміністративних санкцій чи заходів і сум адміністративних штрафів компетентні органи враховували всі доречні обставини.</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25"/>
        <w:gridCol w:w="884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(146)</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466755" w:rsidRPr="00BE1959" w:rsidRDefault="00466755"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Для того, щоб забезпечити, щоб рішення, ухвалені компетентними органами мали стримуючий вплив на населення в цілому, вони повинні, як правило, публікуватися. Публікування рішень також є важливим засобом інформування компетентними органами учасників ринку про те, які дії вважаються порушенням цієї директиви, і заохочення належної поведінки серед учасників ринку в цілому. Якщо таке публікування </w:t>
            </w:r>
            <w:r w:rsidR="008533C7" w:rsidRPr="00BE1959">
              <w:rPr>
                <w:rFonts w:ascii="Times New Roman" w:eastAsia="Times New Roman" w:hAnsi="Times New Roman" w:cs="Times New Roman"/>
                <w:sz w:val="24"/>
                <w:szCs w:val="24"/>
                <w:lang w:val="uk-UA"/>
              </w:rPr>
              <w:t>спричиняє несумірну шкоду відповідним особам, загрожує стабільності фінансових ринків або хо</w:t>
            </w:r>
            <w:r w:rsidR="00896D08" w:rsidRPr="00BE1959">
              <w:rPr>
                <w:rFonts w:ascii="Times New Roman" w:eastAsia="Times New Roman" w:hAnsi="Times New Roman" w:cs="Times New Roman"/>
                <w:sz w:val="24"/>
                <w:szCs w:val="24"/>
                <w:lang w:val="uk-UA"/>
              </w:rPr>
              <w:t xml:space="preserve">ду розслідування, то компетентний орган повинен оприлюднити інформацію про вищезгадані санкції та заходи в анонімному порядку в спосіб, який відповідає національному законодавству, або </w:t>
            </w:r>
            <w:r w:rsidR="00D5289E" w:rsidRPr="00BE1959">
              <w:rPr>
                <w:rFonts w:ascii="Times New Roman" w:eastAsia="Times New Roman" w:hAnsi="Times New Roman" w:cs="Times New Roman"/>
                <w:sz w:val="24"/>
                <w:szCs w:val="24"/>
                <w:lang w:val="uk-UA"/>
              </w:rPr>
              <w:t>відтермінувати</w:t>
            </w:r>
            <w:r w:rsidR="00896D08" w:rsidRPr="00BE1959">
              <w:rPr>
                <w:rFonts w:ascii="Times New Roman" w:eastAsia="Times New Roman" w:hAnsi="Times New Roman" w:cs="Times New Roman"/>
                <w:sz w:val="24"/>
                <w:szCs w:val="24"/>
                <w:lang w:val="uk-UA"/>
              </w:rPr>
              <w:t xml:space="preserve"> </w:t>
            </w:r>
            <w:r w:rsidR="00D5289E" w:rsidRPr="00BE1959">
              <w:rPr>
                <w:rFonts w:ascii="Times New Roman" w:eastAsia="Times New Roman" w:hAnsi="Times New Roman" w:cs="Times New Roman"/>
                <w:sz w:val="24"/>
                <w:szCs w:val="24"/>
                <w:lang w:val="uk-UA"/>
              </w:rPr>
              <w:t>публікування.</w:t>
            </w:r>
          </w:p>
          <w:p w:rsidR="005613AB" w:rsidRPr="00BE1959" w:rsidRDefault="00D5289E" w:rsidP="00AF7B81">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Компетентні органи повинні мати можливість не публікувати інформацію про санкції у випадку, якщо анонімне публікування або його відтермінування </w:t>
            </w:r>
            <w:r w:rsidR="00862759" w:rsidRPr="00BE1959">
              <w:rPr>
                <w:rFonts w:ascii="Times New Roman" w:eastAsia="Times New Roman" w:hAnsi="Times New Roman" w:cs="Times New Roman"/>
                <w:sz w:val="24"/>
                <w:szCs w:val="24"/>
                <w:lang w:val="uk-UA"/>
              </w:rPr>
              <w:t>вважається недостатнім для того, щоб виключити будь-яку загрозу для стабільності фінансових ринків. Від компетентних органів не слід вимагати оприлюднення заходів, які вважаються другорядними</w:t>
            </w:r>
            <w:r w:rsidR="00F34B6F" w:rsidRPr="00BE1959">
              <w:rPr>
                <w:rFonts w:ascii="Times New Roman" w:eastAsia="Times New Roman" w:hAnsi="Times New Roman" w:cs="Times New Roman"/>
                <w:sz w:val="24"/>
                <w:szCs w:val="24"/>
                <w:lang w:val="uk-UA"/>
              </w:rPr>
              <w:t xml:space="preserve">, якщо їх оприлюднення буде мати несумірні наслідки. Доцільно передбачити механізм повідомлення ESMA про неоприлюднені санкції з тим, щоб компетентні органи могли враховувати їх у поточному нагляді. Ця директива не вимагає публікування інформації </w:t>
            </w:r>
            <w:r w:rsidR="00AF7B81" w:rsidRPr="00BE1959">
              <w:rPr>
                <w:rFonts w:ascii="Times New Roman" w:eastAsia="Times New Roman" w:hAnsi="Times New Roman" w:cs="Times New Roman"/>
                <w:sz w:val="24"/>
                <w:szCs w:val="24"/>
                <w:lang w:val="uk-UA"/>
              </w:rPr>
              <w:t>про кримінальні санкції, встановлені за порушення цієї</w:t>
            </w:r>
            <w:r w:rsidR="00432567" w:rsidRPr="00BE1959">
              <w:rPr>
                <w:rFonts w:ascii="Times New Roman" w:eastAsia="Times New Roman" w:hAnsi="Times New Roman" w:cs="Times New Roman"/>
                <w:sz w:val="24"/>
                <w:szCs w:val="24"/>
                <w:lang w:val="uk-UA"/>
              </w:rPr>
              <w:t xml:space="preserve"> директиви</w:t>
            </w:r>
            <w:r w:rsidR="005613AB" w:rsidRPr="00BE1959">
              <w:rPr>
                <w:rFonts w:ascii="Times New Roman" w:eastAsia="Times New Roman" w:hAnsi="Times New Roman" w:cs="Times New Roman"/>
                <w:sz w:val="24"/>
                <w:szCs w:val="24"/>
                <w:lang w:val="uk-UA"/>
              </w:rPr>
              <w:t xml:space="preserve"> </w:t>
            </w:r>
            <w:r w:rsidR="00AF7B81" w:rsidRPr="00BE1959">
              <w:rPr>
                <w:rFonts w:ascii="Times New Roman" w:eastAsia="Times New Roman" w:hAnsi="Times New Roman" w:cs="Times New Roman"/>
                <w:sz w:val="24"/>
                <w:szCs w:val="24"/>
                <w:lang w:val="uk-UA"/>
              </w:rPr>
              <w:t>або Регламенту</w:t>
            </w:r>
            <w:r w:rsidR="005613AB" w:rsidRPr="00BE1959">
              <w:rPr>
                <w:rFonts w:ascii="Times New Roman" w:eastAsia="Times New Roman" w:hAnsi="Times New Roman" w:cs="Times New Roman"/>
                <w:sz w:val="24"/>
                <w:szCs w:val="24"/>
                <w:lang w:val="uk-UA"/>
              </w:rPr>
              <w:t xml:space="preserve"> </w:t>
            </w:r>
            <w:r w:rsidR="007B0149" w:rsidRPr="00BE1959">
              <w:rPr>
                <w:rFonts w:ascii="Times New Roman" w:eastAsia="Times New Roman" w:hAnsi="Times New Roman" w:cs="Times New Roman"/>
                <w:sz w:val="24"/>
                <w:szCs w:val="24"/>
                <w:lang w:val="uk-UA"/>
              </w:rPr>
              <w:t>(EU) № 600/2014</w:t>
            </w:r>
            <w:r w:rsidR="00AF7B81" w:rsidRPr="00BE1959">
              <w:rPr>
                <w:rFonts w:ascii="Times New Roman" w:eastAsia="Times New Roman" w:hAnsi="Times New Roman" w:cs="Times New Roman"/>
                <w:sz w:val="24"/>
                <w:szCs w:val="24"/>
                <w:lang w:val="uk-UA"/>
              </w:rPr>
              <w:t>, але не забороняє це робити.</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25"/>
        <w:gridCol w:w="884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(147)</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003A99" w:rsidP="00C157EF">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З метою виявлення можливих порушень компетентні органи повинні мати необхідні повноваження на розслідування і запровадити ефективні та надійні механізми </w:t>
            </w:r>
            <w:r w:rsidRPr="00BE1959">
              <w:rPr>
                <w:rFonts w:ascii="Times New Roman" w:eastAsia="Times New Roman" w:hAnsi="Times New Roman" w:cs="Times New Roman"/>
                <w:sz w:val="24"/>
                <w:szCs w:val="24"/>
                <w:lang w:val="uk-UA"/>
              </w:rPr>
              <w:lastRenderedPageBreak/>
              <w:t>заохочення повідомлення про можливі або фактичні порушення, включаючи захист працівників, які повідомили про порушення у власній установі. Ці механізми не повинні шкодити застосуванню належних гарантій для обвинувачених осіб. Необхідно запровадити відповідні процедури для забезпечення належного захисту звинуваченої особи, особливо щодо права на захист персональних даних цієї особи, та процедури забезпечення права обвинуваченої особи на з</w:t>
            </w:r>
            <w:r w:rsidR="00617514" w:rsidRPr="00BE1959">
              <w:rPr>
                <w:rFonts w:ascii="Times New Roman" w:eastAsia="Times New Roman" w:hAnsi="Times New Roman" w:cs="Times New Roman"/>
                <w:sz w:val="24"/>
                <w:szCs w:val="24"/>
                <w:lang w:val="uk-UA"/>
              </w:rPr>
              <w:t xml:space="preserve">ахист у суді й права бути заслуханою до прийняття рішення стосовно неї, рівно як і права вимагати ефективного засобу </w:t>
            </w:r>
            <w:r w:rsidR="005119DB" w:rsidRPr="00BE1959">
              <w:rPr>
                <w:rFonts w:ascii="Times New Roman" w:eastAsia="Times New Roman" w:hAnsi="Times New Roman" w:cs="Times New Roman"/>
                <w:sz w:val="24"/>
                <w:szCs w:val="24"/>
                <w:lang w:val="uk-UA"/>
              </w:rPr>
              <w:t xml:space="preserve">правового </w:t>
            </w:r>
            <w:r w:rsidR="00617514" w:rsidRPr="00BE1959">
              <w:rPr>
                <w:rFonts w:ascii="Times New Roman" w:eastAsia="Times New Roman" w:hAnsi="Times New Roman" w:cs="Times New Roman"/>
                <w:sz w:val="24"/>
                <w:szCs w:val="24"/>
                <w:lang w:val="uk-UA"/>
              </w:rPr>
              <w:t xml:space="preserve">захисту у суді </w:t>
            </w:r>
            <w:r w:rsidR="005119DB" w:rsidRPr="00BE1959">
              <w:rPr>
                <w:rFonts w:ascii="Times New Roman" w:eastAsia="Times New Roman" w:hAnsi="Times New Roman" w:cs="Times New Roman"/>
                <w:sz w:val="24"/>
                <w:szCs w:val="24"/>
                <w:lang w:val="uk-UA"/>
              </w:rPr>
              <w:t>проти рішення стосовно неї.</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25"/>
        <w:gridCol w:w="884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(148)</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55B22" w:rsidP="009011A7">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Ця директива повинна стосуватися санкцій та заходів із метою охоплення всіх </w:t>
            </w:r>
            <w:r w:rsidR="009011A7" w:rsidRPr="00BE1959">
              <w:rPr>
                <w:rFonts w:ascii="Times New Roman" w:eastAsia="Times New Roman" w:hAnsi="Times New Roman" w:cs="Times New Roman"/>
                <w:sz w:val="24"/>
                <w:szCs w:val="24"/>
                <w:lang w:val="uk-UA"/>
              </w:rPr>
              <w:t>кроків, здійснюваних після порушення, які спрямовані на попередження подальших порушень, незалежно від їхньої кваліфікації як санкції чи заходу за національним законодавством.</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25"/>
        <w:gridCol w:w="884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(149)</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9011A7" w:rsidP="00BE6324">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Ця директива не повинна заважати дії положень законодавства держав-членів, які стосуються </w:t>
            </w:r>
            <w:r w:rsidR="00BE6324" w:rsidRPr="00BE1959">
              <w:rPr>
                <w:rFonts w:ascii="Times New Roman" w:eastAsia="Times New Roman" w:hAnsi="Times New Roman" w:cs="Times New Roman"/>
                <w:sz w:val="24"/>
                <w:szCs w:val="24"/>
                <w:lang w:val="uk-UA"/>
              </w:rPr>
              <w:t>кримінальних санкцій.</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25"/>
        <w:gridCol w:w="884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(150)</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F67E24" w:rsidP="00405BF8">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Навіть хоча ніщо не заважає державам-членам установлювати правила накладання адміністративних і кримінальних санкцій за одні й ті самі порушення, від держав-членів не слід вимагати встановлення правил накладання адміністративних санкцій за порушення </w:t>
            </w:r>
            <w:r w:rsidR="00432567" w:rsidRPr="00BE1959">
              <w:rPr>
                <w:rFonts w:ascii="Times New Roman" w:eastAsia="Times New Roman" w:hAnsi="Times New Roman" w:cs="Times New Roman"/>
                <w:sz w:val="24"/>
                <w:szCs w:val="24"/>
                <w:lang w:val="uk-UA"/>
              </w:rPr>
              <w:t>цієї директиви</w:t>
            </w:r>
            <w:r w:rsidR="005613AB" w:rsidRPr="00BE1959">
              <w:rPr>
                <w:rFonts w:ascii="Times New Roman" w:eastAsia="Times New Roman" w:hAnsi="Times New Roman" w:cs="Times New Roman"/>
                <w:sz w:val="24"/>
                <w:szCs w:val="24"/>
                <w:lang w:val="uk-UA"/>
              </w:rPr>
              <w:t xml:space="preserve"> </w:t>
            </w:r>
            <w:r w:rsidR="005B3A26" w:rsidRPr="00BE1959">
              <w:rPr>
                <w:rFonts w:ascii="Times New Roman" w:eastAsia="Times New Roman" w:hAnsi="Times New Roman" w:cs="Times New Roman"/>
                <w:sz w:val="24"/>
                <w:szCs w:val="24"/>
                <w:lang w:val="uk-UA"/>
              </w:rPr>
              <w:t>або Регламенту</w:t>
            </w:r>
            <w:r w:rsidRPr="00BE1959">
              <w:rPr>
                <w:rFonts w:ascii="Times New Roman" w:eastAsia="Times New Roman" w:hAnsi="Times New Roman" w:cs="Times New Roman"/>
                <w:sz w:val="24"/>
                <w:szCs w:val="24"/>
                <w:lang w:val="uk-UA"/>
              </w:rPr>
              <w:t xml:space="preserve"> </w:t>
            </w:r>
            <w:r w:rsidR="007B0149" w:rsidRPr="00BE1959">
              <w:rPr>
                <w:rFonts w:ascii="Times New Roman" w:eastAsia="Times New Roman" w:hAnsi="Times New Roman" w:cs="Times New Roman"/>
                <w:sz w:val="24"/>
                <w:szCs w:val="24"/>
                <w:lang w:val="uk-UA"/>
              </w:rPr>
              <w:t>(EU) № 600/2014</w:t>
            </w:r>
            <w:r w:rsidR="00113DA8" w:rsidRPr="00BE1959">
              <w:rPr>
                <w:rFonts w:ascii="Times New Roman" w:eastAsia="Times New Roman" w:hAnsi="Times New Roman" w:cs="Times New Roman"/>
                <w:sz w:val="24"/>
                <w:szCs w:val="24"/>
                <w:lang w:val="uk-UA"/>
              </w:rPr>
              <w:t xml:space="preserve">, які підпадають під дію національного кримінального законодавства. Відповідно до національного законодавства держави-члени не зобов’язані накладати і адміністративні, й кримінальні санкції за одне й те саме правопорушення, але вони повинні мати можливість робити це, якщо це дозволяє їхнє національне законодавство. Проте, </w:t>
            </w:r>
            <w:r w:rsidR="008C3DD3" w:rsidRPr="00BE1959">
              <w:rPr>
                <w:rFonts w:ascii="Times New Roman" w:eastAsia="Times New Roman" w:hAnsi="Times New Roman" w:cs="Times New Roman"/>
                <w:sz w:val="24"/>
                <w:szCs w:val="24"/>
                <w:lang w:val="uk-UA"/>
              </w:rPr>
              <w:t>встановлення кримінальних санкцій замість адміністративних за порушення</w:t>
            </w:r>
            <w:r w:rsidR="005613AB" w:rsidRPr="00BE1959">
              <w:rPr>
                <w:rFonts w:ascii="Times New Roman" w:eastAsia="Times New Roman" w:hAnsi="Times New Roman" w:cs="Times New Roman"/>
                <w:sz w:val="24"/>
                <w:szCs w:val="24"/>
                <w:lang w:val="uk-UA"/>
              </w:rPr>
              <w:t xml:space="preserve"> </w:t>
            </w:r>
            <w:r w:rsidR="00432567" w:rsidRPr="00BE1959">
              <w:rPr>
                <w:rFonts w:ascii="Times New Roman" w:eastAsia="Times New Roman" w:hAnsi="Times New Roman" w:cs="Times New Roman"/>
                <w:sz w:val="24"/>
                <w:szCs w:val="24"/>
                <w:lang w:val="uk-UA"/>
              </w:rPr>
              <w:t>цієї директиви</w:t>
            </w:r>
            <w:r w:rsidR="005613AB" w:rsidRPr="00BE1959">
              <w:rPr>
                <w:rFonts w:ascii="Times New Roman" w:eastAsia="Times New Roman" w:hAnsi="Times New Roman" w:cs="Times New Roman"/>
                <w:sz w:val="24"/>
                <w:szCs w:val="24"/>
                <w:lang w:val="uk-UA"/>
              </w:rPr>
              <w:t xml:space="preserve"> </w:t>
            </w:r>
            <w:r w:rsidR="005B3A26" w:rsidRPr="00BE1959">
              <w:rPr>
                <w:rFonts w:ascii="Times New Roman" w:eastAsia="Times New Roman" w:hAnsi="Times New Roman" w:cs="Times New Roman"/>
                <w:sz w:val="24"/>
                <w:szCs w:val="24"/>
                <w:lang w:val="uk-UA"/>
              </w:rPr>
              <w:t>або Регламенту</w:t>
            </w:r>
            <w:r w:rsidR="005613AB" w:rsidRPr="00BE1959">
              <w:rPr>
                <w:rFonts w:ascii="Times New Roman" w:eastAsia="Times New Roman" w:hAnsi="Times New Roman" w:cs="Times New Roman"/>
                <w:sz w:val="24"/>
                <w:szCs w:val="24"/>
                <w:lang w:val="uk-UA"/>
              </w:rPr>
              <w:t xml:space="preserve"> </w:t>
            </w:r>
            <w:r w:rsidR="007B0149" w:rsidRPr="00BE1959">
              <w:rPr>
                <w:rFonts w:ascii="Times New Roman" w:eastAsia="Times New Roman" w:hAnsi="Times New Roman" w:cs="Times New Roman"/>
                <w:sz w:val="24"/>
                <w:szCs w:val="24"/>
                <w:lang w:val="uk-UA"/>
              </w:rPr>
              <w:t>(EU) № 600/2014</w:t>
            </w:r>
            <w:r w:rsidR="005613AB" w:rsidRPr="00BE1959">
              <w:rPr>
                <w:rFonts w:ascii="Times New Roman" w:eastAsia="Times New Roman" w:hAnsi="Times New Roman" w:cs="Times New Roman"/>
                <w:sz w:val="24"/>
                <w:szCs w:val="24"/>
                <w:lang w:val="uk-UA"/>
              </w:rPr>
              <w:t xml:space="preserve"> </w:t>
            </w:r>
            <w:r w:rsidR="008C3DD3" w:rsidRPr="00BE1959">
              <w:rPr>
                <w:rFonts w:ascii="Times New Roman" w:eastAsia="Times New Roman" w:hAnsi="Times New Roman" w:cs="Times New Roman"/>
                <w:sz w:val="24"/>
                <w:szCs w:val="24"/>
                <w:lang w:val="uk-UA"/>
              </w:rPr>
              <w:t xml:space="preserve">не повинно зменшувати або в інший спосіб впливати на здатність компетентних органів співпрацювати з компетентними органами інших держав-членів, отримувати доступ до інформації та обмінюватися інформацією у своєчасний спосіб у цілях </w:t>
            </w:r>
            <w:r w:rsidR="00432567" w:rsidRPr="00BE1959">
              <w:rPr>
                <w:rFonts w:ascii="Times New Roman" w:eastAsia="Times New Roman" w:hAnsi="Times New Roman" w:cs="Times New Roman"/>
                <w:sz w:val="24"/>
                <w:szCs w:val="24"/>
                <w:lang w:val="uk-UA"/>
              </w:rPr>
              <w:t>цієї директиви</w:t>
            </w:r>
            <w:r w:rsidR="005613AB" w:rsidRPr="00BE1959">
              <w:rPr>
                <w:rFonts w:ascii="Times New Roman" w:eastAsia="Times New Roman" w:hAnsi="Times New Roman" w:cs="Times New Roman"/>
                <w:sz w:val="24"/>
                <w:szCs w:val="24"/>
                <w:lang w:val="uk-UA"/>
              </w:rPr>
              <w:t xml:space="preserve"> </w:t>
            </w:r>
            <w:r w:rsidR="00405BF8" w:rsidRPr="00BE1959">
              <w:rPr>
                <w:rFonts w:ascii="Times New Roman" w:eastAsia="Times New Roman" w:hAnsi="Times New Roman" w:cs="Times New Roman"/>
                <w:sz w:val="24"/>
                <w:szCs w:val="24"/>
                <w:lang w:val="uk-UA"/>
              </w:rPr>
              <w:t xml:space="preserve">та Регламенту </w:t>
            </w:r>
            <w:r w:rsidR="007B0149" w:rsidRPr="00BE1959">
              <w:rPr>
                <w:rFonts w:ascii="Times New Roman" w:eastAsia="Times New Roman" w:hAnsi="Times New Roman" w:cs="Times New Roman"/>
                <w:sz w:val="24"/>
                <w:szCs w:val="24"/>
                <w:lang w:val="uk-UA"/>
              </w:rPr>
              <w:t>(EU) № 600/2014</w:t>
            </w:r>
            <w:r w:rsidR="005613AB" w:rsidRPr="00BE1959">
              <w:rPr>
                <w:rFonts w:ascii="Times New Roman" w:eastAsia="Times New Roman" w:hAnsi="Times New Roman" w:cs="Times New Roman"/>
                <w:sz w:val="24"/>
                <w:szCs w:val="24"/>
                <w:lang w:val="uk-UA"/>
              </w:rPr>
              <w:t xml:space="preserve">, </w:t>
            </w:r>
            <w:r w:rsidR="00405BF8" w:rsidRPr="00BE1959">
              <w:rPr>
                <w:rFonts w:ascii="Times New Roman" w:eastAsia="Times New Roman" w:hAnsi="Times New Roman" w:cs="Times New Roman"/>
                <w:sz w:val="24"/>
                <w:szCs w:val="24"/>
                <w:lang w:val="uk-UA"/>
              </w:rPr>
              <w:t>у тому числі після передачі відповідних порушень до компетентних судових органів на предмет кримінального переслідування.</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25"/>
        <w:gridCol w:w="884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(151)</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E5286E" w:rsidP="00D721CC">
            <w:pPr>
              <w:spacing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З метою захисту клієнтів і без шкоди для права споживачів подавати позови до судів, доцільно, щоб держави-члени забезпечили створення державних або приватних органів із метою врегулювання спорів у позасудовому порядку</w:t>
            </w:r>
            <w:r w:rsidR="00D421C4" w:rsidRPr="00BE1959">
              <w:rPr>
                <w:rFonts w:ascii="Times New Roman" w:eastAsia="Times New Roman" w:hAnsi="Times New Roman" w:cs="Times New Roman"/>
                <w:sz w:val="24"/>
                <w:szCs w:val="24"/>
                <w:lang w:val="uk-UA"/>
              </w:rPr>
              <w:t>, для співробітництва у врегулюванні транскордонних спорів, враховуючи Рекомендацію Комісії</w:t>
            </w:r>
            <w:r w:rsidR="005613AB" w:rsidRPr="00BE1959">
              <w:rPr>
                <w:rFonts w:ascii="Times New Roman" w:eastAsia="Times New Roman" w:hAnsi="Times New Roman" w:cs="Times New Roman"/>
                <w:sz w:val="24"/>
                <w:szCs w:val="24"/>
                <w:lang w:val="uk-UA"/>
              </w:rPr>
              <w:t xml:space="preserve"> 98/257/EC</w:t>
            </w:r>
            <w:hyperlink r:id="rId41" w:anchor="ntr36-L_2014173EN.01034901-E0036" w:history="1">
              <w:r w:rsidR="005613AB" w:rsidRPr="00BE1959">
                <w:rPr>
                  <w:rFonts w:ascii="Times New Roman" w:eastAsia="Times New Roman" w:hAnsi="Times New Roman" w:cs="Times New Roman"/>
                  <w:sz w:val="24"/>
                  <w:szCs w:val="24"/>
                  <w:bdr w:val="none" w:sz="0" w:space="0" w:color="auto" w:frame="1"/>
                  <w:lang w:val="uk-UA"/>
                </w:rPr>
                <w:t> (</w:t>
              </w:r>
              <w:r w:rsidR="005613AB" w:rsidRPr="00BE1959">
                <w:rPr>
                  <w:rFonts w:ascii="Times New Roman" w:eastAsia="Times New Roman" w:hAnsi="Times New Roman" w:cs="Times New Roman"/>
                  <w:sz w:val="24"/>
                  <w:szCs w:val="24"/>
                  <w:bdr w:val="none" w:sz="0" w:space="0" w:color="auto" w:frame="1"/>
                  <w:vertAlign w:val="superscript"/>
                  <w:lang w:val="uk-UA"/>
                </w:rPr>
                <w:t>36</w:t>
              </w:r>
              <w:r w:rsidR="005613AB" w:rsidRPr="00BE1959">
                <w:rPr>
                  <w:rFonts w:ascii="Times New Roman" w:eastAsia="Times New Roman" w:hAnsi="Times New Roman" w:cs="Times New Roman"/>
                  <w:sz w:val="24"/>
                  <w:szCs w:val="24"/>
                  <w:bdr w:val="none" w:sz="0" w:space="0" w:color="auto" w:frame="1"/>
                  <w:lang w:val="uk-UA"/>
                </w:rPr>
                <w:t>)</w:t>
              </w:r>
            </w:hyperlink>
            <w:r w:rsidR="005613AB" w:rsidRPr="00BE1959">
              <w:rPr>
                <w:rFonts w:ascii="Times New Roman" w:eastAsia="Times New Roman" w:hAnsi="Times New Roman" w:cs="Times New Roman"/>
                <w:sz w:val="24"/>
                <w:szCs w:val="24"/>
                <w:lang w:val="uk-UA"/>
              </w:rPr>
              <w:t> </w:t>
            </w:r>
            <w:r w:rsidR="00D421C4" w:rsidRPr="00BE1959">
              <w:rPr>
                <w:rFonts w:ascii="Times New Roman" w:eastAsia="Times New Roman" w:hAnsi="Times New Roman" w:cs="Times New Roman"/>
                <w:sz w:val="24"/>
                <w:szCs w:val="24"/>
                <w:lang w:val="uk-UA"/>
              </w:rPr>
              <w:t xml:space="preserve">та Рекомендацію Комісії </w:t>
            </w:r>
            <w:r w:rsidR="005613AB" w:rsidRPr="00BE1959">
              <w:rPr>
                <w:rFonts w:ascii="Times New Roman" w:eastAsia="Times New Roman" w:hAnsi="Times New Roman" w:cs="Times New Roman"/>
                <w:sz w:val="24"/>
                <w:szCs w:val="24"/>
                <w:lang w:val="uk-UA"/>
              </w:rPr>
              <w:t>2001/310/EC</w:t>
            </w:r>
            <w:hyperlink r:id="rId42" w:anchor="ntr37-L_2014173EN.01034901-E0037" w:history="1">
              <w:r w:rsidR="005613AB" w:rsidRPr="00BE1959">
                <w:rPr>
                  <w:rFonts w:ascii="Times New Roman" w:eastAsia="Times New Roman" w:hAnsi="Times New Roman" w:cs="Times New Roman"/>
                  <w:sz w:val="24"/>
                  <w:szCs w:val="24"/>
                  <w:bdr w:val="none" w:sz="0" w:space="0" w:color="auto" w:frame="1"/>
                  <w:lang w:val="uk-UA"/>
                </w:rPr>
                <w:t> (</w:t>
              </w:r>
              <w:r w:rsidR="005613AB" w:rsidRPr="00BE1959">
                <w:rPr>
                  <w:rFonts w:ascii="Times New Roman" w:eastAsia="Times New Roman" w:hAnsi="Times New Roman" w:cs="Times New Roman"/>
                  <w:sz w:val="24"/>
                  <w:szCs w:val="24"/>
                  <w:bdr w:val="none" w:sz="0" w:space="0" w:color="auto" w:frame="1"/>
                  <w:vertAlign w:val="superscript"/>
                  <w:lang w:val="uk-UA"/>
                </w:rPr>
                <w:t>37</w:t>
              </w:r>
              <w:r w:rsidR="005613AB" w:rsidRPr="00BE1959">
                <w:rPr>
                  <w:rFonts w:ascii="Times New Roman" w:eastAsia="Times New Roman" w:hAnsi="Times New Roman" w:cs="Times New Roman"/>
                  <w:sz w:val="24"/>
                  <w:szCs w:val="24"/>
                  <w:bdr w:val="none" w:sz="0" w:space="0" w:color="auto" w:frame="1"/>
                  <w:lang w:val="uk-UA"/>
                </w:rPr>
                <w:t>)</w:t>
              </w:r>
            </w:hyperlink>
            <w:r w:rsidR="005613AB" w:rsidRPr="00BE1959">
              <w:rPr>
                <w:rFonts w:ascii="Times New Roman" w:eastAsia="Times New Roman" w:hAnsi="Times New Roman" w:cs="Times New Roman"/>
                <w:sz w:val="24"/>
                <w:szCs w:val="24"/>
                <w:lang w:val="uk-UA"/>
              </w:rPr>
              <w:t xml:space="preserve">. </w:t>
            </w:r>
            <w:r w:rsidR="00D421C4" w:rsidRPr="00BE1959">
              <w:rPr>
                <w:rFonts w:ascii="Times New Roman" w:eastAsia="Times New Roman" w:hAnsi="Times New Roman" w:cs="Times New Roman"/>
                <w:sz w:val="24"/>
                <w:szCs w:val="24"/>
                <w:lang w:val="uk-UA"/>
              </w:rPr>
              <w:t xml:space="preserve">При реалізації положень щодо процедур розгляду скарг і відшкодування для позасудового врегулювання держави-члени слід заохочувати до застосування існуючих механізмів міжнародного співробітництва, зокрема </w:t>
            </w:r>
            <w:r w:rsidR="00D721CC" w:rsidRPr="00BE1959">
              <w:rPr>
                <w:rFonts w:ascii="Times New Roman" w:eastAsia="Times New Roman" w:hAnsi="Times New Roman" w:cs="Times New Roman"/>
                <w:sz w:val="24"/>
                <w:szCs w:val="24"/>
                <w:lang w:val="uk-UA"/>
              </w:rPr>
              <w:t>Мережі з позасудового вирішення фінансових спорів</w:t>
            </w:r>
            <w:r w:rsidR="00D421C4" w:rsidRPr="00BE1959">
              <w:rPr>
                <w:rFonts w:ascii="Times New Roman" w:eastAsia="Times New Roman" w:hAnsi="Times New Roman" w:cs="Times New Roman"/>
                <w:sz w:val="24"/>
                <w:szCs w:val="24"/>
                <w:lang w:val="uk-UA"/>
              </w:rPr>
              <w:t xml:space="preserve"> </w:t>
            </w:r>
            <w:r w:rsidR="005613AB" w:rsidRPr="00BE1959">
              <w:rPr>
                <w:rFonts w:ascii="Times New Roman" w:eastAsia="Times New Roman" w:hAnsi="Times New Roman" w:cs="Times New Roman"/>
                <w:sz w:val="24"/>
                <w:szCs w:val="24"/>
                <w:lang w:val="uk-UA"/>
              </w:rPr>
              <w:t>(FIN-Net).</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25"/>
        <w:gridCol w:w="884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lastRenderedPageBreak/>
              <w:t>(152)</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0823D3" w:rsidP="000823D3">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Будь-який обмін інформацією чи передача інформації між компетентними органами, іншими органами, установами чи особами повинні здійснюватися відповідно до правил передачі персональних даних третім країнам, викладених у</w:t>
            </w:r>
            <w:r w:rsidR="0042329D" w:rsidRPr="00BE1959">
              <w:rPr>
                <w:rFonts w:ascii="Times New Roman" w:eastAsia="Times New Roman" w:hAnsi="Times New Roman" w:cs="Times New Roman"/>
                <w:sz w:val="24"/>
                <w:szCs w:val="24"/>
                <w:lang w:val="uk-UA"/>
              </w:rPr>
              <w:t xml:space="preserve"> Директиві</w:t>
            </w:r>
            <w:r w:rsidR="005613AB" w:rsidRPr="00BE1959">
              <w:rPr>
                <w:rFonts w:ascii="Times New Roman" w:eastAsia="Times New Roman" w:hAnsi="Times New Roman" w:cs="Times New Roman"/>
                <w:sz w:val="24"/>
                <w:szCs w:val="24"/>
                <w:lang w:val="uk-UA"/>
              </w:rPr>
              <w:t xml:space="preserve"> 95/46/EC. </w:t>
            </w:r>
            <w:r w:rsidRPr="00BE1959">
              <w:rPr>
                <w:rFonts w:ascii="Times New Roman" w:eastAsia="Times New Roman" w:hAnsi="Times New Roman" w:cs="Times New Roman"/>
                <w:sz w:val="24"/>
                <w:szCs w:val="24"/>
                <w:lang w:val="uk-UA"/>
              </w:rPr>
              <w:t xml:space="preserve">Будь-який обмін персональними даними або передача персональних даних між ESMA і третіми країнами повинні здійснюватися відповідно до правил передачі персональних даних, викладених </w:t>
            </w:r>
            <w:r w:rsidR="00270867" w:rsidRPr="00BE1959">
              <w:rPr>
                <w:rFonts w:ascii="Times New Roman" w:eastAsia="Times New Roman" w:hAnsi="Times New Roman" w:cs="Times New Roman"/>
                <w:sz w:val="24"/>
                <w:szCs w:val="24"/>
                <w:lang w:val="uk-UA"/>
              </w:rPr>
              <w:t>у Регламенті</w:t>
            </w:r>
            <w:r w:rsidR="005613AB" w:rsidRPr="00BE1959">
              <w:rPr>
                <w:rFonts w:ascii="Times New Roman" w:eastAsia="Times New Roman" w:hAnsi="Times New Roman" w:cs="Times New Roman"/>
                <w:sz w:val="24"/>
                <w:szCs w:val="24"/>
                <w:lang w:val="uk-UA"/>
              </w:rPr>
              <w:t xml:space="preserve"> </w:t>
            </w:r>
            <w:r w:rsidR="000D3B79" w:rsidRPr="00BE1959">
              <w:rPr>
                <w:rFonts w:ascii="Times New Roman" w:eastAsia="Times New Roman" w:hAnsi="Times New Roman" w:cs="Times New Roman"/>
                <w:sz w:val="24"/>
                <w:szCs w:val="24"/>
                <w:lang w:val="uk-UA"/>
              </w:rPr>
              <w:t>(EC) №</w:t>
            </w:r>
            <w:r w:rsidR="005613AB" w:rsidRPr="00BE1959">
              <w:rPr>
                <w:rFonts w:ascii="Times New Roman" w:eastAsia="Times New Roman" w:hAnsi="Times New Roman" w:cs="Times New Roman"/>
                <w:sz w:val="24"/>
                <w:szCs w:val="24"/>
                <w:lang w:val="uk-UA"/>
              </w:rPr>
              <w:t> 45/2001.</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25"/>
        <w:gridCol w:w="884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(153)</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8A78F9" w:rsidP="008F261F">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Необхідно зміцнити положення щодо обміну інформацією між національними компетентними органами та посилити обов’язки щодо допомоги та співробітництва, які є у цих органів один перед одним. Через розширення міжнародної діяльності компетентні органи повинні надавати один одному доречну інформацію для здійснення ними своїх функцій, з тим, щоб забезпечити ефективне виконання цієї директиви, зокрема у ситуаціях, де фактичні або </w:t>
            </w:r>
            <w:r w:rsidR="008F261F" w:rsidRPr="00BE1959">
              <w:rPr>
                <w:rFonts w:ascii="Times New Roman" w:eastAsia="Times New Roman" w:hAnsi="Times New Roman" w:cs="Times New Roman"/>
                <w:sz w:val="24"/>
                <w:szCs w:val="24"/>
                <w:lang w:val="uk-UA"/>
              </w:rPr>
              <w:t>можливі порушення можуть бути предметом занепокоєння органів двох або більше держав-членів. При обміні інформацією необхідно суворо дотримуватися професійної таємниці, щоб забезпечити безперешкодну передачу цієї інформації та захист конкретних прав.</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25"/>
        <w:gridCol w:w="884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(154)</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9C5CE8" w:rsidP="00D72A75">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Якщо діяльність торговельного майданчика, який уклав угоди у приймаючій державі-члені, стала істотно важливою для функціонування ринків цінних паперів і захисту інвесторів у цій державі, то відповідні угоди про співробітництво, які будуть укладені, повинні мати</w:t>
            </w:r>
            <w:r w:rsidR="003F175F" w:rsidRPr="00BE1959">
              <w:rPr>
                <w:rFonts w:ascii="Times New Roman" w:eastAsia="Times New Roman" w:hAnsi="Times New Roman" w:cs="Times New Roman"/>
                <w:sz w:val="24"/>
                <w:szCs w:val="24"/>
                <w:lang w:val="uk-UA"/>
              </w:rPr>
              <w:t xml:space="preserve"> належну форму з-поміж можливих варіантів співробітництва між компетентними органами держави-члена походження і приймаючої держави-члена, сумірну з потребами міжнародного співробітництва щодо нагляду, що є результатом характеру і впливу на </w:t>
            </w:r>
            <w:r w:rsidR="00D72A75" w:rsidRPr="00BE1959">
              <w:rPr>
                <w:rFonts w:ascii="Times New Roman" w:eastAsia="Times New Roman" w:hAnsi="Times New Roman" w:cs="Times New Roman"/>
                <w:sz w:val="24"/>
                <w:szCs w:val="24"/>
                <w:lang w:val="uk-UA"/>
              </w:rPr>
              <w:t>ринки цінних паперів і захист інвесторів у приймаючій державі-члені, як-от спеціалізовані або періодичні обмін інформацією, консультації та допомога.</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25"/>
        <w:gridCol w:w="884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(155)</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D72A75" w:rsidP="00076770">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З</w:t>
            </w:r>
            <w:r w:rsidR="00C86B66" w:rsidRPr="00BE1959">
              <w:rPr>
                <w:rFonts w:ascii="Times New Roman" w:eastAsia="Times New Roman" w:hAnsi="Times New Roman" w:cs="Times New Roman"/>
                <w:sz w:val="24"/>
                <w:szCs w:val="24"/>
                <w:lang w:val="uk-UA"/>
              </w:rPr>
              <w:t xml:space="preserve"> метою досягнення цілей, поставлених у цій директиві, Комісії слід делегувати повноваження на прийняття актів відповідно до статті 290 ДФЄС щодо деталей звільнень, уточнення визначень, критеріїв оцінки пропонованих придбань інвестиційної фірми, організаційних вимог до інвестиційних фірм, ЗМП та НЗД, усунення конфліктів інтересів, зобов’язань щодо ведення діяльності з надання інвестиційних послуг, виконання </w:t>
            </w:r>
            <w:r w:rsidR="002C2E1F" w:rsidRPr="00BE1959">
              <w:rPr>
                <w:rFonts w:ascii="Times New Roman" w:eastAsia="Times New Roman" w:hAnsi="Times New Roman" w:cs="Times New Roman"/>
                <w:sz w:val="24"/>
                <w:szCs w:val="24"/>
                <w:lang w:val="uk-UA"/>
              </w:rPr>
              <w:t xml:space="preserve">замовлень на умовах, найбільш сприятливих для клієнта, оброблення замовлень клієнтів, операцій з правомочними контрагентами, обставин, які </w:t>
            </w:r>
            <w:r w:rsidR="00F5666E" w:rsidRPr="00BE1959">
              <w:rPr>
                <w:rFonts w:ascii="Times New Roman" w:eastAsia="Times New Roman" w:hAnsi="Times New Roman" w:cs="Times New Roman"/>
                <w:sz w:val="24"/>
                <w:szCs w:val="24"/>
                <w:lang w:val="uk-UA"/>
              </w:rPr>
              <w:t>становлять значну шкоду для інтересів інвесторів та впорядкованого функціонування ринку в цілях призупинення</w:t>
            </w:r>
            <w:r w:rsidR="00745157" w:rsidRPr="00BE1959">
              <w:rPr>
                <w:rFonts w:ascii="Times New Roman" w:eastAsia="Times New Roman" w:hAnsi="Times New Roman" w:cs="Times New Roman"/>
                <w:sz w:val="24"/>
                <w:szCs w:val="24"/>
                <w:lang w:val="uk-UA"/>
              </w:rPr>
              <w:t xml:space="preserve"> торгівлі фінансовими інструментами та вилучення їх із торгівлі на БТМ, ОТМ або регульованому ринку, ринків МСП, що розвиваються, порогів, вище яких застосовуються зобов’язання щодо повідомлення позицій, та критеріїв, за якими операції </w:t>
            </w:r>
            <w:r w:rsidR="00076770" w:rsidRPr="00BE1959">
              <w:rPr>
                <w:rFonts w:ascii="Times New Roman" w:eastAsia="Times New Roman" w:hAnsi="Times New Roman" w:cs="Times New Roman"/>
                <w:sz w:val="24"/>
                <w:szCs w:val="24"/>
                <w:lang w:val="uk-UA"/>
              </w:rPr>
              <w:t xml:space="preserve">торговельного майданчика у приймаючій державі-члені можуть вважатися істотно важливими для функціонування ринків </w:t>
            </w:r>
            <w:r w:rsidR="00076770" w:rsidRPr="00BE1959">
              <w:rPr>
                <w:rFonts w:ascii="Times New Roman" w:eastAsia="Times New Roman" w:hAnsi="Times New Roman" w:cs="Times New Roman"/>
                <w:sz w:val="24"/>
                <w:szCs w:val="24"/>
                <w:lang w:val="uk-UA"/>
              </w:rPr>
              <w:lastRenderedPageBreak/>
              <w:t>цінних паперів і захисту інвесторів. Особливо важливо, щоб Комісія проводила належні консультації у процесі підготовчої роботи, зокрема на рівні експертів. Готуючи та оформлюючи делеговані акти, Комісія повинна забезпечити одночасну, своєчасну та належну передачу відповідних документів до Європейського Парламенту і до Ради.</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25"/>
        <w:gridCol w:w="884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(156)</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9730F5" w:rsidP="00291F16">
            <w:pPr>
              <w:spacing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Технічні стандарти фінансових послуг повинні забезпечити послідовну гармонізацію і належний захист інвесторів, зокрема тих, хто інвестує кошти у структуровані депозити, та споживачів на всій території Союзу.</w:t>
            </w:r>
            <w:r w:rsidR="005F1112" w:rsidRPr="00BE1959">
              <w:rPr>
                <w:rFonts w:ascii="Times New Roman" w:eastAsia="Times New Roman" w:hAnsi="Times New Roman" w:cs="Times New Roman"/>
                <w:sz w:val="24"/>
                <w:szCs w:val="24"/>
                <w:lang w:val="uk-UA"/>
              </w:rPr>
              <w:t xml:space="preserve"> Оскільки ESMA є органом із високоспеціалізованою сферою компетенції, то було б ефективно і доречно саме їй доручити р</w:t>
            </w:r>
            <w:r w:rsidR="00CF1353" w:rsidRPr="00BE1959">
              <w:rPr>
                <w:rFonts w:ascii="Times New Roman" w:eastAsia="Times New Roman" w:hAnsi="Times New Roman" w:cs="Times New Roman"/>
                <w:sz w:val="24"/>
                <w:szCs w:val="24"/>
                <w:lang w:val="uk-UA"/>
              </w:rPr>
              <w:t>озроблення проектів нормативн</w:t>
            </w:r>
            <w:r w:rsidR="00291F16" w:rsidRPr="00BE1959">
              <w:rPr>
                <w:rFonts w:ascii="Times New Roman" w:eastAsia="Times New Roman" w:hAnsi="Times New Roman" w:cs="Times New Roman"/>
                <w:sz w:val="24"/>
                <w:szCs w:val="24"/>
                <w:lang w:val="uk-UA"/>
              </w:rPr>
              <w:t xml:space="preserve">их і виконавчих </w:t>
            </w:r>
            <w:r w:rsidR="00CF1353" w:rsidRPr="00BE1959">
              <w:rPr>
                <w:rFonts w:ascii="Times New Roman" w:eastAsia="Times New Roman" w:hAnsi="Times New Roman" w:cs="Times New Roman"/>
                <w:sz w:val="24"/>
                <w:szCs w:val="24"/>
                <w:lang w:val="uk-UA"/>
              </w:rPr>
              <w:t>технічних стандартів, які не стосуються стратегічного вибору, з наступним поданням Комісії. Щоб забезпечити узгоджений захист інвесторів і споживачів у всіх секторах фінансових послуг, ESMA повинна виконувати свої завдання у якомога тіснішій співпраці з європейським наглядовим органом (Європейською службою банківського нагляду (ЄВА)), створеним Регламентом</w:t>
            </w:r>
            <w:r w:rsidR="005613AB" w:rsidRPr="00BE1959">
              <w:rPr>
                <w:rFonts w:ascii="Times New Roman" w:eastAsia="Times New Roman" w:hAnsi="Times New Roman" w:cs="Times New Roman"/>
                <w:sz w:val="24"/>
                <w:szCs w:val="24"/>
                <w:lang w:val="uk-UA"/>
              </w:rPr>
              <w:t xml:space="preserve"> </w:t>
            </w:r>
            <w:r w:rsidR="000D3B79" w:rsidRPr="00BE1959">
              <w:rPr>
                <w:rFonts w:ascii="Times New Roman" w:eastAsia="Times New Roman" w:hAnsi="Times New Roman" w:cs="Times New Roman"/>
                <w:sz w:val="24"/>
                <w:szCs w:val="24"/>
                <w:lang w:val="uk-UA"/>
              </w:rPr>
              <w:t>(EC) №</w:t>
            </w:r>
            <w:r w:rsidR="005613AB" w:rsidRPr="00BE1959">
              <w:rPr>
                <w:rFonts w:ascii="Times New Roman" w:eastAsia="Times New Roman" w:hAnsi="Times New Roman" w:cs="Times New Roman"/>
                <w:sz w:val="24"/>
                <w:szCs w:val="24"/>
                <w:lang w:val="uk-UA"/>
              </w:rPr>
              <w:t xml:space="preserve"> 1093/2010 </w:t>
            </w:r>
            <w:r w:rsidR="00423154" w:rsidRPr="00BE1959">
              <w:rPr>
                <w:rFonts w:ascii="Times New Roman" w:eastAsia="Times New Roman" w:hAnsi="Times New Roman" w:cs="Times New Roman"/>
                <w:sz w:val="24"/>
                <w:szCs w:val="24"/>
                <w:lang w:val="uk-UA"/>
              </w:rPr>
              <w:t>Європейського Парламенту та Ради</w:t>
            </w:r>
            <w:hyperlink r:id="rId43" w:anchor="ntr38-L_2014173EN.01034901-E0038" w:history="1">
              <w:r w:rsidR="005613AB" w:rsidRPr="00BE1959">
                <w:rPr>
                  <w:rFonts w:ascii="Times New Roman" w:eastAsia="Times New Roman" w:hAnsi="Times New Roman" w:cs="Times New Roman"/>
                  <w:sz w:val="24"/>
                  <w:szCs w:val="24"/>
                  <w:bdr w:val="none" w:sz="0" w:space="0" w:color="auto" w:frame="1"/>
                  <w:lang w:val="uk-UA"/>
                </w:rPr>
                <w:t> (</w:t>
              </w:r>
              <w:r w:rsidR="005613AB" w:rsidRPr="00BE1959">
                <w:rPr>
                  <w:rFonts w:ascii="Times New Roman" w:eastAsia="Times New Roman" w:hAnsi="Times New Roman" w:cs="Times New Roman"/>
                  <w:sz w:val="24"/>
                  <w:szCs w:val="24"/>
                  <w:bdr w:val="none" w:sz="0" w:space="0" w:color="auto" w:frame="1"/>
                  <w:vertAlign w:val="superscript"/>
                  <w:lang w:val="uk-UA"/>
                </w:rPr>
                <w:t>38</w:t>
              </w:r>
              <w:r w:rsidR="005613AB" w:rsidRPr="00BE1959">
                <w:rPr>
                  <w:rFonts w:ascii="Times New Roman" w:eastAsia="Times New Roman" w:hAnsi="Times New Roman" w:cs="Times New Roman"/>
                  <w:sz w:val="24"/>
                  <w:szCs w:val="24"/>
                  <w:bdr w:val="none" w:sz="0" w:space="0" w:color="auto" w:frame="1"/>
                  <w:lang w:val="uk-UA"/>
                </w:rPr>
                <w:t>)</w:t>
              </w:r>
            </w:hyperlink>
            <w:r w:rsidR="00CF1353" w:rsidRPr="00BE1959">
              <w:rPr>
                <w:rFonts w:ascii="Times New Roman" w:eastAsia="Times New Roman" w:hAnsi="Times New Roman" w:cs="Times New Roman"/>
                <w:sz w:val="24"/>
                <w:szCs w:val="24"/>
                <w:bdr w:val="none" w:sz="0" w:space="0" w:color="auto" w:frame="1"/>
                <w:lang w:val="uk-UA"/>
              </w:rPr>
              <w:t>, і з</w:t>
            </w:r>
            <w:r w:rsidR="005613AB" w:rsidRPr="00BE1959">
              <w:rPr>
                <w:rFonts w:ascii="Times New Roman" w:eastAsia="Times New Roman" w:hAnsi="Times New Roman" w:cs="Times New Roman"/>
                <w:sz w:val="24"/>
                <w:szCs w:val="24"/>
                <w:lang w:val="uk-UA"/>
              </w:rPr>
              <w:t xml:space="preserve"> EIOPA.</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25"/>
        <w:gridCol w:w="884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(157)</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780350" w:rsidP="003F24A7">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Комісія повинна прийняти проекти нормативно-технічних стандартів, розроблених </w:t>
            </w:r>
            <w:r w:rsidR="005613AB" w:rsidRPr="00BE1959">
              <w:rPr>
                <w:rFonts w:ascii="Times New Roman" w:eastAsia="Times New Roman" w:hAnsi="Times New Roman" w:cs="Times New Roman"/>
                <w:sz w:val="24"/>
                <w:szCs w:val="24"/>
                <w:lang w:val="uk-UA"/>
              </w:rPr>
              <w:t>ESMA</w:t>
            </w:r>
            <w:r w:rsidRPr="00BE1959">
              <w:rPr>
                <w:rFonts w:ascii="Times New Roman" w:eastAsia="Times New Roman" w:hAnsi="Times New Roman" w:cs="Times New Roman"/>
                <w:sz w:val="24"/>
                <w:szCs w:val="24"/>
                <w:lang w:val="uk-UA"/>
              </w:rPr>
              <w:t xml:space="preserve">, щодо </w:t>
            </w:r>
            <w:r w:rsidR="003A1FB4" w:rsidRPr="00BE1959">
              <w:rPr>
                <w:rFonts w:ascii="Times New Roman" w:eastAsia="Times New Roman" w:hAnsi="Times New Roman" w:cs="Times New Roman"/>
                <w:sz w:val="24"/>
                <w:szCs w:val="24"/>
                <w:lang w:val="uk-UA"/>
              </w:rPr>
              <w:t>звільнень, які стосуються діяльності, що вважається додатковою до основної діяльності, щодо інформації, яка має надаватися, та певних вимог у контексті процедур надання і відхилення запитів інвестиційних фірм на видачу дозволів, щодо придбання</w:t>
            </w:r>
            <w:r w:rsidR="003F24A7" w:rsidRPr="00BE1959">
              <w:rPr>
                <w:rFonts w:ascii="Times New Roman" w:eastAsia="Times New Roman" w:hAnsi="Times New Roman" w:cs="Times New Roman"/>
                <w:sz w:val="24"/>
                <w:szCs w:val="24"/>
                <w:lang w:val="uk-UA"/>
              </w:rPr>
              <w:t xml:space="preserve"> кваліфікованої частки участі</w:t>
            </w:r>
            <w:r w:rsidR="003A1FB4" w:rsidRPr="00BE1959">
              <w:rPr>
                <w:rFonts w:ascii="Times New Roman" w:eastAsia="Times New Roman" w:hAnsi="Times New Roman" w:cs="Times New Roman"/>
                <w:sz w:val="24"/>
                <w:szCs w:val="24"/>
                <w:lang w:val="uk-UA"/>
              </w:rPr>
              <w:t>, щодо алгоритмічної торгівлі, щодо зобов’язання виконувати замовлення на умовах, найбільш сприятливих для клієнтів, щодо призупинення торгівлі фінансовими інструментами та вилучення фінансових інструментів з торгівлі на регульованому ринку, БТМ або ОТМ, щодо свободи надання інвестиційних послуг і ведення інвестиційної діяльності, щодо створення філій, щодо стійкості систем, «вимикачів» та електронної торгівлі, щодо величини тіків, щодо синхронізації ділових годинників, щодо допуску фінансових інструментів до торгівлі, щодо лімітів позицій та засобів управління позиціями стосовно товарних деривативів, щодо процедур надання і відхилення заявок на дозволи надавачів послуг із повідомлення даних, щодо організаційних вимог до ЗМП, НЗД і ЗМЗ та щодо співробітництва між компетентними органами. Комісія повинна приймати ці проекти нормативно-технічних стандартів за допомогою делегованих актів на виконання статті 290 ДФЄС та згідно зі статтями 10-14 Регламенту (EU) № 1093/2010.</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25"/>
        <w:gridCol w:w="884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(158)</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8824AE" w:rsidP="001A48B1">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Комісію також слід уповноважити </w:t>
            </w:r>
            <w:r w:rsidR="00291F16" w:rsidRPr="00BE1959">
              <w:rPr>
                <w:rFonts w:ascii="Times New Roman" w:eastAsia="Times New Roman" w:hAnsi="Times New Roman" w:cs="Times New Roman"/>
                <w:sz w:val="24"/>
                <w:szCs w:val="24"/>
                <w:lang w:val="uk-UA"/>
              </w:rPr>
              <w:t xml:space="preserve">на прийняття виконавчих технічних стандартів за допомогою виконавчих актів </w:t>
            </w:r>
            <w:r w:rsidR="003A1FB4" w:rsidRPr="00BE1959">
              <w:rPr>
                <w:rFonts w:ascii="Times New Roman" w:eastAsia="Times New Roman" w:hAnsi="Times New Roman" w:cs="Times New Roman"/>
                <w:sz w:val="24"/>
                <w:szCs w:val="24"/>
                <w:lang w:val="uk-UA"/>
              </w:rPr>
              <w:t>на виконання статті 291 ДФЄС та згідно зі статтею</w:t>
            </w:r>
            <w:r w:rsidR="005613AB" w:rsidRPr="00BE1959">
              <w:rPr>
                <w:rFonts w:ascii="Times New Roman" w:eastAsia="Times New Roman" w:hAnsi="Times New Roman" w:cs="Times New Roman"/>
                <w:sz w:val="24"/>
                <w:szCs w:val="24"/>
                <w:lang w:val="uk-UA"/>
              </w:rPr>
              <w:t xml:space="preserve"> 15 </w:t>
            </w:r>
            <w:r w:rsidRPr="00BE1959">
              <w:rPr>
                <w:rFonts w:ascii="Times New Roman" w:eastAsia="Times New Roman" w:hAnsi="Times New Roman" w:cs="Times New Roman"/>
                <w:sz w:val="24"/>
                <w:szCs w:val="24"/>
                <w:lang w:val="uk-UA"/>
              </w:rPr>
              <w:t xml:space="preserve">Регламенту </w:t>
            </w:r>
            <w:r w:rsidR="00DB4825" w:rsidRPr="00BE1959">
              <w:rPr>
                <w:rFonts w:ascii="Times New Roman" w:eastAsia="Times New Roman" w:hAnsi="Times New Roman" w:cs="Times New Roman"/>
                <w:sz w:val="24"/>
                <w:szCs w:val="24"/>
                <w:lang w:val="uk-UA"/>
              </w:rPr>
              <w:t>(EU) №</w:t>
            </w:r>
            <w:r w:rsidR="005613AB" w:rsidRPr="00BE1959">
              <w:rPr>
                <w:rFonts w:ascii="Times New Roman" w:eastAsia="Times New Roman" w:hAnsi="Times New Roman" w:cs="Times New Roman"/>
                <w:sz w:val="24"/>
                <w:szCs w:val="24"/>
                <w:lang w:val="uk-UA"/>
              </w:rPr>
              <w:t xml:space="preserve"> 1095/2010. ESMA </w:t>
            </w:r>
            <w:r w:rsidR="003A1FB4" w:rsidRPr="00BE1959">
              <w:rPr>
                <w:rFonts w:ascii="Times New Roman" w:eastAsia="Times New Roman" w:hAnsi="Times New Roman" w:cs="Times New Roman"/>
                <w:sz w:val="24"/>
                <w:szCs w:val="24"/>
                <w:lang w:val="uk-UA"/>
              </w:rPr>
              <w:t>слід доручити розроблення проектів виконавчих технічних стандартів для подання Комісії щодо процедур надання і відхилення запитів інвестиційних фірм на видачу дозволів, щодо придбання</w:t>
            </w:r>
            <w:r w:rsidR="003F24A7" w:rsidRPr="00BE1959">
              <w:rPr>
                <w:rFonts w:ascii="Times New Roman" w:eastAsia="Times New Roman" w:hAnsi="Times New Roman" w:cs="Times New Roman"/>
                <w:sz w:val="24"/>
                <w:szCs w:val="24"/>
                <w:lang w:val="uk-UA"/>
              </w:rPr>
              <w:t xml:space="preserve"> </w:t>
            </w:r>
            <w:r w:rsidR="003F24A7" w:rsidRPr="00BE1959">
              <w:rPr>
                <w:rFonts w:ascii="Times New Roman" w:eastAsia="Times New Roman" w:hAnsi="Times New Roman" w:cs="Times New Roman"/>
                <w:sz w:val="24"/>
                <w:szCs w:val="24"/>
                <w:lang w:val="uk-UA"/>
              </w:rPr>
              <w:lastRenderedPageBreak/>
              <w:t>кваліфікованої частки участі</w:t>
            </w:r>
            <w:r w:rsidR="003A1FB4" w:rsidRPr="00BE1959">
              <w:rPr>
                <w:rFonts w:ascii="Times New Roman" w:eastAsia="Times New Roman" w:hAnsi="Times New Roman" w:cs="Times New Roman"/>
                <w:sz w:val="24"/>
                <w:szCs w:val="24"/>
                <w:lang w:val="uk-UA"/>
              </w:rPr>
              <w:t xml:space="preserve">, </w:t>
            </w:r>
            <w:r w:rsidR="009444F5" w:rsidRPr="00BE1959">
              <w:rPr>
                <w:rFonts w:ascii="Times New Roman" w:eastAsia="Times New Roman" w:hAnsi="Times New Roman" w:cs="Times New Roman"/>
                <w:sz w:val="24"/>
                <w:szCs w:val="24"/>
                <w:lang w:val="uk-UA"/>
              </w:rPr>
              <w:t>щодо процесу оформлення угод на БТМ і ОТМ</w:t>
            </w:r>
            <w:r w:rsidR="003A1FB4" w:rsidRPr="00BE1959">
              <w:rPr>
                <w:rFonts w:ascii="Times New Roman" w:eastAsia="Times New Roman" w:hAnsi="Times New Roman" w:cs="Times New Roman"/>
                <w:sz w:val="24"/>
                <w:szCs w:val="24"/>
                <w:lang w:val="uk-UA"/>
              </w:rPr>
              <w:t xml:space="preserve">, щодо призупинення торгівлі фінансовими інструментами та вилучення фінансових інструментів з торгівлі, щодо свободи надання інвестиційних послуг і ведення інвестиційної діяльності, щодо створення філій, </w:t>
            </w:r>
            <w:r w:rsidR="009444F5" w:rsidRPr="00BE1959">
              <w:rPr>
                <w:rFonts w:ascii="Times New Roman" w:eastAsia="Times New Roman" w:hAnsi="Times New Roman" w:cs="Times New Roman"/>
                <w:sz w:val="24"/>
                <w:szCs w:val="24"/>
                <w:lang w:val="uk-UA"/>
              </w:rPr>
              <w:t xml:space="preserve">щодо звітування про позиції по категоріях власників позицій, </w:t>
            </w:r>
            <w:r w:rsidR="001A48B1" w:rsidRPr="00BE1959">
              <w:rPr>
                <w:rFonts w:ascii="Times New Roman" w:eastAsia="Times New Roman" w:hAnsi="Times New Roman" w:cs="Times New Roman"/>
                <w:sz w:val="24"/>
                <w:szCs w:val="24"/>
                <w:lang w:val="uk-UA"/>
              </w:rPr>
              <w:t xml:space="preserve">щодо процедур надання і відхилення запитів на видачу дозволів, щодо процедур і форм подання інформації стосовно публікування рішень, щодо зобов’язання з співробітництва, щодо </w:t>
            </w:r>
            <w:r w:rsidR="003A1FB4" w:rsidRPr="00BE1959">
              <w:rPr>
                <w:rFonts w:ascii="Times New Roman" w:eastAsia="Times New Roman" w:hAnsi="Times New Roman" w:cs="Times New Roman"/>
                <w:sz w:val="24"/>
                <w:szCs w:val="24"/>
                <w:lang w:val="uk-UA"/>
              </w:rPr>
              <w:t>співробітниц</w:t>
            </w:r>
            <w:r w:rsidR="001A48B1" w:rsidRPr="00BE1959">
              <w:rPr>
                <w:rFonts w:ascii="Times New Roman" w:eastAsia="Times New Roman" w:hAnsi="Times New Roman" w:cs="Times New Roman"/>
                <w:sz w:val="24"/>
                <w:szCs w:val="24"/>
                <w:lang w:val="uk-UA"/>
              </w:rPr>
              <w:t>тва між компетентними органами, щодо обміну інформацію та щодо консультацій перед наданням дозволу інвестиційній фірмі.</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25"/>
        <w:gridCol w:w="884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(159)</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470151" w:rsidP="00470151">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Комісія повинна подати Європейському Парламенту і Раді звіт з оцінкою функціонування ОТМ, функціонування режиму для ринків МСП, що розвиваються, впливу вимог щодо автоматизованої та високочастотної торгівлі, досвіду використання механізму заборони певних продуктів або практик і впливу заходів стосовно ринків товарних деривативів.</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25"/>
        <w:gridCol w:w="884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(160)</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930214" w:rsidP="00A223B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До 1 січня 2018 року Комісія повинна підготувати звіт з оцінкою потенційного впливу на ціни на енергоносії і на функціонування енергетичного ринку закінчення перехідного періоду, передбаченого для застосування зобов’язання щодо клірингу і</w:t>
            </w:r>
            <w:r w:rsidR="00003162" w:rsidRPr="00BE1959">
              <w:rPr>
                <w:rFonts w:ascii="Times New Roman" w:eastAsia="Times New Roman" w:hAnsi="Times New Roman" w:cs="Times New Roman"/>
                <w:sz w:val="24"/>
                <w:szCs w:val="24"/>
                <w:lang w:val="uk-UA"/>
              </w:rPr>
              <w:t xml:space="preserve"> вимог маржування, передбачених</w:t>
            </w:r>
            <w:r w:rsidR="005613AB" w:rsidRPr="00BE1959">
              <w:rPr>
                <w:rFonts w:ascii="Times New Roman" w:eastAsia="Times New Roman" w:hAnsi="Times New Roman" w:cs="Times New Roman"/>
                <w:sz w:val="24"/>
                <w:szCs w:val="24"/>
                <w:lang w:val="uk-UA"/>
              </w:rPr>
              <w:t xml:space="preserve"> </w:t>
            </w:r>
            <w:r w:rsidR="00270867" w:rsidRPr="00BE1959">
              <w:rPr>
                <w:rFonts w:ascii="Times New Roman" w:eastAsia="Times New Roman" w:hAnsi="Times New Roman" w:cs="Times New Roman"/>
                <w:sz w:val="24"/>
                <w:szCs w:val="24"/>
                <w:lang w:val="uk-UA"/>
              </w:rPr>
              <w:t>у Регламенті</w:t>
            </w:r>
            <w:r w:rsidR="005613AB" w:rsidRPr="00BE1959">
              <w:rPr>
                <w:rFonts w:ascii="Times New Roman" w:eastAsia="Times New Roman" w:hAnsi="Times New Roman" w:cs="Times New Roman"/>
                <w:sz w:val="24"/>
                <w:szCs w:val="24"/>
                <w:lang w:val="uk-UA"/>
              </w:rPr>
              <w:t xml:space="preserve"> </w:t>
            </w:r>
            <w:r w:rsidR="00DB4825" w:rsidRPr="00BE1959">
              <w:rPr>
                <w:rFonts w:ascii="Times New Roman" w:eastAsia="Times New Roman" w:hAnsi="Times New Roman" w:cs="Times New Roman"/>
                <w:sz w:val="24"/>
                <w:szCs w:val="24"/>
                <w:lang w:val="uk-UA"/>
              </w:rPr>
              <w:t>(EU) №</w:t>
            </w:r>
            <w:r w:rsidR="005613AB" w:rsidRPr="00BE1959">
              <w:rPr>
                <w:rFonts w:ascii="Times New Roman" w:eastAsia="Times New Roman" w:hAnsi="Times New Roman" w:cs="Times New Roman"/>
                <w:sz w:val="24"/>
                <w:szCs w:val="24"/>
                <w:lang w:val="uk-UA"/>
              </w:rPr>
              <w:t xml:space="preserve"> 648/2012. </w:t>
            </w:r>
            <w:r w:rsidR="00003162" w:rsidRPr="00BE1959">
              <w:rPr>
                <w:rFonts w:ascii="Times New Roman" w:eastAsia="Times New Roman" w:hAnsi="Times New Roman" w:cs="Times New Roman"/>
                <w:sz w:val="24"/>
                <w:szCs w:val="24"/>
                <w:lang w:val="uk-UA"/>
              </w:rPr>
              <w:t>За потреби Комісія повинна подати законодавчу пропозицію щодо прийняття або змінення відповідного закон</w:t>
            </w:r>
            <w:r w:rsidR="00A223BB" w:rsidRPr="00BE1959">
              <w:rPr>
                <w:rFonts w:ascii="Times New Roman" w:eastAsia="Times New Roman" w:hAnsi="Times New Roman" w:cs="Times New Roman"/>
                <w:sz w:val="24"/>
                <w:szCs w:val="24"/>
                <w:lang w:val="uk-UA"/>
              </w:rPr>
              <w:t>одавства</w:t>
            </w:r>
            <w:r w:rsidR="00003162" w:rsidRPr="00BE1959">
              <w:rPr>
                <w:rFonts w:ascii="Times New Roman" w:eastAsia="Times New Roman" w:hAnsi="Times New Roman" w:cs="Times New Roman"/>
                <w:sz w:val="24"/>
                <w:szCs w:val="24"/>
                <w:lang w:val="uk-UA"/>
              </w:rPr>
              <w:t>, зокрема конкретного галузевого законодав</w:t>
            </w:r>
            <w:r w:rsidR="00A223BB" w:rsidRPr="00BE1959">
              <w:rPr>
                <w:rFonts w:ascii="Times New Roman" w:eastAsia="Times New Roman" w:hAnsi="Times New Roman" w:cs="Times New Roman"/>
                <w:sz w:val="24"/>
                <w:szCs w:val="24"/>
                <w:lang w:val="uk-UA"/>
              </w:rPr>
              <w:t>чого акту</w:t>
            </w:r>
            <w:r w:rsidR="00003162" w:rsidRPr="00BE1959">
              <w:rPr>
                <w:rFonts w:ascii="Times New Roman" w:eastAsia="Times New Roman" w:hAnsi="Times New Roman" w:cs="Times New Roman"/>
                <w:sz w:val="24"/>
                <w:szCs w:val="24"/>
                <w:lang w:val="uk-UA"/>
              </w:rPr>
              <w:t>, наприклад</w:t>
            </w:r>
            <w:r w:rsidR="00A223BB" w:rsidRPr="00BE1959">
              <w:rPr>
                <w:rFonts w:ascii="Times New Roman" w:eastAsia="Times New Roman" w:hAnsi="Times New Roman" w:cs="Times New Roman"/>
                <w:sz w:val="24"/>
                <w:szCs w:val="24"/>
                <w:lang w:val="uk-UA"/>
              </w:rPr>
              <w:t>, Регламенту</w:t>
            </w:r>
            <w:r w:rsidR="005613AB" w:rsidRPr="00BE1959">
              <w:rPr>
                <w:rFonts w:ascii="Times New Roman" w:eastAsia="Times New Roman" w:hAnsi="Times New Roman" w:cs="Times New Roman"/>
                <w:sz w:val="24"/>
                <w:szCs w:val="24"/>
                <w:lang w:val="uk-UA"/>
              </w:rPr>
              <w:t xml:space="preserve"> </w:t>
            </w:r>
            <w:r w:rsidR="00DB4825" w:rsidRPr="00BE1959">
              <w:rPr>
                <w:rFonts w:ascii="Times New Roman" w:eastAsia="Times New Roman" w:hAnsi="Times New Roman" w:cs="Times New Roman"/>
                <w:sz w:val="24"/>
                <w:szCs w:val="24"/>
                <w:lang w:val="uk-UA"/>
              </w:rPr>
              <w:t>(EU) №</w:t>
            </w:r>
            <w:r w:rsidR="005613AB" w:rsidRPr="00BE1959">
              <w:rPr>
                <w:rFonts w:ascii="Times New Roman" w:eastAsia="Times New Roman" w:hAnsi="Times New Roman" w:cs="Times New Roman"/>
                <w:sz w:val="24"/>
                <w:szCs w:val="24"/>
                <w:lang w:val="uk-UA"/>
              </w:rPr>
              <w:t> 1227/2011.</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25"/>
        <w:gridCol w:w="884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(161)</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A3661F" w:rsidP="000A2C0C">
            <w:pPr>
              <w:spacing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Директива</w:t>
            </w:r>
            <w:r w:rsidR="005613AB" w:rsidRPr="00BE1959">
              <w:rPr>
                <w:rFonts w:ascii="Times New Roman" w:eastAsia="Times New Roman" w:hAnsi="Times New Roman" w:cs="Times New Roman"/>
                <w:sz w:val="24"/>
                <w:szCs w:val="24"/>
                <w:lang w:val="uk-UA"/>
              </w:rPr>
              <w:t xml:space="preserve"> 2011/61/EU </w:t>
            </w:r>
            <w:r w:rsidR="00423154" w:rsidRPr="00BE1959">
              <w:rPr>
                <w:rFonts w:ascii="Times New Roman" w:eastAsia="Times New Roman" w:hAnsi="Times New Roman" w:cs="Times New Roman"/>
                <w:sz w:val="24"/>
                <w:szCs w:val="24"/>
                <w:lang w:val="uk-UA"/>
              </w:rPr>
              <w:t>Європейського Парламенту та Ради</w:t>
            </w:r>
            <w:hyperlink r:id="rId44" w:anchor="ntr39-L_2014173EN.01034901-E0039" w:history="1">
              <w:r w:rsidR="005613AB" w:rsidRPr="00BE1959">
                <w:rPr>
                  <w:rFonts w:ascii="Times New Roman" w:eastAsia="Times New Roman" w:hAnsi="Times New Roman" w:cs="Times New Roman"/>
                  <w:sz w:val="24"/>
                  <w:szCs w:val="24"/>
                  <w:bdr w:val="none" w:sz="0" w:space="0" w:color="auto" w:frame="1"/>
                  <w:lang w:val="uk-UA"/>
                </w:rPr>
                <w:t> (</w:t>
              </w:r>
              <w:r w:rsidR="005613AB" w:rsidRPr="00BE1959">
                <w:rPr>
                  <w:rFonts w:ascii="Times New Roman" w:eastAsia="Times New Roman" w:hAnsi="Times New Roman" w:cs="Times New Roman"/>
                  <w:sz w:val="24"/>
                  <w:szCs w:val="24"/>
                  <w:bdr w:val="none" w:sz="0" w:space="0" w:color="auto" w:frame="1"/>
                  <w:vertAlign w:val="superscript"/>
                  <w:lang w:val="uk-UA"/>
                </w:rPr>
                <w:t>39</w:t>
              </w:r>
              <w:r w:rsidR="005613AB" w:rsidRPr="00BE1959">
                <w:rPr>
                  <w:rFonts w:ascii="Times New Roman" w:eastAsia="Times New Roman" w:hAnsi="Times New Roman" w:cs="Times New Roman"/>
                  <w:sz w:val="24"/>
                  <w:szCs w:val="24"/>
                  <w:bdr w:val="none" w:sz="0" w:space="0" w:color="auto" w:frame="1"/>
                  <w:lang w:val="uk-UA"/>
                </w:rPr>
                <w:t>)</w:t>
              </w:r>
            </w:hyperlink>
            <w:r w:rsidR="005613AB" w:rsidRPr="00BE1959">
              <w:rPr>
                <w:rFonts w:ascii="Times New Roman" w:eastAsia="Times New Roman" w:hAnsi="Times New Roman" w:cs="Times New Roman"/>
                <w:sz w:val="24"/>
                <w:szCs w:val="24"/>
                <w:lang w:val="uk-UA"/>
              </w:rPr>
              <w:t> </w:t>
            </w:r>
            <w:r w:rsidRPr="00BE1959">
              <w:rPr>
                <w:rFonts w:ascii="Times New Roman" w:eastAsia="Times New Roman" w:hAnsi="Times New Roman" w:cs="Times New Roman"/>
                <w:sz w:val="24"/>
                <w:szCs w:val="24"/>
                <w:lang w:val="uk-UA"/>
              </w:rPr>
              <w:t xml:space="preserve">дозволяє державам-членам </w:t>
            </w:r>
            <w:r w:rsidR="008D50D4" w:rsidRPr="00BE1959">
              <w:rPr>
                <w:rFonts w:ascii="Times New Roman" w:eastAsia="Times New Roman" w:hAnsi="Times New Roman" w:cs="Times New Roman"/>
                <w:sz w:val="24"/>
                <w:szCs w:val="24"/>
                <w:lang w:val="uk-UA"/>
              </w:rPr>
              <w:t>уповноважувати</w:t>
            </w:r>
            <w:r w:rsidRPr="00BE1959">
              <w:rPr>
                <w:rFonts w:ascii="Times New Roman" w:eastAsia="Times New Roman" w:hAnsi="Times New Roman" w:cs="Times New Roman"/>
                <w:sz w:val="24"/>
                <w:szCs w:val="24"/>
                <w:lang w:val="uk-UA"/>
              </w:rPr>
              <w:t xml:space="preserve"> компанії, управляючі альтернативними інвестиційними фондами (</w:t>
            </w:r>
            <w:r w:rsidR="00D73188" w:rsidRPr="00BE1959">
              <w:rPr>
                <w:rFonts w:ascii="Times New Roman" w:eastAsia="Times New Roman" w:hAnsi="Times New Roman" w:cs="Times New Roman"/>
                <w:sz w:val="24"/>
                <w:szCs w:val="24"/>
                <w:lang w:val="uk-UA"/>
              </w:rPr>
              <w:t>К</w:t>
            </w:r>
            <w:r w:rsidRPr="00BE1959">
              <w:rPr>
                <w:rFonts w:ascii="Times New Roman" w:eastAsia="Times New Roman" w:hAnsi="Times New Roman" w:cs="Times New Roman"/>
                <w:sz w:val="24"/>
                <w:szCs w:val="24"/>
                <w:lang w:val="uk-UA"/>
              </w:rPr>
              <w:t>УАІФ)</w:t>
            </w:r>
            <w:r w:rsidR="008D50D4" w:rsidRPr="00BE1959">
              <w:rPr>
                <w:rFonts w:ascii="Times New Roman" w:eastAsia="Times New Roman" w:hAnsi="Times New Roman" w:cs="Times New Roman"/>
                <w:sz w:val="24"/>
                <w:szCs w:val="24"/>
                <w:lang w:val="uk-UA"/>
              </w:rPr>
              <w:t>, на надання певних інвестиційних послуг на додаток до колективного управління альтернативними інвестиційними фондами (АІФ), включаючи послуги з управління портфелями інвестицій, надання інвестиційних пор</w:t>
            </w:r>
            <w:r w:rsidR="0055778A" w:rsidRPr="00BE1959">
              <w:rPr>
                <w:rFonts w:ascii="Times New Roman" w:eastAsia="Times New Roman" w:hAnsi="Times New Roman" w:cs="Times New Roman"/>
                <w:sz w:val="24"/>
                <w:szCs w:val="24"/>
                <w:lang w:val="uk-UA"/>
              </w:rPr>
              <w:t>ад, зберігання і адміністративного</w:t>
            </w:r>
            <w:r w:rsidR="008D50D4" w:rsidRPr="00BE1959">
              <w:rPr>
                <w:rFonts w:ascii="Times New Roman" w:eastAsia="Times New Roman" w:hAnsi="Times New Roman" w:cs="Times New Roman"/>
                <w:sz w:val="24"/>
                <w:szCs w:val="24"/>
                <w:lang w:val="uk-UA"/>
              </w:rPr>
              <w:t xml:space="preserve"> управління акціями або </w:t>
            </w:r>
            <w:r w:rsidR="00591F16" w:rsidRPr="00BE1959">
              <w:rPr>
                <w:rFonts w:ascii="Times New Roman" w:eastAsia="Times New Roman" w:hAnsi="Times New Roman" w:cs="Times New Roman"/>
                <w:sz w:val="24"/>
                <w:szCs w:val="24"/>
                <w:lang w:val="uk-UA"/>
              </w:rPr>
              <w:t>паями організацій колективного інвестування</w:t>
            </w:r>
            <w:r w:rsidR="0055778A" w:rsidRPr="00BE1959">
              <w:rPr>
                <w:rFonts w:ascii="Times New Roman" w:eastAsia="Times New Roman" w:hAnsi="Times New Roman" w:cs="Times New Roman"/>
                <w:sz w:val="24"/>
                <w:szCs w:val="24"/>
                <w:lang w:val="uk-UA"/>
              </w:rPr>
              <w:t>, приймання та передачі замовлень стосовно фінансових інструментів. О</w:t>
            </w:r>
            <w:r w:rsidR="00D95841" w:rsidRPr="00BE1959">
              <w:rPr>
                <w:rFonts w:ascii="Times New Roman" w:eastAsia="Times New Roman" w:hAnsi="Times New Roman" w:cs="Times New Roman"/>
                <w:sz w:val="24"/>
                <w:szCs w:val="24"/>
                <w:lang w:val="uk-UA"/>
              </w:rPr>
              <w:t xml:space="preserve">скільки вимоги, що регламентують надання цих послуг, гармонізовані у межах Союзу, то </w:t>
            </w:r>
            <w:r w:rsidR="00D73188" w:rsidRPr="00BE1959">
              <w:rPr>
                <w:rFonts w:ascii="Times New Roman" w:eastAsia="Times New Roman" w:hAnsi="Times New Roman" w:cs="Times New Roman"/>
                <w:sz w:val="24"/>
                <w:szCs w:val="24"/>
                <w:lang w:val="uk-UA"/>
              </w:rPr>
              <w:t>К</w:t>
            </w:r>
            <w:r w:rsidR="00D95841" w:rsidRPr="00BE1959">
              <w:rPr>
                <w:rFonts w:ascii="Times New Roman" w:eastAsia="Times New Roman" w:hAnsi="Times New Roman" w:cs="Times New Roman"/>
                <w:sz w:val="24"/>
                <w:szCs w:val="24"/>
                <w:lang w:val="uk-UA"/>
              </w:rPr>
              <w:t>УАІФ, уповнова</w:t>
            </w:r>
            <w:r w:rsidR="00497D9B" w:rsidRPr="00BE1959">
              <w:rPr>
                <w:rFonts w:ascii="Times New Roman" w:eastAsia="Times New Roman" w:hAnsi="Times New Roman" w:cs="Times New Roman"/>
                <w:sz w:val="24"/>
                <w:szCs w:val="24"/>
                <w:lang w:val="uk-UA"/>
              </w:rPr>
              <w:t xml:space="preserve">жені </w:t>
            </w:r>
            <w:r w:rsidR="000A2C0C" w:rsidRPr="00BE1959">
              <w:rPr>
                <w:rFonts w:ascii="Times New Roman" w:eastAsia="Times New Roman" w:hAnsi="Times New Roman" w:cs="Times New Roman"/>
                <w:sz w:val="24"/>
                <w:szCs w:val="24"/>
                <w:lang w:val="uk-UA"/>
              </w:rPr>
              <w:t>компетентними органами своїх країн походження на надання цих послуг, не повинні отримувати додаткового дозволу у приймаючих державах-членах і не підпадають під дію жодних інших заходів аналогічного характеру.</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25"/>
        <w:gridCol w:w="884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(162)</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CF1777" w:rsidP="00D73188">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Згідно з чинною правовою базою </w:t>
            </w:r>
            <w:r w:rsidR="00D73188" w:rsidRPr="00BE1959">
              <w:rPr>
                <w:rFonts w:ascii="Times New Roman" w:eastAsia="Times New Roman" w:hAnsi="Times New Roman" w:cs="Times New Roman"/>
                <w:sz w:val="24"/>
                <w:szCs w:val="24"/>
                <w:lang w:val="uk-UA"/>
              </w:rPr>
              <w:t>К</w:t>
            </w:r>
            <w:r w:rsidRPr="00BE1959">
              <w:rPr>
                <w:rFonts w:ascii="Times New Roman" w:eastAsia="Times New Roman" w:hAnsi="Times New Roman" w:cs="Times New Roman"/>
                <w:sz w:val="24"/>
                <w:szCs w:val="24"/>
                <w:lang w:val="uk-UA"/>
              </w:rPr>
              <w:t xml:space="preserve">УАІФ, які уповноважені на надання цих інвестиційних послуг і мають намір надавати їх у інших державах-членах, ніж держава-член їхнього походження, повинні дотримуватися додаткових національних вимог, зокрема щодо створення окремої фізичної особи. Щоб уникнути обставин у транскордонному наданні гармонізованих інвестиційних </w:t>
            </w:r>
            <w:r w:rsidRPr="00BE1959">
              <w:rPr>
                <w:rFonts w:ascii="Times New Roman" w:eastAsia="Times New Roman" w:hAnsi="Times New Roman" w:cs="Times New Roman"/>
                <w:sz w:val="24"/>
                <w:szCs w:val="24"/>
                <w:lang w:val="uk-UA"/>
              </w:rPr>
              <w:lastRenderedPageBreak/>
              <w:t xml:space="preserve">послуг і забезпечити однакові умови роботи для суб’єктів, які надають одні й ті самі інвестиційні послуги відповідно до одних і тих самих юридичних вимог, </w:t>
            </w:r>
            <w:r w:rsidR="00D73188" w:rsidRPr="00BE1959">
              <w:rPr>
                <w:rFonts w:ascii="Times New Roman" w:eastAsia="Times New Roman" w:hAnsi="Times New Roman" w:cs="Times New Roman"/>
                <w:sz w:val="24"/>
                <w:szCs w:val="24"/>
                <w:lang w:val="uk-UA"/>
              </w:rPr>
              <w:t>К</w:t>
            </w:r>
            <w:r w:rsidRPr="00BE1959">
              <w:rPr>
                <w:rFonts w:ascii="Times New Roman" w:eastAsia="Times New Roman" w:hAnsi="Times New Roman" w:cs="Times New Roman"/>
                <w:sz w:val="24"/>
                <w:szCs w:val="24"/>
                <w:lang w:val="uk-UA"/>
              </w:rPr>
              <w:t>УАІФ, уповноважена</w:t>
            </w:r>
            <w:r w:rsidR="00D73188" w:rsidRPr="00BE1959">
              <w:rPr>
                <w:rFonts w:ascii="Times New Roman" w:eastAsia="Times New Roman" w:hAnsi="Times New Roman" w:cs="Times New Roman"/>
                <w:sz w:val="24"/>
                <w:szCs w:val="24"/>
                <w:lang w:val="uk-UA"/>
              </w:rPr>
              <w:t xml:space="preserve"> надавати ці послуги, повинна мати можливість надавати їх на міжнародній основі з дотриманням відповідних вимог щодо повідомлення, згідно з дозволом, виданим компетентними органами держави-члена її походження.</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42"/>
        <w:gridCol w:w="8823"/>
      </w:tblGrid>
      <w:tr w:rsidR="005613AB" w:rsidRPr="0043174D" w:rsidTr="00133247">
        <w:tc>
          <w:tcPr>
            <w:tcW w:w="339"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(163)</w:t>
            </w:r>
          </w:p>
        </w:tc>
        <w:tc>
          <w:tcPr>
            <w:tcW w:w="4661"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133247" w:rsidP="00133247">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Ураховуючи це, слід внести відповідні зміни у Директиву</w:t>
            </w:r>
            <w:r w:rsidR="005613AB" w:rsidRPr="00BE1959">
              <w:rPr>
                <w:rFonts w:ascii="Times New Roman" w:eastAsia="Times New Roman" w:hAnsi="Times New Roman" w:cs="Times New Roman"/>
                <w:sz w:val="24"/>
                <w:szCs w:val="24"/>
                <w:lang w:val="uk-UA"/>
              </w:rPr>
              <w:t xml:space="preserve"> 2011/61/EU.</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25"/>
        <w:gridCol w:w="884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(164)</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0A6073" w:rsidP="001F49E9">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Оскільки ціль цієї директиви, а саме створення інтегрованого фінансового ринку, на якому забезпечено ефективний захист інвесторів</w:t>
            </w:r>
            <w:r w:rsidR="00A3435A" w:rsidRPr="00BE1959">
              <w:rPr>
                <w:rFonts w:ascii="Times New Roman" w:eastAsia="Times New Roman" w:hAnsi="Times New Roman" w:cs="Times New Roman"/>
                <w:sz w:val="24"/>
                <w:szCs w:val="24"/>
                <w:lang w:val="uk-UA"/>
              </w:rPr>
              <w:t xml:space="preserve"> і гарантовано дієвість та цілісність усього ринку, вимагає встановлення загальних регуляторних вимог</w:t>
            </w:r>
            <w:r w:rsidR="00714C40" w:rsidRPr="00BE1959">
              <w:rPr>
                <w:rFonts w:ascii="Times New Roman" w:eastAsia="Times New Roman" w:hAnsi="Times New Roman" w:cs="Times New Roman"/>
                <w:sz w:val="24"/>
                <w:szCs w:val="24"/>
                <w:lang w:val="uk-UA"/>
              </w:rPr>
              <w:t>, які стосуються</w:t>
            </w:r>
            <w:r w:rsidR="00A3435A" w:rsidRPr="00BE1959">
              <w:rPr>
                <w:rFonts w:ascii="Times New Roman" w:eastAsia="Times New Roman" w:hAnsi="Times New Roman" w:cs="Times New Roman"/>
                <w:sz w:val="24"/>
                <w:szCs w:val="24"/>
                <w:lang w:val="uk-UA"/>
              </w:rPr>
              <w:t xml:space="preserve"> інвестиційн</w:t>
            </w:r>
            <w:r w:rsidR="00701B0E" w:rsidRPr="00BE1959">
              <w:rPr>
                <w:rFonts w:ascii="Times New Roman" w:eastAsia="Times New Roman" w:hAnsi="Times New Roman" w:cs="Times New Roman"/>
                <w:sz w:val="24"/>
                <w:szCs w:val="24"/>
                <w:lang w:val="uk-UA"/>
              </w:rPr>
              <w:t xml:space="preserve">их фірм, незалежно від того, де в Союзі вони мають дозвіл, </w:t>
            </w:r>
            <w:r w:rsidR="00714C40" w:rsidRPr="00BE1959">
              <w:rPr>
                <w:rFonts w:ascii="Times New Roman" w:eastAsia="Times New Roman" w:hAnsi="Times New Roman" w:cs="Times New Roman"/>
                <w:sz w:val="24"/>
                <w:szCs w:val="24"/>
                <w:lang w:val="uk-UA"/>
              </w:rPr>
              <w:t xml:space="preserve">та регламентують функціонування регульованих ринків та інших систем торгівлі з тим, щоб запобігти непрозорості або порушень на одному ринку через підривання ефективної роботи фінансової системи Союзу в цілому, не може бути </w:t>
            </w:r>
            <w:r w:rsidR="000D02BB" w:rsidRPr="00BE1959">
              <w:rPr>
                <w:rFonts w:ascii="Times New Roman" w:eastAsia="Times New Roman" w:hAnsi="Times New Roman" w:cs="Times New Roman"/>
                <w:sz w:val="24"/>
                <w:szCs w:val="24"/>
                <w:lang w:val="uk-UA"/>
              </w:rPr>
              <w:t xml:space="preserve">повною мірою досягнута </w:t>
            </w:r>
            <w:r w:rsidR="001A6693" w:rsidRPr="00BE1959">
              <w:rPr>
                <w:rFonts w:ascii="Times New Roman" w:eastAsia="Times New Roman" w:hAnsi="Times New Roman" w:cs="Times New Roman"/>
                <w:sz w:val="24"/>
                <w:szCs w:val="24"/>
                <w:lang w:val="uk-UA"/>
              </w:rPr>
              <w:t>державами-членами окремо, а, враховуючи масштаб і наслідки цієї директиви, краще може бути досягнута на рівні Союзу, то Союз може вживати заходів</w:t>
            </w:r>
            <w:r w:rsidR="001F49E9" w:rsidRPr="00BE1959">
              <w:rPr>
                <w:rFonts w:ascii="Times New Roman" w:eastAsia="Times New Roman" w:hAnsi="Times New Roman" w:cs="Times New Roman"/>
                <w:sz w:val="24"/>
                <w:szCs w:val="24"/>
                <w:lang w:val="uk-UA"/>
              </w:rPr>
              <w:t xml:space="preserve"> згідно з принципом субсидіарності, викладеним у статті 5 Договору про заснування Європейського Союзу. Згідно з принципом пропорційності, викладеним у цій статті, ця директива не виходить за межі того, що необхідно для досягнення цієї цілі.</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25"/>
        <w:gridCol w:w="884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(165)</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BB7DD7" w:rsidP="002547BA">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Ураховуючи збільшення задач, покладених на ESMA цією директивою та Регламентом</w:t>
            </w:r>
            <w:r w:rsidR="005613AB" w:rsidRPr="00BE1959">
              <w:rPr>
                <w:rFonts w:ascii="Times New Roman" w:eastAsia="Times New Roman" w:hAnsi="Times New Roman" w:cs="Times New Roman"/>
                <w:sz w:val="24"/>
                <w:szCs w:val="24"/>
                <w:lang w:val="uk-UA"/>
              </w:rPr>
              <w:t xml:space="preserve"> </w:t>
            </w:r>
            <w:r w:rsidR="007B0149" w:rsidRPr="00BE1959">
              <w:rPr>
                <w:rFonts w:ascii="Times New Roman" w:eastAsia="Times New Roman" w:hAnsi="Times New Roman" w:cs="Times New Roman"/>
                <w:sz w:val="24"/>
                <w:szCs w:val="24"/>
                <w:lang w:val="uk-UA"/>
              </w:rPr>
              <w:t>(EU) № 600/2014</w:t>
            </w:r>
            <w:r w:rsidR="005613AB" w:rsidRPr="00BE1959">
              <w:rPr>
                <w:rFonts w:ascii="Times New Roman" w:eastAsia="Times New Roman" w:hAnsi="Times New Roman" w:cs="Times New Roman"/>
                <w:sz w:val="24"/>
                <w:szCs w:val="24"/>
                <w:lang w:val="uk-UA"/>
              </w:rPr>
              <w:t xml:space="preserve">, </w:t>
            </w:r>
            <w:r w:rsidR="002547BA" w:rsidRPr="00BE1959">
              <w:rPr>
                <w:rFonts w:ascii="Times New Roman" w:eastAsia="Times New Roman" w:hAnsi="Times New Roman" w:cs="Times New Roman"/>
                <w:sz w:val="24"/>
                <w:szCs w:val="24"/>
                <w:lang w:val="uk-UA"/>
              </w:rPr>
              <w:t>Європейський Парламент, Рада і Комісія повинні забезпечити виділення належних кадрових і фінансових ресурсів.</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25"/>
        <w:gridCol w:w="884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(166)</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0E6B4E" w:rsidP="0038760C">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Ця д</w:t>
            </w:r>
            <w:r w:rsidR="002547BA" w:rsidRPr="00BE1959">
              <w:rPr>
                <w:rFonts w:ascii="Times New Roman" w:eastAsia="Times New Roman" w:hAnsi="Times New Roman" w:cs="Times New Roman"/>
                <w:sz w:val="24"/>
                <w:szCs w:val="24"/>
                <w:lang w:val="uk-UA"/>
              </w:rPr>
              <w:t>иректива</w:t>
            </w:r>
            <w:r w:rsidR="000B5755" w:rsidRPr="00BE1959">
              <w:rPr>
                <w:rFonts w:ascii="Times New Roman" w:eastAsia="Times New Roman" w:hAnsi="Times New Roman" w:cs="Times New Roman"/>
                <w:sz w:val="24"/>
                <w:szCs w:val="24"/>
                <w:lang w:val="uk-UA"/>
              </w:rPr>
              <w:t xml:space="preserve"> </w:t>
            </w:r>
            <w:r w:rsidRPr="00BE1959">
              <w:rPr>
                <w:rFonts w:ascii="Times New Roman" w:eastAsia="Times New Roman" w:hAnsi="Times New Roman" w:cs="Times New Roman"/>
                <w:sz w:val="24"/>
                <w:szCs w:val="24"/>
                <w:lang w:val="uk-UA"/>
              </w:rPr>
              <w:t xml:space="preserve">передбачає повагу до основних прав і дотримання принципів, визнаних у Хартії, як-от право на захист персональних даних, свобода ведення </w:t>
            </w:r>
            <w:r w:rsidR="0038760C" w:rsidRPr="00BE1959">
              <w:rPr>
                <w:rFonts w:ascii="Times New Roman" w:eastAsia="Times New Roman" w:hAnsi="Times New Roman" w:cs="Times New Roman"/>
                <w:sz w:val="24"/>
                <w:szCs w:val="24"/>
                <w:lang w:val="uk-UA"/>
              </w:rPr>
              <w:t xml:space="preserve">професійної </w:t>
            </w:r>
            <w:r w:rsidR="00EC2A15" w:rsidRPr="00BE1959">
              <w:rPr>
                <w:rFonts w:ascii="Times New Roman" w:eastAsia="Times New Roman" w:hAnsi="Times New Roman" w:cs="Times New Roman"/>
                <w:sz w:val="24"/>
                <w:szCs w:val="24"/>
                <w:lang w:val="uk-UA"/>
              </w:rPr>
              <w:t xml:space="preserve">діяльності, право на захист </w:t>
            </w:r>
            <w:r w:rsidR="0038760C" w:rsidRPr="00BE1959">
              <w:rPr>
                <w:rFonts w:ascii="Times New Roman" w:eastAsia="Times New Roman" w:hAnsi="Times New Roman" w:cs="Times New Roman"/>
                <w:sz w:val="24"/>
                <w:szCs w:val="24"/>
                <w:lang w:val="uk-UA"/>
              </w:rPr>
              <w:t xml:space="preserve">прав </w:t>
            </w:r>
            <w:r w:rsidR="00EC2A15" w:rsidRPr="00BE1959">
              <w:rPr>
                <w:rFonts w:ascii="Times New Roman" w:eastAsia="Times New Roman" w:hAnsi="Times New Roman" w:cs="Times New Roman"/>
                <w:sz w:val="24"/>
                <w:szCs w:val="24"/>
                <w:lang w:val="uk-UA"/>
              </w:rPr>
              <w:t>споживача, право на ефективний засіб правово</w:t>
            </w:r>
            <w:r w:rsidR="0038760C" w:rsidRPr="00BE1959">
              <w:rPr>
                <w:rFonts w:ascii="Times New Roman" w:eastAsia="Times New Roman" w:hAnsi="Times New Roman" w:cs="Times New Roman"/>
                <w:sz w:val="24"/>
                <w:szCs w:val="24"/>
                <w:lang w:val="uk-UA"/>
              </w:rPr>
              <w:t>го захисту і безпристрасний суд, право не бути повторно засудженим або покараним за один і той самий злочин, і має виконуватися згідно з цими правами та принципами.</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25"/>
        <w:gridCol w:w="884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(167)</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C26DD7" w:rsidP="000335A4">
            <w:pPr>
              <w:spacing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З Європейським </w:t>
            </w:r>
            <w:r w:rsidR="000335A4" w:rsidRPr="00BE1959">
              <w:rPr>
                <w:rFonts w:ascii="Times New Roman" w:eastAsia="Times New Roman" w:hAnsi="Times New Roman" w:cs="Times New Roman"/>
                <w:sz w:val="24"/>
                <w:szCs w:val="24"/>
                <w:lang w:val="uk-UA"/>
              </w:rPr>
              <w:t>інспектором із захисту даних проводилися консультації відповідно до статті</w:t>
            </w:r>
            <w:r w:rsidR="005613AB" w:rsidRPr="00BE1959">
              <w:rPr>
                <w:rFonts w:ascii="Times New Roman" w:eastAsia="Times New Roman" w:hAnsi="Times New Roman" w:cs="Times New Roman"/>
                <w:sz w:val="24"/>
                <w:szCs w:val="24"/>
                <w:lang w:val="uk-UA"/>
              </w:rPr>
              <w:t xml:space="preserve"> 28(2) </w:t>
            </w:r>
            <w:r w:rsidR="008824AE" w:rsidRPr="00BE1959">
              <w:rPr>
                <w:rFonts w:ascii="Times New Roman" w:eastAsia="Times New Roman" w:hAnsi="Times New Roman" w:cs="Times New Roman"/>
                <w:sz w:val="24"/>
                <w:szCs w:val="24"/>
                <w:lang w:val="uk-UA"/>
              </w:rPr>
              <w:t>Регламенту</w:t>
            </w:r>
            <w:r w:rsidR="005613AB" w:rsidRPr="00BE1959">
              <w:rPr>
                <w:rFonts w:ascii="Times New Roman" w:eastAsia="Times New Roman" w:hAnsi="Times New Roman" w:cs="Times New Roman"/>
                <w:sz w:val="24"/>
                <w:szCs w:val="24"/>
                <w:lang w:val="uk-UA"/>
              </w:rPr>
              <w:t xml:space="preserve"> </w:t>
            </w:r>
            <w:r w:rsidR="000D3B79" w:rsidRPr="00BE1959">
              <w:rPr>
                <w:rFonts w:ascii="Times New Roman" w:eastAsia="Times New Roman" w:hAnsi="Times New Roman" w:cs="Times New Roman"/>
                <w:sz w:val="24"/>
                <w:szCs w:val="24"/>
                <w:lang w:val="uk-UA"/>
              </w:rPr>
              <w:t>(EC) №</w:t>
            </w:r>
            <w:r w:rsidR="005613AB" w:rsidRPr="00BE1959">
              <w:rPr>
                <w:rFonts w:ascii="Times New Roman" w:eastAsia="Times New Roman" w:hAnsi="Times New Roman" w:cs="Times New Roman"/>
                <w:sz w:val="24"/>
                <w:szCs w:val="24"/>
                <w:lang w:val="uk-UA"/>
              </w:rPr>
              <w:t> 45/2001</w:t>
            </w:r>
            <w:r w:rsidR="000335A4" w:rsidRPr="00BE1959">
              <w:rPr>
                <w:rFonts w:ascii="Times New Roman" w:eastAsia="Times New Roman" w:hAnsi="Times New Roman" w:cs="Times New Roman"/>
                <w:sz w:val="24"/>
                <w:szCs w:val="24"/>
                <w:lang w:val="uk-UA"/>
              </w:rPr>
              <w:t>, за результатами яких він надав висновок 10 лютого 2012 року</w:t>
            </w:r>
            <w:hyperlink r:id="rId45" w:anchor="ntr40-L_2014173EN.01034901-E0040" w:history="1">
              <w:r w:rsidR="005613AB" w:rsidRPr="00BE1959">
                <w:rPr>
                  <w:rFonts w:ascii="Times New Roman" w:eastAsia="Times New Roman" w:hAnsi="Times New Roman" w:cs="Times New Roman"/>
                  <w:sz w:val="24"/>
                  <w:szCs w:val="24"/>
                  <w:bdr w:val="none" w:sz="0" w:space="0" w:color="auto" w:frame="1"/>
                  <w:lang w:val="uk-UA"/>
                </w:rPr>
                <w:t> (</w:t>
              </w:r>
              <w:r w:rsidR="005613AB" w:rsidRPr="00BE1959">
                <w:rPr>
                  <w:rFonts w:ascii="Times New Roman" w:eastAsia="Times New Roman" w:hAnsi="Times New Roman" w:cs="Times New Roman"/>
                  <w:sz w:val="24"/>
                  <w:szCs w:val="24"/>
                  <w:bdr w:val="none" w:sz="0" w:space="0" w:color="auto" w:frame="1"/>
                  <w:vertAlign w:val="superscript"/>
                  <w:lang w:val="uk-UA"/>
                </w:rPr>
                <w:t>40</w:t>
              </w:r>
              <w:r w:rsidR="005613AB" w:rsidRPr="00BE1959">
                <w:rPr>
                  <w:rFonts w:ascii="Times New Roman" w:eastAsia="Times New Roman" w:hAnsi="Times New Roman" w:cs="Times New Roman"/>
                  <w:sz w:val="24"/>
                  <w:szCs w:val="24"/>
                  <w:bdr w:val="none" w:sz="0" w:space="0" w:color="auto" w:frame="1"/>
                  <w:lang w:val="uk-UA"/>
                </w:rPr>
                <w:t>)</w:t>
              </w:r>
            </w:hyperlink>
            <w:r w:rsidR="005613AB" w:rsidRPr="00BE1959">
              <w:rPr>
                <w:rFonts w:ascii="Times New Roman" w:eastAsia="Times New Roman" w:hAnsi="Times New Roman" w:cs="Times New Roman"/>
                <w:sz w:val="24"/>
                <w:szCs w:val="24"/>
                <w:lang w:val="uk-UA"/>
              </w:rPr>
              <w:t>.</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25"/>
        <w:gridCol w:w="884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(168)</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2B62CF" w:rsidP="00803205">
            <w:pPr>
              <w:spacing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Згідно зі Спільною політичною декларацією держав-членів і Комісії щодо пояснювальних документів від 28 вересня 2011 року</w:t>
            </w:r>
            <w:r w:rsidR="005613AB" w:rsidRPr="00BE1959">
              <w:rPr>
                <w:rFonts w:ascii="Times New Roman" w:eastAsia="Times New Roman" w:hAnsi="Times New Roman" w:cs="Times New Roman"/>
                <w:sz w:val="24"/>
                <w:szCs w:val="24"/>
                <w:lang w:val="uk-UA"/>
              </w:rPr>
              <w:t xml:space="preserve"> 2011</w:t>
            </w:r>
            <w:hyperlink r:id="rId46" w:anchor="ntr41-L_2014173EN.01034901-E0041" w:history="1">
              <w:r w:rsidR="005613AB" w:rsidRPr="00BE1959">
                <w:rPr>
                  <w:rFonts w:ascii="Times New Roman" w:eastAsia="Times New Roman" w:hAnsi="Times New Roman" w:cs="Times New Roman"/>
                  <w:sz w:val="24"/>
                  <w:szCs w:val="24"/>
                  <w:bdr w:val="none" w:sz="0" w:space="0" w:color="auto" w:frame="1"/>
                  <w:lang w:val="uk-UA"/>
                </w:rPr>
                <w:t> (</w:t>
              </w:r>
              <w:r w:rsidR="005613AB" w:rsidRPr="00BE1959">
                <w:rPr>
                  <w:rFonts w:ascii="Times New Roman" w:eastAsia="Times New Roman" w:hAnsi="Times New Roman" w:cs="Times New Roman"/>
                  <w:sz w:val="24"/>
                  <w:szCs w:val="24"/>
                  <w:bdr w:val="none" w:sz="0" w:space="0" w:color="auto" w:frame="1"/>
                  <w:vertAlign w:val="superscript"/>
                  <w:lang w:val="uk-UA"/>
                </w:rPr>
                <w:t>41</w:t>
              </w:r>
              <w:r w:rsidR="005613AB" w:rsidRPr="00BE1959">
                <w:rPr>
                  <w:rFonts w:ascii="Times New Roman" w:eastAsia="Times New Roman" w:hAnsi="Times New Roman" w:cs="Times New Roman"/>
                  <w:sz w:val="24"/>
                  <w:szCs w:val="24"/>
                  <w:bdr w:val="none" w:sz="0" w:space="0" w:color="auto" w:frame="1"/>
                  <w:lang w:val="uk-UA"/>
                </w:rPr>
                <w:t>)</w:t>
              </w:r>
            </w:hyperlink>
            <w:r w:rsidR="005613AB" w:rsidRPr="00BE1959">
              <w:rPr>
                <w:rFonts w:ascii="Times New Roman" w:eastAsia="Times New Roman" w:hAnsi="Times New Roman" w:cs="Times New Roman"/>
                <w:sz w:val="24"/>
                <w:szCs w:val="24"/>
                <w:lang w:val="uk-UA"/>
              </w:rPr>
              <w:t xml:space="preserve">, </w:t>
            </w:r>
            <w:r w:rsidRPr="00BE1959">
              <w:rPr>
                <w:rFonts w:ascii="Times New Roman" w:eastAsia="Times New Roman" w:hAnsi="Times New Roman" w:cs="Times New Roman"/>
                <w:sz w:val="24"/>
                <w:szCs w:val="24"/>
                <w:lang w:val="uk-UA"/>
              </w:rPr>
              <w:t xml:space="preserve">держави-члени зобов’язалися супроводжувати, в обґрунтованих випадках, повідомлення про свої заходи з транспозиції одним або декількома документами з роз’ясненням зв'язку між компонентами директиви та відповідними </w:t>
            </w:r>
            <w:r w:rsidR="00803205" w:rsidRPr="00BE1959">
              <w:rPr>
                <w:rFonts w:ascii="Times New Roman" w:eastAsia="Times New Roman" w:hAnsi="Times New Roman" w:cs="Times New Roman"/>
                <w:sz w:val="24"/>
                <w:szCs w:val="24"/>
                <w:lang w:val="uk-UA"/>
              </w:rPr>
              <w:t xml:space="preserve">частинами національних актів із транспозиції. Що стосується даної директиви, то законодавчий орган вважає </w:t>
            </w:r>
            <w:r w:rsidR="00803205" w:rsidRPr="00BE1959">
              <w:rPr>
                <w:rFonts w:ascii="Times New Roman" w:eastAsia="Times New Roman" w:hAnsi="Times New Roman" w:cs="Times New Roman"/>
                <w:sz w:val="24"/>
                <w:szCs w:val="24"/>
                <w:lang w:val="uk-UA"/>
              </w:rPr>
              <w:lastRenderedPageBreak/>
              <w:t>передачу таких документів обґрунтованою.</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25"/>
        <w:gridCol w:w="884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(169)</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3B16C8" w:rsidP="00843C4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Зобов’язання з транспозиції цієї директиви у національне законодавство слід обмежити тими її положеннями, які становлять істотну зміну порівняно з попередніми директивами. Зобов’язання з транспозиції положень, які не змінилися, випливає </w:t>
            </w:r>
            <w:r w:rsidR="00843C4B" w:rsidRPr="00BE1959">
              <w:rPr>
                <w:rFonts w:ascii="Times New Roman" w:eastAsia="Times New Roman" w:hAnsi="Times New Roman" w:cs="Times New Roman"/>
                <w:sz w:val="24"/>
                <w:szCs w:val="24"/>
                <w:lang w:val="uk-UA"/>
              </w:rPr>
              <w:t>згідно з попередніми директивами.</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25"/>
        <w:gridCol w:w="8840"/>
      </w:tblGrid>
      <w:tr w:rsidR="00DE3173"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(170)</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843C4B" w:rsidP="00A96F10">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Ця директива не повинна обмежувати зобов’язання держав-членів стосовно строків транспозиції у</w:t>
            </w:r>
            <w:r w:rsidR="00A96F10" w:rsidRPr="00BE1959">
              <w:rPr>
                <w:rFonts w:ascii="Times New Roman" w:eastAsia="Times New Roman" w:hAnsi="Times New Roman" w:cs="Times New Roman"/>
                <w:sz w:val="24"/>
                <w:szCs w:val="24"/>
                <w:lang w:val="uk-UA"/>
              </w:rPr>
              <w:t xml:space="preserve"> національне законодавство і термінів застосування директив, визначених у Додатку ІІІ, частина В, </w:t>
            </w:r>
          </w:p>
        </w:tc>
      </w:tr>
    </w:tbl>
    <w:p w:rsidR="005613AB" w:rsidRPr="00BE1959" w:rsidRDefault="008824AE"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ПРИЙНЯЛИ ЦЮ ДИРЕКТИВУ</w:t>
      </w:r>
      <w:r w:rsidR="005613AB" w:rsidRPr="00BE1959">
        <w:rPr>
          <w:rFonts w:ascii="Times New Roman" w:eastAsia="Times New Roman" w:hAnsi="Times New Roman" w:cs="Times New Roman"/>
          <w:sz w:val="24"/>
          <w:szCs w:val="24"/>
          <w:lang w:val="uk-UA"/>
        </w:rPr>
        <w:t>:</w:t>
      </w:r>
    </w:p>
    <w:p w:rsidR="005613AB" w:rsidRPr="00BE1959" w:rsidRDefault="002160FB" w:rsidP="005613AB">
      <w:pPr>
        <w:spacing w:before="480" w:after="0" w:line="312" w:lineRule="atLeast"/>
        <w:jc w:val="center"/>
        <w:textAlignment w:val="baseline"/>
        <w:rPr>
          <w:rFonts w:ascii="Times New Roman" w:eastAsia="Times New Roman" w:hAnsi="Times New Roman" w:cs="Times New Roman"/>
          <w:b/>
          <w:bCs/>
          <w:sz w:val="24"/>
          <w:szCs w:val="24"/>
          <w:lang w:val="uk-UA"/>
        </w:rPr>
      </w:pPr>
      <w:r w:rsidRPr="00BE1959">
        <w:rPr>
          <w:rFonts w:ascii="Times New Roman" w:eastAsia="Times New Roman" w:hAnsi="Times New Roman" w:cs="Times New Roman"/>
          <w:b/>
          <w:bCs/>
          <w:sz w:val="24"/>
          <w:szCs w:val="24"/>
          <w:lang w:val="uk-UA"/>
        </w:rPr>
        <w:t>РОЗДІЛ</w:t>
      </w:r>
      <w:r w:rsidR="005613AB" w:rsidRPr="00BE1959">
        <w:rPr>
          <w:rFonts w:ascii="Times New Roman" w:eastAsia="Times New Roman" w:hAnsi="Times New Roman" w:cs="Times New Roman"/>
          <w:b/>
          <w:bCs/>
          <w:sz w:val="24"/>
          <w:szCs w:val="24"/>
          <w:lang w:val="uk-UA"/>
        </w:rPr>
        <w:t xml:space="preserve"> I</w:t>
      </w:r>
    </w:p>
    <w:p w:rsidR="005613AB" w:rsidRPr="00BE1959" w:rsidRDefault="006F044B" w:rsidP="005613AB">
      <w:pPr>
        <w:spacing w:after="0" w:line="312" w:lineRule="atLeast"/>
        <w:jc w:val="center"/>
        <w:textAlignment w:val="baseline"/>
        <w:rPr>
          <w:rFonts w:ascii="Times New Roman" w:eastAsia="Times New Roman" w:hAnsi="Times New Roman" w:cs="Times New Roman"/>
          <w:b/>
          <w:bCs/>
          <w:sz w:val="24"/>
          <w:szCs w:val="24"/>
          <w:lang w:val="uk-UA"/>
        </w:rPr>
      </w:pPr>
      <w:r w:rsidRPr="00BE1959">
        <w:rPr>
          <w:rFonts w:ascii="Times New Roman" w:eastAsia="Times New Roman" w:hAnsi="Times New Roman" w:cs="Times New Roman"/>
          <w:b/>
          <w:bCs/>
          <w:sz w:val="24"/>
          <w:szCs w:val="24"/>
          <w:bdr w:val="none" w:sz="0" w:space="0" w:color="auto" w:frame="1"/>
          <w:lang w:val="uk-UA"/>
        </w:rPr>
        <w:t>СФЕРА ДІЇ ТА ВИЗНАЧЕННЯ</w:t>
      </w:r>
    </w:p>
    <w:p w:rsidR="005613AB" w:rsidRPr="00BE1959" w:rsidRDefault="00162A11" w:rsidP="005613AB">
      <w:pPr>
        <w:spacing w:before="360" w:after="120" w:line="312" w:lineRule="atLeast"/>
        <w:jc w:val="center"/>
        <w:textAlignment w:val="baseline"/>
        <w:rPr>
          <w:rFonts w:ascii="Times New Roman" w:eastAsia="Times New Roman" w:hAnsi="Times New Roman" w:cs="Times New Roman"/>
          <w:i/>
          <w:iCs/>
          <w:sz w:val="24"/>
          <w:szCs w:val="24"/>
          <w:lang w:val="uk-UA"/>
        </w:rPr>
      </w:pPr>
      <w:r w:rsidRPr="00BE1959">
        <w:rPr>
          <w:rFonts w:ascii="Times New Roman" w:eastAsia="Times New Roman" w:hAnsi="Times New Roman" w:cs="Times New Roman"/>
          <w:i/>
          <w:iCs/>
          <w:sz w:val="24"/>
          <w:szCs w:val="24"/>
          <w:lang w:val="uk-UA"/>
        </w:rPr>
        <w:t>Стаття</w:t>
      </w:r>
      <w:r w:rsidR="005613AB" w:rsidRPr="00BE1959">
        <w:rPr>
          <w:rFonts w:ascii="Times New Roman" w:eastAsia="Times New Roman" w:hAnsi="Times New Roman" w:cs="Times New Roman"/>
          <w:i/>
          <w:iCs/>
          <w:sz w:val="24"/>
          <w:szCs w:val="24"/>
          <w:lang w:val="uk-UA"/>
        </w:rPr>
        <w:t xml:space="preserve"> 1</w:t>
      </w:r>
    </w:p>
    <w:p w:rsidR="005613AB" w:rsidRPr="00BE1959" w:rsidRDefault="006F044B" w:rsidP="005613AB">
      <w:pPr>
        <w:spacing w:before="60" w:after="120" w:line="312" w:lineRule="atLeast"/>
        <w:jc w:val="center"/>
        <w:textAlignment w:val="baseline"/>
        <w:rPr>
          <w:rFonts w:ascii="Times New Roman" w:eastAsia="Times New Roman" w:hAnsi="Times New Roman" w:cs="Times New Roman"/>
          <w:b/>
          <w:bCs/>
          <w:sz w:val="24"/>
          <w:szCs w:val="24"/>
          <w:lang w:val="uk-UA"/>
        </w:rPr>
      </w:pPr>
      <w:r w:rsidRPr="00BE1959">
        <w:rPr>
          <w:rFonts w:ascii="Times New Roman" w:eastAsia="Times New Roman" w:hAnsi="Times New Roman" w:cs="Times New Roman"/>
          <w:b/>
          <w:bCs/>
          <w:sz w:val="24"/>
          <w:szCs w:val="24"/>
          <w:lang w:val="uk-UA"/>
        </w:rPr>
        <w:t>Сфера дії</w:t>
      </w:r>
    </w:p>
    <w:p w:rsidR="005613AB" w:rsidRPr="00BE1959" w:rsidRDefault="005613AB" w:rsidP="00DF322C">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1.   </w:t>
      </w:r>
      <w:r w:rsidR="00D83772" w:rsidRPr="00BE1959">
        <w:rPr>
          <w:rFonts w:ascii="Times New Roman" w:eastAsia="Times New Roman" w:hAnsi="Times New Roman" w:cs="Times New Roman"/>
          <w:sz w:val="24"/>
          <w:szCs w:val="24"/>
          <w:lang w:val="uk-UA"/>
        </w:rPr>
        <w:t xml:space="preserve">Дія цієї директиви поширюється на інвестиційні фірми, операторів ринку, надавачів послуг </w:t>
      </w:r>
      <w:r w:rsidR="00DF322C" w:rsidRPr="00BE1959">
        <w:rPr>
          <w:rFonts w:ascii="Times New Roman" w:eastAsia="Times New Roman" w:hAnsi="Times New Roman" w:cs="Times New Roman"/>
          <w:sz w:val="24"/>
          <w:szCs w:val="24"/>
          <w:lang w:val="uk-UA"/>
        </w:rPr>
        <w:t xml:space="preserve">із </w:t>
      </w:r>
      <w:r w:rsidR="00D16CA4" w:rsidRPr="00BE1959">
        <w:rPr>
          <w:rFonts w:ascii="Times New Roman" w:eastAsia="Times New Roman" w:hAnsi="Times New Roman" w:cs="Times New Roman"/>
          <w:sz w:val="24"/>
          <w:szCs w:val="24"/>
          <w:lang w:val="uk-UA"/>
        </w:rPr>
        <w:t>повідомлення</w:t>
      </w:r>
      <w:r w:rsidR="00DF322C" w:rsidRPr="00BE1959">
        <w:rPr>
          <w:rFonts w:ascii="Times New Roman" w:eastAsia="Times New Roman" w:hAnsi="Times New Roman" w:cs="Times New Roman"/>
          <w:sz w:val="24"/>
          <w:szCs w:val="24"/>
          <w:lang w:val="uk-UA"/>
        </w:rPr>
        <w:t xml:space="preserve"> даних і фірми з третіх країн, що надають інвестиційні послуги або ведуть інвестиційну діяльність шляхом створення філії у Союзі.</w:t>
      </w:r>
    </w:p>
    <w:p w:rsidR="005613AB" w:rsidRPr="00BE1959" w:rsidRDefault="005613AB" w:rsidP="00DF322C">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2.  </w:t>
      </w:r>
      <w:r w:rsidR="00DF322C" w:rsidRPr="00BE1959">
        <w:rPr>
          <w:rFonts w:ascii="Times New Roman" w:eastAsia="Times New Roman" w:hAnsi="Times New Roman" w:cs="Times New Roman"/>
          <w:sz w:val="24"/>
          <w:szCs w:val="24"/>
          <w:lang w:val="uk-UA"/>
        </w:rPr>
        <w:t>Ця директива встановлює вимоги стосовно наступного:</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84"/>
        <w:gridCol w:w="8981"/>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DF322C" w:rsidP="00DF322C">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надання дозволів інвестиційним фірмам і умови їх</w:t>
            </w:r>
            <w:r w:rsidR="00D81963" w:rsidRPr="00BE1959">
              <w:rPr>
                <w:rFonts w:ascii="Times New Roman" w:eastAsia="Times New Roman" w:hAnsi="Times New Roman" w:cs="Times New Roman"/>
                <w:sz w:val="24"/>
                <w:szCs w:val="24"/>
                <w:lang w:val="uk-UA"/>
              </w:rPr>
              <w:t>ньої</w:t>
            </w:r>
            <w:r w:rsidRPr="00BE1959">
              <w:rPr>
                <w:rFonts w:ascii="Times New Roman" w:eastAsia="Times New Roman" w:hAnsi="Times New Roman" w:cs="Times New Roman"/>
                <w:sz w:val="24"/>
                <w:szCs w:val="24"/>
                <w:lang w:val="uk-UA"/>
              </w:rPr>
              <w:t xml:space="preserve"> діяльності;</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D81963" w:rsidP="00D81963">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надання інвестиційних послуг або ведення інвестиційної діяльності фірмами з третіх країн шляхом створення філії;</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2"/>
        <w:gridCol w:w="8963"/>
      </w:tblGrid>
      <w:tr w:rsidR="005613AB" w:rsidRPr="0043174D" w:rsidTr="00942B14">
        <w:tc>
          <w:tcPr>
            <w:tcW w:w="265"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(c)</w:t>
            </w:r>
          </w:p>
        </w:tc>
        <w:tc>
          <w:tcPr>
            <w:tcW w:w="4735"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942B14" w:rsidP="00942B14">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надання дозволів регульованим ринкам і управління ними;</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30"/>
        <w:gridCol w:w="9035"/>
      </w:tblGrid>
      <w:tr w:rsidR="00942B14"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942B14" w:rsidP="00D16CA4">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надання дозволів надавачам послуг із </w:t>
            </w:r>
            <w:r w:rsidR="00D16CA4" w:rsidRPr="00BE1959">
              <w:rPr>
                <w:rFonts w:ascii="Times New Roman" w:eastAsia="Times New Roman" w:hAnsi="Times New Roman" w:cs="Times New Roman"/>
                <w:sz w:val="24"/>
                <w:szCs w:val="24"/>
                <w:lang w:val="uk-UA"/>
              </w:rPr>
              <w:t>повідомлення даних і управління ними;</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04"/>
        <w:gridCol w:w="9061"/>
      </w:tblGrid>
      <w:tr w:rsidR="00DE3173"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(e)</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D16CA4" w:rsidP="00D16CA4">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нагляд, співробітництво і забезпечення виконання з боку компетентних органів.</w:t>
            </w:r>
          </w:p>
        </w:tc>
      </w:tr>
    </w:tbl>
    <w:p w:rsidR="005613AB" w:rsidRPr="00BE1959" w:rsidRDefault="005613AB" w:rsidP="00282F22">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3.   </w:t>
      </w:r>
      <w:r w:rsidR="00777DA4" w:rsidRPr="00BE1959">
        <w:rPr>
          <w:rFonts w:ascii="Times New Roman" w:eastAsia="Times New Roman" w:hAnsi="Times New Roman" w:cs="Times New Roman"/>
          <w:sz w:val="24"/>
          <w:szCs w:val="24"/>
          <w:lang w:val="uk-UA"/>
        </w:rPr>
        <w:t>Нижченаведені положення також поширюються на кредитні установи, уповноважені згідно з Директивою 2013/36/EU, при</w:t>
      </w:r>
      <w:r w:rsidR="00D16CA4" w:rsidRPr="00BE1959">
        <w:rPr>
          <w:rFonts w:ascii="Times New Roman" w:eastAsia="Times New Roman" w:hAnsi="Times New Roman" w:cs="Times New Roman"/>
          <w:sz w:val="24"/>
          <w:szCs w:val="24"/>
          <w:lang w:val="uk-UA"/>
        </w:rPr>
        <w:t xml:space="preserve"> наданні</w:t>
      </w:r>
      <w:r w:rsidR="00282F22" w:rsidRPr="00BE1959">
        <w:rPr>
          <w:rFonts w:ascii="Times New Roman" w:eastAsia="Times New Roman" w:hAnsi="Times New Roman" w:cs="Times New Roman"/>
          <w:sz w:val="24"/>
          <w:szCs w:val="24"/>
          <w:lang w:val="uk-UA"/>
        </w:rPr>
        <w:t xml:space="preserve"> однієї чи декількох інвестиційних послуг і (або) веденні інвестиційної діяльності:</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713"/>
        <w:gridCol w:w="8752"/>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282F22" w:rsidP="00282F22">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с</w:t>
            </w:r>
            <w:r w:rsidR="00162A11" w:rsidRPr="00BE1959">
              <w:rPr>
                <w:rFonts w:ascii="Times New Roman" w:eastAsia="Times New Roman" w:hAnsi="Times New Roman" w:cs="Times New Roman"/>
                <w:sz w:val="24"/>
                <w:szCs w:val="24"/>
                <w:lang w:val="uk-UA"/>
              </w:rPr>
              <w:t>таття</w:t>
            </w:r>
            <w:r w:rsidR="005613AB" w:rsidRPr="00BE1959">
              <w:rPr>
                <w:rFonts w:ascii="Times New Roman" w:eastAsia="Times New Roman" w:hAnsi="Times New Roman" w:cs="Times New Roman"/>
                <w:sz w:val="24"/>
                <w:szCs w:val="24"/>
                <w:lang w:val="uk-UA"/>
              </w:rPr>
              <w:t xml:space="preserve"> 2(2), </w:t>
            </w:r>
            <w:r w:rsidRPr="00BE1959">
              <w:rPr>
                <w:rFonts w:ascii="Times New Roman" w:eastAsia="Times New Roman" w:hAnsi="Times New Roman" w:cs="Times New Roman"/>
                <w:sz w:val="24"/>
                <w:szCs w:val="24"/>
                <w:lang w:val="uk-UA"/>
              </w:rPr>
              <w:t>с</w:t>
            </w:r>
            <w:r w:rsidR="00162A11" w:rsidRPr="00BE1959">
              <w:rPr>
                <w:rFonts w:ascii="Times New Roman" w:eastAsia="Times New Roman" w:hAnsi="Times New Roman" w:cs="Times New Roman"/>
                <w:sz w:val="24"/>
                <w:szCs w:val="24"/>
                <w:lang w:val="uk-UA"/>
              </w:rPr>
              <w:t>таття</w:t>
            </w:r>
            <w:r w:rsidR="005613AB" w:rsidRPr="00BE1959">
              <w:rPr>
                <w:rFonts w:ascii="Times New Roman" w:eastAsia="Times New Roman" w:hAnsi="Times New Roman" w:cs="Times New Roman"/>
                <w:sz w:val="24"/>
                <w:szCs w:val="24"/>
                <w:lang w:val="uk-UA"/>
              </w:rPr>
              <w:t xml:space="preserve"> 9(3) </w:t>
            </w:r>
            <w:r w:rsidRPr="00BE1959">
              <w:rPr>
                <w:rFonts w:ascii="Times New Roman" w:eastAsia="Times New Roman" w:hAnsi="Times New Roman" w:cs="Times New Roman"/>
                <w:sz w:val="24"/>
                <w:szCs w:val="24"/>
                <w:lang w:val="uk-UA"/>
              </w:rPr>
              <w:t>і</w:t>
            </w:r>
            <w:r w:rsidR="005613AB" w:rsidRPr="00BE1959">
              <w:rPr>
                <w:rFonts w:ascii="Times New Roman" w:eastAsia="Times New Roman" w:hAnsi="Times New Roman" w:cs="Times New Roman"/>
                <w:sz w:val="24"/>
                <w:szCs w:val="24"/>
                <w:lang w:val="uk-UA"/>
              </w:rPr>
              <w:t xml:space="preserve"> </w:t>
            </w:r>
            <w:r w:rsidRPr="00BE1959">
              <w:rPr>
                <w:rFonts w:ascii="Times New Roman" w:eastAsia="Times New Roman" w:hAnsi="Times New Roman" w:cs="Times New Roman"/>
                <w:sz w:val="24"/>
                <w:szCs w:val="24"/>
                <w:lang w:val="uk-UA"/>
              </w:rPr>
              <w:t>с</w:t>
            </w:r>
            <w:r w:rsidR="00162A11" w:rsidRPr="00BE1959">
              <w:rPr>
                <w:rFonts w:ascii="Times New Roman" w:eastAsia="Times New Roman" w:hAnsi="Times New Roman" w:cs="Times New Roman"/>
                <w:sz w:val="24"/>
                <w:szCs w:val="24"/>
                <w:lang w:val="uk-UA"/>
              </w:rPr>
              <w:t>таття</w:t>
            </w:r>
            <w:r w:rsidRPr="00BE1959">
              <w:rPr>
                <w:rFonts w:ascii="Times New Roman" w:eastAsia="Times New Roman" w:hAnsi="Times New Roman" w:cs="Times New Roman"/>
                <w:sz w:val="24"/>
                <w:szCs w:val="24"/>
                <w:lang w:val="uk-UA"/>
              </w:rPr>
              <w:t>і</w:t>
            </w:r>
            <w:r w:rsidR="005613AB" w:rsidRPr="00BE1959">
              <w:rPr>
                <w:rFonts w:ascii="Times New Roman" w:eastAsia="Times New Roman" w:hAnsi="Times New Roman" w:cs="Times New Roman"/>
                <w:sz w:val="24"/>
                <w:szCs w:val="24"/>
                <w:lang w:val="uk-UA"/>
              </w:rPr>
              <w:t xml:space="preserve"> 14 </w:t>
            </w:r>
            <w:r w:rsidRPr="00BE1959">
              <w:rPr>
                <w:rFonts w:ascii="Times New Roman" w:eastAsia="Times New Roman" w:hAnsi="Times New Roman" w:cs="Times New Roman"/>
                <w:sz w:val="24"/>
                <w:szCs w:val="24"/>
                <w:lang w:val="uk-UA"/>
              </w:rPr>
              <w:t>та</w:t>
            </w:r>
            <w:r w:rsidR="005613AB" w:rsidRPr="00BE1959">
              <w:rPr>
                <w:rFonts w:ascii="Times New Roman" w:eastAsia="Times New Roman" w:hAnsi="Times New Roman" w:cs="Times New Roman"/>
                <w:sz w:val="24"/>
                <w:szCs w:val="24"/>
                <w:lang w:val="uk-UA"/>
              </w:rPr>
              <w:t xml:space="preserve"> 16</w:t>
            </w:r>
            <w:r w:rsidRPr="00BE1959">
              <w:rPr>
                <w:rFonts w:ascii="Times New Roman" w:eastAsia="Times New Roman" w:hAnsi="Times New Roman" w:cs="Times New Roman"/>
                <w:sz w:val="24"/>
                <w:szCs w:val="24"/>
                <w:lang w:val="uk-UA"/>
              </w:rPr>
              <w:t>-</w:t>
            </w:r>
            <w:r w:rsidR="005613AB" w:rsidRPr="00BE1959">
              <w:rPr>
                <w:rFonts w:ascii="Times New Roman" w:eastAsia="Times New Roman" w:hAnsi="Times New Roman" w:cs="Times New Roman"/>
                <w:sz w:val="24"/>
                <w:szCs w:val="24"/>
                <w:lang w:val="uk-UA"/>
              </w:rPr>
              <w:t>20,</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32"/>
        <w:gridCol w:w="8833"/>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282F22" w:rsidP="00282F22">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глава ІІ розділу ІІ, крім другого абзацу</w:t>
            </w:r>
            <w:r w:rsidR="005613AB" w:rsidRPr="00BE1959">
              <w:rPr>
                <w:rFonts w:ascii="Times New Roman" w:eastAsia="Times New Roman" w:hAnsi="Times New Roman" w:cs="Times New Roman"/>
                <w:sz w:val="24"/>
                <w:szCs w:val="24"/>
                <w:lang w:val="uk-UA"/>
              </w:rPr>
              <w:t xml:space="preserve"> </w:t>
            </w:r>
            <w:r w:rsidR="0065313E" w:rsidRPr="00BE1959">
              <w:rPr>
                <w:rFonts w:ascii="Times New Roman" w:eastAsia="Times New Roman" w:hAnsi="Times New Roman" w:cs="Times New Roman"/>
                <w:sz w:val="24"/>
                <w:szCs w:val="24"/>
                <w:lang w:val="uk-UA"/>
              </w:rPr>
              <w:t>статті</w:t>
            </w:r>
            <w:r w:rsidR="005613AB" w:rsidRPr="00BE1959">
              <w:rPr>
                <w:rFonts w:ascii="Times New Roman" w:eastAsia="Times New Roman" w:hAnsi="Times New Roman" w:cs="Times New Roman"/>
                <w:sz w:val="24"/>
                <w:szCs w:val="24"/>
                <w:lang w:val="uk-UA"/>
              </w:rPr>
              <w:t xml:space="preserve"> 29(2),</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8"/>
        <w:gridCol w:w="8957"/>
      </w:tblGrid>
      <w:tr w:rsidR="00282F22"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282F22" w:rsidP="00282F22">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глава</w:t>
            </w:r>
            <w:r w:rsidR="005613AB" w:rsidRPr="00BE1959">
              <w:rPr>
                <w:rFonts w:ascii="Times New Roman" w:eastAsia="Times New Roman" w:hAnsi="Times New Roman" w:cs="Times New Roman"/>
                <w:sz w:val="24"/>
                <w:szCs w:val="24"/>
                <w:lang w:val="uk-UA"/>
              </w:rPr>
              <w:t xml:space="preserve"> III </w:t>
            </w:r>
            <w:r w:rsidRPr="00BE1959">
              <w:rPr>
                <w:rFonts w:ascii="Times New Roman" w:eastAsia="Times New Roman" w:hAnsi="Times New Roman" w:cs="Times New Roman"/>
                <w:sz w:val="24"/>
                <w:szCs w:val="24"/>
                <w:lang w:val="uk-UA"/>
              </w:rPr>
              <w:t>розділу</w:t>
            </w:r>
            <w:r w:rsidR="005613AB" w:rsidRPr="00BE1959">
              <w:rPr>
                <w:rFonts w:ascii="Times New Roman" w:eastAsia="Times New Roman" w:hAnsi="Times New Roman" w:cs="Times New Roman"/>
                <w:sz w:val="24"/>
                <w:szCs w:val="24"/>
                <w:lang w:val="uk-UA"/>
              </w:rPr>
              <w:t xml:space="preserve"> II</w:t>
            </w:r>
            <w:r w:rsidRPr="00BE1959">
              <w:rPr>
                <w:rFonts w:ascii="Times New Roman" w:eastAsia="Times New Roman" w:hAnsi="Times New Roman" w:cs="Times New Roman"/>
                <w:sz w:val="24"/>
                <w:szCs w:val="24"/>
                <w:lang w:val="uk-UA"/>
              </w:rPr>
              <w:t>, крім статті</w:t>
            </w:r>
            <w:r w:rsidR="005613AB" w:rsidRPr="00BE1959">
              <w:rPr>
                <w:rFonts w:ascii="Times New Roman" w:eastAsia="Times New Roman" w:hAnsi="Times New Roman" w:cs="Times New Roman"/>
                <w:sz w:val="24"/>
                <w:szCs w:val="24"/>
                <w:lang w:val="uk-UA"/>
              </w:rPr>
              <w:t xml:space="preserve"> 34(2)</w:t>
            </w:r>
            <w:r w:rsidRPr="00BE1959">
              <w:rPr>
                <w:rFonts w:ascii="Times New Roman" w:eastAsia="Times New Roman" w:hAnsi="Times New Roman" w:cs="Times New Roman"/>
                <w:sz w:val="24"/>
                <w:szCs w:val="24"/>
                <w:lang w:val="uk-UA"/>
              </w:rPr>
              <w:t>-</w:t>
            </w:r>
            <w:r w:rsidR="005613AB" w:rsidRPr="00BE1959">
              <w:rPr>
                <w:rFonts w:ascii="Times New Roman" w:eastAsia="Times New Roman" w:hAnsi="Times New Roman" w:cs="Times New Roman"/>
                <w:sz w:val="24"/>
                <w:szCs w:val="24"/>
                <w:lang w:val="uk-UA"/>
              </w:rPr>
              <w:t xml:space="preserve">(3) </w:t>
            </w:r>
            <w:r w:rsidRPr="00BE1959">
              <w:rPr>
                <w:rFonts w:ascii="Times New Roman" w:eastAsia="Times New Roman" w:hAnsi="Times New Roman" w:cs="Times New Roman"/>
                <w:sz w:val="24"/>
                <w:szCs w:val="24"/>
                <w:lang w:val="uk-UA"/>
              </w:rPr>
              <w:t>та с</w:t>
            </w:r>
            <w:r w:rsidR="00162A11" w:rsidRPr="00BE1959">
              <w:rPr>
                <w:rFonts w:ascii="Times New Roman" w:eastAsia="Times New Roman" w:hAnsi="Times New Roman" w:cs="Times New Roman"/>
                <w:sz w:val="24"/>
                <w:szCs w:val="24"/>
                <w:lang w:val="uk-UA"/>
              </w:rPr>
              <w:t>татт</w:t>
            </w:r>
            <w:r w:rsidRPr="00BE1959">
              <w:rPr>
                <w:rFonts w:ascii="Times New Roman" w:eastAsia="Times New Roman" w:hAnsi="Times New Roman" w:cs="Times New Roman"/>
                <w:sz w:val="24"/>
                <w:szCs w:val="24"/>
                <w:lang w:val="uk-UA"/>
              </w:rPr>
              <w:t>і</w:t>
            </w:r>
            <w:r w:rsidR="005613AB" w:rsidRPr="00BE1959">
              <w:rPr>
                <w:rFonts w:ascii="Times New Roman" w:eastAsia="Times New Roman" w:hAnsi="Times New Roman" w:cs="Times New Roman"/>
                <w:sz w:val="24"/>
                <w:szCs w:val="24"/>
                <w:lang w:val="uk-UA"/>
              </w:rPr>
              <w:t xml:space="preserve"> 35(2)</w:t>
            </w:r>
            <w:r w:rsidRPr="00BE1959">
              <w:rPr>
                <w:rFonts w:ascii="Times New Roman" w:eastAsia="Times New Roman" w:hAnsi="Times New Roman" w:cs="Times New Roman"/>
                <w:sz w:val="24"/>
                <w:szCs w:val="24"/>
                <w:lang w:val="uk-UA"/>
              </w:rPr>
              <w:t>-</w:t>
            </w:r>
            <w:r w:rsidR="005613AB" w:rsidRPr="00BE1959">
              <w:rPr>
                <w:rFonts w:ascii="Times New Roman" w:eastAsia="Times New Roman" w:hAnsi="Times New Roman" w:cs="Times New Roman"/>
                <w:sz w:val="24"/>
                <w:szCs w:val="24"/>
                <w:lang w:val="uk-UA"/>
              </w:rPr>
              <w:t xml:space="preserve">(6) </w:t>
            </w:r>
            <w:r w:rsidRPr="00BE1959">
              <w:rPr>
                <w:rFonts w:ascii="Times New Roman" w:eastAsia="Times New Roman" w:hAnsi="Times New Roman" w:cs="Times New Roman"/>
                <w:sz w:val="24"/>
                <w:szCs w:val="24"/>
                <w:lang w:val="uk-UA"/>
              </w:rPr>
              <w:t>і</w:t>
            </w:r>
            <w:r w:rsidR="005613AB" w:rsidRPr="00BE1959">
              <w:rPr>
                <w:rFonts w:ascii="Times New Roman" w:eastAsia="Times New Roman" w:hAnsi="Times New Roman" w:cs="Times New Roman"/>
                <w:sz w:val="24"/>
                <w:szCs w:val="24"/>
                <w:lang w:val="uk-UA"/>
              </w:rPr>
              <w:t xml:space="preserve"> (9),</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003"/>
        <w:gridCol w:w="8462"/>
      </w:tblGrid>
      <w:tr w:rsidR="00DE3173" w:rsidRPr="00BE1959"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lastRenderedPageBreak/>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282F22" w:rsidP="00777DA4">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с</w:t>
            </w:r>
            <w:r w:rsidR="00162A11" w:rsidRPr="00BE1959">
              <w:rPr>
                <w:rFonts w:ascii="Times New Roman" w:eastAsia="Times New Roman" w:hAnsi="Times New Roman" w:cs="Times New Roman"/>
                <w:sz w:val="24"/>
                <w:szCs w:val="24"/>
                <w:lang w:val="uk-UA"/>
              </w:rPr>
              <w:t>татт</w:t>
            </w:r>
            <w:r w:rsidRPr="00BE1959">
              <w:rPr>
                <w:rFonts w:ascii="Times New Roman" w:eastAsia="Times New Roman" w:hAnsi="Times New Roman" w:cs="Times New Roman"/>
                <w:sz w:val="24"/>
                <w:szCs w:val="24"/>
                <w:lang w:val="uk-UA"/>
              </w:rPr>
              <w:t>і</w:t>
            </w:r>
            <w:r w:rsidR="005613AB" w:rsidRPr="00BE1959">
              <w:rPr>
                <w:rFonts w:ascii="Times New Roman" w:eastAsia="Times New Roman" w:hAnsi="Times New Roman" w:cs="Times New Roman"/>
                <w:sz w:val="24"/>
                <w:szCs w:val="24"/>
                <w:lang w:val="uk-UA"/>
              </w:rPr>
              <w:t xml:space="preserve"> 67</w:t>
            </w:r>
            <w:r w:rsidR="00777DA4" w:rsidRPr="00BE1959">
              <w:rPr>
                <w:rFonts w:ascii="Times New Roman" w:eastAsia="Times New Roman" w:hAnsi="Times New Roman" w:cs="Times New Roman"/>
                <w:sz w:val="24"/>
                <w:szCs w:val="24"/>
                <w:lang w:val="uk-UA"/>
              </w:rPr>
              <w:t>-</w:t>
            </w:r>
            <w:r w:rsidR="005613AB" w:rsidRPr="00BE1959">
              <w:rPr>
                <w:rFonts w:ascii="Times New Roman" w:eastAsia="Times New Roman" w:hAnsi="Times New Roman" w:cs="Times New Roman"/>
                <w:sz w:val="24"/>
                <w:szCs w:val="24"/>
                <w:lang w:val="uk-UA"/>
              </w:rPr>
              <w:t xml:space="preserve">75 </w:t>
            </w:r>
            <w:r w:rsidR="00777DA4" w:rsidRPr="00BE1959">
              <w:rPr>
                <w:rFonts w:ascii="Times New Roman" w:eastAsia="Times New Roman" w:hAnsi="Times New Roman" w:cs="Times New Roman"/>
                <w:sz w:val="24"/>
                <w:szCs w:val="24"/>
                <w:lang w:val="uk-UA"/>
              </w:rPr>
              <w:t>і статті</w:t>
            </w:r>
            <w:r w:rsidR="005613AB" w:rsidRPr="00BE1959">
              <w:rPr>
                <w:rFonts w:ascii="Times New Roman" w:eastAsia="Times New Roman" w:hAnsi="Times New Roman" w:cs="Times New Roman"/>
                <w:sz w:val="24"/>
                <w:szCs w:val="24"/>
                <w:lang w:val="uk-UA"/>
              </w:rPr>
              <w:t xml:space="preserve"> 80, 85 </w:t>
            </w:r>
            <w:r w:rsidR="00777DA4" w:rsidRPr="00BE1959">
              <w:rPr>
                <w:rFonts w:ascii="Times New Roman" w:eastAsia="Times New Roman" w:hAnsi="Times New Roman" w:cs="Times New Roman"/>
                <w:sz w:val="24"/>
                <w:szCs w:val="24"/>
                <w:lang w:val="uk-UA"/>
              </w:rPr>
              <w:t>і</w:t>
            </w:r>
            <w:r w:rsidR="005613AB" w:rsidRPr="00BE1959">
              <w:rPr>
                <w:rFonts w:ascii="Times New Roman" w:eastAsia="Times New Roman" w:hAnsi="Times New Roman" w:cs="Times New Roman"/>
                <w:sz w:val="24"/>
                <w:szCs w:val="24"/>
                <w:lang w:val="uk-UA"/>
              </w:rPr>
              <w:t xml:space="preserve"> 86.</w:t>
            </w:r>
          </w:p>
        </w:tc>
      </w:tr>
    </w:tbl>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4.   </w:t>
      </w:r>
      <w:r w:rsidR="00777DA4" w:rsidRPr="00BE1959">
        <w:rPr>
          <w:rFonts w:ascii="Times New Roman" w:eastAsia="Times New Roman" w:hAnsi="Times New Roman" w:cs="Times New Roman"/>
          <w:sz w:val="24"/>
          <w:szCs w:val="24"/>
          <w:lang w:val="uk-UA"/>
        </w:rPr>
        <w:t>Нижченаведені положення також поширюються на інвестиційні фірми та кредитні установи, уповноважені згідно з Директивою 2013/36/EU, при продажу або наданні порад клієнтам стосовно структурованих депозитів:</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718"/>
        <w:gridCol w:w="8747"/>
      </w:tblGrid>
      <w:tr w:rsidR="005613AB" w:rsidRPr="00BE1959"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777DA4" w:rsidP="00777DA4">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с</w:t>
            </w:r>
            <w:r w:rsidR="00162A11" w:rsidRPr="00BE1959">
              <w:rPr>
                <w:rFonts w:ascii="Times New Roman" w:eastAsia="Times New Roman" w:hAnsi="Times New Roman" w:cs="Times New Roman"/>
                <w:sz w:val="24"/>
                <w:szCs w:val="24"/>
                <w:lang w:val="uk-UA"/>
              </w:rPr>
              <w:t>таття</w:t>
            </w:r>
            <w:r w:rsidR="005613AB" w:rsidRPr="00BE1959">
              <w:rPr>
                <w:rFonts w:ascii="Times New Roman" w:eastAsia="Times New Roman" w:hAnsi="Times New Roman" w:cs="Times New Roman"/>
                <w:sz w:val="24"/>
                <w:szCs w:val="24"/>
                <w:lang w:val="uk-UA"/>
              </w:rPr>
              <w:t xml:space="preserve"> 9(3), </w:t>
            </w:r>
            <w:r w:rsidRPr="00BE1959">
              <w:rPr>
                <w:rFonts w:ascii="Times New Roman" w:eastAsia="Times New Roman" w:hAnsi="Times New Roman" w:cs="Times New Roman"/>
                <w:sz w:val="24"/>
                <w:szCs w:val="24"/>
                <w:lang w:val="uk-UA"/>
              </w:rPr>
              <w:t>с</w:t>
            </w:r>
            <w:r w:rsidR="00162A11" w:rsidRPr="00BE1959">
              <w:rPr>
                <w:rFonts w:ascii="Times New Roman" w:eastAsia="Times New Roman" w:hAnsi="Times New Roman" w:cs="Times New Roman"/>
                <w:sz w:val="24"/>
                <w:szCs w:val="24"/>
                <w:lang w:val="uk-UA"/>
              </w:rPr>
              <w:t>таття</w:t>
            </w:r>
            <w:r w:rsidR="005613AB" w:rsidRPr="00BE1959">
              <w:rPr>
                <w:rFonts w:ascii="Times New Roman" w:eastAsia="Times New Roman" w:hAnsi="Times New Roman" w:cs="Times New Roman"/>
                <w:sz w:val="24"/>
                <w:szCs w:val="24"/>
                <w:lang w:val="uk-UA"/>
              </w:rPr>
              <w:t xml:space="preserve"> 14, </w:t>
            </w:r>
            <w:r w:rsidRPr="00BE1959">
              <w:rPr>
                <w:rFonts w:ascii="Times New Roman" w:eastAsia="Times New Roman" w:hAnsi="Times New Roman" w:cs="Times New Roman"/>
                <w:sz w:val="24"/>
                <w:szCs w:val="24"/>
                <w:lang w:val="uk-UA"/>
              </w:rPr>
              <w:t>с</w:t>
            </w:r>
            <w:r w:rsidR="00162A11" w:rsidRPr="00BE1959">
              <w:rPr>
                <w:rFonts w:ascii="Times New Roman" w:eastAsia="Times New Roman" w:hAnsi="Times New Roman" w:cs="Times New Roman"/>
                <w:sz w:val="24"/>
                <w:szCs w:val="24"/>
                <w:lang w:val="uk-UA"/>
              </w:rPr>
              <w:t>таття</w:t>
            </w:r>
            <w:r w:rsidR="005613AB" w:rsidRPr="00BE1959">
              <w:rPr>
                <w:rFonts w:ascii="Times New Roman" w:eastAsia="Times New Roman" w:hAnsi="Times New Roman" w:cs="Times New Roman"/>
                <w:sz w:val="24"/>
                <w:szCs w:val="24"/>
                <w:lang w:val="uk-UA"/>
              </w:rPr>
              <w:t xml:space="preserve"> 16(2), (3) </w:t>
            </w:r>
            <w:r w:rsidRPr="00BE1959">
              <w:rPr>
                <w:rFonts w:ascii="Times New Roman" w:eastAsia="Times New Roman" w:hAnsi="Times New Roman" w:cs="Times New Roman"/>
                <w:sz w:val="24"/>
                <w:szCs w:val="24"/>
                <w:lang w:val="uk-UA"/>
              </w:rPr>
              <w:t>і</w:t>
            </w:r>
            <w:r w:rsidR="005613AB" w:rsidRPr="00BE1959">
              <w:rPr>
                <w:rFonts w:ascii="Times New Roman" w:eastAsia="Times New Roman" w:hAnsi="Times New Roman" w:cs="Times New Roman"/>
                <w:sz w:val="24"/>
                <w:szCs w:val="24"/>
                <w:lang w:val="uk-UA"/>
              </w:rPr>
              <w:t xml:space="preserve"> (6);</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00"/>
        <w:gridCol w:w="9065"/>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777DA4" w:rsidP="005B7CF4">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с</w:t>
            </w:r>
            <w:r w:rsidR="00162A11" w:rsidRPr="00BE1959">
              <w:rPr>
                <w:rFonts w:ascii="Times New Roman" w:eastAsia="Times New Roman" w:hAnsi="Times New Roman" w:cs="Times New Roman"/>
                <w:sz w:val="24"/>
                <w:szCs w:val="24"/>
                <w:lang w:val="uk-UA"/>
              </w:rPr>
              <w:t>татт</w:t>
            </w:r>
            <w:r w:rsidRPr="00BE1959">
              <w:rPr>
                <w:rFonts w:ascii="Times New Roman" w:eastAsia="Times New Roman" w:hAnsi="Times New Roman" w:cs="Times New Roman"/>
                <w:sz w:val="24"/>
                <w:szCs w:val="24"/>
                <w:lang w:val="uk-UA"/>
              </w:rPr>
              <w:t>і</w:t>
            </w:r>
            <w:r w:rsidR="005613AB" w:rsidRPr="00BE1959">
              <w:rPr>
                <w:rFonts w:ascii="Times New Roman" w:eastAsia="Times New Roman" w:hAnsi="Times New Roman" w:cs="Times New Roman"/>
                <w:sz w:val="24"/>
                <w:szCs w:val="24"/>
                <w:lang w:val="uk-UA"/>
              </w:rPr>
              <w:t xml:space="preserve"> 23</w:t>
            </w:r>
            <w:r w:rsidRPr="00BE1959">
              <w:rPr>
                <w:rFonts w:ascii="Times New Roman" w:eastAsia="Times New Roman" w:hAnsi="Times New Roman" w:cs="Times New Roman"/>
                <w:sz w:val="24"/>
                <w:szCs w:val="24"/>
                <w:lang w:val="uk-UA"/>
              </w:rPr>
              <w:t>-</w:t>
            </w:r>
            <w:r w:rsidR="005613AB" w:rsidRPr="00BE1959">
              <w:rPr>
                <w:rFonts w:ascii="Times New Roman" w:eastAsia="Times New Roman" w:hAnsi="Times New Roman" w:cs="Times New Roman"/>
                <w:sz w:val="24"/>
                <w:szCs w:val="24"/>
                <w:lang w:val="uk-UA"/>
              </w:rPr>
              <w:t xml:space="preserve">26, </w:t>
            </w:r>
            <w:r w:rsidRPr="00BE1959">
              <w:rPr>
                <w:rFonts w:ascii="Times New Roman" w:eastAsia="Times New Roman" w:hAnsi="Times New Roman" w:cs="Times New Roman"/>
                <w:sz w:val="24"/>
                <w:szCs w:val="24"/>
                <w:lang w:val="uk-UA"/>
              </w:rPr>
              <w:t>с</w:t>
            </w:r>
            <w:r w:rsidR="00162A11" w:rsidRPr="00BE1959">
              <w:rPr>
                <w:rFonts w:ascii="Times New Roman" w:eastAsia="Times New Roman" w:hAnsi="Times New Roman" w:cs="Times New Roman"/>
                <w:sz w:val="24"/>
                <w:szCs w:val="24"/>
                <w:lang w:val="uk-UA"/>
              </w:rPr>
              <w:t>татт</w:t>
            </w:r>
            <w:r w:rsidR="005B7CF4" w:rsidRPr="00BE1959">
              <w:rPr>
                <w:rFonts w:ascii="Times New Roman" w:eastAsia="Times New Roman" w:hAnsi="Times New Roman" w:cs="Times New Roman"/>
                <w:sz w:val="24"/>
                <w:szCs w:val="24"/>
                <w:lang w:val="uk-UA"/>
              </w:rPr>
              <w:t>я</w:t>
            </w:r>
            <w:r w:rsidR="005613AB" w:rsidRPr="00BE1959">
              <w:rPr>
                <w:rFonts w:ascii="Times New Roman" w:eastAsia="Times New Roman" w:hAnsi="Times New Roman" w:cs="Times New Roman"/>
                <w:sz w:val="24"/>
                <w:szCs w:val="24"/>
                <w:lang w:val="uk-UA"/>
              </w:rPr>
              <w:t xml:space="preserve"> 28 </w:t>
            </w:r>
            <w:r w:rsidR="005B7CF4" w:rsidRPr="00BE1959">
              <w:rPr>
                <w:rFonts w:ascii="Times New Roman" w:eastAsia="Times New Roman" w:hAnsi="Times New Roman" w:cs="Times New Roman"/>
                <w:sz w:val="24"/>
                <w:szCs w:val="24"/>
                <w:lang w:val="uk-UA"/>
              </w:rPr>
              <w:t>та с</w:t>
            </w:r>
            <w:r w:rsidR="00162A11" w:rsidRPr="00BE1959">
              <w:rPr>
                <w:rFonts w:ascii="Times New Roman" w:eastAsia="Times New Roman" w:hAnsi="Times New Roman" w:cs="Times New Roman"/>
                <w:sz w:val="24"/>
                <w:szCs w:val="24"/>
                <w:lang w:val="uk-UA"/>
              </w:rPr>
              <w:t>таття</w:t>
            </w:r>
            <w:r w:rsidR="005613AB" w:rsidRPr="00BE1959">
              <w:rPr>
                <w:rFonts w:ascii="Times New Roman" w:eastAsia="Times New Roman" w:hAnsi="Times New Roman" w:cs="Times New Roman"/>
                <w:sz w:val="24"/>
                <w:szCs w:val="24"/>
                <w:lang w:val="uk-UA"/>
              </w:rPr>
              <w:t xml:space="preserve"> 29, </w:t>
            </w:r>
            <w:r w:rsidR="005B7CF4" w:rsidRPr="00BE1959">
              <w:rPr>
                <w:rFonts w:ascii="Times New Roman" w:eastAsia="Times New Roman" w:hAnsi="Times New Roman" w:cs="Times New Roman"/>
                <w:sz w:val="24"/>
                <w:szCs w:val="24"/>
                <w:lang w:val="uk-UA"/>
              </w:rPr>
              <w:t>крім другого абзацу п. 2 цієї статті, та стаття 30;</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2"/>
        <w:gridCol w:w="8963"/>
      </w:tblGrid>
      <w:tr w:rsidR="00DE3173" w:rsidRPr="00BE1959" w:rsidTr="005B7CF4">
        <w:tc>
          <w:tcPr>
            <w:tcW w:w="265"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(c)</w:t>
            </w:r>
          </w:p>
        </w:tc>
        <w:tc>
          <w:tcPr>
            <w:tcW w:w="4735"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B7CF4" w:rsidP="005B7CF4">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с</w:t>
            </w:r>
            <w:r w:rsidR="00162A11" w:rsidRPr="00BE1959">
              <w:rPr>
                <w:rFonts w:ascii="Times New Roman" w:eastAsia="Times New Roman" w:hAnsi="Times New Roman" w:cs="Times New Roman"/>
                <w:sz w:val="24"/>
                <w:szCs w:val="24"/>
                <w:lang w:val="uk-UA"/>
              </w:rPr>
              <w:t>татт</w:t>
            </w:r>
            <w:r w:rsidRPr="00BE1959">
              <w:rPr>
                <w:rFonts w:ascii="Times New Roman" w:eastAsia="Times New Roman" w:hAnsi="Times New Roman" w:cs="Times New Roman"/>
                <w:sz w:val="24"/>
                <w:szCs w:val="24"/>
                <w:lang w:val="uk-UA"/>
              </w:rPr>
              <w:t>і</w:t>
            </w:r>
            <w:r w:rsidR="005613AB" w:rsidRPr="00BE1959">
              <w:rPr>
                <w:rFonts w:ascii="Times New Roman" w:eastAsia="Times New Roman" w:hAnsi="Times New Roman" w:cs="Times New Roman"/>
                <w:sz w:val="24"/>
                <w:szCs w:val="24"/>
                <w:lang w:val="uk-UA"/>
              </w:rPr>
              <w:t xml:space="preserve"> 67</w:t>
            </w:r>
            <w:r w:rsidRPr="00BE1959">
              <w:rPr>
                <w:rFonts w:ascii="Times New Roman" w:eastAsia="Times New Roman" w:hAnsi="Times New Roman" w:cs="Times New Roman"/>
                <w:sz w:val="24"/>
                <w:szCs w:val="24"/>
                <w:lang w:val="uk-UA"/>
              </w:rPr>
              <w:t>-</w:t>
            </w:r>
            <w:r w:rsidR="005613AB" w:rsidRPr="00BE1959">
              <w:rPr>
                <w:rFonts w:ascii="Times New Roman" w:eastAsia="Times New Roman" w:hAnsi="Times New Roman" w:cs="Times New Roman"/>
                <w:sz w:val="24"/>
                <w:szCs w:val="24"/>
                <w:lang w:val="uk-UA"/>
              </w:rPr>
              <w:t>75.</w:t>
            </w:r>
          </w:p>
        </w:tc>
      </w:tr>
    </w:tbl>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5.   </w:t>
      </w:r>
      <w:r w:rsidR="00AC4E5E" w:rsidRPr="00BE1959">
        <w:rPr>
          <w:rFonts w:ascii="Times New Roman" w:eastAsia="Times New Roman" w:hAnsi="Times New Roman" w:cs="Times New Roman"/>
          <w:sz w:val="24"/>
          <w:szCs w:val="24"/>
          <w:lang w:val="uk-UA"/>
        </w:rPr>
        <w:t>Пункти (1)-(6) статті 17 також поширюються на членів або учасників регульованих ринків і БТМ, які не зобов’язані отримувати дозвіл за цією директивою відповідно до пп.</w:t>
      </w:r>
      <w:r w:rsidRPr="00BE1959">
        <w:rPr>
          <w:rFonts w:ascii="Times New Roman" w:eastAsia="Times New Roman" w:hAnsi="Times New Roman" w:cs="Times New Roman"/>
          <w:sz w:val="24"/>
          <w:szCs w:val="24"/>
          <w:lang w:val="uk-UA"/>
        </w:rPr>
        <w:t xml:space="preserve"> (a), (e), (i) </w:t>
      </w:r>
      <w:r w:rsidR="00AC4E5E" w:rsidRPr="00BE1959">
        <w:rPr>
          <w:rFonts w:ascii="Times New Roman" w:eastAsia="Times New Roman" w:hAnsi="Times New Roman" w:cs="Times New Roman"/>
          <w:sz w:val="24"/>
          <w:szCs w:val="24"/>
          <w:lang w:val="uk-UA"/>
        </w:rPr>
        <w:t>та</w:t>
      </w:r>
      <w:r w:rsidRPr="00BE1959">
        <w:rPr>
          <w:rFonts w:ascii="Times New Roman" w:eastAsia="Times New Roman" w:hAnsi="Times New Roman" w:cs="Times New Roman"/>
          <w:sz w:val="24"/>
          <w:szCs w:val="24"/>
          <w:lang w:val="uk-UA"/>
        </w:rPr>
        <w:t xml:space="preserve"> (j) </w:t>
      </w:r>
      <w:r w:rsidR="0065313E" w:rsidRPr="00BE1959">
        <w:rPr>
          <w:rFonts w:ascii="Times New Roman" w:eastAsia="Times New Roman" w:hAnsi="Times New Roman" w:cs="Times New Roman"/>
          <w:sz w:val="24"/>
          <w:szCs w:val="24"/>
          <w:lang w:val="uk-UA"/>
        </w:rPr>
        <w:t>статті</w:t>
      </w:r>
      <w:r w:rsidRPr="00BE1959">
        <w:rPr>
          <w:rFonts w:ascii="Times New Roman" w:eastAsia="Times New Roman" w:hAnsi="Times New Roman" w:cs="Times New Roman"/>
          <w:sz w:val="24"/>
          <w:szCs w:val="24"/>
          <w:lang w:val="uk-UA"/>
        </w:rPr>
        <w:t xml:space="preserve"> 2(1).</w:t>
      </w:r>
    </w:p>
    <w:p w:rsidR="005613AB" w:rsidRPr="00BE1959" w:rsidRDefault="005613AB" w:rsidP="004761F0">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6.   </w:t>
      </w:r>
      <w:r w:rsidR="00162A11" w:rsidRPr="00BE1959">
        <w:rPr>
          <w:rFonts w:ascii="Times New Roman" w:eastAsia="Times New Roman" w:hAnsi="Times New Roman" w:cs="Times New Roman"/>
          <w:sz w:val="24"/>
          <w:szCs w:val="24"/>
          <w:lang w:val="uk-UA"/>
        </w:rPr>
        <w:t>Статт</w:t>
      </w:r>
      <w:r w:rsidR="00AC4E5E" w:rsidRPr="00BE1959">
        <w:rPr>
          <w:rFonts w:ascii="Times New Roman" w:eastAsia="Times New Roman" w:hAnsi="Times New Roman" w:cs="Times New Roman"/>
          <w:sz w:val="24"/>
          <w:szCs w:val="24"/>
          <w:lang w:val="uk-UA"/>
        </w:rPr>
        <w:t>і</w:t>
      </w:r>
      <w:r w:rsidRPr="00BE1959">
        <w:rPr>
          <w:rFonts w:ascii="Times New Roman" w:eastAsia="Times New Roman" w:hAnsi="Times New Roman" w:cs="Times New Roman"/>
          <w:sz w:val="24"/>
          <w:szCs w:val="24"/>
          <w:lang w:val="uk-UA"/>
        </w:rPr>
        <w:t xml:space="preserve"> 57 </w:t>
      </w:r>
      <w:r w:rsidR="00AC4E5E" w:rsidRPr="00BE1959">
        <w:rPr>
          <w:rFonts w:ascii="Times New Roman" w:eastAsia="Times New Roman" w:hAnsi="Times New Roman" w:cs="Times New Roman"/>
          <w:sz w:val="24"/>
          <w:szCs w:val="24"/>
          <w:lang w:val="uk-UA"/>
        </w:rPr>
        <w:t>і</w:t>
      </w:r>
      <w:r w:rsidRPr="00BE1959">
        <w:rPr>
          <w:rFonts w:ascii="Times New Roman" w:eastAsia="Times New Roman" w:hAnsi="Times New Roman" w:cs="Times New Roman"/>
          <w:sz w:val="24"/>
          <w:szCs w:val="24"/>
          <w:lang w:val="uk-UA"/>
        </w:rPr>
        <w:t xml:space="preserve"> 58 </w:t>
      </w:r>
      <w:r w:rsidR="00AC4E5E" w:rsidRPr="00BE1959">
        <w:rPr>
          <w:rFonts w:ascii="Times New Roman" w:eastAsia="Times New Roman" w:hAnsi="Times New Roman" w:cs="Times New Roman"/>
          <w:sz w:val="24"/>
          <w:szCs w:val="24"/>
          <w:lang w:val="uk-UA"/>
        </w:rPr>
        <w:t xml:space="preserve">також застосовуються до осіб, звільнених </w:t>
      </w:r>
      <w:r w:rsidR="004761F0" w:rsidRPr="00BE1959">
        <w:rPr>
          <w:rFonts w:ascii="Times New Roman" w:eastAsia="Times New Roman" w:hAnsi="Times New Roman" w:cs="Times New Roman"/>
          <w:sz w:val="24"/>
          <w:szCs w:val="24"/>
          <w:lang w:val="uk-UA"/>
        </w:rPr>
        <w:t>від дії директиви згідно зі статтею 2.</w:t>
      </w:r>
    </w:p>
    <w:p w:rsidR="005613AB" w:rsidRPr="00BE1959" w:rsidRDefault="005613AB" w:rsidP="00C77F65">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7.   </w:t>
      </w:r>
      <w:r w:rsidR="00C77F65" w:rsidRPr="00BE1959">
        <w:rPr>
          <w:rFonts w:ascii="Times New Roman" w:eastAsia="Times New Roman" w:hAnsi="Times New Roman" w:cs="Times New Roman"/>
          <w:sz w:val="24"/>
          <w:szCs w:val="24"/>
          <w:lang w:val="uk-UA"/>
        </w:rPr>
        <w:t>Усі багатосторонні системи фінансових інструментів діють або відповідно до положень розділу ІІ стосовно БТМ чи ОТМ, або до положень розділу ІІІ стосовно регульованих ринків.</w:t>
      </w:r>
    </w:p>
    <w:p w:rsidR="005613AB" w:rsidRPr="00BE1959" w:rsidRDefault="00C77F65" w:rsidP="00CC31AC">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Усі інвестиційні фірми, які ведуть торгівлю за власний рахунок на організованій, частій, систематичній та істотній основі, виконуючи замовлення клієнтів поза р</w:t>
      </w:r>
      <w:r w:rsidR="00CC31AC" w:rsidRPr="00BE1959">
        <w:rPr>
          <w:rFonts w:ascii="Times New Roman" w:eastAsia="Times New Roman" w:hAnsi="Times New Roman" w:cs="Times New Roman"/>
          <w:sz w:val="24"/>
          <w:szCs w:val="24"/>
          <w:lang w:val="uk-UA"/>
        </w:rPr>
        <w:t>егульованим ринком, БТМ або ОТМ, діють відповідно до розділу ІІІ</w:t>
      </w:r>
      <w:r w:rsidR="005613AB" w:rsidRPr="00BE1959">
        <w:rPr>
          <w:rFonts w:ascii="Times New Roman" w:eastAsia="Times New Roman" w:hAnsi="Times New Roman" w:cs="Times New Roman"/>
          <w:sz w:val="24"/>
          <w:szCs w:val="24"/>
          <w:lang w:val="uk-UA"/>
        </w:rPr>
        <w:t xml:space="preserve"> </w:t>
      </w:r>
      <w:r w:rsidR="008824AE" w:rsidRPr="00BE1959">
        <w:rPr>
          <w:rFonts w:ascii="Times New Roman" w:eastAsia="Times New Roman" w:hAnsi="Times New Roman" w:cs="Times New Roman"/>
          <w:sz w:val="24"/>
          <w:szCs w:val="24"/>
          <w:lang w:val="uk-UA"/>
        </w:rPr>
        <w:t>Регламенту</w:t>
      </w:r>
      <w:r w:rsidR="005613AB" w:rsidRPr="00BE1959">
        <w:rPr>
          <w:rFonts w:ascii="Times New Roman" w:eastAsia="Times New Roman" w:hAnsi="Times New Roman" w:cs="Times New Roman"/>
          <w:sz w:val="24"/>
          <w:szCs w:val="24"/>
          <w:lang w:val="uk-UA"/>
        </w:rPr>
        <w:t xml:space="preserve"> </w:t>
      </w:r>
      <w:r w:rsidR="007B0149" w:rsidRPr="00BE1959">
        <w:rPr>
          <w:rFonts w:ascii="Times New Roman" w:eastAsia="Times New Roman" w:hAnsi="Times New Roman" w:cs="Times New Roman"/>
          <w:sz w:val="24"/>
          <w:szCs w:val="24"/>
          <w:lang w:val="uk-UA"/>
        </w:rPr>
        <w:t>(EU) № 600/2014</w:t>
      </w:r>
      <w:r w:rsidR="005613AB" w:rsidRPr="00BE1959">
        <w:rPr>
          <w:rFonts w:ascii="Times New Roman" w:eastAsia="Times New Roman" w:hAnsi="Times New Roman" w:cs="Times New Roman"/>
          <w:sz w:val="24"/>
          <w:szCs w:val="24"/>
          <w:lang w:val="uk-UA"/>
        </w:rPr>
        <w:t>.</w:t>
      </w:r>
    </w:p>
    <w:p w:rsidR="005613AB" w:rsidRPr="00BE1959" w:rsidRDefault="00CC31AC"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Без шкоди для статей 23 та 28</w:t>
      </w:r>
      <w:r w:rsidR="005613AB" w:rsidRPr="00BE1959">
        <w:rPr>
          <w:rFonts w:ascii="Times New Roman" w:eastAsia="Times New Roman" w:hAnsi="Times New Roman" w:cs="Times New Roman"/>
          <w:sz w:val="24"/>
          <w:szCs w:val="24"/>
          <w:lang w:val="uk-UA"/>
        </w:rPr>
        <w:t xml:space="preserve"> </w:t>
      </w:r>
      <w:r w:rsidR="008824AE" w:rsidRPr="00BE1959">
        <w:rPr>
          <w:rFonts w:ascii="Times New Roman" w:eastAsia="Times New Roman" w:hAnsi="Times New Roman" w:cs="Times New Roman"/>
          <w:sz w:val="24"/>
          <w:szCs w:val="24"/>
          <w:lang w:val="uk-UA"/>
        </w:rPr>
        <w:t>Регламенту</w:t>
      </w:r>
      <w:r w:rsidR="005613AB" w:rsidRPr="00BE1959">
        <w:rPr>
          <w:rFonts w:ascii="Times New Roman" w:eastAsia="Times New Roman" w:hAnsi="Times New Roman" w:cs="Times New Roman"/>
          <w:sz w:val="24"/>
          <w:szCs w:val="24"/>
          <w:lang w:val="uk-UA"/>
        </w:rPr>
        <w:t xml:space="preserve"> </w:t>
      </w:r>
      <w:r w:rsidR="007B0149" w:rsidRPr="00BE1959">
        <w:rPr>
          <w:rFonts w:ascii="Times New Roman" w:eastAsia="Times New Roman" w:hAnsi="Times New Roman" w:cs="Times New Roman"/>
          <w:sz w:val="24"/>
          <w:szCs w:val="24"/>
          <w:lang w:val="uk-UA"/>
        </w:rPr>
        <w:t>(EU) № 600/2014</w:t>
      </w:r>
      <w:r w:rsidRPr="00BE1959">
        <w:rPr>
          <w:rFonts w:ascii="Times New Roman" w:eastAsia="Times New Roman" w:hAnsi="Times New Roman" w:cs="Times New Roman"/>
          <w:sz w:val="24"/>
          <w:szCs w:val="24"/>
          <w:lang w:val="uk-UA"/>
        </w:rPr>
        <w:t xml:space="preserve"> усі угоди щодо фінансових інструментів, згадані у першому та другому абзацах, які не укладаються у багатосторонніх системах або у систематичних учасників</w:t>
      </w:r>
      <w:r w:rsidR="00923EE8" w:rsidRPr="00BE1959">
        <w:rPr>
          <w:rFonts w:ascii="Times New Roman" w:eastAsia="Times New Roman" w:hAnsi="Times New Roman" w:cs="Times New Roman"/>
          <w:sz w:val="24"/>
          <w:szCs w:val="24"/>
          <w:lang w:val="uk-UA"/>
        </w:rPr>
        <w:t>, укладаються згідно з положеннями розділу ІІІ</w:t>
      </w:r>
      <w:r w:rsidR="005613AB" w:rsidRPr="00BE1959">
        <w:rPr>
          <w:rFonts w:ascii="Times New Roman" w:eastAsia="Times New Roman" w:hAnsi="Times New Roman" w:cs="Times New Roman"/>
          <w:sz w:val="24"/>
          <w:szCs w:val="24"/>
          <w:lang w:val="uk-UA"/>
        </w:rPr>
        <w:t xml:space="preserve"> </w:t>
      </w:r>
      <w:r w:rsidR="008824AE" w:rsidRPr="00BE1959">
        <w:rPr>
          <w:rFonts w:ascii="Times New Roman" w:eastAsia="Times New Roman" w:hAnsi="Times New Roman" w:cs="Times New Roman"/>
          <w:sz w:val="24"/>
          <w:szCs w:val="24"/>
          <w:lang w:val="uk-UA"/>
        </w:rPr>
        <w:t>Регламенту</w:t>
      </w:r>
      <w:r w:rsidR="005613AB" w:rsidRPr="00BE1959">
        <w:rPr>
          <w:rFonts w:ascii="Times New Roman" w:eastAsia="Times New Roman" w:hAnsi="Times New Roman" w:cs="Times New Roman"/>
          <w:sz w:val="24"/>
          <w:szCs w:val="24"/>
          <w:lang w:val="uk-UA"/>
        </w:rPr>
        <w:t xml:space="preserve"> </w:t>
      </w:r>
      <w:r w:rsidR="007B0149" w:rsidRPr="00BE1959">
        <w:rPr>
          <w:rFonts w:ascii="Times New Roman" w:eastAsia="Times New Roman" w:hAnsi="Times New Roman" w:cs="Times New Roman"/>
          <w:sz w:val="24"/>
          <w:szCs w:val="24"/>
          <w:lang w:val="uk-UA"/>
        </w:rPr>
        <w:t>(EU) № 600/2014</w:t>
      </w:r>
      <w:r w:rsidR="005613AB" w:rsidRPr="00BE1959">
        <w:rPr>
          <w:rFonts w:ascii="Times New Roman" w:eastAsia="Times New Roman" w:hAnsi="Times New Roman" w:cs="Times New Roman"/>
          <w:sz w:val="24"/>
          <w:szCs w:val="24"/>
          <w:lang w:val="uk-UA"/>
        </w:rPr>
        <w:t>.</w:t>
      </w:r>
    </w:p>
    <w:p w:rsidR="005613AB" w:rsidRPr="00BE1959" w:rsidRDefault="00162A11" w:rsidP="005613AB">
      <w:pPr>
        <w:spacing w:before="360" w:after="120" w:line="312" w:lineRule="atLeast"/>
        <w:jc w:val="center"/>
        <w:textAlignment w:val="baseline"/>
        <w:rPr>
          <w:rFonts w:ascii="Times New Roman" w:eastAsia="Times New Roman" w:hAnsi="Times New Roman" w:cs="Times New Roman"/>
          <w:i/>
          <w:iCs/>
          <w:sz w:val="24"/>
          <w:szCs w:val="24"/>
          <w:lang w:val="uk-UA"/>
        </w:rPr>
      </w:pPr>
      <w:r w:rsidRPr="00BE1959">
        <w:rPr>
          <w:rFonts w:ascii="Times New Roman" w:eastAsia="Times New Roman" w:hAnsi="Times New Roman" w:cs="Times New Roman"/>
          <w:i/>
          <w:iCs/>
          <w:sz w:val="24"/>
          <w:szCs w:val="24"/>
          <w:lang w:val="uk-UA"/>
        </w:rPr>
        <w:t>Стаття</w:t>
      </w:r>
      <w:r w:rsidR="005613AB" w:rsidRPr="00BE1959">
        <w:rPr>
          <w:rFonts w:ascii="Times New Roman" w:eastAsia="Times New Roman" w:hAnsi="Times New Roman" w:cs="Times New Roman"/>
          <w:i/>
          <w:iCs/>
          <w:sz w:val="24"/>
          <w:szCs w:val="24"/>
          <w:lang w:val="uk-UA"/>
        </w:rPr>
        <w:t xml:space="preserve"> 2</w:t>
      </w:r>
    </w:p>
    <w:p w:rsidR="005613AB" w:rsidRPr="00BE1959" w:rsidRDefault="008A21C5" w:rsidP="005613AB">
      <w:pPr>
        <w:spacing w:before="60" w:after="120" w:line="312" w:lineRule="atLeast"/>
        <w:jc w:val="center"/>
        <w:textAlignment w:val="baseline"/>
        <w:rPr>
          <w:rFonts w:ascii="Times New Roman" w:eastAsia="Times New Roman" w:hAnsi="Times New Roman" w:cs="Times New Roman"/>
          <w:b/>
          <w:bCs/>
          <w:sz w:val="24"/>
          <w:szCs w:val="24"/>
          <w:lang w:val="uk-UA"/>
        </w:rPr>
      </w:pPr>
      <w:r w:rsidRPr="00BE1959">
        <w:rPr>
          <w:rFonts w:ascii="Times New Roman" w:eastAsia="Times New Roman" w:hAnsi="Times New Roman" w:cs="Times New Roman"/>
          <w:b/>
          <w:bCs/>
          <w:sz w:val="24"/>
          <w:szCs w:val="24"/>
          <w:lang w:val="uk-UA"/>
        </w:rPr>
        <w:t>Звільнення</w:t>
      </w:r>
      <w:r w:rsidR="004761F0" w:rsidRPr="00BE1959">
        <w:rPr>
          <w:rFonts w:ascii="Times New Roman" w:eastAsia="Times New Roman" w:hAnsi="Times New Roman" w:cs="Times New Roman"/>
          <w:b/>
          <w:bCs/>
          <w:sz w:val="24"/>
          <w:szCs w:val="24"/>
          <w:lang w:val="uk-UA"/>
        </w:rPr>
        <w:t xml:space="preserve"> від дії директиви</w:t>
      </w:r>
    </w:p>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1.   </w:t>
      </w:r>
      <w:r w:rsidR="00B46553" w:rsidRPr="00BE1959">
        <w:rPr>
          <w:rFonts w:ascii="Times New Roman" w:eastAsia="Times New Roman" w:hAnsi="Times New Roman" w:cs="Times New Roman"/>
          <w:sz w:val="24"/>
          <w:szCs w:val="24"/>
          <w:lang w:val="uk-UA"/>
        </w:rPr>
        <w:t>Дія цієї директиви не поширюється на:</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9093"/>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B90933" w:rsidP="00B90933">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страхові компанії або компанії, що ведуть діяльність із перестрахування та ретроцесії, згадану в </w:t>
            </w:r>
            <w:r w:rsidR="0042329D" w:rsidRPr="00BE1959">
              <w:rPr>
                <w:rFonts w:ascii="Times New Roman" w:eastAsia="Times New Roman" w:hAnsi="Times New Roman" w:cs="Times New Roman"/>
                <w:sz w:val="24"/>
                <w:szCs w:val="24"/>
                <w:lang w:val="uk-UA"/>
              </w:rPr>
              <w:t>Директиві</w:t>
            </w:r>
            <w:r w:rsidR="005613AB" w:rsidRPr="00BE1959">
              <w:rPr>
                <w:rFonts w:ascii="Times New Roman" w:eastAsia="Times New Roman" w:hAnsi="Times New Roman" w:cs="Times New Roman"/>
                <w:sz w:val="24"/>
                <w:szCs w:val="24"/>
                <w:lang w:val="uk-UA"/>
              </w:rPr>
              <w:t xml:space="preserve"> 2009/138/EC</w:t>
            </w:r>
            <w:r w:rsidRPr="00BE1959">
              <w:rPr>
                <w:rFonts w:ascii="Times New Roman" w:eastAsia="Times New Roman" w:hAnsi="Times New Roman" w:cs="Times New Roman"/>
                <w:sz w:val="24"/>
                <w:szCs w:val="24"/>
                <w:lang w:val="uk-UA"/>
              </w:rPr>
              <w:t>, при веденні ними діяльності, зазначеної у вищезгаданій директиві;</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13575" w:rsidP="005D01C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особи, які надають </w:t>
            </w:r>
            <w:r w:rsidR="005D01CB" w:rsidRPr="00BE1959">
              <w:rPr>
                <w:rFonts w:ascii="Times New Roman" w:eastAsia="Times New Roman" w:hAnsi="Times New Roman" w:cs="Times New Roman"/>
                <w:sz w:val="24"/>
                <w:szCs w:val="24"/>
                <w:lang w:val="uk-UA"/>
              </w:rPr>
              <w:t>інвестиційні послуги виключно своїм материнським підприємствам, своїм дочірнім підприємствам або іншим дочірнім підприємствам їхніх материнських підприємств;</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9093"/>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13575" w:rsidP="00C7372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особи, які надають інвестиційну послугу, якщо ця послуга надається </w:t>
            </w:r>
            <w:r w:rsidR="00C7372B" w:rsidRPr="00BE1959">
              <w:rPr>
                <w:rFonts w:ascii="Times New Roman" w:eastAsia="Times New Roman" w:hAnsi="Times New Roman" w:cs="Times New Roman"/>
                <w:sz w:val="24"/>
                <w:szCs w:val="24"/>
                <w:lang w:val="uk-UA"/>
              </w:rPr>
              <w:t xml:space="preserve">на нерегулярній </w:t>
            </w:r>
            <w:r w:rsidR="00C7372B" w:rsidRPr="00BE1959">
              <w:rPr>
                <w:rFonts w:ascii="Times New Roman" w:eastAsia="Times New Roman" w:hAnsi="Times New Roman" w:cs="Times New Roman"/>
                <w:sz w:val="24"/>
                <w:szCs w:val="24"/>
                <w:lang w:val="uk-UA"/>
              </w:rPr>
              <w:lastRenderedPageBreak/>
              <w:t>основі</w:t>
            </w:r>
            <w:r w:rsidRPr="00BE1959">
              <w:rPr>
                <w:rFonts w:ascii="Times New Roman" w:eastAsia="Times New Roman" w:hAnsi="Times New Roman" w:cs="Times New Roman"/>
                <w:sz w:val="24"/>
                <w:szCs w:val="24"/>
                <w:lang w:val="uk-UA"/>
              </w:rPr>
              <w:t xml:space="preserve"> в ході професійної діяльності, а ця діяльність регулюється нормативно-правовим</w:t>
            </w:r>
            <w:r w:rsidR="00592DC2" w:rsidRPr="00BE1959">
              <w:rPr>
                <w:rFonts w:ascii="Times New Roman" w:eastAsia="Times New Roman" w:hAnsi="Times New Roman" w:cs="Times New Roman"/>
                <w:sz w:val="24"/>
                <w:szCs w:val="24"/>
                <w:lang w:val="uk-UA"/>
              </w:rPr>
              <w:t>и положеннями або кодексом етичних норм, регламентуючим діяльність у цій професії, які не виключають надання цієї послуги;</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92DC2" w:rsidP="00BC5644">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особи, які здійснюють за свій рахунок операції з іншими</w:t>
            </w:r>
            <w:r w:rsidR="00FB7D97" w:rsidRPr="00BE1959">
              <w:rPr>
                <w:rFonts w:ascii="Times New Roman" w:eastAsia="Times New Roman" w:hAnsi="Times New Roman" w:cs="Times New Roman"/>
                <w:sz w:val="24"/>
                <w:szCs w:val="24"/>
                <w:lang w:val="uk-UA"/>
              </w:rPr>
              <w:t xml:space="preserve"> фінансовими інструментами, ніж товарні деривативи, квоти на викиди або деривативи на них, </w:t>
            </w:r>
            <w:r w:rsidR="00880836" w:rsidRPr="00BE1959">
              <w:rPr>
                <w:rFonts w:ascii="Times New Roman" w:eastAsia="Times New Roman" w:hAnsi="Times New Roman" w:cs="Times New Roman"/>
                <w:sz w:val="24"/>
                <w:szCs w:val="24"/>
                <w:lang w:val="uk-UA"/>
              </w:rPr>
              <w:t xml:space="preserve">не надають жодних інших інвестиційних послуг і не ведуть жодної іншої інвестиційної діяльності з </w:t>
            </w:r>
            <w:r w:rsidR="00FB7D97" w:rsidRPr="00BE1959">
              <w:rPr>
                <w:rFonts w:ascii="Times New Roman" w:eastAsia="Times New Roman" w:hAnsi="Times New Roman" w:cs="Times New Roman"/>
                <w:sz w:val="24"/>
                <w:szCs w:val="24"/>
                <w:lang w:val="uk-UA"/>
              </w:rPr>
              <w:t>іншими фінансовими інструментами, ніж товарні деривативи, квоти на викиди або деривативи на них</w:t>
            </w:r>
            <w:r w:rsidR="00BC5644" w:rsidRPr="00BE1959">
              <w:rPr>
                <w:rFonts w:ascii="Times New Roman" w:eastAsia="Times New Roman" w:hAnsi="Times New Roman" w:cs="Times New Roman"/>
                <w:sz w:val="24"/>
                <w:szCs w:val="24"/>
                <w:lang w:val="uk-UA"/>
              </w:rPr>
              <w:t>, крім випадків, коли такі особи:</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59"/>
              <w:gridCol w:w="8500"/>
            </w:tblGrid>
            <w:tr w:rsidR="00DE3173" w:rsidRPr="00BE1959" w:rsidTr="00BC5644">
              <w:tc>
                <w:tcPr>
                  <w:tcW w:w="256"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(i)</w:t>
                  </w:r>
                </w:p>
              </w:tc>
              <w:tc>
                <w:tcPr>
                  <w:tcW w:w="4744"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BC5644" w:rsidP="00BC5644">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є маркет-мейкерами;</w:t>
                  </w:r>
                </w:p>
              </w:tc>
            </w:tr>
          </w:tbl>
          <w:p w:rsidR="005613AB" w:rsidRPr="00BE1959" w:rsidRDefault="005613AB" w:rsidP="005613AB">
            <w:pPr>
              <w:spacing w:after="0" w:line="240" w:lineRule="auto"/>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99"/>
              <w:gridCol w:w="8560"/>
            </w:tblGrid>
            <w:tr w:rsidR="00DE3173" w:rsidRPr="0043174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BC5644" w:rsidP="00CA3CE4">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є членами або </w:t>
                  </w:r>
                  <w:r w:rsidR="002F42AA" w:rsidRPr="00BE1959">
                    <w:rPr>
                      <w:rFonts w:ascii="Times New Roman" w:eastAsia="Times New Roman" w:hAnsi="Times New Roman" w:cs="Times New Roman"/>
                      <w:sz w:val="24"/>
                      <w:szCs w:val="24"/>
                      <w:lang w:val="uk-UA"/>
                    </w:rPr>
                    <w:t>учасниками регульованого ринку чи БТМ</w:t>
                  </w:r>
                  <w:r w:rsidR="00CA3CE4" w:rsidRPr="00BE1959">
                    <w:rPr>
                      <w:rFonts w:ascii="Times New Roman" w:eastAsia="Times New Roman" w:hAnsi="Times New Roman" w:cs="Times New Roman"/>
                      <w:sz w:val="24"/>
                      <w:szCs w:val="24"/>
                      <w:lang w:val="uk-UA"/>
                    </w:rPr>
                    <w:t xml:space="preserve"> або мають прямий електронний доступ до торговельного майданчика;</w:t>
                  </w:r>
                </w:p>
              </w:tc>
            </w:tr>
          </w:tbl>
          <w:p w:rsidR="005613AB" w:rsidRPr="00BE1959" w:rsidRDefault="005613AB" w:rsidP="005613AB">
            <w:pPr>
              <w:spacing w:after="0" w:line="240" w:lineRule="auto"/>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65"/>
              <w:gridCol w:w="8494"/>
            </w:tblGrid>
            <w:tr w:rsidR="00DE3173" w:rsidRPr="0043174D" w:rsidTr="00BC5644">
              <w:tc>
                <w:tcPr>
                  <w:tcW w:w="256"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(iii)</w:t>
                  </w:r>
                </w:p>
              </w:tc>
              <w:tc>
                <w:tcPr>
                  <w:tcW w:w="4744"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CA3CE4" w:rsidP="00CA3CE4">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застосовують високочастотний метод алгоритмічної торгівлі; або</w:t>
                  </w:r>
                </w:p>
              </w:tc>
            </w:tr>
          </w:tbl>
          <w:p w:rsidR="005613AB" w:rsidRPr="00BE1959" w:rsidRDefault="005613AB" w:rsidP="005613AB">
            <w:pPr>
              <w:spacing w:after="0" w:line="240" w:lineRule="auto"/>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59"/>
              <w:gridCol w:w="8500"/>
            </w:tblGrid>
            <w:tr w:rsidR="00DE3173" w:rsidRPr="0043174D" w:rsidTr="00BC5644">
              <w:tc>
                <w:tcPr>
                  <w:tcW w:w="256"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(iv)</w:t>
                  </w:r>
                </w:p>
              </w:tc>
              <w:tc>
                <w:tcPr>
                  <w:tcW w:w="4744"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CA3CE4" w:rsidP="00CA3CE4">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здійснюють операції за власний рахунок при виконанні замовлень клієнтів.</w:t>
                  </w:r>
                </w:p>
              </w:tc>
            </w:tr>
          </w:tbl>
          <w:p w:rsidR="005613AB" w:rsidRPr="00BE1959" w:rsidRDefault="00CA3CE4" w:rsidP="00CA3CE4">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Особи, звільнені від дії цієї директиви за пп.</w:t>
            </w:r>
            <w:r w:rsidR="005613AB" w:rsidRPr="00BE1959">
              <w:rPr>
                <w:rFonts w:ascii="Times New Roman" w:eastAsia="Times New Roman" w:hAnsi="Times New Roman" w:cs="Times New Roman"/>
                <w:sz w:val="24"/>
                <w:szCs w:val="24"/>
                <w:lang w:val="uk-UA"/>
              </w:rPr>
              <w:t xml:space="preserve"> (a), (i) </w:t>
            </w:r>
            <w:r w:rsidRPr="00BE1959">
              <w:rPr>
                <w:rFonts w:ascii="Times New Roman" w:eastAsia="Times New Roman" w:hAnsi="Times New Roman" w:cs="Times New Roman"/>
                <w:sz w:val="24"/>
                <w:szCs w:val="24"/>
                <w:lang w:val="uk-UA"/>
              </w:rPr>
              <w:t>або</w:t>
            </w:r>
            <w:r w:rsidR="005613AB" w:rsidRPr="00BE1959">
              <w:rPr>
                <w:rFonts w:ascii="Times New Roman" w:eastAsia="Times New Roman" w:hAnsi="Times New Roman" w:cs="Times New Roman"/>
                <w:sz w:val="24"/>
                <w:szCs w:val="24"/>
                <w:lang w:val="uk-UA"/>
              </w:rPr>
              <w:t xml:space="preserve"> (j)</w:t>
            </w:r>
            <w:r w:rsidRPr="00BE1959">
              <w:rPr>
                <w:rFonts w:ascii="Times New Roman" w:eastAsia="Times New Roman" w:hAnsi="Times New Roman" w:cs="Times New Roman"/>
                <w:sz w:val="24"/>
                <w:szCs w:val="24"/>
                <w:lang w:val="uk-UA"/>
              </w:rPr>
              <w:t>, для отримання звільнення не зобов’язані виконувати у</w:t>
            </w:r>
            <w:r w:rsidR="00880836" w:rsidRPr="00BE1959">
              <w:rPr>
                <w:rFonts w:ascii="Times New Roman" w:eastAsia="Times New Roman" w:hAnsi="Times New Roman" w:cs="Times New Roman"/>
                <w:sz w:val="24"/>
                <w:szCs w:val="24"/>
                <w:lang w:val="uk-UA"/>
              </w:rPr>
              <w:t>мови, викладені у цьому пункті;</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9093"/>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(e)</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880836" w:rsidP="00A259A4">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оператор</w:t>
            </w:r>
            <w:r w:rsidR="00A259A4" w:rsidRPr="00BE1959">
              <w:rPr>
                <w:rFonts w:ascii="Times New Roman" w:eastAsia="Times New Roman" w:hAnsi="Times New Roman" w:cs="Times New Roman"/>
                <w:sz w:val="24"/>
                <w:szCs w:val="24"/>
                <w:lang w:val="uk-UA"/>
              </w:rPr>
              <w:t>ів</w:t>
            </w:r>
            <w:r w:rsidRPr="00BE1959">
              <w:rPr>
                <w:rFonts w:ascii="Times New Roman" w:eastAsia="Times New Roman" w:hAnsi="Times New Roman" w:cs="Times New Roman"/>
                <w:sz w:val="24"/>
                <w:szCs w:val="24"/>
                <w:lang w:val="uk-UA"/>
              </w:rPr>
              <w:t>, що мають зобов’язання стосовно виконання за Директивою</w:t>
            </w:r>
            <w:r w:rsidR="005613AB" w:rsidRPr="00BE1959">
              <w:rPr>
                <w:rFonts w:ascii="Times New Roman" w:eastAsia="Times New Roman" w:hAnsi="Times New Roman" w:cs="Times New Roman"/>
                <w:sz w:val="24"/>
                <w:szCs w:val="24"/>
                <w:lang w:val="uk-UA"/>
              </w:rPr>
              <w:t xml:space="preserve"> 2003/87/EC</w:t>
            </w:r>
            <w:r w:rsidRPr="00BE1959">
              <w:rPr>
                <w:rFonts w:ascii="Times New Roman" w:eastAsia="Times New Roman" w:hAnsi="Times New Roman" w:cs="Times New Roman"/>
                <w:sz w:val="24"/>
                <w:szCs w:val="24"/>
                <w:lang w:val="uk-UA"/>
              </w:rPr>
              <w:t>, які при торгівлі квотами на викиди не виконують замовлення клієнтів і не надають жодних інших інвестиційних послуг і не ведуть жодної іншої інвестиційної діяльності</w:t>
            </w:r>
            <w:r w:rsidR="00A259A4" w:rsidRPr="00BE1959">
              <w:rPr>
                <w:rFonts w:ascii="Times New Roman" w:eastAsia="Times New Roman" w:hAnsi="Times New Roman" w:cs="Times New Roman"/>
                <w:sz w:val="24"/>
                <w:szCs w:val="24"/>
                <w:lang w:val="uk-UA"/>
              </w:rPr>
              <w:t>, ніж здійснення операцій за власний рахунок, за умови, що такі особи не застосовують високочастотний метод алгоритмічної торгівлі;</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912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(f)</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A259A4" w:rsidP="00C7372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особи, які </w:t>
            </w:r>
            <w:r w:rsidR="00C7372B" w:rsidRPr="00BE1959">
              <w:rPr>
                <w:rFonts w:ascii="Times New Roman" w:eastAsia="Times New Roman" w:hAnsi="Times New Roman" w:cs="Times New Roman"/>
                <w:sz w:val="24"/>
                <w:szCs w:val="24"/>
                <w:lang w:val="uk-UA"/>
              </w:rPr>
              <w:t>надають інвестиційні послуги, що полягають виключно в управлінні схемами участі працівників;</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(g)</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D01CB" w:rsidP="005D01C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особи, які надають інвестиційні послуги, що полягають як в управлінні схемами участі працівників, так і у наданні інвестиційних послуг виключно їхнім материнським підприємствам, їхнім дочірнім підприємствам або іншим дочірнім підприємствам їхніх материнських підприємств;</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(h)</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219BA" w:rsidRPr="00BE1959" w:rsidRDefault="00F219BA" w:rsidP="00B35F62">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членів ЄСЦБ та інші національні органи, виконуючі аналогічні функції в Союзі, інші органи, яким доручено управління державним боргом або які втручаються в управління державним боргом, у Союзі, та</w:t>
            </w:r>
            <w:r w:rsidR="00B35F62" w:rsidRPr="00BE1959">
              <w:rPr>
                <w:rFonts w:ascii="Times New Roman" w:eastAsia="Times New Roman" w:hAnsi="Times New Roman" w:cs="Times New Roman"/>
                <w:sz w:val="24"/>
                <w:szCs w:val="24"/>
                <w:lang w:val="uk-UA"/>
              </w:rPr>
              <w:t xml:space="preserve"> міжнародні фінансові організації, засновані двома або більше державами-членами,</w:t>
            </w:r>
            <w:r w:rsidRPr="00BE1959">
              <w:rPr>
                <w:rFonts w:ascii="Times New Roman" w:eastAsia="Times New Roman" w:hAnsi="Times New Roman" w:cs="Times New Roman"/>
                <w:sz w:val="24"/>
                <w:szCs w:val="24"/>
                <w:lang w:val="uk-UA"/>
              </w:rPr>
              <w:t xml:space="preserve"> мета яких полягає у залученні фінансування й наданні фінансової допомоги на користь їхніх членів, котрі зазнають серйозних фінансових проблем чи котрим загрожують такі проблеми</w:t>
            </w:r>
            <w:r w:rsidR="00B35F62" w:rsidRPr="00BE1959">
              <w:rPr>
                <w:rFonts w:ascii="Times New Roman" w:eastAsia="Times New Roman" w:hAnsi="Times New Roman" w:cs="Times New Roman"/>
                <w:sz w:val="24"/>
                <w:szCs w:val="24"/>
                <w:lang w:val="uk-UA"/>
              </w:rPr>
              <w:t>;</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32"/>
        <w:gridCol w:w="9133"/>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B35F62" w:rsidP="009E4A47">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організації колективного інвестування та пенсійні фонди незалежно від того, чи координуються вони на рівні Союзу, та депозитаріїв і керівників таких організацій</w:t>
            </w:r>
            <w:r w:rsidR="005613AB" w:rsidRPr="00BE1959">
              <w:rPr>
                <w:rFonts w:ascii="Times New Roman" w:eastAsia="Times New Roman" w:hAnsi="Times New Roman" w:cs="Times New Roman"/>
                <w:sz w:val="24"/>
                <w:szCs w:val="24"/>
                <w:lang w:val="uk-UA"/>
              </w:rPr>
              <w:t>;</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32"/>
        <w:gridCol w:w="9133"/>
      </w:tblGrid>
      <w:tr w:rsidR="005613AB" w:rsidRPr="00BE1959"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lastRenderedPageBreak/>
              <w:t>(j)</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9E4A47"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особи</w:t>
            </w:r>
            <w:r w:rsidR="005613AB" w:rsidRPr="00BE1959">
              <w:rPr>
                <w:rFonts w:ascii="Times New Roman" w:eastAsia="Times New Roman" w:hAnsi="Times New Roman" w:cs="Times New Roman"/>
                <w:sz w:val="24"/>
                <w:szCs w:val="24"/>
                <w:lang w:val="uk-UA"/>
              </w:rP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32"/>
              <w:gridCol w:w="8680"/>
            </w:tblGrid>
            <w:tr w:rsidR="00DE3173" w:rsidRPr="0043174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284440" w:rsidP="00E10D3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які здійснюють за власний рахунок операції, включаючи маркет-мейкерів, з товарними деривативами, квотами на викиди або деривативами на них, крім осіб, які здійснюють операції за власний рахунок при виконанні замовлень клієнтів; або</w:t>
                  </w:r>
                </w:p>
              </w:tc>
            </w:tr>
          </w:tbl>
          <w:p w:rsidR="005613AB" w:rsidRPr="00BE1959" w:rsidRDefault="005613AB" w:rsidP="005613AB">
            <w:pPr>
              <w:spacing w:after="0" w:line="240" w:lineRule="auto"/>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99"/>
              <w:gridCol w:w="8613"/>
            </w:tblGrid>
            <w:tr w:rsidR="00DE3173" w:rsidRPr="0043174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9E4A47" w:rsidRPr="00BE1959" w:rsidRDefault="00284440" w:rsidP="00284440">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які надають інші інвестиційні послуги, крім здійснення за власний рахунок операцій, з товарними деривативами, квотами на викиди або деривативами на них, клієнтам або постачальникам їхньої основної діяльності;</w:t>
                  </w:r>
                </w:p>
              </w:tc>
            </w:tr>
          </w:tbl>
          <w:p w:rsidR="005613AB" w:rsidRPr="00BE1959" w:rsidRDefault="00284440"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за умови, що</w:t>
            </w:r>
            <w:r w:rsidR="005613AB" w:rsidRPr="00BE1959">
              <w:rPr>
                <w:rFonts w:ascii="Times New Roman" w:eastAsia="Times New Roman" w:hAnsi="Times New Roman" w:cs="Times New Roman"/>
                <w:sz w:val="24"/>
                <w:szCs w:val="24"/>
                <w:lang w:val="uk-UA"/>
              </w:rP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8667"/>
            </w:tblGrid>
            <w:tr w:rsidR="00DE3173" w:rsidRPr="0043174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34C98" w:rsidP="0068350D">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для кожного з цих випадків окремо і у сукупності ця діяльність є додатковою до їхнього основного виду діяльності на груповій основі, і цей основний вид діяльності не є ані наданням інвестиційних послуг у значенні цієї директиви, ані банківською діяльністю у значенні Директиви 2013/36/EU</w:t>
                  </w:r>
                  <w:r w:rsidR="0068350D" w:rsidRPr="00BE1959">
                    <w:rPr>
                      <w:rFonts w:ascii="Times New Roman" w:eastAsia="Times New Roman" w:hAnsi="Times New Roman" w:cs="Times New Roman"/>
                      <w:sz w:val="24"/>
                      <w:szCs w:val="24"/>
                      <w:lang w:val="uk-UA"/>
                    </w:rPr>
                    <w:t>, і не діяльністю в якості маркет-мейкера щодо товарних деривативів;</w:t>
                  </w:r>
                </w:p>
              </w:tc>
            </w:tr>
          </w:tbl>
          <w:p w:rsidR="005613AB" w:rsidRPr="00BE1959" w:rsidRDefault="005613AB" w:rsidP="005613AB">
            <w:pPr>
              <w:spacing w:after="0" w:line="240" w:lineRule="auto"/>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7"/>
              <w:gridCol w:w="8635"/>
            </w:tblGrid>
            <w:tr w:rsidR="00DE3173" w:rsidRPr="0043174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68350D"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ці особи не застосовують високочастотний метод алгоритмічної торгівлі; та</w:t>
                  </w:r>
                </w:p>
              </w:tc>
            </w:tr>
          </w:tbl>
          <w:p w:rsidR="005613AB" w:rsidRPr="00BE1959" w:rsidRDefault="005613AB" w:rsidP="005613AB">
            <w:pPr>
              <w:spacing w:after="0" w:line="240" w:lineRule="auto"/>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8667"/>
            </w:tblGrid>
            <w:tr w:rsidR="00DE3173" w:rsidRPr="00BE1959">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E274EF" w:rsidP="00E274EF">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ці особи щорічно повідомляють відповідний компетентний орган про те, що вони користуються цим звільненням, і на вимогу зазначають цьому компетентному органові підставу, на якій вони вважають свою діяльність за пп. (і) та (іі) додатковою до їхнього основного виду діяльності;</w:t>
                  </w:r>
                </w:p>
              </w:tc>
            </w:tr>
          </w:tbl>
          <w:p w:rsidR="005613AB" w:rsidRPr="00BE1959" w:rsidRDefault="005613AB" w:rsidP="005613AB">
            <w:pPr>
              <w:spacing w:after="0" w:line="240" w:lineRule="auto"/>
              <w:rPr>
                <w:rFonts w:ascii="Times New Roman" w:eastAsia="Times New Roman" w:hAnsi="Times New Roman" w:cs="Times New Roman"/>
                <w:sz w:val="24"/>
                <w:szCs w:val="24"/>
                <w:lang w:val="uk-UA"/>
              </w:rPr>
            </w:pP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(k)</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3458AC" w:rsidP="003458AC">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особи, які надають інвестиційні поради в ході ведення іншої професійної діяльності, не охопленої цією директивою, за умови, що надання таких порад конкретно не оплачується;</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32"/>
        <w:gridCol w:w="9133"/>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(l)</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3458AC" w:rsidP="003458AC">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асоціації, засновані данськими та фінськими пенсійними фондами з єдиною метою, що полягає в управлінні активами пенсійних фондів, що є членами цих асоціацій;</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52"/>
        <w:gridCol w:w="9013"/>
      </w:tblGrid>
      <w:tr w:rsidR="005613AB" w:rsidRPr="00BE1959"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(m)</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F206E" w:rsidP="00BE18FA">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«адженті ді камбіо»</w:t>
            </w:r>
            <w:r w:rsidR="00BE18FA" w:rsidRPr="00BE1959">
              <w:rPr>
                <w:rFonts w:ascii="Times New Roman" w:eastAsia="Times New Roman" w:hAnsi="Times New Roman" w:cs="Times New Roman"/>
                <w:sz w:val="24"/>
                <w:szCs w:val="24"/>
                <w:lang w:val="uk-UA"/>
              </w:rPr>
              <w:t xml:space="preserve"> [біржові брокери – </w:t>
            </w:r>
            <w:r w:rsidR="00BE18FA" w:rsidRPr="00BE1959">
              <w:rPr>
                <w:rFonts w:ascii="Times New Roman" w:eastAsia="Times New Roman" w:hAnsi="Times New Roman" w:cs="Times New Roman"/>
                <w:i/>
                <w:sz w:val="24"/>
                <w:szCs w:val="24"/>
                <w:lang w:val="uk-UA"/>
              </w:rPr>
              <w:t>прим. перекл.</w:t>
            </w:r>
            <w:r w:rsidR="00BE18FA" w:rsidRPr="00BE1959">
              <w:rPr>
                <w:rFonts w:ascii="Times New Roman" w:eastAsia="Times New Roman" w:hAnsi="Times New Roman" w:cs="Times New Roman"/>
                <w:sz w:val="24"/>
                <w:szCs w:val="24"/>
                <w:lang w:val="uk-UA"/>
              </w:rPr>
              <w:t>]</w:t>
            </w:r>
            <w:r w:rsidRPr="00BE1959">
              <w:rPr>
                <w:rFonts w:ascii="Times New Roman" w:eastAsia="Times New Roman" w:hAnsi="Times New Roman" w:cs="Times New Roman"/>
                <w:sz w:val="24"/>
                <w:szCs w:val="24"/>
                <w:lang w:val="uk-UA"/>
              </w:rPr>
              <w:t xml:space="preserve">, діяльність </w:t>
            </w:r>
            <w:r w:rsidR="00BE18FA" w:rsidRPr="00BE1959">
              <w:rPr>
                <w:rFonts w:ascii="Times New Roman" w:eastAsia="Times New Roman" w:hAnsi="Times New Roman" w:cs="Times New Roman"/>
                <w:sz w:val="24"/>
                <w:szCs w:val="24"/>
                <w:lang w:val="uk-UA"/>
              </w:rPr>
              <w:t>і функції яких регламентуються статтею 201 Законодавчого указу Італії № 58 від 24 лютого 1998 р.;</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(n)</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997C38" w:rsidP="0059267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операторів систем передачі, визначених у статті 2(4) Директиви 2009/72/EC або статті 2(4) Директиви 2009/73/EC</w:t>
            </w:r>
            <w:r w:rsidRPr="00BE1959">
              <w:rPr>
                <w:rFonts w:ascii="Times New Roman" w:eastAsia="Times New Roman" w:hAnsi="Times New Roman" w:cs="Times New Roman"/>
                <w:sz w:val="24"/>
                <w:szCs w:val="24"/>
                <w:bdr w:val="none" w:sz="0" w:space="0" w:color="auto" w:frame="1"/>
                <w:lang w:val="uk-UA"/>
              </w:rPr>
              <w:t xml:space="preserve">, при виконанні ними їхніх задач за цими директивами, за Регламентом </w:t>
            </w:r>
            <w:r w:rsidRPr="00BE1959">
              <w:rPr>
                <w:rFonts w:ascii="Times New Roman" w:eastAsia="Times New Roman" w:hAnsi="Times New Roman" w:cs="Times New Roman"/>
                <w:sz w:val="24"/>
                <w:szCs w:val="24"/>
                <w:lang w:val="uk-UA"/>
              </w:rPr>
              <w:t>(EC) № 714/2009, за Регламентом (EC) № 715/2009</w:t>
            </w:r>
            <w:r w:rsidR="000E6E06" w:rsidRPr="00BE1959">
              <w:rPr>
                <w:rFonts w:ascii="Times New Roman" w:eastAsia="Times New Roman" w:hAnsi="Times New Roman" w:cs="Times New Roman"/>
                <w:sz w:val="24"/>
                <w:szCs w:val="24"/>
                <w:lang w:val="uk-UA"/>
              </w:rPr>
              <w:t xml:space="preserve"> </w:t>
            </w:r>
            <w:r w:rsidRPr="00BE1959">
              <w:rPr>
                <w:rFonts w:ascii="Times New Roman" w:eastAsia="Times New Roman" w:hAnsi="Times New Roman" w:cs="Times New Roman"/>
                <w:sz w:val="24"/>
                <w:szCs w:val="24"/>
                <w:lang w:val="uk-UA"/>
              </w:rPr>
              <w:t xml:space="preserve">або за мережевими кодексами чи настановами, прийнятими на виконання цих </w:t>
            </w:r>
            <w:r w:rsidR="000E6E06" w:rsidRPr="00BE1959">
              <w:rPr>
                <w:rFonts w:ascii="Times New Roman" w:eastAsia="Times New Roman" w:hAnsi="Times New Roman" w:cs="Times New Roman"/>
                <w:sz w:val="24"/>
                <w:szCs w:val="24"/>
                <w:lang w:val="uk-UA"/>
              </w:rPr>
              <w:t>регламентів, будь-які особи,</w:t>
            </w:r>
            <w:r w:rsidRPr="00BE1959">
              <w:rPr>
                <w:rFonts w:ascii="Times New Roman" w:eastAsia="Times New Roman" w:hAnsi="Times New Roman" w:cs="Times New Roman"/>
                <w:sz w:val="24"/>
                <w:szCs w:val="24"/>
                <w:lang w:val="uk-UA"/>
              </w:rPr>
              <w:t xml:space="preserve"> діюч</w:t>
            </w:r>
            <w:r w:rsidR="000E6E06" w:rsidRPr="00BE1959">
              <w:rPr>
                <w:rFonts w:ascii="Times New Roman" w:eastAsia="Times New Roman" w:hAnsi="Times New Roman" w:cs="Times New Roman"/>
                <w:sz w:val="24"/>
                <w:szCs w:val="24"/>
                <w:lang w:val="uk-UA"/>
              </w:rPr>
              <w:t>і</w:t>
            </w:r>
            <w:r w:rsidRPr="00BE1959">
              <w:rPr>
                <w:rFonts w:ascii="Times New Roman" w:eastAsia="Times New Roman" w:hAnsi="Times New Roman" w:cs="Times New Roman"/>
                <w:sz w:val="24"/>
                <w:szCs w:val="24"/>
                <w:lang w:val="uk-UA"/>
              </w:rPr>
              <w:t xml:space="preserve"> як надавачі послуг від їхнього імені, для виконання їхніх задач за цими законодавчими актами або за мережевими кодексами чи настановами, прийняти</w:t>
            </w:r>
            <w:r w:rsidR="0059267B" w:rsidRPr="00BE1959">
              <w:rPr>
                <w:rFonts w:ascii="Times New Roman" w:eastAsia="Times New Roman" w:hAnsi="Times New Roman" w:cs="Times New Roman"/>
                <w:sz w:val="24"/>
                <w:szCs w:val="24"/>
                <w:lang w:val="uk-UA"/>
              </w:rPr>
              <w:t>ми на виконання цих регламентів, а також операторів або адміністраторів механізму коригування відхилень електроенергії, трубопровідної мережі або системи для підтримання балансу постачання і споживання енергії при виконанні таких задач.</w:t>
            </w:r>
          </w:p>
          <w:p w:rsidR="005613AB" w:rsidRPr="00BE1959" w:rsidRDefault="00DA3A66" w:rsidP="003D5215">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lastRenderedPageBreak/>
              <w:t xml:space="preserve">Це звільнення поширюється на осіб, зайнятих діяльністю, зазначеною в цьому підпункті, тільки у випадку, якщо вони </w:t>
            </w:r>
            <w:r w:rsidR="003D5215" w:rsidRPr="00BE1959">
              <w:rPr>
                <w:rFonts w:ascii="Times New Roman" w:eastAsia="Times New Roman" w:hAnsi="Times New Roman" w:cs="Times New Roman"/>
                <w:sz w:val="24"/>
                <w:szCs w:val="24"/>
                <w:lang w:val="uk-UA"/>
              </w:rPr>
              <w:t xml:space="preserve">ведуть інвестиційну діяльність або </w:t>
            </w:r>
            <w:r w:rsidRPr="00BE1959">
              <w:rPr>
                <w:rFonts w:ascii="Times New Roman" w:eastAsia="Times New Roman" w:hAnsi="Times New Roman" w:cs="Times New Roman"/>
                <w:sz w:val="24"/>
                <w:szCs w:val="24"/>
                <w:lang w:val="uk-UA"/>
              </w:rPr>
              <w:t>надають інвестиційні послуги, пов'язан</w:t>
            </w:r>
            <w:r w:rsidR="003D5215" w:rsidRPr="00BE1959">
              <w:rPr>
                <w:rFonts w:ascii="Times New Roman" w:eastAsia="Times New Roman" w:hAnsi="Times New Roman" w:cs="Times New Roman"/>
                <w:sz w:val="24"/>
                <w:szCs w:val="24"/>
                <w:lang w:val="uk-UA"/>
              </w:rPr>
              <w:t>і</w:t>
            </w:r>
            <w:r w:rsidRPr="00BE1959">
              <w:rPr>
                <w:rFonts w:ascii="Times New Roman" w:eastAsia="Times New Roman" w:hAnsi="Times New Roman" w:cs="Times New Roman"/>
                <w:sz w:val="24"/>
                <w:szCs w:val="24"/>
                <w:lang w:val="uk-UA"/>
              </w:rPr>
              <w:t xml:space="preserve"> з </w:t>
            </w:r>
            <w:r w:rsidR="003D5215" w:rsidRPr="00BE1959">
              <w:rPr>
                <w:rFonts w:ascii="Times New Roman" w:eastAsia="Times New Roman" w:hAnsi="Times New Roman" w:cs="Times New Roman"/>
                <w:sz w:val="24"/>
                <w:szCs w:val="24"/>
                <w:lang w:val="uk-UA"/>
              </w:rPr>
              <w:t>товарними деривативами, для виконання цієї діяльності. Це звільнення не поширюється на діяльність вторинного ринку, включаючи платформу</w:t>
            </w:r>
            <w:r w:rsidRPr="00BE1959">
              <w:rPr>
                <w:rFonts w:ascii="Times New Roman" w:eastAsia="Times New Roman" w:hAnsi="Times New Roman" w:cs="Times New Roman"/>
                <w:sz w:val="24"/>
                <w:szCs w:val="24"/>
                <w:lang w:val="uk-UA"/>
              </w:rPr>
              <w:t xml:space="preserve"> для вторинної торгівлі </w:t>
            </w:r>
            <w:r w:rsidR="003D5215" w:rsidRPr="00BE1959">
              <w:rPr>
                <w:rFonts w:ascii="Times New Roman" w:eastAsia="Times New Roman" w:hAnsi="Times New Roman" w:cs="Times New Roman"/>
                <w:sz w:val="24"/>
                <w:szCs w:val="24"/>
                <w:lang w:val="uk-UA"/>
              </w:rPr>
              <w:t>фінансовими правами на передачу;</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DE3173"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(o)</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C21F1" w:rsidP="005C21F1">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центральні депозитарії цінних паперів, що регулюються як такі за законодавством Союзу, тією мірою, якою вони регулюються за цим законодавством Союзу.</w:t>
            </w:r>
          </w:p>
        </w:tc>
      </w:tr>
    </w:tbl>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2.   </w:t>
      </w:r>
      <w:r w:rsidR="00E50911" w:rsidRPr="00BE1959">
        <w:rPr>
          <w:rFonts w:ascii="Times New Roman" w:eastAsia="Times New Roman" w:hAnsi="Times New Roman" w:cs="Times New Roman"/>
          <w:sz w:val="24"/>
          <w:szCs w:val="24"/>
          <w:lang w:val="uk-UA"/>
        </w:rPr>
        <w:t xml:space="preserve">Права, надані цією директивою, не поширюються на надання послуг в якості контрагента за операціями, здійснюваними державними органами, що займаються державним боргом, або членами ЄСЦБ, що виконують свої задачі, передбачені ДФЄС і Протоколом № 4 до Статуту Європейської системи центральних банків, </w:t>
      </w:r>
      <w:r w:rsidR="00560FB6" w:rsidRPr="00BE1959">
        <w:rPr>
          <w:rFonts w:ascii="Times New Roman" w:eastAsia="Times New Roman" w:hAnsi="Times New Roman" w:cs="Times New Roman"/>
          <w:sz w:val="24"/>
          <w:szCs w:val="24"/>
          <w:lang w:val="uk-UA"/>
        </w:rPr>
        <w:t>і членами Європейського центрального банку або суб’єктами, виконуючими еквівалентні функції згідно з положеннями національного законодавства.</w:t>
      </w:r>
    </w:p>
    <w:p w:rsidR="005613AB" w:rsidRPr="00BE1959" w:rsidRDefault="005613AB" w:rsidP="00B45C49">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3.   </w:t>
      </w:r>
      <w:r w:rsidR="00560FB6" w:rsidRPr="00BE1959">
        <w:rPr>
          <w:rFonts w:ascii="Times New Roman" w:eastAsia="Times New Roman" w:hAnsi="Times New Roman" w:cs="Times New Roman"/>
          <w:sz w:val="24"/>
          <w:szCs w:val="24"/>
          <w:lang w:val="uk-UA"/>
        </w:rPr>
        <w:t xml:space="preserve">Комісія приймає делеговані акти відповідно до статті 89 з метою уточнення цілей пп. (с) п. 1 цієї статті, якщо діяльність </w:t>
      </w:r>
      <w:r w:rsidR="00B45C49" w:rsidRPr="00BE1959">
        <w:rPr>
          <w:rFonts w:ascii="Times New Roman" w:eastAsia="Times New Roman" w:hAnsi="Times New Roman" w:cs="Times New Roman"/>
          <w:sz w:val="24"/>
          <w:szCs w:val="24"/>
          <w:lang w:val="uk-UA"/>
        </w:rPr>
        <w:t>має нерегулярний характер.</w:t>
      </w:r>
    </w:p>
    <w:p w:rsidR="005613AB" w:rsidRPr="00BE1959" w:rsidRDefault="005613AB" w:rsidP="00B45C49">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4.   ESMA </w:t>
      </w:r>
      <w:r w:rsidR="00B45C49" w:rsidRPr="00BE1959">
        <w:rPr>
          <w:rFonts w:ascii="Times New Roman" w:eastAsia="Times New Roman" w:hAnsi="Times New Roman" w:cs="Times New Roman"/>
          <w:sz w:val="24"/>
          <w:szCs w:val="24"/>
          <w:lang w:val="uk-UA"/>
        </w:rPr>
        <w:t>розробляє проекти нормативно-технічних стандартів, де зазначає, в цілях пп.</w:t>
      </w:r>
      <w:r w:rsidRPr="00BE1959">
        <w:rPr>
          <w:rFonts w:ascii="Times New Roman" w:eastAsia="Times New Roman" w:hAnsi="Times New Roman" w:cs="Times New Roman"/>
          <w:sz w:val="24"/>
          <w:szCs w:val="24"/>
          <w:lang w:val="uk-UA"/>
        </w:rPr>
        <w:t xml:space="preserve"> (j) </w:t>
      </w:r>
      <w:r w:rsidR="00B45C49" w:rsidRPr="00BE1959">
        <w:rPr>
          <w:rFonts w:ascii="Times New Roman" w:eastAsia="Times New Roman" w:hAnsi="Times New Roman" w:cs="Times New Roman"/>
          <w:sz w:val="24"/>
          <w:szCs w:val="24"/>
          <w:lang w:val="uk-UA"/>
        </w:rPr>
        <w:t>п. 1 цієї статті, критерії установлення того, чи слід вважати діяльність додатковою до основної діяльності на рівні групи.</w:t>
      </w:r>
    </w:p>
    <w:p w:rsidR="005613AB" w:rsidRPr="00BE1959" w:rsidRDefault="00B45C49" w:rsidP="00B45C49">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Ці критерії враховують принаймні наступні елементи:</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9093"/>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B45C49" w:rsidP="00B45C49">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необхідність того, щоб додаткові види діяльності становили меншість видів діяльності на рівні групи;</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DE3173"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E47D9D" w:rsidP="00E47D9D">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обсяг їхньої торговельної діяльності порівняно з загальною торговельною діяльністю з цим класом активів на ринку.</w:t>
            </w:r>
          </w:p>
        </w:tc>
      </w:tr>
    </w:tbl>
    <w:p w:rsidR="005613AB" w:rsidRPr="00BE1959" w:rsidRDefault="00D40269" w:rsidP="007F4F6E">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При визначенні ступеню, в якому додаткові види діяльності становлять меншість видів діяльності на рівні групи, ESMA</w:t>
      </w:r>
      <w:r w:rsidR="007F4F6E" w:rsidRPr="00BE1959">
        <w:rPr>
          <w:rFonts w:ascii="Times New Roman" w:eastAsia="Times New Roman" w:hAnsi="Times New Roman" w:cs="Times New Roman"/>
          <w:sz w:val="24"/>
          <w:szCs w:val="24"/>
          <w:lang w:val="uk-UA"/>
        </w:rPr>
        <w:t xml:space="preserve"> може визначити необхідність урахування капіталу, задіяного для виконання додаткового виду діяльності, відносно капіталу, задіяного для ведення основної діяльності. Разом з тим, цей фактор у жодному разі не є достатнім для демонстрації того, що вид діяльності є додатковим до основної діяльності групи.</w:t>
      </w:r>
    </w:p>
    <w:p w:rsidR="007F4F6E" w:rsidRPr="00BE1959" w:rsidRDefault="007F4F6E"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Діяльність, згадана в цьому абзаці, розглядається на рівні групи.</w:t>
      </w:r>
    </w:p>
    <w:p w:rsidR="005613AB" w:rsidRPr="00BE1959" w:rsidRDefault="007F4F6E" w:rsidP="007F4F6E">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Елементи, згадані у другому і третьому абзацах, виключають:</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9093"/>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F74DE" w:rsidP="00867606">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внутрішньогрупові угоди, згадані </w:t>
            </w:r>
            <w:r w:rsidR="005E1C03" w:rsidRPr="00BE1959">
              <w:rPr>
                <w:rFonts w:ascii="Times New Roman" w:eastAsia="Times New Roman" w:hAnsi="Times New Roman" w:cs="Times New Roman"/>
                <w:sz w:val="24"/>
                <w:szCs w:val="24"/>
                <w:lang w:val="uk-UA"/>
              </w:rPr>
              <w:t>у статті</w:t>
            </w:r>
            <w:r w:rsidR="005613AB" w:rsidRPr="00BE1959">
              <w:rPr>
                <w:rFonts w:ascii="Times New Roman" w:eastAsia="Times New Roman" w:hAnsi="Times New Roman" w:cs="Times New Roman"/>
                <w:sz w:val="24"/>
                <w:szCs w:val="24"/>
                <w:lang w:val="uk-UA"/>
              </w:rPr>
              <w:t xml:space="preserve"> 3 </w:t>
            </w:r>
            <w:r w:rsidR="008824AE" w:rsidRPr="00BE1959">
              <w:rPr>
                <w:rFonts w:ascii="Times New Roman" w:eastAsia="Times New Roman" w:hAnsi="Times New Roman" w:cs="Times New Roman"/>
                <w:sz w:val="24"/>
                <w:szCs w:val="24"/>
                <w:lang w:val="uk-UA"/>
              </w:rPr>
              <w:t>Регламенту</w:t>
            </w:r>
            <w:r w:rsidR="005613AB" w:rsidRPr="00BE1959">
              <w:rPr>
                <w:rFonts w:ascii="Times New Roman" w:eastAsia="Times New Roman" w:hAnsi="Times New Roman" w:cs="Times New Roman"/>
                <w:sz w:val="24"/>
                <w:szCs w:val="24"/>
                <w:lang w:val="uk-UA"/>
              </w:rPr>
              <w:t xml:space="preserve"> </w:t>
            </w:r>
            <w:r w:rsidR="00DB4825" w:rsidRPr="00BE1959">
              <w:rPr>
                <w:rFonts w:ascii="Times New Roman" w:eastAsia="Times New Roman" w:hAnsi="Times New Roman" w:cs="Times New Roman"/>
                <w:sz w:val="24"/>
                <w:szCs w:val="24"/>
                <w:lang w:val="uk-UA"/>
              </w:rPr>
              <w:t>(EU) №</w:t>
            </w:r>
            <w:r w:rsidR="005613AB" w:rsidRPr="00BE1959">
              <w:rPr>
                <w:rFonts w:ascii="Times New Roman" w:eastAsia="Times New Roman" w:hAnsi="Times New Roman" w:cs="Times New Roman"/>
                <w:sz w:val="24"/>
                <w:szCs w:val="24"/>
                <w:lang w:val="uk-UA"/>
              </w:rPr>
              <w:t> 648/2012</w:t>
            </w:r>
            <w:r w:rsidR="00867606" w:rsidRPr="00BE1959">
              <w:rPr>
                <w:rFonts w:ascii="Times New Roman" w:eastAsia="Times New Roman" w:hAnsi="Times New Roman" w:cs="Times New Roman"/>
                <w:sz w:val="24"/>
                <w:szCs w:val="24"/>
                <w:lang w:val="uk-UA"/>
              </w:rPr>
              <w:t>, які слугують загальногруповим цілям управління ліквідністю або ризиками;</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B5C16" w:rsidRPr="00BE1959" w:rsidRDefault="00135C33" w:rsidP="00CB5C16">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угоди з деривативами, які є об</w:t>
            </w:r>
            <w:r w:rsidR="00CB5C16" w:rsidRPr="00BE1959">
              <w:rPr>
                <w:rFonts w:ascii="Times New Roman" w:eastAsia="Times New Roman" w:hAnsi="Times New Roman" w:cs="Times New Roman"/>
                <w:sz w:val="24"/>
                <w:szCs w:val="24"/>
                <w:lang w:val="uk-UA"/>
              </w:rPr>
              <w:t>’єктивно вимірюваними як такі, що зменшують ризики, безпосередньо пов'язані з комерційною діяльністю чи казначейським фінансуванням;</w:t>
            </w:r>
          </w:p>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9093"/>
      </w:tblGrid>
      <w:tr w:rsidR="00DE3173"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CB5C16" w:rsidP="00292269">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угоди з товарними деривативами та квотами на викиди, укладені для виконання  зобов’язання щодо надання ліквідності на торговельному майданчику, якщо </w:t>
            </w:r>
            <w:r w:rsidR="00292269" w:rsidRPr="00BE1959">
              <w:rPr>
                <w:rFonts w:ascii="Times New Roman" w:eastAsia="Times New Roman" w:hAnsi="Times New Roman" w:cs="Times New Roman"/>
                <w:sz w:val="24"/>
                <w:szCs w:val="24"/>
                <w:lang w:val="uk-UA"/>
              </w:rPr>
              <w:t>такі зобов’язання встановлені регуляторними органами відповідно до законодавства Союзу або законодавства, нормативних актів і адміністративних положень окремих держав чи торговельними майданчиками.</w:t>
            </w:r>
          </w:p>
        </w:tc>
      </w:tr>
    </w:tbl>
    <w:p w:rsidR="000B5788" w:rsidRPr="00BE1959" w:rsidRDefault="000B5788" w:rsidP="000B5788">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ESMA подає проекти цих нормативно-технічних стандартів Комісії до 3 липня 2015 року.</w:t>
      </w:r>
    </w:p>
    <w:p w:rsidR="005613AB" w:rsidRPr="00BE1959" w:rsidRDefault="000B5788" w:rsidP="000B5788">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Комісії </w:t>
      </w:r>
      <w:r w:rsidR="005B75EA" w:rsidRPr="00BE1959">
        <w:rPr>
          <w:rFonts w:ascii="Times New Roman" w:eastAsia="Times New Roman" w:hAnsi="Times New Roman" w:cs="Times New Roman"/>
          <w:sz w:val="24"/>
          <w:szCs w:val="24"/>
          <w:lang w:val="uk-UA"/>
        </w:rPr>
        <w:t xml:space="preserve">делегується </w:t>
      </w:r>
      <w:r w:rsidRPr="00BE1959">
        <w:rPr>
          <w:rFonts w:ascii="Times New Roman" w:eastAsia="Times New Roman" w:hAnsi="Times New Roman" w:cs="Times New Roman"/>
          <w:sz w:val="24"/>
          <w:szCs w:val="24"/>
          <w:lang w:val="uk-UA"/>
        </w:rPr>
        <w:t>повноваження на прийняття нормативно-технічних стандарті</w:t>
      </w:r>
      <w:r w:rsidR="00F3240E" w:rsidRPr="00BE1959">
        <w:rPr>
          <w:rFonts w:ascii="Times New Roman" w:eastAsia="Times New Roman" w:hAnsi="Times New Roman" w:cs="Times New Roman"/>
          <w:sz w:val="24"/>
          <w:szCs w:val="24"/>
          <w:lang w:val="uk-UA"/>
        </w:rPr>
        <w:t>в, згаданих у першому абзаці цього пункту</w:t>
      </w:r>
      <w:r w:rsidRPr="00BE1959">
        <w:rPr>
          <w:rFonts w:ascii="Times New Roman" w:eastAsia="Times New Roman" w:hAnsi="Times New Roman" w:cs="Times New Roman"/>
          <w:sz w:val="24"/>
          <w:szCs w:val="24"/>
          <w:lang w:val="uk-UA"/>
        </w:rPr>
        <w:t>, згідно зі статтями 10-14 Регламенту (EU) № 1095/2010.</w:t>
      </w:r>
    </w:p>
    <w:p w:rsidR="005613AB" w:rsidRPr="00BE1959" w:rsidRDefault="00162A11" w:rsidP="005613AB">
      <w:pPr>
        <w:spacing w:before="360" w:after="120" w:line="312" w:lineRule="atLeast"/>
        <w:jc w:val="center"/>
        <w:textAlignment w:val="baseline"/>
        <w:rPr>
          <w:rFonts w:ascii="Times New Roman" w:eastAsia="Times New Roman" w:hAnsi="Times New Roman" w:cs="Times New Roman"/>
          <w:i/>
          <w:iCs/>
          <w:sz w:val="24"/>
          <w:szCs w:val="24"/>
          <w:lang w:val="uk-UA"/>
        </w:rPr>
      </w:pPr>
      <w:r w:rsidRPr="00BE1959">
        <w:rPr>
          <w:rFonts w:ascii="Times New Roman" w:eastAsia="Times New Roman" w:hAnsi="Times New Roman" w:cs="Times New Roman"/>
          <w:i/>
          <w:iCs/>
          <w:sz w:val="24"/>
          <w:szCs w:val="24"/>
          <w:lang w:val="uk-UA"/>
        </w:rPr>
        <w:t>Стаття</w:t>
      </w:r>
      <w:r w:rsidR="005613AB" w:rsidRPr="00BE1959">
        <w:rPr>
          <w:rFonts w:ascii="Times New Roman" w:eastAsia="Times New Roman" w:hAnsi="Times New Roman" w:cs="Times New Roman"/>
          <w:i/>
          <w:iCs/>
          <w:sz w:val="24"/>
          <w:szCs w:val="24"/>
          <w:lang w:val="uk-UA"/>
        </w:rPr>
        <w:t xml:space="preserve"> 3</w:t>
      </w:r>
    </w:p>
    <w:p w:rsidR="005613AB" w:rsidRPr="00BE1959" w:rsidRDefault="007D47A3" w:rsidP="005613AB">
      <w:pPr>
        <w:spacing w:before="60" w:after="120" w:line="312" w:lineRule="atLeast"/>
        <w:jc w:val="center"/>
        <w:textAlignment w:val="baseline"/>
        <w:rPr>
          <w:rFonts w:ascii="Times New Roman" w:eastAsia="Times New Roman" w:hAnsi="Times New Roman" w:cs="Times New Roman"/>
          <w:b/>
          <w:bCs/>
          <w:sz w:val="24"/>
          <w:szCs w:val="24"/>
          <w:lang w:val="uk-UA"/>
        </w:rPr>
      </w:pPr>
      <w:r w:rsidRPr="00BE1959">
        <w:rPr>
          <w:rFonts w:ascii="Times New Roman" w:eastAsia="Times New Roman" w:hAnsi="Times New Roman" w:cs="Times New Roman"/>
          <w:b/>
          <w:bCs/>
          <w:sz w:val="24"/>
          <w:szCs w:val="24"/>
          <w:lang w:val="uk-UA"/>
        </w:rPr>
        <w:t>Факультативні звільнення</w:t>
      </w:r>
    </w:p>
    <w:p w:rsidR="005613AB" w:rsidRPr="00BE1959" w:rsidRDefault="005613AB" w:rsidP="004A48E3">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1.   </w:t>
      </w:r>
      <w:r w:rsidR="00624236" w:rsidRPr="00BE1959">
        <w:rPr>
          <w:rFonts w:ascii="Times New Roman" w:eastAsia="Times New Roman" w:hAnsi="Times New Roman" w:cs="Times New Roman"/>
          <w:sz w:val="24"/>
          <w:szCs w:val="24"/>
          <w:lang w:val="uk-UA"/>
        </w:rPr>
        <w:t>Держави-члени можуть вирішити не застосовувати цю директиву до будь-яких осіб, для яких вони є державою-</w:t>
      </w:r>
      <w:r w:rsidR="004A48E3" w:rsidRPr="00BE1959">
        <w:rPr>
          <w:rFonts w:ascii="Times New Roman" w:eastAsia="Times New Roman" w:hAnsi="Times New Roman" w:cs="Times New Roman"/>
          <w:sz w:val="24"/>
          <w:szCs w:val="24"/>
          <w:lang w:val="uk-UA"/>
        </w:rPr>
        <w:t>членом походження, за умови, що діяльність цих осіб дозволена і регулюється на національному рівні, і:</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9093"/>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D47A3" w:rsidRPr="00BE1959" w:rsidRDefault="0055435B" w:rsidP="004D05B6">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цим особам </w:t>
            </w:r>
            <w:r w:rsidR="004A48E3" w:rsidRPr="00BE1959">
              <w:rPr>
                <w:rFonts w:ascii="Times New Roman" w:eastAsia="Times New Roman" w:hAnsi="Times New Roman" w:cs="Times New Roman"/>
                <w:sz w:val="24"/>
                <w:szCs w:val="24"/>
                <w:lang w:val="uk-UA"/>
              </w:rPr>
              <w:t xml:space="preserve">не дозволено </w:t>
            </w:r>
            <w:r w:rsidR="00B85A40" w:rsidRPr="00BE1959">
              <w:rPr>
                <w:rFonts w:ascii="Times New Roman" w:eastAsia="Times New Roman" w:hAnsi="Times New Roman" w:cs="Times New Roman"/>
                <w:sz w:val="24"/>
                <w:szCs w:val="24"/>
                <w:lang w:val="uk-UA"/>
              </w:rPr>
              <w:t>тримати кошти або цінні папери клієнтів</w:t>
            </w:r>
            <w:r w:rsidR="004D05B6" w:rsidRPr="00BE1959">
              <w:rPr>
                <w:rFonts w:ascii="Times New Roman" w:eastAsia="Times New Roman" w:hAnsi="Times New Roman" w:cs="Times New Roman"/>
                <w:sz w:val="24"/>
                <w:szCs w:val="24"/>
                <w:lang w:val="uk-UA"/>
              </w:rPr>
              <w:t xml:space="preserve"> і з цієї причини не дозволено у жодному разі вступати у дебіторські стосунки зі своїми клієнтами;</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D47A3" w:rsidRPr="00BE1959" w:rsidRDefault="0055435B" w:rsidP="005D07E1">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цим особам </w:t>
            </w:r>
            <w:r w:rsidR="004D05B6" w:rsidRPr="00BE1959">
              <w:rPr>
                <w:rFonts w:ascii="Times New Roman" w:eastAsia="Times New Roman" w:hAnsi="Times New Roman" w:cs="Times New Roman"/>
                <w:sz w:val="24"/>
                <w:szCs w:val="24"/>
                <w:lang w:val="uk-UA"/>
              </w:rPr>
              <w:t>не дозволено надавати будь-які інвестиційні послуги, за винятком отримання і передачі замовлень на о</w:t>
            </w:r>
            <w:r w:rsidR="005D07E1" w:rsidRPr="00BE1959">
              <w:rPr>
                <w:rFonts w:ascii="Times New Roman" w:eastAsia="Times New Roman" w:hAnsi="Times New Roman" w:cs="Times New Roman"/>
                <w:sz w:val="24"/>
                <w:szCs w:val="24"/>
                <w:lang w:val="uk-UA"/>
              </w:rPr>
              <w:t>боротні</w:t>
            </w:r>
            <w:r w:rsidR="004D05B6" w:rsidRPr="00BE1959">
              <w:rPr>
                <w:rFonts w:ascii="Times New Roman" w:eastAsia="Times New Roman" w:hAnsi="Times New Roman" w:cs="Times New Roman"/>
                <w:sz w:val="24"/>
                <w:szCs w:val="24"/>
                <w:lang w:val="uk-UA"/>
              </w:rPr>
              <w:t xml:space="preserve"> цінні папери та паї </w:t>
            </w:r>
            <w:r w:rsidR="00434202" w:rsidRPr="00BE1959">
              <w:rPr>
                <w:rFonts w:ascii="Times New Roman" w:eastAsia="Times New Roman" w:hAnsi="Times New Roman" w:cs="Times New Roman"/>
                <w:sz w:val="24"/>
                <w:szCs w:val="24"/>
                <w:lang w:val="uk-UA"/>
              </w:rPr>
              <w:t>в організаціях колективного інвестування і (або) надання інвестиційних порад стосовно таких фінансових інструментів;</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9093"/>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7D47A3" w:rsidRPr="00BE1959" w:rsidRDefault="0055435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цим особам </w:t>
            </w:r>
            <w:r w:rsidR="00434202" w:rsidRPr="00BE1959">
              <w:rPr>
                <w:rFonts w:ascii="Times New Roman" w:eastAsia="Times New Roman" w:hAnsi="Times New Roman" w:cs="Times New Roman"/>
                <w:sz w:val="24"/>
                <w:szCs w:val="24"/>
                <w:lang w:val="uk-UA"/>
              </w:rPr>
              <w:t>у ході надання такої послуги дозволено передавати замовлення лише:</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93"/>
              <w:gridCol w:w="8579"/>
            </w:tblGrid>
            <w:tr w:rsidR="00DE3173" w:rsidRPr="0043174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434202" w:rsidP="00FF289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інвестиційним фі</w:t>
                  </w:r>
                  <w:r w:rsidR="00FF289B" w:rsidRPr="00BE1959">
                    <w:rPr>
                      <w:rFonts w:ascii="Times New Roman" w:eastAsia="Times New Roman" w:hAnsi="Times New Roman" w:cs="Times New Roman"/>
                      <w:sz w:val="24"/>
                      <w:szCs w:val="24"/>
                      <w:lang w:val="uk-UA"/>
                    </w:rPr>
                    <w:t>рмам, яким надано дозвіл згідно з цією директивою;</w:t>
                  </w:r>
                </w:p>
              </w:tc>
            </w:tr>
          </w:tbl>
          <w:p w:rsidR="005613AB" w:rsidRPr="00BE1959" w:rsidRDefault="005613AB" w:rsidP="005613AB">
            <w:pPr>
              <w:spacing w:after="0" w:line="240" w:lineRule="auto"/>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31"/>
              <w:gridCol w:w="8541"/>
            </w:tblGrid>
            <w:tr w:rsidR="00DE3173" w:rsidRPr="00BE1959">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FF289B" w:rsidP="00FF289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кредитним установам, яким надано дозвіл згідно з Директивою</w:t>
                  </w:r>
                  <w:r w:rsidR="005613AB" w:rsidRPr="00BE1959">
                    <w:rPr>
                      <w:rFonts w:ascii="Times New Roman" w:eastAsia="Times New Roman" w:hAnsi="Times New Roman" w:cs="Times New Roman"/>
                      <w:sz w:val="24"/>
                      <w:szCs w:val="24"/>
                      <w:lang w:val="uk-UA"/>
                    </w:rPr>
                    <w:t xml:space="preserve"> 2013/36/EU;</w:t>
                  </w:r>
                </w:p>
              </w:tc>
            </w:tr>
          </w:tbl>
          <w:p w:rsidR="005613AB" w:rsidRPr="00BE1959" w:rsidRDefault="005613AB" w:rsidP="005613AB">
            <w:pPr>
              <w:spacing w:after="0" w:line="240" w:lineRule="auto"/>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65"/>
              <w:gridCol w:w="8507"/>
            </w:tblGrid>
            <w:tr w:rsidR="00DE3173" w:rsidRPr="0043174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(iii)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0E5617" w:rsidP="00B37F35">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філіям інвестиційних фірм або кредитних установ, яким надано дозвіл у третій країні та які підпадають під дію пруденційних правил, що вважаються компетентними органами як мінімум так само суворими, що й правила, вик</w:t>
                  </w:r>
                  <w:r w:rsidR="00B37F35" w:rsidRPr="00BE1959">
                    <w:rPr>
                      <w:rFonts w:ascii="Times New Roman" w:eastAsia="Times New Roman" w:hAnsi="Times New Roman" w:cs="Times New Roman"/>
                      <w:sz w:val="24"/>
                      <w:szCs w:val="24"/>
                      <w:lang w:val="uk-UA"/>
                    </w:rPr>
                    <w:t xml:space="preserve">ладені у цій директиві, у Регламенті (EU) № 575/2013 або у Директиві 2013/36/EU, і дотримуються цих правил; </w:t>
                  </w:r>
                </w:p>
              </w:tc>
            </w:tr>
          </w:tbl>
          <w:p w:rsidR="005613AB" w:rsidRPr="00BE1959" w:rsidRDefault="005613AB" w:rsidP="005613AB">
            <w:pPr>
              <w:spacing w:after="0" w:line="240" w:lineRule="auto"/>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52"/>
              <w:gridCol w:w="8520"/>
            </w:tblGrid>
            <w:tr w:rsidR="00DE3173" w:rsidRPr="0043174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(iv)</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B37F35" w:rsidP="00F31E6E">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організаціям колективного інвестування, яким за законодавством</w:t>
                  </w:r>
                  <w:r w:rsidR="00F31E6E" w:rsidRPr="00BE1959">
                    <w:rPr>
                      <w:rFonts w:ascii="Times New Roman" w:eastAsia="Times New Roman" w:hAnsi="Times New Roman" w:cs="Times New Roman"/>
                      <w:sz w:val="24"/>
                      <w:szCs w:val="24"/>
                      <w:lang w:val="uk-UA"/>
                    </w:rPr>
                    <w:t xml:space="preserve"> держави-члена надано дозвіл на реалізацію паїв населенню та керівникам таких організацій;</w:t>
                  </w:r>
                </w:p>
              </w:tc>
            </w:tr>
          </w:tbl>
          <w:p w:rsidR="005613AB" w:rsidRPr="00BE1959" w:rsidRDefault="005613AB" w:rsidP="005613AB">
            <w:pPr>
              <w:spacing w:after="0" w:line="240" w:lineRule="auto"/>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587"/>
            </w:tblGrid>
            <w:tr w:rsidR="00DE3173" w:rsidRPr="0043174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(v)</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F31E6E" w:rsidP="00DD62AA">
                  <w:pPr>
                    <w:spacing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інвестиційним компаніям з основним капіталом, визначеним</w:t>
                  </w:r>
                  <w:r w:rsidR="005613AB" w:rsidRPr="00BE1959">
                    <w:rPr>
                      <w:rFonts w:ascii="Times New Roman" w:eastAsia="Times New Roman" w:hAnsi="Times New Roman" w:cs="Times New Roman"/>
                      <w:sz w:val="24"/>
                      <w:szCs w:val="24"/>
                      <w:lang w:val="uk-UA"/>
                    </w:rPr>
                    <w:t xml:space="preserve"> </w:t>
                  </w:r>
                  <w:r w:rsidR="005E1C03" w:rsidRPr="00BE1959">
                    <w:rPr>
                      <w:rFonts w:ascii="Times New Roman" w:eastAsia="Times New Roman" w:hAnsi="Times New Roman" w:cs="Times New Roman"/>
                      <w:sz w:val="24"/>
                      <w:szCs w:val="24"/>
                      <w:lang w:val="uk-UA"/>
                    </w:rPr>
                    <w:t>у статті</w:t>
                  </w:r>
                  <w:r w:rsidR="005613AB" w:rsidRPr="00BE1959">
                    <w:rPr>
                      <w:rFonts w:ascii="Times New Roman" w:eastAsia="Times New Roman" w:hAnsi="Times New Roman" w:cs="Times New Roman"/>
                      <w:sz w:val="24"/>
                      <w:szCs w:val="24"/>
                      <w:lang w:val="uk-UA"/>
                    </w:rPr>
                    <w:t xml:space="preserve"> 17(7) </w:t>
                  </w:r>
                  <w:r w:rsidR="00016E03" w:rsidRPr="00BE1959">
                    <w:rPr>
                      <w:rFonts w:ascii="Times New Roman" w:eastAsia="Times New Roman" w:hAnsi="Times New Roman" w:cs="Times New Roman"/>
                      <w:sz w:val="24"/>
                      <w:szCs w:val="24"/>
                      <w:lang w:val="uk-UA"/>
                    </w:rPr>
                    <w:lastRenderedPageBreak/>
                    <w:t>Директиви</w:t>
                  </w:r>
                  <w:r w:rsidR="005613AB" w:rsidRPr="00BE1959">
                    <w:rPr>
                      <w:rFonts w:ascii="Times New Roman" w:eastAsia="Times New Roman" w:hAnsi="Times New Roman" w:cs="Times New Roman"/>
                      <w:sz w:val="24"/>
                      <w:szCs w:val="24"/>
                      <w:lang w:val="uk-UA"/>
                    </w:rPr>
                    <w:t xml:space="preserve"> 2012/30/EU </w:t>
                  </w:r>
                  <w:r w:rsidR="00423154" w:rsidRPr="00BE1959">
                    <w:rPr>
                      <w:rFonts w:ascii="Times New Roman" w:eastAsia="Times New Roman" w:hAnsi="Times New Roman" w:cs="Times New Roman"/>
                      <w:sz w:val="24"/>
                      <w:szCs w:val="24"/>
                      <w:lang w:val="uk-UA"/>
                    </w:rPr>
                    <w:t>Європейського Парламенту та Ради</w:t>
                  </w:r>
                  <w:hyperlink r:id="rId47" w:anchor="ntr42-L_2014173EN.01034901-E0042" w:history="1">
                    <w:r w:rsidR="005613AB" w:rsidRPr="00BE1959">
                      <w:rPr>
                        <w:rFonts w:ascii="Times New Roman" w:eastAsia="Times New Roman" w:hAnsi="Times New Roman" w:cs="Times New Roman"/>
                        <w:sz w:val="24"/>
                        <w:szCs w:val="24"/>
                        <w:bdr w:val="none" w:sz="0" w:space="0" w:color="auto" w:frame="1"/>
                        <w:lang w:val="uk-UA"/>
                      </w:rPr>
                      <w:t> (</w:t>
                    </w:r>
                    <w:r w:rsidR="005613AB" w:rsidRPr="00BE1959">
                      <w:rPr>
                        <w:rFonts w:ascii="Times New Roman" w:eastAsia="Times New Roman" w:hAnsi="Times New Roman" w:cs="Times New Roman"/>
                        <w:sz w:val="24"/>
                        <w:szCs w:val="24"/>
                        <w:bdr w:val="none" w:sz="0" w:space="0" w:color="auto" w:frame="1"/>
                        <w:vertAlign w:val="superscript"/>
                        <w:lang w:val="uk-UA"/>
                      </w:rPr>
                      <w:t>42</w:t>
                    </w:r>
                    <w:r w:rsidR="005613AB" w:rsidRPr="00BE1959">
                      <w:rPr>
                        <w:rFonts w:ascii="Times New Roman" w:eastAsia="Times New Roman" w:hAnsi="Times New Roman" w:cs="Times New Roman"/>
                        <w:sz w:val="24"/>
                        <w:szCs w:val="24"/>
                        <w:bdr w:val="none" w:sz="0" w:space="0" w:color="auto" w:frame="1"/>
                        <w:lang w:val="uk-UA"/>
                      </w:rPr>
                      <w:t>)</w:t>
                    </w:r>
                  </w:hyperlink>
                  <w:r w:rsidR="00DD62AA" w:rsidRPr="00BE1959">
                    <w:rPr>
                      <w:rFonts w:ascii="Times New Roman" w:eastAsia="Times New Roman" w:hAnsi="Times New Roman" w:cs="Times New Roman"/>
                      <w:sz w:val="24"/>
                      <w:szCs w:val="24"/>
                      <w:lang w:val="uk-UA"/>
                    </w:rPr>
                    <w:t>, цінні папери яких котируються або є предметом торгівлі на регульованому ринку в державі-члені;</w:t>
                  </w:r>
                </w:p>
              </w:tc>
            </w:tr>
          </w:tbl>
          <w:p w:rsidR="005613AB" w:rsidRPr="00BE1959" w:rsidRDefault="005613AB" w:rsidP="005613AB">
            <w:pPr>
              <w:spacing w:after="0" w:line="240" w:lineRule="auto"/>
              <w:rPr>
                <w:rFonts w:ascii="Times New Roman" w:eastAsia="Times New Roman" w:hAnsi="Times New Roman" w:cs="Times New Roman"/>
                <w:sz w:val="24"/>
                <w:szCs w:val="24"/>
                <w:lang w:val="uk-UA"/>
              </w:rPr>
            </w:pP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9D4698" w:rsidP="009D4698">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ці особи надають інвестиційні послуги виключно щодо товарів, квот на викиди і (або) деривативів на них винятково з метою страхування комерційних ризиків їхніх клієнтів, де цими клієнтами є виключно місцеві електроенергетичні підприємства, визначені у статті 2(35) Директиви 2009/72/EC, і (або) суб’єкти ринку природного газу, визначені у статті 2(1) Директиви 2009/73/EC, і за умови, що ці клієнти спільно володіють 100% капіталу або прав голосу цих осіб, здійснюють спільний контроль і звільнені від виконання цієї директиви згідно з пп. (j) статті 2(1) цієї директиви, якщо вони самостійно надають ці інвестиційні послуги; або</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9093"/>
      </w:tblGrid>
      <w:tr w:rsidR="00DE3173"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(e)</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9D4698" w:rsidP="00F20F51">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ці особи надають інвестиційні послуги виключно щодо квот на викиди і (або) деривативів на них винятково з метою страхування комерційних ризиків їхніх клієнтів, де цими клієнтами є виключно оператори, визначені у пп. (f) статті 3 Директиви 2003/87/EC</w:t>
            </w:r>
            <w:r w:rsidR="00F20F51" w:rsidRPr="00BE1959">
              <w:rPr>
                <w:rFonts w:ascii="Times New Roman" w:eastAsia="Times New Roman" w:hAnsi="Times New Roman" w:cs="Times New Roman"/>
                <w:sz w:val="24"/>
                <w:szCs w:val="24"/>
                <w:lang w:val="uk-UA"/>
              </w:rPr>
              <w:t xml:space="preserve">, </w:t>
            </w:r>
            <w:r w:rsidRPr="00BE1959">
              <w:rPr>
                <w:rFonts w:ascii="Times New Roman" w:eastAsia="Times New Roman" w:hAnsi="Times New Roman" w:cs="Times New Roman"/>
                <w:sz w:val="24"/>
                <w:szCs w:val="24"/>
                <w:lang w:val="uk-UA"/>
              </w:rPr>
              <w:t xml:space="preserve">і за умови, що ці клієнти спільно володіють 100% капіталу або прав голосу цих осіб, здійснюють спільний контроль і звільнені від виконання цієї директиви згідно з пп. (j) статті 2(1) цієї директиви, якщо вони самостійно надають ці </w:t>
            </w:r>
            <w:r w:rsidR="00F20F51" w:rsidRPr="00BE1959">
              <w:rPr>
                <w:rFonts w:ascii="Times New Roman" w:eastAsia="Times New Roman" w:hAnsi="Times New Roman" w:cs="Times New Roman"/>
                <w:sz w:val="24"/>
                <w:szCs w:val="24"/>
                <w:lang w:val="uk-UA"/>
              </w:rPr>
              <w:t>інвестиційні послуги.</w:t>
            </w:r>
          </w:p>
        </w:tc>
      </w:tr>
    </w:tbl>
    <w:p w:rsidR="005613AB" w:rsidRPr="00BE1959" w:rsidRDefault="005613AB" w:rsidP="005E55C3">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2.   </w:t>
      </w:r>
      <w:r w:rsidR="005E55C3" w:rsidRPr="00BE1959">
        <w:rPr>
          <w:rFonts w:ascii="Times New Roman" w:eastAsia="Times New Roman" w:hAnsi="Times New Roman" w:cs="Times New Roman"/>
          <w:sz w:val="24"/>
          <w:szCs w:val="24"/>
          <w:lang w:val="uk-UA"/>
        </w:rPr>
        <w:t>Режими, діючі в державах-членах, установлюють для осіб, згаданих у п. 1 цієї статті, вимоги, що є як мінімум аналогічними наступним вимогам цієї директиви:</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9093"/>
      </w:tblGrid>
      <w:tr w:rsidR="005613AB" w:rsidRPr="00BE1959"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E55C3" w:rsidP="00156E8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умовам і процедурам надання дозволу і поточного контролю, встановленим у </w:t>
            </w:r>
            <w:r w:rsidR="005E1C03" w:rsidRPr="00BE1959">
              <w:rPr>
                <w:rFonts w:ascii="Times New Roman" w:eastAsia="Times New Roman" w:hAnsi="Times New Roman" w:cs="Times New Roman"/>
                <w:sz w:val="24"/>
                <w:szCs w:val="24"/>
                <w:lang w:val="uk-UA"/>
              </w:rPr>
              <w:t>статті</w:t>
            </w:r>
            <w:r w:rsidR="005613AB" w:rsidRPr="00BE1959">
              <w:rPr>
                <w:rFonts w:ascii="Times New Roman" w:eastAsia="Times New Roman" w:hAnsi="Times New Roman" w:cs="Times New Roman"/>
                <w:sz w:val="24"/>
                <w:szCs w:val="24"/>
                <w:lang w:val="uk-UA"/>
              </w:rPr>
              <w:t xml:space="preserve"> 5(1) </w:t>
            </w:r>
            <w:r w:rsidRPr="00BE1959">
              <w:rPr>
                <w:rFonts w:ascii="Times New Roman" w:eastAsia="Times New Roman" w:hAnsi="Times New Roman" w:cs="Times New Roman"/>
                <w:sz w:val="24"/>
                <w:szCs w:val="24"/>
                <w:lang w:val="uk-UA"/>
              </w:rPr>
              <w:t>і</w:t>
            </w:r>
            <w:r w:rsidR="005613AB" w:rsidRPr="00BE1959">
              <w:rPr>
                <w:rFonts w:ascii="Times New Roman" w:eastAsia="Times New Roman" w:hAnsi="Times New Roman" w:cs="Times New Roman"/>
                <w:sz w:val="24"/>
                <w:szCs w:val="24"/>
                <w:lang w:val="uk-UA"/>
              </w:rPr>
              <w:t xml:space="preserve"> (3), </w:t>
            </w:r>
            <w:r w:rsidRPr="00BE1959">
              <w:rPr>
                <w:rFonts w:ascii="Times New Roman" w:eastAsia="Times New Roman" w:hAnsi="Times New Roman" w:cs="Times New Roman"/>
                <w:sz w:val="24"/>
                <w:szCs w:val="24"/>
                <w:lang w:val="uk-UA"/>
              </w:rPr>
              <w:t>с</w:t>
            </w:r>
            <w:r w:rsidR="00162A11" w:rsidRPr="00BE1959">
              <w:rPr>
                <w:rFonts w:ascii="Times New Roman" w:eastAsia="Times New Roman" w:hAnsi="Times New Roman" w:cs="Times New Roman"/>
                <w:sz w:val="24"/>
                <w:szCs w:val="24"/>
                <w:lang w:val="uk-UA"/>
              </w:rPr>
              <w:t>таття</w:t>
            </w:r>
            <w:r w:rsidRPr="00BE1959">
              <w:rPr>
                <w:rFonts w:ascii="Times New Roman" w:eastAsia="Times New Roman" w:hAnsi="Times New Roman" w:cs="Times New Roman"/>
                <w:sz w:val="24"/>
                <w:szCs w:val="24"/>
                <w:lang w:val="uk-UA"/>
              </w:rPr>
              <w:t>х</w:t>
            </w:r>
            <w:r w:rsidR="005613AB" w:rsidRPr="00BE1959">
              <w:rPr>
                <w:rFonts w:ascii="Times New Roman" w:eastAsia="Times New Roman" w:hAnsi="Times New Roman" w:cs="Times New Roman"/>
                <w:sz w:val="24"/>
                <w:szCs w:val="24"/>
                <w:lang w:val="uk-UA"/>
              </w:rPr>
              <w:t xml:space="preserve"> 7</w:t>
            </w:r>
            <w:r w:rsidRPr="00BE1959">
              <w:rPr>
                <w:rFonts w:ascii="Times New Roman" w:eastAsia="Times New Roman" w:hAnsi="Times New Roman" w:cs="Times New Roman"/>
                <w:sz w:val="24"/>
                <w:szCs w:val="24"/>
                <w:lang w:val="uk-UA"/>
              </w:rPr>
              <w:t>-</w:t>
            </w:r>
            <w:r w:rsidR="005613AB" w:rsidRPr="00BE1959">
              <w:rPr>
                <w:rFonts w:ascii="Times New Roman" w:eastAsia="Times New Roman" w:hAnsi="Times New Roman" w:cs="Times New Roman"/>
                <w:sz w:val="24"/>
                <w:szCs w:val="24"/>
                <w:lang w:val="uk-UA"/>
              </w:rPr>
              <w:t xml:space="preserve">10, 21, 22 </w:t>
            </w:r>
            <w:r w:rsidRPr="00BE1959">
              <w:rPr>
                <w:rFonts w:ascii="Times New Roman" w:eastAsia="Times New Roman" w:hAnsi="Times New Roman" w:cs="Times New Roman"/>
                <w:sz w:val="24"/>
                <w:szCs w:val="24"/>
                <w:lang w:val="uk-UA"/>
              </w:rPr>
              <w:t>і</w:t>
            </w:r>
            <w:r w:rsidR="005613AB" w:rsidRPr="00BE1959">
              <w:rPr>
                <w:rFonts w:ascii="Times New Roman" w:eastAsia="Times New Roman" w:hAnsi="Times New Roman" w:cs="Times New Roman"/>
                <w:sz w:val="24"/>
                <w:szCs w:val="24"/>
                <w:lang w:val="uk-UA"/>
              </w:rPr>
              <w:t xml:space="preserve"> 23</w:t>
            </w:r>
            <w:r w:rsidR="00156E8B" w:rsidRPr="00BE1959">
              <w:rPr>
                <w:rFonts w:ascii="Times New Roman" w:eastAsia="Times New Roman" w:hAnsi="Times New Roman" w:cs="Times New Roman"/>
                <w:sz w:val="24"/>
                <w:szCs w:val="24"/>
                <w:lang w:val="uk-UA"/>
              </w:rPr>
              <w:t>, та відповідним делегованим актам, прийнятим Комісією згідно зі статтею 89;</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156E8B" w:rsidP="00156E8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зобов’язанням щодо ведення діяльності, встановленим у статті</w:t>
            </w:r>
            <w:r w:rsidR="005613AB" w:rsidRPr="00BE1959">
              <w:rPr>
                <w:rFonts w:ascii="Times New Roman" w:eastAsia="Times New Roman" w:hAnsi="Times New Roman" w:cs="Times New Roman"/>
                <w:sz w:val="24"/>
                <w:szCs w:val="24"/>
                <w:lang w:val="uk-UA"/>
              </w:rPr>
              <w:t xml:space="preserve"> 24(1), (3), (4), (5), (7) </w:t>
            </w:r>
            <w:r w:rsidRPr="00BE1959">
              <w:rPr>
                <w:rFonts w:ascii="Times New Roman" w:eastAsia="Times New Roman" w:hAnsi="Times New Roman" w:cs="Times New Roman"/>
                <w:sz w:val="24"/>
                <w:szCs w:val="24"/>
                <w:lang w:val="uk-UA"/>
              </w:rPr>
              <w:t>і</w:t>
            </w:r>
            <w:r w:rsidR="005613AB" w:rsidRPr="00BE1959">
              <w:rPr>
                <w:rFonts w:ascii="Times New Roman" w:eastAsia="Times New Roman" w:hAnsi="Times New Roman" w:cs="Times New Roman"/>
                <w:sz w:val="24"/>
                <w:szCs w:val="24"/>
                <w:lang w:val="uk-UA"/>
              </w:rPr>
              <w:t xml:space="preserve"> (10), </w:t>
            </w:r>
            <w:r w:rsidR="00162A11" w:rsidRPr="00BE1959">
              <w:rPr>
                <w:rFonts w:ascii="Times New Roman" w:eastAsia="Times New Roman" w:hAnsi="Times New Roman" w:cs="Times New Roman"/>
                <w:sz w:val="24"/>
                <w:szCs w:val="24"/>
                <w:lang w:val="uk-UA"/>
              </w:rPr>
              <w:t>Статт</w:t>
            </w:r>
            <w:r w:rsidRPr="00BE1959">
              <w:rPr>
                <w:rFonts w:ascii="Times New Roman" w:eastAsia="Times New Roman" w:hAnsi="Times New Roman" w:cs="Times New Roman"/>
                <w:sz w:val="24"/>
                <w:szCs w:val="24"/>
                <w:lang w:val="uk-UA"/>
              </w:rPr>
              <w:t>і</w:t>
            </w:r>
            <w:r w:rsidR="005613AB" w:rsidRPr="00BE1959">
              <w:rPr>
                <w:rFonts w:ascii="Times New Roman" w:eastAsia="Times New Roman" w:hAnsi="Times New Roman" w:cs="Times New Roman"/>
                <w:sz w:val="24"/>
                <w:szCs w:val="24"/>
                <w:lang w:val="uk-UA"/>
              </w:rPr>
              <w:t xml:space="preserve"> 25(2), (5) </w:t>
            </w:r>
            <w:r w:rsidRPr="00BE1959">
              <w:rPr>
                <w:rFonts w:ascii="Times New Roman" w:eastAsia="Times New Roman" w:hAnsi="Times New Roman" w:cs="Times New Roman"/>
                <w:sz w:val="24"/>
                <w:szCs w:val="24"/>
                <w:lang w:val="uk-UA"/>
              </w:rPr>
              <w:t>і</w:t>
            </w:r>
            <w:r w:rsidR="005613AB" w:rsidRPr="00BE1959">
              <w:rPr>
                <w:rFonts w:ascii="Times New Roman" w:eastAsia="Times New Roman" w:hAnsi="Times New Roman" w:cs="Times New Roman"/>
                <w:sz w:val="24"/>
                <w:szCs w:val="24"/>
                <w:lang w:val="uk-UA"/>
              </w:rPr>
              <w:t xml:space="preserve"> (6), </w:t>
            </w:r>
            <w:r w:rsidRPr="00BE1959">
              <w:rPr>
                <w:rFonts w:ascii="Times New Roman" w:eastAsia="Times New Roman" w:hAnsi="Times New Roman" w:cs="Times New Roman"/>
                <w:sz w:val="24"/>
                <w:szCs w:val="24"/>
                <w:lang w:val="uk-UA"/>
              </w:rPr>
              <w:t>та, де національний режим дозволяє цим особам призначати пов'язаних агентів, статті 29, і відповідним виконавчим заходам;</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9093"/>
      </w:tblGrid>
      <w:tr w:rsidR="00DE3173" w:rsidRPr="00BE1959"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156E8B" w:rsidP="00156E8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організаційним вимогам, викладеним у першому, шостому і сьомому абзацах статті 16(3) і у статті 16(6) і (7), та відповідним делегованим актам, прийнятим Комісією згідно зі статтею 89.</w:t>
            </w:r>
          </w:p>
        </w:tc>
      </w:tr>
    </w:tbl>
    <w:p w:rsidR="005613AB" w:rsidRPr="00BE1959" w:rsidRDefault="00A017A1" w:rsidP="00B0618E">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Держави-члени вимагають від осіб, звільнених від дії цієї директиви відповідно до п. 1 цієї статті, охоплення схемою компенсації інвесторам, визнаною відповідно до Директиви</w:t>
      </w:r>
      <w:r w:rsidR="005613AB" w:rsidRPr="00BE1959">
        <w:rPr>
          <w:rFonts w:ascii="Times New Roman" w:eastAsia="Times New Roman" w:hAnsi="Times New Roman" w:cs="Times New Roman"/>
          <w:sz w:val="24"/>
          <w:szCs w:val="24"/>
          <w:lang w:val="uk-UA"/>
        </w:rPr>
        <w:t xml:space="preserve"> 97/9/EC. </w:t>
      </w:r>
      <w:r w:rsidR="00CB11C7" w:rsidRPr="00BE1959">
        <w:rPr>
          <w:rFonts w:ascii="Times New Roman" w:eastAsia="Times New Roman" w:hAnsi="Times New Roman" w:cs="Times New Roman"/>
          <w:sz w:val="24"/>
          <w:szCs w:val="24"/>
          <w:lang w:val="uk-UA"/>
        </w:rPr>
        <w:t>Держави-члени можуть дозволяти інвестиційним фірмам не бути охопленими такою схемою, за умови, що вони забезпечують страхування професійної відповідальності, що надає еквівалентний захист їхнім клієнтам, ураховуючи розмір, характер ризиків і юрид</w:t>
      </w:r>
      <w:r w:rsidR="00B0618E" w:rsidRPr="00BE1959">
        <w:rPr>
          <w:rFonts w:ascii="Times New Roman" w:eastAsia="Times New Roman" w:hAnsi="Times New Roman" w:cs="Times New Roman"/>
          <w:sz w:val="24"/>
          <w:szCs w:val="24"/>
          <w:lang w:val="uk-UA"/>
        </w:rPr>
        <w:t>ичний характер осіб, звільнених від дії цієї директиви вдіповідно до п. 1 цієї статті.</w:t>
      </w:r>
    </w:p>
    <w:p w:rsidR="005613AB" w:rsidRPr="00BE1959" w:rsidRDefault="00850EB4" w:rsidP="006F595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lastRenderedPageBreak/>
        <w:t xml:space="preserve">У порядку відступу від другого абзацу цього пункту держави-члени, у яких до 2 липня 2014 року вже були такі закони, нормативні акти або адміністративні положення, можуть до 3 липня 2019 року вимагати, що у випадках, де особи, звільнені від дії цієї директиви відповідно до п. 1 цієї статті, надають інвестиційні послуги щодо прийняття і передачі замовлень і (або) надання інвестиційних порад </w:t>
      </w:r>
      <w:r w:rsidR="006F595B" w:rsidRPr="00BE1959">
        <w:rPr>
          <w:rFonts w:ascii="Times New Roman" w:eastAsia="Times New Roman" w:hAnsi="Times New Roman" w:cs="Times New Roman"/>
          <w:sz w:val="24"/>
          <w:szCs w:val="24"/>
          <w:lang w:val="uk-UA"/>
        </w:rPr>
        <w:t xml:space="preserve">стосовно паїв в організаціях колективного інвестування та діють як посередник у стосунках із управляючою компанією згідно з визначенням у </w:t>
      </w:r>
      <w:r w:rsidR="0042329D" w:rsidRPr="00BE1959">
        <w:rPr>
          <w:rFonts w:ascii="Times New Roman" w:eastAsia="Times New Roman" w:hAnsi="Times New Roman" w:cs="Times New Roman"/>
          <w:sz w:val="24"/>
          <w:szCs w:val="24"/>
          <w:lang w:val="uk-UA"/>
        </w:rPr>
        <w:t>Директиві</w:t>
      </w:r>
      <w:r w:rsidR="005613AB" w:rsidRPr="00BE1959">
        <w:rPr>
          <w:rFonts w:ascii="Times New Roman" w:eastAsia="Times New Roman" w:hAnsi="Times New Roman" w:cs="Times New Roman"/>
          <w:sz w:val="24"/>
          <w:szCs w:val="24"/>
          <w:lang w:val="uk-UA"/>
        </w:rPr>
        <w:t xml:space="preserve"> 2009/65/EC, </w:t>
      </w:r>
      <w:r w:rsidR="006F595B" w:rsidRPr="00BE1959">
        <w:rPr>
          <w:rFonts w:ascii="Times New Roman" w:eastAsia="Times New Roman" w:hAnsi="Times New Roman" w:cs="Times New Roman"/>
          <w:sz w:val="24"/>
          <w:szCs w:val="24"/>
          <w:lang w:val="uk-UA"/>
        </w:rPr>
        <w:t>ці особи несуть перед управляючою компанією солідарну відповідальність за будь-яку шкоду, завдану клієнту у зв'язку з цими послугами.</w:t>
      </w:r>
    </w:p>
    <w:p w:rsidR="005613AB" w:rsidRPr="00BE1959" w:rsidRDefault="005613AB" w:rsidP="009D778E">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3.   </w:t>
      </w:r>
      <w:r w:rsidR="009D778E" w:rsidRPr="00BE1959">
        <w:rPr>
          <w:rFonts w:ascii="Times New Roman" w:eastAsia="Times New Roman" w:hAnsi="Times New Roman" w:cs="Times New Roman"/>
          <w:sz w:val="24"/>
          <w:szCs w:val="24"/>
          <w:lang w:val="uk-UA"/>
        </w:rPr>
        <w:t>Особи, звільнені від дії цієї директиви відповідно до п.1 цієї статті, не користуються свободою надання послуг і ведення діяльності чи створення філій, передбаченою відповідно статтями 34 та 35.</w:t>
      </w:r>
    </w:p>
    <w:p w:rsidR="005613AB" w:rsidRPr="00BE1959" w:rsidRDefault="005613AB" w:rsidP="001F5C90">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4.   </w:t>
      </w:r>
      <w:r w:rsidR="009D778E" w:rsidRPr="00BE1959">
        <w:rPr>
          <w:rFonts w:ascii="Times New Roman" w:eastAsia="Times New Roman" w:hAnsi="Times New Roman" w:cs="Times New Roman"/>
          <w:sz w:val="24"/>
          <w:szCs w:val="24"/>
          <w:lang w:val="uk-UA"/>
        </w:rPr>
        <w:t xml:space="preserve">Держави-члени повідомляють Комісію та ESMA про використання можливості, передбаченої цією статтею, і забезпечують, щоб у кожному дозволі, виданому відповідно до п. 1, було зазначено, що він </w:t>
      </w:r>
      <w:r w:rsidR="001F5C90" w:rsidRPr="00BE1959">
        <w:rPr>
          <w:rFonts w:ascii="Times New Roman" w:eastAsia="Times New Roman" w:hAnsi="Times New Roman" w:cs="Times New Roman"/>
          <w:sz w:val="24"/>
          <w:szCs w:val="24"/>
          <w:lang w:val="uk-UA"/>
        </w:rPr>
        <w:t>виданий відповідно до цієї статті.</w:t>
      </w:r>
    </w:p>
    <w:p w:rsidR="005613AB" w:rsidRPr="00BE1959" w:rsidRDefault="005613AB" w:rsidP="00AB64DD">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5.   </w:t>
      </w:r>
      <w:r w:rsidR="001F5C90" w:rsidRPr="00BE1959">
        <w:rPr>
          <w:rFonts w:ascii="Times New Roman" w:eastAsia="Times New Roman" w:hAnsi="Times New Roman" w:cs="Times New Roman"/>
          <w:sz w:val="24"/>
          <w:szCs w:val="24"/>
          <w:lang w:val="uk-UA"/>
        </w:rPr>
        <w:t>Держави-члени</w:t>
      </w:r>
      <w:r w:rsidRPr="00BE1959">
        <w:rPr>
          <w:rFonts w:ascii="Times New Roman" w:eastAsia="Times New Roman" w:hAnsi="Times New Roman" w:cs="Times New Roman"/>
          <w:sz w:val="24"/>
          <w:szCs w:val="24"/>
          <w:lang w:val="uk-UA"/>
        </w:rPr>
        <w:t xml:space="preserve"> </w:t>
      </w:r>
      <w:r w:rsidR="00AB64DD" w:rsidRPr="00BE1959">
        <w:rPr>
          <w:rFonts w:ascii="Times New Roman" w:eastAsia="Times New Roman" w:hAnsi="Times New Roman" w:cs="Times New Roman"/>
          <w:sz w:val="24"/>
          <w:szCs w:val="24"/>
          <w:lang w:val="uk-UA"/>
        </w:rPr>
        <w:t>доводять до відома ESMA положення національного законодавства, аналогічні вимогам</w:t>
      </w:r>
      <w:r w:rsidRPr="00BE1959">
        <w:rPr>
          <w:rFonts w:ascii="Times New Roman" w:eastAsia="Times New Roman" w:hAnsi="Times New Roman" w:cs="Times New Roman"/>
          <w:sz w:val="24"/>
          <w:szCs w:val="24"/>
          <w:lang w:val="uk-UA"/>
        </w:rPr>
        <w:t xml:space="preserve"> </w:t>
      </w:r>
      <w:r w:rsidR="00432567" w:rsidRPr="00BE1959">
        <w:rPr>
          <w:rFonts w:ascii="Times New Roman" w:eastAsia="Times New Roman" w:hAnsi="Times New Roman" w:cs="Times New Roman"/>
          <w:sz w:val="24"/>
          <w:szCs w:val="24"/>
          <w:lang w:val="uk-UA"/>
        </w:rPr>
        <w:t>цієї директиви</w:t>
      </w:r>
      <w:r w:rsidR="00AB64DD" w:rsidRPr="00BE1959">
        <w:rPr>
          <w:rFonts w:ascii="Times New Roman" w:eastAsia="Times New Roman" w:hAnsi="Times New Roman" w:cs="Times New Roman"/>
          <w:sz w:val="24"/>
          <w:szCs w:val="24"/>
          <w:lang w:val="uk-UA"/>
        </w:rPr>
        <w:t>, наведеним у п. 2.</w:t>
      </w:r>
    </w:p>
    <w:p w:rsidR="005613AB" w:rsidRPr="00BE1959" w:rsidRDefault="00162A11" w:rsidP="005613AB">
      <w:pPr>
        <w:spacing w:before="360" w:after="120" w:line="312" w:lineRule="atLeast"/>
        <w:jc w:val="center"/>
        <w:textAlignment w:val="baseline"/>
        <w:rPr>
          <w:rFonts w:ascii="Times New Roman" w:eastAsia="Times New Roman" w:hAnsi="Times New Roman" w:cs="Times New Roman"/>
          <w:i/>
          <w:iCs/>
          <w:sz w:val="24"/>
          <w:szCs w:val="24"/>
          <w:lang w:val="uk-UA"/>
        </w:rPr>
      </w:pPr>
      <w:r w:rsidRPr="00BE1959">
        <w:rPr>
          <w:rFonts w:ascii="Times New Roman" w:eastAsia="Times New Roman" w:hAnsi="Times New Roman" w:cs="Times New Roman"/>
          <w:i/>
          <w:iCs/>
          <w:sz w:val="24"/>
          <w:szCs w:val="24"/>
          <w:lang w:val="uk-UA"/>
        </w:rPr>
        <w:t>Стаття</w:t>
      </w:r>
      <w:r w:rsidR="005613AB" w:rsidRPr="00BE1959">
        <w:rPr>
          <w:rFonts w:ascii="Times New Roman" w:eastAsia="Times New Roman" w:hAnsi="Times New Roman" w:cs="Times New Roman"/>
          <w:i/>
          <w:iCs/>
          <w:sz w:val="24"/>
          <w:szCs w:val="24"/>
          <w:lang w:val="uk-UA"/>
        </w:rPr>
        <w:t xml:space="preserve"> 4</w:t>
      </w:r>
    </w:p>
    <w:p w:rsidR="005613AB" w:rsidRPr="00BE1959" w:rsidRDefault="00DF36E2" w:rsidP="005613AB">
      <w:pPr>
        <w:spacing w:before="60" w:after="120" w:line="312" w:lineRule="atLeast"/>
        <w:jc w:val="center"/>
        <w:textAlignment w:val="baseline"/>
        <w:rPr>
          <w:rFonts w:ascii="Times New Roman" w:eastAsia="Times New Roman" w:hAnsi="Times New Roman" w:cs="Times New Roman"/>
          <w:b/>
          <w:bCs/>
          <w:sz w:val="24"/>
          <w:szCs w:val="24"/>
          <w:lang w:val="uk-UA"/>
        </w:rPr>
      </w:pPr>
      <w:r w:rsidRPr="00BE1959">
        <w:rPr>
          <w:rFonts w:ascii="Times New Roman" w:eastAsia="Times New Roman" w:hAnsi="Times New Roman" w:cs="Times New Roman"/>
          <w:b/>
          <w:bCs/>
          <w:sz w:val="24"/>
          <w:szCs w:val="24"/>
          <w:lang w:val="uk-UA"/>
        </w:rPr>
        <w:t>Визначення термінів</w:t>
      </w:r>
    </w:p>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1.   </w:t>
      </w:r>
      <w:r w:rsidR="00DF36E2" w:rsidRPr="00BE1959">
        <w:rPr>
          <w:rFonts w:ascii="Times New Roman" w:eastAsia="Times New Roman" w:hAnsi="Times New Roman" w:cs="Times New Roman"/>
          <w:sz w:val="24"/>
          <w:szCs w:val="24"/>
          <w:lang w:val="uk-UA"/>
        </w:rPr>
        <w:t>Для цілей цієї директиви діють наступні визначення термінів:</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3C1A30" w:rsidRPr="00BE1959" w:rsidRDefault="00DF36E2"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«інвестиційна </w:t>
            </w:r>
            <w:r w:rsidR="004E61D7" w:rsidRPr="00BE1959">
              <w:rPr>
                <w:rFonts w:ascii="Times New Roman" w:eastAsia="Times New Roman" w:hAnsi="Times New Roman" w:cs="Times New Roman"/>
                <w:sz w:val="24"/>
                <w:szCs w:val="24"/>
                <w:lang w:val="uk-UA"/>
              </w:rPr>
              <w:t>фірма</w:t>
            </w:r>
            <w:r w:rsidRPr="00BE1959">
              <w:rPr>
                <w:rFonts w:ascii="Times New Roman" w:eastAsia="Times New Roman" w:hAnsi="Times New Roman" w:cs="Times New Roman"/>
                <w:sz w:val="24"/>
                <w:szCs w:val="24"/>
                <w:lang w:val="uk-UA"/>
              </w:rPr>
              <w:t>»</w:t>
            </w:r>
            <w:r w:rsidR="003C1A30" w:rsidRPr="00BE1959">
              <w:rPr>
                <w:rFonts w:ascii="Times New Roman" w:eastAsia="Times New Roman" w:hAnsi="Times New Roman" w:cs="Times New Roman"/>
                <w:sz w:val="24"/>
                <w:szCs w:val="24"/>
                <w:lang w:val="uk-UA"/>
              </w:rPr>
              <w:t xml:space="preserve"> </w:t>
            </w:r>
            <w:r w:rsidR="00AE3D75" w:rsidRPr="00BE1959">
              <w:rPr>
                <w:rFonts w:ascii="Times New Roman" w:eastAsia="Times New Roman" w:hAnsi="Times New Roman" w:cs="Times New Roman"/>
                <w:sz w:val="24"/>
                <w:szCs w:val="24"/>
                <w:lang w:val="uk-UA"/>
              </w:rPr>
              <w:t>-</w:t>
            </w:r>
            <w:r w:rsidR="003C1A30" w:rsidRPr="00BE1959">
              <w:rPr>
                <w:rFonts w:ascii="Times New Roman" w:eastAsia="Times New Roman" w:hAnsi="Times New Roman" w:cs="Times New Roman"/>
                <w:sz w:val="24"/>
                <w:szCs w:val="24"/>
                <w:lang w:val="uk-UA"/>
              </w:rPr>
              <w:t xml:space="preserve"> будь-як</w:t>
            </w:r>
            <w:r w:rsidR="00AE3D75" w:rsidRPr="00BE1959">
              <w:rPr>
                <w:rFonts w:ascii="Times New Roman" w:eastAsia="Times New Roman" w:hAnsi="Times New Roman" w:cs="Times New Roman"/>
                <w:sz w:val="24"/>
                <w:szCs w:val="24"/>
                <w:lang w:val="uk-UA"/>
              </w:rPr>
              <w:t>а</w:t>
            </w:r>
            <w:r w:rsidR="003C1A30" w:rsidRPr="00BE1959">
              <w:rPr>
                <w:rFonts w:ascii="Times New Roman" w:eastAsia="Times New Roman" w:hAnsi="Times New Roman" w:cs="Times New Roman"/>
                <w:sz w:val="24"/>
                <w:szCs w:val="24"/>
                <w:lang w:val="uk-UA"/>
              </w:rPr>
              <w:t xml:space="preserve"> юридичн</w:t>
            </w:r>
            <w:r w:rsidR="00AE3D75" w:rsidRPr="00BE1959">
              <w:rPr>
                <w:rFonts w:ascii="Times New Roman" w:eastAsia="Times New Roman" w:hAnsi="Times New Roman" w:cs="Times New Roman"/>
                <w:sz w:val="24"/>
                <w:szCs w:val="24"/>
                <w:lang w:val="uk-UA"/>
              </w:rPr>
              <w:t>а</w:t>
            </w:r>
            <w:r w:rsidR="003C1A30" w:rsidRPr="00BE1959">
              <w:rPr>
                <w:rFonts w:ascii="Times New Roman" w:eastAsia="Times New Roman" w:hAnsi="Times New Roman" w:cs="Times New Roman"/>
                <w:sz w:val="24"/>
                <w:szCs w:val="24"/>
                <w:lang w:val="uk-UA"/>
              </w:rPr>
              <w:t xml:space="preserve"> особ</w:t>
            </w:r>
            <w:r w:rsidR="00AE3D75" w:rsidRPr="00BE1959">
              <w:rPr>
                <w:rFonts w:ascii="Times New Roman" w:eastAsia="Times New Roman" w:hAnsi="Times New Roman" w:cs="Times New Roman"/>
                <w:sz w:val="24"/>
                <w:szCs w:val="24"/>
                <w:lang w:val="uk-UA"/>
              </w:rPr>
              <w:t>а</w:t>
            </w:r>
            <w:r w:rsidR="003C1A30" w:rsidRPr="00BE1959">
              <w:rPr>
                <w:rFonts w:ascii="Times New Roman" w:eastAsia="Times New Roman" w:hAnsi="Times New Roman" w:cs="Times New Roman"/>
                <w:sz w:val="24"/>
                <w:szCs w:val="24"/>
                <w:lang w:val="uk-UA"/>
              </w:rPr>
              <w:t xml:space="preserve">, постійний рід занять або </w:t>
            </w:r>
            <w:r w:rsidR="0046297E" w:rsidRPr="00BE1959">
              <w:rPr>
                <w:rFonts w:ascii="Times New Roman" w:eastAsia="Times New Roman" w:hAnsi="Times New Roman" w:cs="Times New Roman"/>
                <w:sz w:val="24"/>
                <w:szCs w:val="24"/>
                <w:lang w:val="uk-UA"/>
              </w:rPr>
              <w:t xml:space="preserve">постійна </w:t>
            </w:r>
            <w:r w:rsidR="003C1A30" w:rsidRPr="00BE1959">
              <w:rPr>
                <w:rFonts w:ascii="Times New Roman" w:eastAsia="Times New Roman" w:hAnsi="Times New Roman" w:cs="Times New Roman"/>
                <w:sz w:val="24"/>
                <w:szCs w:val="24"/>
                <w:lang w:val="uk-UA"/>
              </w:rPr>
              <w:t>діяльність якої полягає в наданні однієї чи декількох інвестиційних послуг</w:t>
            </w:r>
            <w:r w:rsidR="00B4097C" w:rsidRPr="00BE1959">
              <w:rPr>
                <w:rFonts w:ascii="Times New Roman" w:eastAsia="Times New Roman" w:hAnsi="Times New Roman" w:cs="Times New Roman"/>
                <w:sz w:val="24"/>
                <w:szCs w:val="24"/>
                <w:lang w:val="uk-UA"/>
              </w:rPr>
              <w:t xml:space="preserve"> третім особам і (або) веденні одного чи декількох видів інвестиційної діяльності на професійній основі.</w:t>
            </w:r>
          </w:p>
          <w:p w:rsidR="0046297E" w:rsidRPr="00BE1959" w:rsidRDefault="0046297E"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color w:val="000000"/>
                <w:sz w:val="24"/>
                <w:szCs w:val="20"/>
                <w:lang w:val="uk-UA" w:eastAsia="ru-RU"/>
              </w:rPr>
              <w:t>Держави-члени можуть</w:t>
            </w:r>
            <w:r w:rsidRPr="00BE1959">
              <w:rPr>
                <w:rFonts w:ascii="Times New Roman" w:eastAsia="Times New Roman" w:hAnsi="Times New Roman" w:cs="Times New Roman"/>
                <w:color w:val="000000"/>
                <w:szCs w:val="20"/>
                <w:lang w:val="uk-UA" w:eastAsia="ru-RU"/>
              </w:rPr>
              <w:t xml:space="preserve"> </w:t>
            </w:r>
            <w:r w:rsidRPr="00BE1959">
              <w:rPr>
                <w:rFonts w:ascii="Times New Roman" w:eastAsia="Times New Roman" w:hAnsi="Times New Roman" w:cs="Times New Roman"/>
                <w:color w:val="000000"/>
                <w:sz w:val="24"/>
                <w:szCs w:val="20"/>
                <w:lang w:val="uk-UA" w:eastAsia="ru-RU"/>
              </w:rPr>
              <w:t>включити</w:t>
            </w:r>
            <w:r w:rsidRPr="00BE1959">
              <w:rPr>
                <w:rFonts w:ascii="Times New Roman" w:eastAsia="Times New Roman" w:hAnsi="Times New Roman" w:cs="Times New Roman"/>
                <w:color w:val="000000"/>
                <w:szCs w:val="20"/>
                <w:lang w:val="uk-UA" w:eastAsia="ru-RU"/>
              </w:rPr>
              <w:t xml:space="preserve"> </w:t>
            </w:r>
            <w:r w:rsidRPr="00BE1959">
              <w:rPr>
                <w:rFonts w:ascii="Times New Roman" w:eastAsia="Times New Roman" w:hAnsi="Times New Roman" w:cs="Times New Roman"/>
                <w:color w:val="000000"/>
                <w:sz w:val="24"/>
                <w:szCs w:val="20"/>
                <w:lang w:val="uk-UA" w:eastAsia="ru-RU"/>
              </w:rPr>
              <w:t>у</w:t>
            </w:r>
            <w:r w:rsidRPr="00BE1959">
              <w:rPr>
                <w:rFonts w:ascii="Times New Roman" w:eastAsia="Times New Roman" w:hAnsi="Times New Roman" w:cs="Times New Roman"/>
                <w:color w:val="000000"/>
                <w:szCs w:val="20"/>
                <w:lang w:val="uk-UA" w:eastAsia="ru-RU"/>
              </w:rPr>
              <w:t xml:space="preserve"> </w:t>
            </w:r>
            <w:r w:rsidRPr="00BE1959">
              <w:rPr>
                <w:rFonts w:ascii="Times New Roman" w:eastAsia="Times New Roman" w:hAnsi="Times New Roman" w:cs="Times New Roman"/>
                <w:color w:val="000000"/>
                <w:sz w:val="24"/>
                <w:szCs w:val="20"/>
                <w:lang w:val="uk-UA" w:eastAsia="ru-RU"/>
              </w:rPr>
              <w:t>визначення</w:t>
            </w:r>
            <w:r w:rsidRPr="00BE1959">
              <w:rPr>
                <w:rFonts w:ascii="Times New Roman" w:eastAsia="Times New Roman" w:hAnsi="Times New Roman" w:cs="Times New Roman"/>
                <w:color w:val="000000"/>
                <w:szCs w:val="20"/>
                <w:lang w:val="uk-UA" w:eastAsia="ru-RU"/>
              </w:rPr>
              <w:t xml:space="preserve"> </w:t>
            </w:r>
            <w:r w:rsidR="00717387" w:rsidRPr="00BE1959">
              <w:rPr>
                <w:rFonts w:ascii="Times New Roman" w:eastAsia="Times New Roman" w:hAnsi="Times New Roman" w:cs="Times New Roman"/>
                <w:color w:val="000000"/>
                <w:sz w:val="24"/>
                <w:szCs w:val="20"/>
                <w:lang w:val="uk-UA" w:eastAsia="ru-RU"/>
              </w:rPr>
              <w:t xml:space="preserve">інвестиційних </w:t>
            </w:r>
            <w:r w:rsidR="004E61D7" w:rsidRPr="00BE1959">
              <w:rPr>
                <w:rFonts w:ascii="Times New Roman" w:eastAsia="Times New Roman" w:hAnsi="Times New Roman" w:cs="Times New Roman"/>
                <w:color w:val="000000"/>
                <w:sz w:val="24"/>
                <w:szCs w:val="20"/>
                <w:lang w:val="uk-UA" w:eastAsia="ru-RU"/>
              </w:rPr>
              <w:t>фірм</w:t>
            </w:r>
            <w:r w:rsidRPr="00BE1959">
              <w:rPr>
                <w:rFonts w:ascii="Times New Roman" w:eastAsia="Times New Roman" w:hAnsi="Times New Roman" w:cs="Times New Roman"/>
                <w:color w:val="000000"/>
                <w:sz w:val="24"/>
                <w:szCs w:val="20"/>
                <w:lang w:val="uk-UA" w:eastAsia="ru-RU"/>
              </w:rPr>
              <w:t xml:space="preserve"> </w:t>
            </w:r>
            <w:r w:rsidR="00717387" w:rsidRPr="00BE1959">
              <w:rPr>
                <w:rFonts w:ascii="Times New Roman" w:eastAsia="Times New Roman" w:hAnsi="Times New Roman" w:cs="Times New Roman"/>
                <w:color w:val="000000"/>
                <w:sz w:val="24"/>
                <w:szCs w:val="20"/>
                <w:lang w:val="uk-UA" w:eastAsia="ru-RU"/>
              </w:rPr>
              <w:t>підприємства</w:t>
            </w:r>
            <w:r w:rsidRPr="00BE1959">
              <w:rPr>
                <w:rFonts w:ascii="Times New Roman" w:eastAsia="Times New Roman" w:hAnsi="Times New Roman" w:cs="Times New Roman"/>
                <w:color w:val="000000"/>
                <w:sz w:val="24"/>
                <w:szCs w:val="20"/>
                <w:lang w:val="uk-UA" w:eastAsia="ru-RU"/>
              </w:rPr>
              <w:t>, що не є юридичними особами, за умови, що:</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587"/>
            </w:tblGrid>
            <w:tr w:rsidR="00DE3173" w:rsidRPr="0043174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EF4EFE" w:rsidRPr="00BE1959" w:rsidRDefault="00717387" w:rsidP="004342E3">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їхній правовий статус забезпечує рів</w:t>
                  </w:r>
                  <w:r w:rsidR="001706D5" w:rsidRPr="00BE1959">
                    <w:rPr>
                      <w:rFonts w:ascii="Times New Roman" w:eastAsia="Times New Roman" w:hAnsi="Times New Roman" w:cs="Times New Roman"/>
                      <w:sz w:val="24"/>
                      <w:szCs w:val="24"/>
                      <w:lang w:val="uk-UA"/>
                    </w:rPr>
                    <w:t>ень захисту інтересів третіх осіб, еквівалентний рівню захисту, що надається юридичними особами; та</w:t>
                  </w:r>
                </w:p>
              </w:tc>
            </w:tr>
          </w:tbl>
          <w:p w:rsidR="005613AB" w:rsidRPr="00BE1959" w:rsidRDefault="005613AB" w:rsidP="005613AB">
            <w:pPr>
              <w:spacing w:after="0" w:line="240" w:lineRule="auto"/>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574"/>
            </w:tblGrid>
            <w:tr w:rsidR="00DE3173" w:rsidRPr="0043174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EF4EFE" w:rsidRPr="00BE1959" w:rsidRDefault="004342E3" w:rsidP="004342E3">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вони підлягають рівноцінному пруденційному контролю, що відповідає їхній правовій формі.</w:t>
                  </w:r>
                </w:p>
              </w:tc>
            </w:tr>
          </w:tbl>
          <w:p w:rsidR="004342E3" w:rsidRPr="00BE1959" w:rsidRDefault="004342E3"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Проте, у разі, коли фізична особа надає послуги, </w:t>
            </w:r>
            <w:r w:rsidR="004E61D7" w:rsidRPr="00BE1959">
              <w:rPr>
                <w:rFonts w:ascii="Times New Roman" w:eastAsia="Times New Roman" w:hAnsi="Times New Roman" w:cs="Times New Roman"/>
                <w:sz w:val="24"/>
                <w:szCs w:val="24"/>
                <w:lang w:val="uk-UA"/>
              </w:rPr>
              <w:t>пов'язані зі зберіганням коштів або оборотних цінних паперів, що належать третім особам, цю особу можна вважати інвестиційною фірмою для потреб цієї директиви та Регламенту (EU) № 600/2014</w:t>
            </w:r>
            <w:r w:rsidR="00825A3E" w:rsidRPr="00BE1959">
              <w:rPr>
                <w:rFonts w:ascii="Times New Roman" w:eastAsia="Times New Roman" w:hAnsi="Times New Roman" w:cs="Times New Roman"/>
                <w:sz w:val="24"/>
                <w:szCs w:val="24"/>
                <w:lang w:val="uk-UA"/>
              </w:rPr>
              <w:t xml:space="preserve"> тільки за умови, що, без шкоди для інших вимог, установлених у цій директиві, у Регламенті (EU) № 600/2014</w:t>
            </w:r>
            <w:r w:rsidR="00CD169C" w:rsidRPr="00BE1959">
              <w:rPr>
                <w:rFonts w:ascii="Times New Roman" w:eastAsia="Times New Roman" w:hAnsi="Times New Roman" w:cs="Times New Roman"/>
                <w:sz w:val="24"/>
                <w:szCs w:val="24"/>
                <w:lang w:val="uk-UA"/>
              </w:rPr>
              <w:t xml:space="preserve"> та у Директиві 2013/36/EU, ця особа дотримується наступних умов:</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587"/>
            </w:tblGrid>
            <w:tr w:rsidR="00DE3173" w:rsidRPr="0043174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lastRenderedPageBreak/>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EF4EFE" w:rsidRPr="00BE1959" w:rsidRDefault="00CD169C" w:rsidP="00097FD3">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права власності третіх осіб на інструменти та кошти повинні бути захищені, особливо у випадку неплатоспроможності фірми або її </w:t>
                  </w:r>
                  <w:r w:rsidR="00097FD3" w:rsidRPr="00BE1959">
                    <w:rPr>
                      <w:rFonts w:ascii="Times New Roman" w:eastAsia="Times New Roman" w:hAnsi="Times New Roman" w:cs="Times New Roman"/>
                      <w:sz w:val="24"/>
                      <w:szCs w:val="24"/>
                      <w:lang w:val="uk-UA"/>
                    </w:rPr>
                    <w:t>власників, накладення арешту, вилучення або будь-якої іншої дії кредиторів фірми або її власників;</w:t>
                  </w:r>
                </w:p>
              </w:tc>
            </w:tr>
          </w:tbl>
          <w:p w:rsidR="005613AB" w:rsidRPr="00BE1959" w:rsidRDefault="005613AB" w:rsidP="005613AB">
            <w:pPr>
              <w:spacing w:after="0" w:line="240" w:lineRule="auto"/>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574"/>
            </w:tblGrid>
            <w:tr w:rsidR="00DE3173" w:rsidRPr="0043174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097FD3" w:rsidP="00097FD3">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фірма повинна підпадати під дію правил, розроблених для нагляду за платоспроможністю фірми та її власників;</w:t>
                  </w:r>
                </w:p>
              </w:tc>
            </w:tr>
          </w:tbl>
          <w:p w:rsidR="005613AB" w:rsidRPr="00BE1959" w:rsidRDefault="005613AB" w:rsidP="005613AB">
            <w:pPr>
              <w:spacing w:after="0" w:line="240" w:lineRule="auto"/>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587"/>
            </w:tblGrid>
            <w:tr w:rsidR="00DE3173" w:rsidRPr="0043174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068A2" w:rsidP="005068A2">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річні звіти фірми повинні бути перевірені однією чи декількома особами, уповноваженими відповідно до національного законодавства на проведення аудиторської перевірки звітності;</w:t>
                  </w:r>
                </w:p>
              </w:tc>
            </w:tr>
          </w:tbl>
          <w:p w:rsidR="005613AB" w:rsidRPr="00BE1959" w:rsidRDefault="005613AB" w:rsidP="005613AB">
            <w:pPr>
              <w:spacing w:after="0" w:line="240" w:lineRule="auto"/>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574"/>
            </w:tblGrid>
            <w:tr w:rsidR="00DE3173" w:rsidRPr="0043174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C300AC" w:rsidP="00C300AC">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якщо у фірми лише один власник, то ця особа повинна передбачити захист інвесторів у разі припинення діяльності фірми внаслідок смерті власники, обмеження його дієздатності або будь-якої подібної події;</w:t>
                  </w:r>
                </w:p>
              </w:tc>
            </w:tr>
          </w:tbl>
          <w:p w:rsidR="005613AB" w:rsidRPr="00BE1959" w:rsidRDefault="005613AB" w:rsidP="005613AB">
            <w:pPr>
              <w:spacing w:after="0" w:line="240" w:lineRule="auto"/>
              <w:rPr>
                <w:rFonts w:ascii="Times New Roman" w:eastAsia="Times New Roman" w:hAnsi="Times New Roman" w:cs="Times New Roman"/>
                <w:sz w:val="24"/>
                <w:szCs w:val="24"/>
                <w:lang w:val="uk-UA"/>
              </w:rPr>
            </w:pP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(2)</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7030EF"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«інвестиційні послуги та інвестиційна діяльність»</w:t>
            </w:r>
            <w:r w:rsidR="002A7419" w:rsidRPr="00BE1959">
              <w:rPr>
                <w:rFonts w:ascii="Times New Roman" w:eastAsia="Times New Roman" w:hAnsi="Times New Roman" w:cs="Times New Roman"/>
                <w:sz w:val="24"/>
                <w:szCs w:val="24"/>
                <w:lang w:val="uk-UA"/>
              </w:rPr>
              <w:t xml:space="preserve"> - будь-який з видів послуг чи діяльності, зазначених у розділі А Додатку І, стосовно будь-якого з інструментів, зазначених у розділі С Додатку І</w:t>
            </w:r>
            <w:r w:rsidR="00637BD3" w:rsidRPr="00BE1959">
              <w:rPr>
                <w:rFonts w:ascii="Times New Roman" w:eastAsia="Times New Roman" w:hAnsi="Times New Roman" w:cs="Times New Roman"/>
                <w:sz w:val="24"/>
                <w:szCs w:val="24"/>
                <w:lang w:val="uk-UA"/>
              </w:rPr>
              <w:t>.</w:t>
            </w:r>
          </w:p>
          <w:p w:rsidR="005613AB" w:rsidRPr="00BE1959" w:rsidRDefault="00637BD3" w:rsidP="00637BD3">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Комісія ухвалює делеговані акти відповідно до заходів, передбачених статтею 89, де визначає:</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587"/>
            </w:tblGrid>
            <w:tr w:rsidR="00DE3173" w:rsidRPr="0043174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C51E17" w:rsidP="00957CE3">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контракти на деривативи, зазначені у розділі С.6 Додатку І, </w:t>
                  </w:r>
                  <w:r w:rsidR="007744BE" w:rsidRPr="00BE1959">
                    <w:rPr>
                      <w:rFonts w:ascii="Times New Roman" w:eastAsia="Times New Roman" w:hAnsi="Times New Roman" w:cs="Times New Roman"/>
                      <w:sz w:val="24"/>
                      <w:szCs w:val="24"/>
                      <w:lang w:val="uk-UA"/>
                    </w:rPr>
                    <w:t>які мають характер</w:t>
                  </w:r>
                  <w:r w:rsidR="00957CE3" w:rsidRPr="00BE1959">
                    <w:rPr>
                      <w:rFonts w:ascii="Times New Roman" w:eastAsia="Times New Roman" w:hAnsi="Times New Roman" w:cs="Times New Roman"/>
                      <w:sz w:val="24"/>
                      <w:szCs w:val="24"/>
                      <w:lang w:val="uk-UA"/>
                    </w:rPr>
                    <w:t>ні ознаки</w:t>
                  </w:r>
                  <w:r w:rsidR="007744BE" w:rsidRPr="00BE1959">
                    <w:rPr>
                      <w:rFonts w:ascii="Times New Roman" w:eastAsia="Times New Roman" w:hAnsi="Times New Roman" w:cs="Times New Roman"/>
                      <w:sz w:val="24"/>
                      <w:szCs w:val="24"/>
                      <w:lang w:val="uk-UA"/>
                    </w:rPr>
                    <w:t xml:space="preserve"> </w:t>
                  </w:r>
                  <w:r w:rsidR="00FA048B" w:rsidRPr="00BE1959">
                    <w:rPr>
                      <w:rFonts w:ascii="Times New Roman" w:eastAsia="Times New Roman" w:hAnsi="Times New Roman" w:cs="Times New Roman"/>
                      <w:sz w:val="24"/>
                      <w:szCs w:val="24"/>
                      <w:lang w:val="uk-UA"/>
                    </w:rPr>
                    <w:t>оптових енергет</w:t>
                  </w:r>
                  <w:r w:rsidR="008854DA" w:rsidRPr="00BE1959">
                    <w:rPr>
                      <w:rFonts w:ascii="Times New Roman" w:eastAsia="Times New Roman" w:hAnsi="Times New Roman" w:cs="Times New Roman"/>
                      <w:sz w:val="24"/>
                      <w:szCs w:val="24"/>
                      <w:lang w:val="uk-UA"/>
                    </w:rPr>
                    <w:t>ичних товарів, що підпадають під фізичні розрахунки, та контракти на енергетичні деривативи</w:t>
                  </w:r>
                  <w:r w:rsidR="00EE634E" w:rsidRPr="00BE1959">
                    <w:rPr>
                      <w:rFonts w:ascii="Times New Roman" w:eastAsia="Times New Roman" w:hAnsi="Times New Roman" w:cs="Times New Roman"/>
                      <w:sz w:val="24"/>
                      <w:szCs w:val="24"/>
                      <w:lang w:val="uk-UA"/>
                    </w:rPr>
                    <w:t xml:space="preserve"> згідно з розділом С.6;</w:t>
                  </w:r>
                </w:p>
              </w:tc>
            </w:tr>
          </w:tbl>
          <w:p w:rsidR="005613AB" w:rsidRPr="00BE1959" w:rsidRDefault="005613AB" w:rsidP="005613AB">
            <w:pPr>
              <w:spacing w:after="0" w:line="240" w:lineRule="auto"/>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574"/>
            </w:tblGrid>
            <w:tr w:rsidR="00DE3173" w:rsidRPr="0043174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EE634E" w:rsidP="00957CE3">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контракти на деривативи, зазначені у розділі С.7 Додатку І, які мають характер</w:t>
                  </w:r>
                  <w:r w:rsidR="00957CE3" w:rsidRPr="00BE1959">
                    <w:rPr>
                      <w:rFonts w:ascii="Times New Roman" w:eastAsia="Times New Roman" w:hAnsi="Times New Roman" w:cs="Times New Roman"/>
                      <w:sz w:val="24"/>
                      <w:szCs w:val="24"/>
                      <w:lang w:val="uk-UA"/>
                    </w:rPr>
                    <w:t>ні ознаки</w:t>
                  </w:r>
                  <w:r w:rsidRPr="00BE1959">
                    <w:rPr>
                      <w:rFonts w:ascii="Times New Roman" w:eastAsia="Times New Roman" w:hAnsi="Times New Roman" w:cs="Times New Roman"/>
                      <w:sz w:val="24"/>
                      <w:szCs w:val="24"/>
                      <w:lang w:val="uk-UA"/>
                    </w:rPr>
                    <w:t xml:space="preserve"> </w:t>
                  </w:r>
                  <w:r w:rsidR="00957CE3" w:rsidRPr="00BE1959">
                    <w:rPr>
                      <w:rFonts w:ascii="Times New Roman" w:eastAsia="Times New Roman" w:hAnsi="Times New Roman" w:cs="Times New Roman"/>
                      <w:sz w:val="24"/>
                      <w:szCs w:val="24"/>
                      <w:lang w:val="uk-UA"/>
                    </w:rPr>
                    <w:t>інших похідних фінансових інструментів;</w:t>
                  </w:r>
                </w:p>
              </w:tc>
            </w:tr>
          </w:tbl>
          <w:p w:rsidR="005613AB" w:rsidRPr="00BE1959" w:rsidRDefault="005613AB" w:rsidP="005613AB">
            <w:pPr>
              <w:spacing w:after="0" w:line="240" w:lineRule="auto"/>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587"/>
            </w:tblGrid>
            <w:tr w:rsidR="00DE3173" w:rsidRPr="0043174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957CE3" w:rsidP="00632F2F">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контракти на деривативи, зазначені у розділі С.10 Додатку І, які мають характерні ознаки інших похідних фінансових інструментів</w:t>
                  </w:r>
                  <w:r w:rsidR="00E81491" w:rsidRPr="00BE1959">
                    <w:rPr>
                      <w:rFonts w:ascii="Times New Roman" w:eastAsia="Times New Roman" w:hAnsi="Times New Roman" w:cs="Times New Roman"/>
                      <w:sz w:val="24"/>
                      <w:szCs w:val="24"/>
                      <w:lang w:val="uk-UA"/>
                    </w:rPr>
                    <w:t>, з урахуванням, зокрема, того, чи торгують ними на регульованому ринку</w:t>
                  </w:r>
                  <w:r w:rsidR="00203EFB" w:rsidRPr="00BE1959">
                    <w:rPr>
                      <w:rFonts w:ascii="Times New Roman" w:eastAsia="Times New Roman" w:hAnsi="Times New Roman" w:cs="Times New Roman"/>
                      <w:sz w:val="24"/>
                      <w:szCs w:val="24"/>
                      <w:lang w:val="uk-UA"/>
                    </w:rPr>
                    <w:t xml:space="preserve">, </w:t>
                  </w:r>
                  <w:r w:rsidR="00632F2F" w:rsidRPr="00BE1959">
                    <w:rPr>
                      <w:rFonts w:ascii="Times New Roman" w:eastAsia="Times New Roman" w:hAnsi="Times New Roman" w:cs="Times New Roman"/>
                      <w:sz w:val="24"/>
                      <w:szCs w:val="24"/>
                      <w:lang w:val="uk-UA"/>
                    </w:rPr>
                    <w:t>на</w:t>
                  </w:r>
                  <w:r w:rsidR="00203EFB" w:rsidRPr="00BE1959">
                    <w:rPr>
                      <w:rFonts w:ascii="Times New Roman" w:eastAsia="Times New Roman" w:hAnsi="Times New Roman" w:cs="Times New Roman"/>
                      <w:sz w:val="24"/>
                      <w:szCs w:val="24"/>
                      <w:lang w:val="uk-UA"/>
                    </w:rPr>
                    <w:t xml:space="preserve"> </w:t>
                  </w:r>
                  <w:r w:rsidR="00312949" w:rsidRPr="00BE1959">
                    <w:rPr>
                      <w:rFonts w:ascii="Times New Roman" w:eastAsia="Times New Roman" w:hAnsi="Times New Roman" w:cs="Times New Roman"/>
                      <w:sz w:val="24"/>
                      <w:szCs w:val="24"/>
                      <w:lang w:val="uk-UA"/>
                    </w:rPr>
                    <w:t>Б</w:t>
                  </w:r>
                  <w:r w:rsidR="00F576DC" w:rsidRPr="00BE1959">
                    <w:rPr>
                      <w:rFonts w:ascii="Times New Roman" w:eastAsia="Times New Roman" w:hAnsi="Times New Roman" w:cs="Times New Roman"/>
                      <w:sz w:val="24"/>
                      <w:szCs w:val="24"/>
                      <w:lang w:val="uk-UA"/>
                    </w:rPr>
                    <w:t>Т</w:t>
                  </w:r>
                  <w:r w:rsidR="00F37AC6" w:rsidRPr="00BE1959">
                    <w:rPr>
                      <w:rFonts w:ascii="Times New Roman" w:eastAsia="Times New Roman" w:hAnsi="Times New Roman" w:cs="Times New Roman"/>
                      <w:sz w:val="24"/>
                      <w:szCs w:val="24"/>
                      <w:lang w:val="uk-UA"/>
                    </w:rPr>
                    <w:t>М</w:t>
                  </w:r>
                  <w:r w:rsidR="00312949" w:rsidRPr="00BE1959">
                    <w:rPr>
                      <w:rFonts w:ascii="Times New Roman" w:eastAsia="Times New Roman" w:hAnsi="Times New Roman" w:cs="Times New Roman"/>
                      <w:sz w:val="24"/>
                      <w:szCs w:val="24"/>
                      <w:lang w:val="uk-UA"/>
                    </w:rPr>
                    <w:t xml:space="preserve"> або О</w:t>
                  </w:r>
                  <w:r w:rsidR="00F576DC" w:rsidRPr="00BE1959">
                    <w:rPr>
                      <w:rFonts w:ascii="Times New Roman" w:eastAsia="Times New Roman" w:hAnsi="Times New Roman" w:cs="Times New Roman"/>
                      <w:sz w:val="24"/>
                      <w:szCs w:val="24"/>
                      <w:lang w:val="uk-UA"/>
                    </w:rPr>
                    <w:t>Т</w:t>
                  </w:r>
                  <w:r w:rsidR="00F37AC6" w:rsidRPr="00BE1959">
                    <w:rPr>
                      <w:rFonts w:ascii="Times New Roman" w:eastAsia="Times New Roman" w:hAnsi="Times New Roman" w:cs="Times New Roman"/>
                      <w:sz w:val="24"/>
                      <w:szCs w:val="24"/>
                      <w:lang w:val="uk-UA"/>
                    </w:rPr>
                    <w:t>М</w:t>
                  </w:r>
                  <w:r w:rsidR="00312949" w:rsidRPr="00BE1959">
                    <w:rPr>
                      <w:rFonts w:ascii="Times New Roman" w:eastAsia="Times New Roman" w:hAnsi="Times New Roman" w:cs="Times New Roman"/>
                      <w:sz w:val="24"/>
                      <w:szCs w:val="24"/>
                      <w:lang w:val="uk-UA"/>
                    </w:rPr>
                    <w:t>;</w:t>
                  </w:r>
                </w:p>
              </w:tc>
            </w:tr>
          </w:tbl>
          <w:p w:rsidR="005613AB" w:rsidRPr="00BE1959" w:rsidRDefault="005613AB" w:rsidP="005613AB">
            <w:pPr>
              <w:spacing w:after="0" w:line="240" w:lineRule="auto"/>
              <w:rPr>
                <w:rFonts w:ascii="Times New Roman" w:eastAsia="Times New Roman" w:hAnsi="Times New Roman" w:cs="Times New Roman"/>
                <w:sz w:val="24"/>
                <w:szCs w:val="24"/>
                <w:lang w:val="uk-UA"/>
              </w:rPr>
            </w:pP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29"/>
        <w:gridCol w:w="9036"/>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(3)</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AE3D75" w:rsidP="00012997">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«додаткові послуги»</w:t>
            </w:r>
            <w:r w:rsidR="00012997" w:rsidRPr="00BE1959">
              <w:rPr>
                <w:rFonts w:ascii="Times New Roman" w:eastAsia="Times New Roman" w:hAnsi="Times New Roman" w:cs="Times New Roman"/>
                <w:sz w:val="24"/>
                <w:szCs w:val="24"/>
                <w:lang w:val="uk-UA"/>
              </w:rPr>
              <w:t xml:space="preserve"> - будь-які з послуг, перерахованих у розділі В Додатку І;</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(4)</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312949" w:rsidP="00C62F06">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«інвестиційна порада» - надання особистих рекомендацій клієнту, чи то на його вимогу, чи то за ініціативою</w:t>
            </w:r>
            <w:r w:rsidR="00B34BC3" w:rsidRPr="00BE1959">
              <w:rPr>
                <w:rFonts w:ascii="Times New Roman" w:eastAsia="Times New Roman" w:hAnsi="Times New Roman" w:cs="Times New Roman"/>
                <w:sz w:val="24"/>
                <w:szCs w:val="24"/>
                <w:lang w:val="uk-UA"/>
              </w:rPr>
              <w:t xml:space="preserve"> інвестиційної фірми, щодо </w:t>
            </w:r>
            <w:r w:rsidR="00C62F06" w:rsidRPr="00BE1959">
              <w:rPr>
                <w:rFonts w:ascii="Times New Roman" w:eastAsia="Times New Roman" w:hAnsi="Times New Roman" w:cs="Times New Roman"/>
                <w:sz w:val="24"/>
                <w:szCs w:val="24"/>
                <w:lang w:val="uk-UA"/>
              </w:rPr>
              <w:t>однієї чи декількох угод, пов'язаних із фінансовими інструментами;</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(5)</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C62F06" w:rsidP="00126C59">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«виконання </w:t>
            </w:r>
            <w:r w:rsidR="00126C59" w:rsidRPr="00BE1959">
              <w:rPr>
                <w:rFonts w:ascii="Times New Roman" w:eastAsia="Times New Roman" w:hAnsi="Times New Roman" w:cs="Times New Roman"/>
                <w:sz w:val="24"/>
                <w:szCs w:val="24"/>
                <w:lang w:val="uk-UA"/>
              </w:rPr>
              <w:t>замовлень</w:t>
            </w:r>
            <w:r w:rsidRPr="00BE1959">
              <w:rPr>
                <w:rFonts w:ascii="Times New Roman" w:eastAsia="Times New Roman" w:hAnsi="Times New Roman" w:cs="Times New Roman"/>
                <w:sz w:val="24"/>
                <w:szCs w:val="24"/>
                <w:lang w:val="uk-UA"/>
              </w:rPr>
              <w:t xml:space="preserve"> від імені клієнтів» - вжиття дій з метою укладення угод про купівлю чи продаж одного чи декількох фінансових інструментів від імені клієнтів, зокрема укладення угод </w:t>
            </w:r>
            <w:r w:rsidR="002A3087" w:rsidRPr="00BE1959">
              <w:rPr>
                <w:rFonts w:ascii="Times New Roman" w:eastAsia="Times New Roman" w:hAnsi="Times New Roman" w:cs="Times New Roman"/>
                <w:sz w:val="24"/>
                <w:szCs w:val="24"/>
                <w:lang w:val="uk-UA"/>
              </w:rPr>
              <w:t>про продаж фінансових інструментів, випущених інвестиційною фірмою чи кредитною установою</w:t>
            </w:r>
            <w:r w:rsidR="0018498F" w:rsidRPr="00BE1959">
              <w:rPr>
                <w:rFonts w:ascii="Times New Roman" w:eastAsia="Times New Roman" w:hAnsi="Times New Roman" w:cs="Times New Roman"/>
                <w:sz w:val="24"/>
                <w:szCs w:val="24"/>
                <w:lang w:val="uk-UA"/>
              </w:rPr>
              <w:t>, у момент їхнього випуску;</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lastRenderedPageBreak/>
              <w:t>(6)</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18498F" w:rsidP="001D3804">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«здійснення операцій за власний рахунок»</w:t>
            </w:r>
            <w:r w:rsidR="00844BFF" w:rsidRPr="00BE1959">
              <w:rPr>
                <w:rFonts w:ascii="Times New Roman" w:eastAsia="Times New Roman" w:hAnsi="Times New Roman" w:cs="Times New Roman"/>
                <w:sz w:val="24"/>
                <w:szCs w:val="24"/>
                <w:lang w:val="uk-UA"/>
              </w:rPr>
              <w:t xml:space="preserve"> - торгівля за рахунок власного капіталу, що має </w:t>
            </w:r>
            <w:r w:rsidR="001D3804" w:rsidRPr="00BE1959">
              <w:rPr>
                <w:rFonts w:ascii="Times New Roman" w:eastAsia="Times New Roman" w:hAnsi="Times New Roman" w:cs="Times New Roman"/>
                <w:sz w:val="24"/>
                <w:szCs w:val="24"/>
                <w:lang w:val="uk-UA"/>
              </w:rPr>
              <w:t>своїм наслідком укладення угод щодо одного чи декількох фінансових інструментів;</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(7)</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1D3804" w:rsidP="00567428">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«маркет-мейкер» - особа, яка постійно позиціонує себе на фінансових ринках як</w:t>
            </w:r>
            <w:r w:rsidR="007F3D67" w:rsidRPr="00BE1959">
              <w:rPr>
                <w:rFonts w:ascii="Times New Roman" w:eastAsia="Times New Roman" w:hAnsi="Times New Roman" w:cs="Times New Roman"/>
                <w:sz w:val="24"/>
                <w:szCs w:val="24"/>
                <w:lang w:val="uk-UA"/>
              </w:rPr>
              <w:t xml:space="preserve"> готову</w:t>
            </w:r>
            <w:r w:rsidR="001D4E10" w:rsidRPr="00BE1959">
              <w:rPr>
                <w:rFonts w:ascii="Times New Roman" w:eastAsia="Times New Roman" w:hAnsi="Times New Roman" w:cs="Times New Roman"/>
                <w:sz w:val="24"/>
                <w:szCs w:val="24"/>
                <w:lang w:val="uk-UA"/>
              </w:rPr>
              <w:t xml:space="preserve"> здійснювати операції за власний рахунок, купляючи та продаючи фінансові інс</w:t>
            </w:r>
            <w:r w:rsidR="007F3D67" w:rsidRPr="00BE1959">
              <w:rPr>
                <w:rFonts w:ascii="Times New Roman" w:eastAsia="Times New Roman" w:hAnsi="Times New Roman" w:cs="Times New Roman"/>
                <w:sz w:val="24"/>
                <w:szCs w:val="24"/>
                <w:lang w:val="uk-UA"/>
              </w:rPr>
              <w:t>трументи за рахунок свого власного капіталу за встановленими нею цінами;</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(8)</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7428" w:rsidP="00F37AC6">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«управління </w:t>
            </w:r>
            <w:r w:rsidR="00C54639" w:rsidRPr="00BE1959">
              <w:rPr>
                <w:rFonts w:ascii="Times New Roman" w:eastAsia="Times New Roman" w:hAnsi="Times New Roman" w:cs="Times New Roman"/>
                <w:sz w:val="24"/>
                <w:szCs w:val="24"/>
                <w:lang w:val="uk-UA"/>
              </w:rPr>
              <w:t>портфелями» - управління портфелями клієнтів відповідно до наданих ними повноважен</w:t>
            </w:r>
            <w:r w:rsidR="00DC232C" w:rsidRPr="00BE1959">
              <w:rPr>
                <w:rFonts w:ascii="Times New Roman" w:eastAsia="Times New Roman" w:hAnsi="Times New Roman" w:cs="Times New Roman"/>
                <w:sz w:val="24"/>
                <w:szCs w:val="24"/>
                <w:lang w:val="uk-UA"/>
              </w:rPr>
              <w:t>ь на власний розсуд у індивідуальному порядку, де такі портфелі включають один чи декілька фінансових інструментів</w:t>
            </w:r>
            <w:r w:rsidR="00981269" w:rsidRPr="00BE1959">
              <w:rPr>
                <w:rFonts w:ascii="Times New Roman" w:eastAsia="Times New Roman" w:hAnsi="Times New Roman" w:cs="Times New Roman"/>
                <w:sz w:val="24"/>
                <w:szCs w:val="24"/>
                <w:lang w:val="uk-UA"/>
              </w:rPr>
              <w:t>;</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(9)</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F37AC6" w:rsidP="00F37AC6">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«клієнт» - фізична або юридична особа, якій інвестиційна фірма надає інвестиційні та (або) додаткові послуги;</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15"/>
        <w:gridCol w:w="895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(10)</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F37AC6" w:rsidP="00F37AC6">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«професійний клієнт» - клієнт, що відповідає критеріям, установленим у Додатку ІІ;</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79"/>
        <w:gridCol w:w="8786"/>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(11)</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F37AC6" w:rsidP="00AF3BF7">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w:t>
            </w:r>
            <w:r w:rsidR="00AF3BF7" w:rsidRPr="00BE1959">
              <w:rPr>
                <w:rFonts w:ascii="Times New Roman" w:eastAsia="Times New Roman" w:hAnsi="Times New Roman" w:cs="Times New Roman"/>
                <w:sz w:val="24"/>
                <w:szCs w:val="24"/>
                <w:lang w:val="uk-UA"/>
              </w:rPr>
              <w:t>роздрібний клієнт» - клієнт, який не є професійним клієнтом;</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96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(12)</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146E80" w:rsidP="00146E80">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«ринок МСП, що розвивається» - БТМ, зареєстрований як ринок МСП, що розвивається, відповідно до статті 33;</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96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(13)</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3C1E50" w:rsidP="00F151DA">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«малі та середні підприємства» для цілей цієї директиви </w:t>
            </w:r>
            <w:r w:rsidR="00094DC8" w:rsidRPr="00BE1959">
              <w:rPr>
                <w:rFonts w:ascii="Times New Roman" w:eastAsia="Times New Roman" w:hAnsi="Times New Roman" w:cs="Times New Roman"/>
                <w:sz w:val="24"/>
                <w:szCs w:val="24"/>
                <w:lang w:val="uk-UA"/>
              </w:rPr>
              <w:t>–</w:t>
            </w:r>
            <w:r w:rsidRPr="00BE1959">
              <w:rPr>
                <w:rFonts w:ascii="Times New Roman" w:eastAsia="Times New Roman" w:hAnsi="Times New Roman" w:cs="Times New Roman"/>
                <w:sz w:val="24"/>
                <w:szCs w:val="24"/>
                <w:lang w:val="uk-UA"/>
              </w:rPr>
              <w:t xml:space="preserve"> товариства</w:t>
            </w:r>
            <w:r w:rsidR="00094DC8" w:rsidRPr="00BE1959">
              <w:rPr>
                <w:rFonts w:ascii="Times New Roman" w:eastAsia="Times New Roman" w:hAnsi="Times New Roman" w:cs="Times New Roman"/>
                <w:sz w:val="24"/>
                <w:szCs w:val="24"/>
                <w:lang w:val="uk-UA"/>
              </w:rPr>
              <w:t xml:space="preserve">, середня ринкова капіталізація котрих менше 200 млн. євро на основі котирувань </w:t>
            </w:r>
            <w:r w:rsidR="00F151DA" w:rsidRPr="00BE1959">
              <w:rPr>
                <w:rFonts w:ascii="Times New Roman" w:eastAsia="Times New Roman" w:hAnsi="Times New Roman" w:cs="Times New Roman"/>
                <w:sz w:val="24"/>
                <w:szCs w:val="24"/>
                <w:lang w:val="uk-UA"/>
              </w:rPr>
              <w:t>на кінець року за три попередні календарні роки;</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96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(14)</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126C59" w:rsidP="0045579C">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«лімітне замовлення» - замовлення на купівлю чи продаж фінансового інструмента за визначеною або кращою ціною та у визначеній кількості</w:t>
            </w:r>
            <w:r w:rsidR="0045579C" w:rsidRPr="00BE1959">
              <w:rPr>
                <w:rFonts w:ascii="Times New Roman" w:eastAsia="Times New Roman" w:hAnsi="Times New Roman" w:cs="Times New Roman"/>
                <w:sz w:val="24"/>
                <w:szCs w:val="24"/>
                <w:lang w:val="uk-UA"/>
              </w:rPr>
              <w:t>;</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90"/>
        <w:gridCol w:w="8875"/>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(15)</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45579C" w:rsidP="0045579C">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«фінансовий інструмент» - інструменти, визначені у розділі С Додатку І;</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96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(16)</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F16E03" w:rsidP="006848F4">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«контракти на енергетичні деривативи за розділом 6» - опціони, ф’ючерси, свопи та будь-які інші контракти на деривативи, згадані у розділі С.6 Додатку І, </w:t>
            </w:r>
            <w:r w:rsidR="00632F2F" w:rsidRPr="00BE1959">
              <w:rPr>
                <w:rFonts w:ascii="Times New Roman" w:eastAsia="Times New Roman" w:hAnsi="Times New Roman" w:cs="Times New Roman"/>
                <w:sz w:val="24"/>
                <w:szCs w:val="24"/>
                <w:lang w:val="uk-UA"/>
              </w:rPr>
              <w:t>які</w:t>
            </w:r>
            <w:r w:rsidRPr="00BE1959">
              <w:rPr>
                <w:rFonts w:ascii="Times New Roman" w:eastAsia="Times New Roman" w:hAnsi="Times New Roman" w:cs="Times New Roman"/>
                <w:sz w:val="24"/>
                <w:szCs w:val="24"/>
                <w:lang w:val="uk-UA"/>
              </w:rPr>
              <w:t xml:space="preserve"> стосуються </w:t>
            </w:r>
            <w:r w:rsidR="00632F2F" w:rsidRPr="00BE1959">
              <w:rPr>
                <w:rFonts w:ascii="Times New Roman" w:eastAsia="Times New Roman" w:hAnsi="Times New Roman" w:cs="Times New Roman"/>
                <w:sz w:val="24"/>
                <w:szCs w:val="24"/>
                <w:lang w:val="uk-UA"/>
              </w:rPr>
              <w:t>вугілля чи нафти, якими торгують на ОТМ і які підпадають під</w:t>
            </w:r>
            <w:r w:rsidR="006848F4" w:rsidRPr="00BE1959">
              <w:rPr>
                <w:rFonts w:ascii="Times New Roman" w:eastAsia="Times New Roman" w:hAnsi="Times New Roman" w:cs="Times New Roman"/>
                <w:sz w:val="24"/>
                <w:szCs w:val="24"/>
                <w:lang w:val="uk-UA"/>
              </w:rPr>
              <w:t xml:space="preserve"> фізичні розрахунки;</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96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(17)</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6848F4" w:rsidP="003468D8">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«інс</w:t>
            </w:r>
            <w:r w:rsidR="003468D8" w:rsidRPr="00BE1959">
              <w:rPr>
                <w:rFonts w:ascii="Times New Roman" w:eastAsia="Times New Roman" w:hAnsi="Times New Roman" w:cs="Times New Roman"/>
                <w:sz w:val="24"/>
                <w:szCs w:val="24"/>
                <w:lang w:val="uk-UA"/>
              </w:rPr>
              <w:t>трументи грошового ринку» - ті класи</w:t>
            </w:r>
            <w:r w:rsidRPr="00BE1959">
              <w:rPr>
                <w:rFonts w:ascii="Times New Roman" w:eastAsia="Times New Roman" w:hAnsi="Times New Roman" w:cs="Times New Roman"/>
                <w:sz w:val="24"/>
                <w:szCs w:val="24"/>
                <w:lang w:val="uk-UA"/>
              </w:rPr>
              <w:t xml:space="preserve"> інструментів</w:t>
            </w:r>
            <w:r w:rsidR="00683286" w:rsidRPr="00BE1959">
              <w:rPr>
                <w:rFonts w:ascii="Times New Roman" w:eastAsia="Times New Roman" w:hAnsi="Times New Roman" w:cs="Times New Roman"/>
                <w:sz w:val="24"/>
                <w:szCs w:val="24"/>
                <w:lang w:val="uk-UA"/>
              </w:rPr>
              <w:t>,</w:t>
            </w:r>
            <w:r w:rsidRPr="00BE1959">
              <w:rPr>
                <w:rFonts w:ascii="Times New Roman" w:eastAsia="Times New Roman" w:hAnsi="Times New Roman" w:cs="Times New Roman"/>
                <w:sz w:val="24"/>
                <w:szCs w:val="24"/>
                <w:lang w:val="uk-UA"/>
              </w:rPr>
              <w:t xml:space="preserve"> якими зазвичай торгують на грошовому ринку, як-от казначейські векселі, депозитні сертифікати та </w:t>
            </w:r>
            <w:r w:rsidR="00FD1239" w:rsidRPr="00BE1959">
              <w:rPr>
                <w:rFonts w:ascii="Times New Roman" w:eastAsia="Times New Roman" w:hAnsi="Times New Roman" w:cs="Times New Roman"/>
                <w:sz w:val="24"/>
                <w:szCs w:val="24"/>
                <w:lang w:val="uk-UA"/>
              </w:rPr>
              <w:t>комерційні папери</w:t>
            </w:r>
            <w:r w:rsidR="00F2619B" w:rsidRPr="00BE1959">
              <w:rPr>
                <w:rFonts w:ascii="Times New Roman" w:eastAsia="Times New Roman" w:hAnsi="Times New Roman" w:cs="Times New Roman"/>
                <w:sz w:val="24"/>
                <w:szCs w:val="24"/>
                <w:lang w:val="uk-UA"/>
              </w:rPr>
              <w:t>, за винятком платіжних засобів</w:t>
            </w:r>
            <w:r w:rsidR="00683286" w:rsidRPr="00BE1959">
              <w:rPr>
                <w:rFonts w:ascii="Times New Roman" w:eastAsia="Times New Roman" w:hAnsi="Times New Roman" w:cs="Times New Roman"/>
                <w:sz w:val="24"/>
                <w:szCs w:val="24"/>
                <w:lang w:val="uk-UA"/>
              </w:rPr>
              <w:t>;</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96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(18)</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683286" w:rsidP="000D30E0">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«оператор ринку» - особа чи особи, які управляють діяльністю та (</w:t>
            </w:r>
            <w:r w:rsidR="000D30E0" w:rsidRPr="00BE1959">
              <w:rPr>
                <w:rFonts w:ascii="Times New Roman" w:eastAsia="Times New Roman" w:hAnsi="Times New Roman" w:cs="Times New Roman"/>
                <w:sz w:val="24"/>
                <w:szCs w:val="24"/>
                <w:lang w:val="uk-UA"/>
              </w:rPr>
              <w:t>або) організують діяльність регульованого ринку і які самі можуть бути регульованим ринком;</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96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(19)</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0D30E0" w:rsidP="001016D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w:t>
            </w:r>
            <w:r w:rsidR="00BF340B" w:rsidRPr="00BE1959">
              <w:rPr>
                <w:rFonts w:ascii="Times New Roman" w:eastAsia="Times New Roman" w:hAnsi="Times New Roman" w:cs="Times New Roman"/>
                <w:sz w:val="24"/>
                <w:szCs w:val="24"/>
                <w:lang w:val="uk-UA"/>
              </w:rPr>
              <w:t xml:space="preserve">багатостороння система» - система чи механізм, </w:t>
            </w:r>
            <w:r w:rsidR="001016DB" w:rsidRPr="00BE1959">
              <w:rPr>
                <w:rFonts w:ascii="Times New Roman" w:eastAsia="Times New Roman" w:hAnsi="Times New Roman" w:cs="Times New Roman"/>
                <w:sz w:val="24"/>
                <w:szCs w:val="24"/>
                <w:lang w:val="uk-UA"/>
              </w:rPr>
              <w:t>у якій (якому) численні інтереси третіх осіб щодо купівлі та продажу фінансових інструментів можуть взаємодіяти;</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96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lastRenderedPageBreak/>
              <w:t>(20)</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9F1575" w:rsidRPr="00BE1959" w:rsidRDefault="009F1575" w:rsidP="009F1575">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«систематичний учасник» - інвестиційна фірма, яка веде торгівлю за власний рахунок на організованій, частій, систематичній та істотній основі, виконуючи замовлення клієнтів поза регульованим ринком, БТМ або ОТМ без організації багатосторонньої системи;</w:t>
            </w:r>
          </w:p>
          <w:p w:rsidR="005613AB" w:rsidRPr="00BE1959" w:rsidRDefault="009F1575" w:rsidP="009F1575">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Часта і систематична основа вимірюється кількістю угод на ОТМ щодо даного фінансового інструменту, виконаних інвестиційною фірмою за власний рахунок при виконанні замовлень клієнтів. Істотна основа вимірюється або обсягом торгівлі на ОТМ, здійсненої інвестиційною фірмою, відносно загального обсягу її торгівлі конкретним фінансовим інструментом, або обсягом торгівлі на ОТМ, здійсненої інвестиційною фірмою, відносно загального обсягу конкретним фінансовим інструментом у Союзі. Визначення терміну «систематичний учасник» застосовується тільки у випадках, де перевищено встановлені межі як частої і систематичної основи, так і істотної основи, або де інвестиційна фірма вирішила дотримуватися режиму, що визначає діяльність систематичних учасників.</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96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(21)</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3C0FCF" w:rsidP="00CA63F2">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«регульований ринок»</w:t>
            </w:r>
            <w:r w:rsidR="009376A1" w:rsidRPr="00BE1959">
              <w:rPr>
                <w:rFonts w:ascii="Times New Roman" w:eastAsia="Times New Roman" w:hAnsi="Times New Roman" w:cs="Times New Roman"/>
                <w:sz w:val="24"/>
                <w:szCs w:val="24"/>
                <w:lang w:val="uk-UA"/>
              </w:rPr>
              <w:t xml:space="preserve"> - </w:t>
            </w:r>
            <w:r w:rsidR="00E1236C" w:rsidRPr="00BE1959">
              <w:rPr>
                <w:rFonts w:ascii="Times New Roman" w:eastAsia="Times New Roman" w:hAnsi="Times New Roman" w:cs="Times New Roman"/>
                <w:sz w:val="24"/>
                <w:szCs w:val="24"/>
                <w:lang w:val="uk-UA"/>
              </w:rPr>
              <w:t>уповноважена і регулярно функціонуюча</w:t>
            </w:r>
            <w:r w:rsidR="0099788E" w:rsidRPr="00BE1959">
              <w:rPr>
                <w:rFonts w:ascii="Times New Roman" w:eastAsia="Times New Roman" w:hAnsi="Times New Roman" w:cs="Times New Roman"/>
                <w:sz w:val="24"/>
                <w:szCs w:val="24"/>
                <w:lang w:val="uk-UA"/>
              </w:rPr>
              <w:t xml:space="preserve"> згідно з розділом ІІІ цієї директиви</w:t>
            </w:r>
            <w:r w:rsidR="00E1236C" w:rsidRPr="00BE1959">
              <w:rPr>
                <w:rFonts w:ascii="Times New Roman" w:eastAsia="Times New Roman" w:hAnsi="Times New Roman" w:cs="Times New Roman"/>
                <w:sz w:val="24"/>
                <w:szCs w:val="24"/>
                <w:lang w:val="uk-UA"/>
              </w:rPr>
              <w:t xml:space="preserve"> </w:t>
            </w:r>
            <w:r w:rsidR="009376A1" w:rsidRPr="00BE1959">
              <w:rPr>
                <w:rFonts w:ascii="Times New Roman" w:eastAsia="Times New Roman" w:hAnsi="Times New Roman" w:cs="Times New Roman"/>
                <w:sz w:val="24"/>
                <w:szCs w:val="24"/>
                <w:lang w:val="uk-UA"/>
              </w:rPr>
              <w:t>багатостороння система, обслуговувана і (або) керована оператором ринку</w:t>
            </w:r>
            <w:r w:rsidR="008C725C" w:rsidRPr="00BE1959">
              <w:rPr>
                <w:rFonts w:ascii="Times New Roman" w:eastAsia="Times New Roman" w:hAnsi="Times New Roman" w:cs="Times New Roman"/>
                <w:sz w:val="24"/>
                <w:szCs w:val="24"/>
                <w:lang w:val="uk-UA"/>
              </w:rPr>
              <w:t xml:space="preserve">, </w:t>
            </w:r>
            <w:r w:rsidR="00CA63F2" w:rsidRPr="00BE1959">
              <w:rPr>
                <w:rFonts w:ascii="Times New Roman" w:eastAsia="Times New Roman" w:hAnsi="Times New Roman" w:cs="Times New Roman"/>
                <w:sz w:val="24"/>
                <w:szCs w:val="24"/>
                <w:lang w:val="uk-UA"/>
              </w:rPr>
              <w:t>яка поєднує численні інтереси третіх сторін щодо купівлі-продажу фінансових інструментів – у даній системі та відповідно до її недискреційних правил – або сприяє поєднанню цих інтересів  у спосіб, що призводить до укладення контракту стосовно фінансових інструментів, допущених до обігу відповідно до її правил та (або) систем;</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96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(22)</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1016DB" w:rsidP="00A91DBD">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«багатосторонній торговельний майданчик», або «БТМ» - багатостороння система, керована інвестиційною фірмою чи оператором ринку, яка поєднує численні інтереси третіх сторін щодо купівлі-продажу фінансових інструментів – у даній системі та відповідно до її недискреційних правил – або сприяє поєднанню цих інтересів  у спосіб, що призводить до укладення контракту відповідно до розділу ІІ цієї директиви;</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96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(23)</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1016DB" w:rsidP="009368F1">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«організований торговельний майданчик», або «ОТМ» - багатостороння система, яка не є регульованим ринком або БТМ і в якій численні інтереси третіх осіб щодо купівлі та продажу облігацій, структурованих фінансових продуктів, квот на викиди </w:t>
            </w:r>
            <w:r w:rsidR="002431F3" w:rsidRPr="00BE1959">
              <w:rPr>
                <w:rFonts w:ascii="Times New Roman" w:eastAsia="Times New Roman" w:hAnsi="Times New Roman" w:cs="Times New Roman"/>
                <w:sz w:val="24"/>
                <w:szCs w:val="24"/>
                <w:lang w:val="uk-UA"/>
              </w:rPr>
              <w:t xml:space="preserve">або деривативів </w:t>
            </w:r>
            <w:r w:rsidRPr="00BE1959">
              <w:rPr>
                <w:rFonts w:ascii="Times New Roman" w:eastAsia="Times New Roman" w:hAnsi="Times New Roman" w:cs="Times New Roman"/>
                <w:sz w:val="24"/>
                <w:szCs w:val="24"/>
                <w:lang w:val="uk-UA"/>
              </w:rPr>
              <w:t>можуть взаємодіяти</w:t>
            </w:r>
            <w:r w:rsidR="00A91DBD" w:rsidRPr="00BE1959">
              <w:rPr>
                <w:rFonts w:ascii="Times New Roman" w:eastAsia="Times New Roman" w:hAnsi="Times New Roman" w:cs="Times New Roman"/>
                <w:sz w:val="24"/>
                <w:szCs w:val="24"/>
                <w:lang w:val="uk-UA"/>
              </w:rPr>
              <w:t xml:space="preserve"> </w:t>
            </w:r>
            <w:r w:rsidRPr="00BE1959">
              <w:rPr>
                <w:rFonts w:ascii="Times New Roman" w:eastAsia="Times New Roman" w:hAnsi="Times New Roman" w:cs="Times New Roman"/>
                <w:sz w:val="24"/>
                <w:szCs w:val="24"/>
                <w:lang w:val="uk-UA"/>
              </w:rPr>
              <w:t xml:space="preserve">у спосіб, що призводить до укладення контракту відповідно до розділу ІІ цієї директиви; </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48"/>
        <w:gridCol w:w="8817"/>
      </w:tblGrid>
      <w:tr w:rsidR="005665D6"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(24)</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65D6" w:rsidP="008E0DEE">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«торговельний майданчик</w:t>
            </w:r>
            <w:r w:rsidR="008E0DEE" w:rsidRPr="00BE1959">
              <w:rPr>
                <w:rFonts w:ascii="Times New Roman" w:eastAsia="Times New Roman" w:hAnsi="Times New Roman" w:cs="Times New Roman"/>
                <w:sz w:val="24"/>
                <w:szCs w:val="24"/>
                <w:lang w:val="uk-UA"/>
              </w:rPr>
              <w:t>»</w:t>
            </w:r>
            <w:r w:rsidR="005613AB" w:rsidRPr="00BE1959">
              <w:rPr>
                <w:rFonts w:ascii="Times New Roman" w:eastAsia="Times New Roman" w:hAnsi="Times New Roman" w:cs="Times New Roman"/>
                <w:sz w:val="24"/>
                <w:szCs w:val="24"/>
                <w:lang w:val="uk-UA"/>
              </w:rPr>
              <w:t xml:space="preserve"> </w:t>
            </w:r>
            <w:r w:rsidRPr="00BE1959">
              <w:rPr>
                <w:rFonts w:ascii="Times New Roman" w:eastAsia="Times New Roman" w:hAnsi="Times New Roman" w:cs="Times New Roman"/>
                <w:sz w:val="24"/>
                <w:szCs w:val="24"/>
                <w:lang w:val="uk-UA"/>
              </w:rPr>
              <w:t>- регульований ринок, БТМ або ОТМ;</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96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(25)</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65D6"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«ліквідний ринок» - ринок фінансового інструменту чи класу фінансових </w:t>
            </w:r>
            <w:r w:rsidR="003468D8" w:rsidRPr="00BE1959">
              <w:rPr>
                <w:rFonts w:ascii="Times New Roman" w:eastAsia="Times New Roman" w:hAnsi="Times New Roman" w:cs="Times New Roman"/>
                <w:sz w:val="24"/>
                <w:szCs w:val="24"/>
                <w:lang w:val="uk-UA"/>
              </w:rPr>
              <w:t>інструментів</w:t>
            </w:r>
            <w:r w:rsidR="00297DC4" w:rsidRPr="00BE1959">
              <w:rPr>
                <w:rFonts w:ascii="Times New Roman" w:eastAsia="Times New Roman" w:hAnsi="Times New Roman" w:cs="Times New Roman"/>
                <w:sz w:val="24"/>
                <w:szCs w:val="24"/>
                <w:lang w:val="uk-UA"/>
              </w:rPr>
              <w:t>, на якому постійно присутні готові та бажаючі покупці та продавці</w:t>
            </w:r>
            <w:r w:rsidR="00CD2AD4" w:rsidRPr="00BE1959">
              <w:rPr>
                <w:rFonts w:ascii="Times New Roman" w:eastAsia="Times New Roman" w:hAnsi="Times New Roman" w:cs="Times New Roman"/>
                <w:sz w:val="24"/>
                <w:szCs w:val="24"/>
                <w:lang w:val="uk-UA"/>
              </w:rPr>
              <w:t>, оцінюваний відповідно до наступних критеріїв з урахуванням конкретних ринкових структур даного фінансового інструменту або даного класу фінансових інструментів;</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467"/>
            </w:tblGrid>
            <w:tr w:rsidR="00DE3173" w:rsidRPr="0043174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lastRenderedPageBreak/>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4722" w:rsidP="00E72601">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середня частота і обсяг операцій за певного спектру ринкових умов з урахуванням характеру і </w:t>
                  </w:r>
                  <w:r w:rsidR="00813444" w:rsidRPr="00BE1959">
                    <w:rPr>
                      <w:rFonts w:ascii="Times New Roman" w:eastAsia="Times New Roman" w:hAnsi="Times New Roman" w:cs="Times New Roman"/>
                      <w:sz w:val="24"/>
                      <w:szCs w:val="24"/>
                      <w:lang w:val="uk-UA"/>
                    </w:rPr>
                    <w:t>життєвого циклу продуктів у рамках даного класу фінансового інструменту;</w:t>
                  </w:r>
                </w:p>
              </w:tc>
            </w:tr>
          </w:tbl>
          <w:p w:rsidR="005613AB" w:rsidRPr="00BE1959" w:rsidRDefault="005613AB" w:rsidP="005613AB">
            <w:pPr>
              <w:spacing w:after="0" w:line="240" w:lineRule="auto"/>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454"/>
            </w:tblGrid>
            <w:tr w:rsidR="00DE3173" w:rsidRPr="0043174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E72601" w:rsidP="00DF35B1">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кількість і тип учасників ринку</w:t>
                  </w:r>
                  <w:r w:rsidR="0007234A" w:rsidRPr="00BE1959">
                    <w:rPr>
                      <w:rFonts w:ascii="Times New Roman" w:eastAsia="Times New Roman" w:hAnsi="Times New Roman" w:cs="Times New Roman"/>
                      <w:sz w:val="24"/>
                      <w:szCs w:val="24"/>
                      <w:lang w:val="uk-UA"/>
                    </w:rPr>
                    <w:t xml:space="preserve">, зокрема співвідношення учасників ринку та </w:t>
                  </w:r>
                  <w:r w:rsidR="001A4AA8" w:rsidRPr="00BE1959">
                    <w:rPr>
                      <w:rFonts w:ascii="Times New Roman" w:eastAsia="Times New Roman" w:hAnsi="Times New Roman" w:cs="Times New Roman"/>
                      <w:sz w:val="24"/>
                      <w:szCs w:val="24"/>
                      <w:lang w:val="uk-UA"/>
                    </w:rPr>
                    <w:t>інструментів</w:t>
                  </w:r>
                  <w:r w:rsidR="00DF35B1" w:rsidRPr="00BE1959">
                    <w:rPr>
                      <w:rFonts w:ascii="Times New Roman" w:eastAsia="Times New Roman" w:hAnsi="Times New Roman" w:cs="Times New Roman"/>
                      <w:sz w:val="24"/>
                      <w:szCs w:val="24"/>
                      <w:lang w:val="uk-UA"/>
                    </w:rPr>
                    <w:t>, торгівля якими здійснюється,</w:t>
                  </w:r>
                  <w:r w:rsidR="001A4AA8" w:rsidRPr="00BE1959">
                    <w:rPr>
                      <w:rFonts w:ascii="Times New Roman" w:eastAsia="Times New Roman" w:hAnsi="Times New Roman" w:cs="Times New Roman"/>
                      <w:sz w:val="24"/>
                      <w:szCs w:val="24"/>
                      <w:lang w:val="uk-UA"/>
                    </w:rPr>
                    <w:t xml:space="preserve"> за конкретним продуктом</w:t>
                  </w:r>
                  <w:r w:rsidR="00DF35B1" w:rsidRPr="00BE1959">
                    <w:rPr>
                      <w:rFonts w:ascii="Times New Roman" w:eastAsia="Times New Roman" w:hAnsi="Times New Roman" w:cs="Times New Roman"/>
                      <w:sz w:val="24"/>
                      <w:szCs w:val="24"/>
                      <w:lang w:val="uk-UA"/>
                    </w:rPr>
                    <w:t>;</w:t>
                  </w:r>
                </w:p>
              </w:tc>
            </w:tr>
          </w:tbl>
          <w:p w:rsidR="005613AB" w:rsidRPr="00BE1959" w:rsidRDefault="005613AB" w:rsidP="005613AB">
            <w:pPr>
              <w:spacing w:after="0" w:line="240" w:lineRule="auto"/>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467"/>
            </w:tblGrid>
            <w:tr w:rsidR="00DE3173" w:rsidRPr="0043174D" w:rsidTr="00DF35B1">
              <w:tc>
                <w:tcPr>
                  <w:tcW w:w="191"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(c)</w:t>
                  </w:r>
                </w:p>
              </w:tc>
              <w:tc>
                <w:tcPr>
                  <w:tcW w:w="4809"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DF35B1" w:rsidP="00DF35B1">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середній розмір спредів, якщо вони наявні;</w:t>
                  </w:r>
                </w:p>
              </w:tc>
            </w:tr>
          </w:tbl>
          <w:p w:rsidR="005613AB" w:rsidRPr="00BE1959" w:rsidRDefault="005613AB" w:rsidP="005613AB">
            <w:pPr>
              <w:spacing w:after="0" w:line="240" w:lineRule="auto"/>
              <w:rPr>
                <w:rFonts w:ascii="Times New Roman" w:eastAsia="Times New Roman" w:hAnsi="Times New Roman" w:cs="Times New Roman"/>
                <w:sz w:val="24"/>
                <w:szCs w:val="24"/>
                <w:lang w:val="uk-UA"/>
              </w:rPr>
            </w:pP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96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(26)</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DF35B1" w:rsidP="00C25C60">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«компетентний орган»</w:t>
            </w:r>
            <w:r w:rsidR="008E3856" w:rsidRPr="00BE1959">
              <w:rPr>
                <w:rFonts w:ascii="Times New Roman" w:eastAsia="Times New Roman" w:hAnsi="Times New Roman" w:cs="Times New Roman"/>
                <w:sz w:val="24"/>
                <w:szCs w:val="24"/>
                <w:lang w:val="uk-UA"/>
              </w:rPr>
              <w:t xml:space="preserve"> - орган, призначений кожною-державою членом відповідно до статті 67, якщо у цій директиві </w:t>
            </w:r>
            <w:r w:rsidR="00C25C60" w:rsidRPr="00BE1959">
              <w:rPr>
                <w:rFonts w:ascii="Times New Roman" w:eastAsia="Times New Roman" w:hAnsi="Times New Roman" w:cs="Times New Roman"/>
                <w:sz w:val="24"/>
                <w:szCs w:val="24"/>
                <w:lang w:val="uk-UA"/>
              </w:rPr>
              <w:t>не зазначено інше;</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96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(27)</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C25C60" w:rsidP="00C11882">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«кредитна установа</w:t>
            </w:r>
            <w:r w:rsidR="00C11882" w:rsidRPr="00BE1959">
              <w:rPr>
                <w:rFonts w:ascii="Times New Roman" w:eastAsia="Times New Roman" w:hAnsi="Times New Roman" w:cs="Times New Roman"/>
                <w:sz w:val="24"/>
                <w:szCs w:val="24"/>
                <w:lang w:val="uk-UA"/>
              </w:rPr>
              <w:t>» - кредитна установа згідно з визначенням у п. (1) статті 4(1) Регламенту</w:t>
            </w:r>
            <w:r w:rsidR="005613AB" w:rsidRPr="00BE1959">
              <w:rPr>
                <w:rFonts w:ascii="Times New Roman" w:eastAsia="Times New Roman" w:hAnsi="Times New Roman" w:cs="Times New Roman"/>
                <w:sz w:val="24"/>
                <w:szCs w:val="24"/>
                <w:lang w:val="uk-UA"/>
              </w:rPr>
              <w:t xml:space="preserve"> (EU) </w:t>
            </w:r>
            <w:r w:rsidR="00C11882" w:rsidRPr="00BE1959">
              <w:rPr>
                <w:rFonts w:ascii="Times New Roman" w:eastAsia="Times New Roman" w:hAnsi="Times New Roman" w:cs="Times New Roman"/>
                <w:sz w:val="24"/>
                <w:szCs w:val="24"/>
                <w:lang w:val="uk-UA"/>
              </w:rPr>
              <w:t>№</w:t>
            </w:r>
            <w:r w:rsidR="005613AB" w:rsidRPr="00BE1959">
              <w:rPr>
                <w:rFonts w:ascii="Times New Roman" w:eastAsia="Times New Roman" w:hAnsi="Times New Roman" w:cs="Times New Roman"/>
                <w:sz w:val="24"/>
                <w:szCs w:val="24"/>
                <w:lang w:val="uk-UA"/>
              </w:rPr>
              <w:t> 575/2013;</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96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(28)</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D81D4F" w:rsidP="00E20149">
            <w:pPr>
              <w:spacing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 </w:t>
            </w:r>
            <w:r w:rsidR="00003CFA" w:rsidRPr="00BE1959">
              <w:rPr>
                <w:rFonts w:ascii="Times New Roman" w:eastAsia="Times New Roman" w:hAnsi="Times New Roman" w:cs="Times New Roman"/>
                <w:sz w:val="24"/>
                <w:szCs w:val="24"/>
                <w:lang w:val="uk-UA"/>
              </w:rPr>
              <w:t>«управляюча компанія UCITS» - управляюча компанія</w:t>
            </w:r>
            <w:r w:rsidRPr="00BE1959">
              <w:rPr>
                <w:rFonts w:ascii="Times New Roman" w:eastAsia="Times New Roman" w:hAnsi="Times New Roman" w:cs="Times New Roman"/>
                <w:sz w:val="24"/>
                <w:szCs w:val="24"/>
                <w:lang w:val="uk-UA"/>
              </w:rPr>
              <w:t xml:space="preserve"> згідно з визначенням у п.</w:t>
            </w:r>
            <w:r w:rsidR="005613AB" w:rsidRPr="00BE1959">
              <w:rPr>
                <w:rFonts w:ascii="Times New Roman" w:eastAsia="Times New Roman" w:hAnsi="Times New Roman" w:cs="Times New Roman"/>
                <w:sz w:val="24"/>
                <w:szCs w:val="24"/>
                <w:lang w:val="uk-UA"/>
              </w:rPr>
              <w:t xml:space="preserve"> (b) </w:t>
            </w:r>
            <w:r w:rsidRPr="00BE1959">
              <w:rPr>
                <w:rFonts w:ascii="Times New Roman" w:eastAsia="Times New Roman" w:hAnsi="Times New Roman" w:cs="Times New Roman"/>
                <w:sz w:val="24"/>
                <w:szCs w:val="24"/>
                <w:lang w:val="uk-UA"/>
              </w:rPr>
              <w:t>статті 2(1) Директиви</w:t>
            </w:r>
            <w:r w:rsidR="005613AB" w:rsidRPr="00BE1959">
              <w:rPr>
                <w:rFonts w:ascii="Times New Roman" w:eastAsia="Times New Roman" w:hAnsi="Times New Roman" w:cs="Times New Roman"/>
                <w:sz w:val="24"/>
                <w:szCs w:val="24"/>
                <w:lang w:val="uk-UA"/>
              </w:rPr>
              <w:t xml:space="preserve"> </w:t>
            </w:r>
            <w:r w:rsidRPr="00BE1959">
              <w:rPr>
                <w:rFonts w:ascii="Times New Roman" w:eastAsia="Times New Roman" w:hAnsi="Times New Roman" w:cs="Times New Roman"/>
                <w:sz w:val="24"/>
                <w:szCs w:val="24"/>
                <w:lang w:val="uk-UA"/>
              </w:rPr>
              <w:t>2009/65/</w:t>
            </w:r>
            <w:r w:rsidR="005613AB" w:rsidRPr="00BE1959">
              <w:rPr>
                <w:rFonts w:ascii="Times New Roman" w:eastAsia="Times New Roman" w:hAnsi="Times New Roman" w:cs="Times New Roman"/>
                <w:sz w:val="24"/>
                <w:szCs w:val="24"/>
                <w:lang w:val="uk-UA"/>
              </w:rPr>
              <w:t xml:space="preserve">EC </w:t>
            </w:r>
            <w:r w:rsidR="00E20149" w:rsidRPr="00BE1959">
              <w:rPr>
                <w:rFonts w:ascii="Times New Roman" w:eastAsia="Times New Roman" w:hAnsi="Times New Roman" w:cs="Times New Roman"/>
                <w:sz w:val="24"/>
                <w:szCs w:val="24"/>
                <w:lang w:val="uk-UA"/>
              </w:rPr>
              <w:t>Європейського Парламенту та Ради</w:t>
            </w:r>
            <w:hyperlink r:id="rId48" w:anchor="ntr43-L_2014173EN.01034901-E0043" w:history="1">
              <w:r w:rsidR="005613AB" w:rsidRPr="00BE1959">
                <w:rPr>
                  <w:rFonts w:ascii="Times New Roman" w:eastAsia="Times New Roman" w:hAnsi="Times New Roman" w:cs="Times New Roman"/>
                  <w:sz w:val="24"/>
                  <w:szCs w:val="24"/>
                  <w:bdr w:val="none" w:sz="0" w:space="0" w:color="auto" w:frame="1"/>
                  <w:lang w:val="uk-UA"/>
                </w:rPr>
                <w:t> (</w:t>
              </w:r>
              <w:r w:rsidR="005613AB" w:rsidRPr="00BE1959">
                <w:rPr>
                  <w:rFonts w:ascii="Times New Roman" w:eastAsia="Times New Roman" w:hAnsi="Times New Roman" w:cs="Times New Roman"/>
                  <w:sz w:val="24"/>
                  <w:szCs w:val="24"/>
                  <w:bdr w:val="none" w:sz="0" w:space="0" w:color="auto" w:frame="1"/>
                  <w:vertAlign w:val="superscript"/>
                  <w:lang w:val="uk-UA"/>
                </w:rPr>
                <w:t>43</w:t>
              </w:r>
              <w:r w:rsidR="005613AB" w:rsidRPr="00BE1959">
                <w:rPr>
                  <w:rFonts w:ascii="Times New Roman" w:eastAsia="Times New Roman" w:hAnsi="Times New Roman" w:cs="Times New Roman"/>
                  <w:sz w:val="24"/>
                  <w:szCs w:val="24"/>
                  <w:bdr w:val="none" w:sz="0" w:space="0" w:color="auto" w:frame="1"/>
                  <w:lang w:val="uk-UA"/>
                </w:rPr>
                <w:t>)</w:t>
              </w:r>
            </w:hyperlink>
            <w:r w:rsidR="005613AB" w:rsidRPr="00BE1959">
              <w:rPr>
                <w:rFonts w:ascii="Times New Roman" w:eastAsia="Times New Roman" w:hAnsi="Times New Roman" w:cs="Times New Roman"/>
                <w:sz w:val="24"/>
                <w:szCs w:val="24"/>
                <w:lang w:val="uk-UA"/>
              </w:rPr>
              <w:t>;</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96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(29)</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E20149" w:rsidP="00782BEF">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«пов'язаний агент» - фізична чи юридична особа, яка, під повною та </w:t>
            </w:r>
            <w:r w:rsidR="00782BEF" w:rsidRPr="00BE1959">
              <w:rPr>
                <w:rFonts w:ascii="Times New Roman" w:eastAsia="Times New Roman" w:hAnsi="Times New Roman" w:cs="Times New Roman"/>
                <w:sz w:val="24"/>
                <w:szCs w:val="24"/>
                <w:lang w:val="uk-UA"/>
              </w:rPr>
              <w:t>безумовною відповідальністю лише однієї інвестиційної фірми, від імені якої вона виступає, сприяє наданню інвестиційних і (або) додаткових послуг клієнтам або можливим клієнтам, отримує та передає вказівки чи замовлення від клієнта щодо інвестиційних послуг або фінансових інструментів, розміщує фінансові інструменти або надає поради клієнтам чи можливим клієнтам щодо цих фінансових інструментів або послуг;</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96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(30)</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A0486A" w:rsidP="00506921">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«філія» - </w:t>
            </w:r>
            <w:r w:rsidR="005D0AD1" w:rsidRPr="00BE1959">
              <w:rPr>
                <w:rFonts w:ascii="Times New Roman" w:eastAsia="Times New Roman" w:hAnsi="Times New Roman" w:cs="Times New Roman"/>
                <w:sz w:val="24"/>
                <w:szCs w:val="24"/>
                <w:lang w:val="uk-UA"/>
              </w:rPr>
              <w:t>інше місце ведення діяльності, ніж головна контора, яке є частиною інвестиційної</w:t>
            </w:r>
            <w:r w:rsidR="006F5713" w:rsidRPr="00BE1959">
              <w:rPr>
                <w:rFonts w:ascii="Times New Roman" w:eastAsia="Times New Roman" w:hAnsi="Times New Roman" w:cs="Times New Roman"/>
                <w:sz w:val="24"/>
                <w:szCs w:val="24"/>
                <w:lang w:val="uk-UA"/>
              </w:rPr>
              <w:t xml:space="preserve"> фірми, не має статус юридичної особи, надає інвестиційні послуги і (або) веде інвестиційну діяльність і може також надавати додаткові послуги, на надання яких інвестиційна фірма уповноважена; усі місця ведення діяльності</w:t>
            </w:r>
            <w:r w:rsidR="00506921" w:rsidRPr="00BE1959">
              <w:rPr>
                <w:rFonts w:ascii="Times New Roman" w:eastAsia="Times New Roman" w:hAnsi="Times New Roman" w:cs="Times New Roman"/>
                <w:sz w:val="24"/>
                <w:szCs w:val="24"/>
                <w:lang w:val="uk-UA"/>
              </w:rPr>
              <w:t>, організовані в одній державі-члені інвестиційною фірмою, головна контора якої розташована в іншій державі члені, вважаються єдиною філією;</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96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(31)</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FC05C4" w:rsidP="00D807D5">
            <w:pPr>
              <w:spacing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w:t>
            </w:r>
            <w:r w:rsidR="00D807D5" w:rsidRPr="00BE1959">
              <w:rPr>
                <w:rFonts w:ascii="Times New Roman" w:eastAsia="Times New Roman" w:hAnsi="Times New Roman" w:cs="Times New Roman"/>
                <w:sz w:val="24"/>
                <w:szCs w:val="24"/>
                <w:lang w:val="uk-UA"/>
              </w:rPr>
              <w:t>кваліфікована частка участі</w:t>
            </w:r>
            <w:r w:rsidRPr="00BE1959">
              <w:rPr>
                <w:rFonts w:ascii="Times New Roman" w:eastAsia="Times New Roman" w:hAnsi="Times New Roman" w:cs="Times New Roman"/>
                <w:sz w:val="24"/>
                <w:szCs w:val="24"/>
                <w:lang w:val="uk-UA"/>
              </w:rPr>
              <w:t xml:space="preserve">» - </w:t>
            </w:r>
            <w:r w:rsidR="00D43389" w:rsidRPr="00BE1959">
              <w:rPr>
                <w:rFonts w:ascii="Times New Roman" w:eastAsia="Times New Roman" w:hAnsi="Times New Roman" w:cs="Times New Roman"/>
                <w:sz w:val="24"/>
                <w:szCs w:val="24"/>
                <w:lang w:val="uk-UA"/>
              </w:rPr>
              <w:t xml:space="preserve">частка прямої або непрямої </w:t>
            </w:r>
            <w:r w:rsidR="00CE262A" w:rsidRPr="00BE1959">
              <w:rPr>
                <w:rFonts w:ascii="Times New Roman" w:eastAsia="Times New Roman" w:hAnsi="Times New Roman" w:cs="Times New Roman"/>
                <w:sz w:val="24"/>
                <w:szCs w:val="24"/>
                <w:lang w:val="uk-UA"/>
              </w:rPr>
              <w:t xml:space="preserve">участі в інвестиційній фірмі, що </w:t>
            </w:r>
            <w:r w:rsidR="00D43389" w:rsidRPr="00BE1959">
              <w:rPr>
                <w:rFonts w:ascii="Times New Roman" w:eastAsia="Times New Roman" w:hAnsi="Times New Roman" w:cs="Times New Roman"/>
                <w:sz w:val="24"/>
                <w:szCs w:val="24"/>
                <w:lang w:val="uk-UA"/>
              </w:rPr>
              <w:t>представляє</w:t>
            </w:r>
            <w:r w:rsidR="00CE262A" w:rsidRPr="00BE1959">
              <w:rPr>
                <w:rFonts w:ascii="Times New Roman" w:eastAsia="Times New Roman" w:hAnsi="Times New Roman" w:cs="Times New Roman"/>
                <w:sz w:val="24"/>
                <w:szCs w:val="24"/>
                <w:lang w:val="uk-UA"/>
              </w:rPr>
              <w:t xml:space="preserve"> 10% або більше капіталу чи прав голосу, згідно зі статтями 9 та 10 Директиви 2004/109/EC Європейського Парламенту та Ради</w:t>
            </w:r>
            <w:hyperlink r:id="rId49" w:anchor="ntr44-L_2014173EN.01034901-E0044" w:history="1">
              <w:r w:rsidR="005613AB" w:rsidRPr="00BE1959">
                <w:rPr>
                  <w:rFonts w:ascii="Times New Roman" w:eastAsia="Times New Roman" w:hAnsi="Times New Roman" w:cs="Times New Roman"/>
                  <w:sz w:val="24"/>
                  <w:szCs w:val="24"/>
                  <w:bdr w:val="none" w:sz="0" w:space="0" w:color="auto" w:frame="1"/>
                  <w:lang w:val="uk-UA"/>
                </w:rPr>
                <w:t> (</w:t>
              </w:r>
              <w:r w:rsidR="005613AB" w:rsidRPr="00BE1959">
                <w:rPr>
                  <w:rFonts w:ascii="Times New Roman" w:eastAsia="Times New Roman" w:hAnsi="Times New Roman" w:cs="Times New Roman"/>
                  <w:sz w:val="24"/>
                  <w:szCs w:val="24"/>
                  <w:bdr w:val="none" w:sz="0" w:space="0" w:color="auto" w:frame="1"/>
                  <w:vertAlign w:val="superscript"/>
                  <w:lang w:val="uk-UA"/>
                </w:rPr>
                <w:t>44</w:t>
              </w:r>
              <w:r w:rsidR="005613AB" w:rsidRPr="00BE1959">
                <w:rPr>
                  <w:rFonts w:ascii="Times New Roman" w:eastAsia="Times New Roman" w:hAnsi="Times New Roman" w:cs="Times New Roman"/>
                  <w:sz w:val="24"/>
                  <w:szCs w:val="24"/>
                  <w:bdr w:val="none" w:sz="0" w:space="0" w:color="auto" w:frame="1"/>
                  <w:lang w:val="uk-UA"/>
                </w:rPr>
                <w:t>)</w:t>
              </w:r>
            </w:hyperlink>
            <w:r w:rsidR="005613AB" w:rsidRPr="00BE1959">
              <w:rPr>
                <w:rFonts w:ascii="Times New Roman" w:eastAsia="Times New Roman" w:hAnsi="Times New Roman" w:cs="Times New Roman"/>
                <w:sz w:val="24"/>
                <w:szCs w:val="24"/>
                <w:lang w:val="uk-UA"/>
              </w:rPr>
              <w:t xml:space="preserve">, </w:t>
            </w:r>
            <w:r w:rsidR="00CE262A" w:rsidRPr="00BE1959">
              <w:rPr>
                <w:rFonts w:ascii="Times New Roman" w:eastAsia="Times New Roman" w:hAnsi="Times New Roman" w:cs="Times New Roman"/>
                <w:sz w:val="24"/>
                <w:szCs w:val="24"/>
                <w:lang w:val="uk-UA"/>
              </w:rPr>
              <w:t>з ура</w:t>
            </w:r>
            <w:r w:rsidR="00D43389" w:rsidRPr="00BE1959">
              <w:rPr>
                <w:rFonts w:ascii="Times New Roman" w:eastAsia="Times New Roman" w:hAnsi="Times New Roman" w:cs="Times New Roman"/>
                <w:sz w:val="24"/>
                <w:szCs w:val="24"/>
                <w:lang w:val="uk-UA"/>
              </w:rPr>
              <w:t xml:space="preserve">хуванням умов </w:t>
            </w:r>
            <w:r w:rsidR="00D807D5" w:rsidRPr="00BE1959">
              <w:rPr>
                <w:rFonts w:ascii="Times New Roman" w:eastAsia="Times New Roman" w:hAnsi="Times New Roman" w:cs="Times New Roman"/>
                <w:sz w:val="24"/>
                <w:szCs w:val="24"/>
                <w:lang w:val="uk-UA"/>
              </w:rPr>
              <w:t>щодо</w:t>
            </w:r>
            <w:r w:rsidR="00D43389" w:rsidRPr="00BE1959">
              <w:rPr>
                <w:rFonts w:ascii="Times New Roman" w:eastAsia="Times New Roman" w:hAnsi="Times New Roman" w:cs="Times New Roman"/>
                <w:sz w:val="24"/>
                <w:szCs w:val="24"/>
                <w:lang w:val="uk-UA"/>
              </w:rPr>
              <w:t xml:space="preserve"> їхнього агрегування, викладених у статті 12(4) та (5) вищезгаданої директиви, або  що дозволяє здійснювати суттєвий вплив на управління інвестиційною фірмою, в яку зроблено цей внесок;</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96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(32)</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354F4F" w:rsidP="00354F4F">
            <w:pPr>
              <w:spacing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«материнське підприємство» - материнське підприємство у значенні, наведеному в статтях 2(9) та 22 Директиви</w:t>
            </w:r>
            <w:r w:rsidR="005613AB" w:rsidRPr="00BE1959">
              <w:rPr>
                <w:rFonts w:ascii="Times New Roman" w:eastAsia="Times New Roman" w:hAnsi="Times New Roman" w:cs="Times New Roman"/>
                <w:sz w:val="24"/>
                <w:szCs w:val="24"/>
                <w:lang w:val="uk-UA"/>
              </w:rPr>
              <w:t xml:space="preserve"> 2013/34/EU </w:t>
            </w:r>
            <w:r w:rsidRPr="00BE1959">
              <w:rPr>
                <w:rFonts w:ascii="Times New Roman" w:eastAsia="Times New Roman" w:hAnsi="Times New Roman" w:cs="Times New Roman"/>
                <w:sz w:val="24"/>
                <w:szCs w:val="24"/>
                <w:lang w:val="uk-UA"/>
              </w:rPr>
              <w:t>Європейського Парламенту та Ради</w:t>
            </w:r>
            <w:hyperlink r:id="rId50" w:anchor="ntr45-L_2014173EN.01034901-E0045" w:history="1">
              <w:r w:rsidR="005613AB" w:rsidRPr="00BE1959">
                <w:rPr>
                  <w:rFonts w:ascii="Times New Roman" w:eastAsia="Times New Roman" w:hAnsi="Times New Roman" w:cs="Times New Roman"/>
                  <w:sz w:val="24"/>
                  <w:szCs w:val="24"/>
                  <w:bdr w:val="none" w:sz="0" w:space="0" w:color="auto" w:frame="1"/>
                  <w:lang w:val="uk-UA"/>
                </w:rPr>
                <w:t> (</w:t>
              </w:r>
              <w:r w:rsidR="005613AB" w:rsidRPr="00BE1959">
                <w:rPr>
                  <w:rFonts w:ascii="Times New Roman" w:eastAsia="Times New Roman" w:hAnsi="Times New Roman" w:cs="Times New Roman"/>
                  <w:sz w:val="24"/>
                  <w:szCs w:val="24"/>
                  <w:bdr w:val="none" w:sz="0" w:space="0" w:color="auto" w:frame="1"/>
                  <w:vertAlign w:val="superscript"/>
                  <w:lang w:val="uk-UA"/>
                </w:rPr>
                <w:t>45</w:t>
              </w:r>
              <w:r w:rsidR="005613AB" w:rsidRPr="00BE1959">
                <w:rPr>
                  <w:rFonts w:ascii="Times New Roman" w:eastAsia="Times New Roman" w:hAnsi="Times New Roman" w:cs="Times New Roman"/>
                  <w:sz w:val="24"/>
                  <w:szCs w:val="24"/>
                  <w:bdr w:val="none" w:sz="0" w:space="0" w:color="auto" w:frame="1"/>
                  <w:lang w:val="uk-UA"/>
                </w:rPr>
                <w:t>)</w:t>
              </w:r>
            </w:hyperlink>
            <w:r w:rsidR="005613AB" w:rsidRPr="00BE1959">
              <w:rPr>
                <w:rFonts w:ascii="Times New Roman" w:eastAsia="Times New Roman" w:hAnsi="Times New Roman" w:cs="Times New Roman"/>
                <w:sz w:val="24"/>
                <w:szCs w:val="24"/>
                <w:lang w:val="uk-UA"/>
              </w:rPr>
              <w:t>;</w:t>
            </w:r>
            <w:r w:rsidR="00922EAA" w:rsidRPr="00BE1959">
              <w:rPr>
                <w:rFonts w:ascii="Times New Roman" w:eastAsia="Times New Roman" w:hAnsi="Times New Roman" w:cs="Times New Roman"/>
                <w:iCs/>
                <w:color w:val="000000"/>
                <w:szCs w:val="20"/>
                <w:bdr w:val="none" w:sz="0" w:space="0" w:color="auto" w:frame="1"/>
                <w:lang w:val="uk-UA" w:eastAsia="ru-RU"/>
              </w:rPr>
              <w:t xml:space="preserve"> </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96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(33)</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354F4F" w:rsidP="008E0DEE">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«дочірнє підприємство» - дочірнє підприємство у значенні, наведеному в статтях </w:t>
            </w:r>
            <w:r w:rsidRPr="00BE1959">
              <w:rPr>
                <w:rFonts w:ascii="Times New Roman" w:eastAsia="Times New Roman" w:hAnsi="Times New Roman" w:cs="Times New Roman"/>
                <w:sz w:val="24"/>
                <w:szCs w:val="24"/>
                <w:lang w:val="uk-UA"/>
              </w:rPr>
              <w:lastRenderedPageBreak/>
              <w:t>2(10) та 22 Директиви</w:t>
            </w:r>
            <w:r w:rsidR="005613AB" w:rsidRPr="00BE1959">
              <w:rPr>
                <w:rFonts w:ascii="Times New Roman" w:eastAsia="Times New Roman" w:hAnsi="Times New Roman" w:cs="Times New Roman"/>
                <w:sz w:val="24"/>
                <w:szCs w:val="24"/>
                <w:lang w:val="uk-UA"/>
              </w:rPr>
              <w:t xml:space="preserve"> 2013/34/EU, </w:t>
            </w:r>
            <w:r w:rsidRPr="00BE1959">
              <w:rPr>
                <w:rFonts w:ascii="Times New Roman" w:eastAsia="Times New Roman" w:hAnsi="Times New Roman" w:cs="Times New Roman"/>
                <w:sz w:val="24"/>
                <w:szCs w:val="24"/>
                <w:lang w:val="uk-UA"/>
              </w:rPr>
              <w:t>у тому числі будь-яке дочірнє підприємство головного материнського підприємства;</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61"/>
        <w:gridCol w:w="8904"/>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(34)</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8E0DEE" w:rsidP="008E0DEE">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«група» - група у значенні, наведеному в статті 2(11) Директиви</w:t>
            </w:r>
            <w:r w:rsidR="005613AB" w:rsidRPr="00BE1959">
              <w:rPr>
                <w:rFonts w:ascii="Times New Roman" w:eastAsia="Times New Roman" w:hAnsi="Times New Roman" w:cs="Times New Roman"/>
                <w:sz w:val="24"/>
                <w:szCs w:val="24"/>
                <w:lang w:val="uk-UA"/>
              </w:rPr>
              <w:t xml:space="preserve"> 2013/34/EU;</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96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(35)</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8E0DEE" w:rsidP="008E0DEE">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«т</w:t>
            </w:r>
            <w:r w:rsidRPr="00BE1959">
              <w:rPr>
                <w:rFonts w:ascii="Times New Roman" w:eastAsia="Times New Roman" w:hAnsi="Times New Roman" w:cs="Times New Roman"/>
                <w:iCs/>
                <w:color w:val="000000"/>
                <w:sz w:val="24"/>
                <w:szCs w:val="24"/>
                <w:bdr w:val="none" w:sz="0" w:space="0" w:color="auto" w:frame="1"/>
                <w:lang w:val="uk-UA" w:eastAsia="ru-RU"/>
              </w:rPr>
              <w:t xml:space="preserve">існі зв'язки» - ситуація, в якій дві </w:t>
            </w:r>
            <w:r w:rsidR="00F8135F" w:rsidRPr="00BE1959">
              <w:rPr>
                <w:rFonts w:ascii="Times New Roman" w:eastAsia="Times New Roman" w:hAnsi="Times New Roman" w:cs="Times New Roman"/>
                <w:iCs/>
                <w:color w:val="000000"/>
                <w:sz w:val="24"/>
                <w:szCs w:val="24"/>
                <w:bdr w:val="none" w:sz="0" w:space="0" w:color="auto" w:frame="1"/>
                <w:lang w:val="uk-UA" w:eastAsia="ru-RU"/>
              </w:rPr>
              <w:t>чи</w:t>
            </w:r>
            <w:r w:rsidRPr="00BE1959">
              <w:rPr>
                <w:rFonts w:ascii="Times New Roman" w:eastAsia="Times New Roman" w:hAnsi="Times New Roman" w:cs="Times New Roman"/>
                <w:iCs/>
                <w:color w:val="000000"/>
                <w:sz w:val="24"/>
                <w:szCs w:val="24"/>
                <w:bdr w:val="none" w:sz="0" w:space="0" w:color="auto" w:frame="1"/>
                <w:lang w:val="uk-UA" w:eastAsia="ru-RU"/>
              </w:rPr>
              <w:t xml:space="preserve"> більше фізичних чи юридичних осіб </w:t>
            </w:r>
            <w:r w:rsidR="00F8135F" w:rsidRPr="00BE1959">
              <w:rPr>
                <w:rFonts w:ascii="Times New Roman" w:eastAsia="Times New Roman" w:hAnsi="Times New Roman" w:cs="Times New Roman"/>
                <w:iCs/>
                <w:color w:val="000000"/>
                <w:sz w:val="24"/>
                <w:szCs w:val="24"/>
                <w:bdr w:val="none" w:sz="0" w:space="0" w:color="auto" w:frame="1"/>
                <w:lang w:val="uk-UA" w:eastAsia="ru-RU"/>
              </w:rPr>
              <w:t>з</w:t>
            </w:r>
            <w:r w:rsidRPr="00BE1959">
              <w:rPr>
                <w:rFonts w:ascii="Times New Roman" w:eastAsia="Times New Roman" w:hAnsi="Times New Roman" w:cs="Times New Roman"/>
                <w:iCs/>
                <w:color w:val="000000"/>
                <w:sz w:val="24"/>
                <w:szCs w:val="24"/>
                <w:bdr w:val="none" w:sz="0" w:space="0" w:color="auto" w:frame="1"/>
                <w:lang w:val="uk-UA" w:eastAsia="ru-RU"/>
              </w:rPr>
              <w:t>в'язані:</w:t>
            </w:r>
            <w:r w:rsidR="00922EAA" w:rsidRPr="00BE1959">
              <w:rPr>
                <w:rFonts w:ascii="Times New Roman" w:eastAsia="Times New Roman" w:hAnsi="Times New Roman" w:cs="Times New Roman"/>
                <w:iCs/>
                <w:color w:val="000000"/>
                <w:sz w:val="24"/>
                <w:szCs w:val="24"/>
                <w:bdr w:val="none" w:sz="0" w:space="0" w:color="auto" w:frame="1"/>
                <w:lang w:val="uk-UA" w:eastAsia="ru-RU"/>
              </w:rPr>
              <w:t xml:space="preserve"> </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467"/>
            </w:tblGrid>
            <w:tr w:rsidR="00DE3173" w:rsidRPr="0043174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922EAA" w:rsidP="0084175F">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iCs/>
                      <w:color w:val="000000"/>
                      <w:sz w:val="24"/>
                      <w:szCs w:val="24"/>
                      <w:bdr w:val="none" w:sz="0" w:space="0" w:color="auto" w:frame="1"/>
                      <w:lang w:val="uk-UA" w:eastAsia="ru-RU"/>
                    </w:rPr>
                    <w:t>участю</w:t>
                  </w:r>
                  <w:r w:rsidR="0084175F" w:rsidRPr="00BE1959">
                    <w:rPr>
                      <w:rFonts w:ascii="Times New Roman" w:eastAsia="Times New Roman" w:hAnsi="Times New Roman" w:cs="Times New Roman"/>
                      <w:iCs/>
                      <w:color w:val="000000"/>
                      <w:sz w:val="24"/>
                      <w:szCs w:val="24"/>
                      <w:bdr w:val="none" w:sz="0" w:space="0" w:color="auto" w:frame="1"/>
                      <w:lang w:val="uk-UA" w:eastAsia="ru-RU"/>
                    </w:rPr>
                    <w:t xml:space="preserve"> у формі</w:t>
                  </w:r>
                  <w:r w:rsidRPr="00BE1959">
                    <w:rPr>
                      <w:rFonts w:ascii="Times New Roman" w:eastAsia="Times New Roman" w:hAnsi="Times New Roman" w:cs="Times New Roman"/>
                      <w:iCs/>
                      <w:color w:val="000000"/>
                      <w:sz w:val="24"/>
                      <w:szCs w:val="24"/>
                      <w:bdr w:val="none" w:sz="0" w:space="0" w:color="auto" w:frame="1"/>
                      <w:lang w:val="uk-UA" w:eastAsia="ru-RU"/>
                    </w:rPr>
                    <w:t xml:space="preserve"> володіння</w:t>
                  </w:r>
                  <w:r w:rsidR="0084175F" w:rsidRPr="00BE1959">
                    <w:rPr>
                      <w:rFonts w:ascii="Times New Roman" w:eastAsia="Times New Roman" w:hAnsi="Times New Roman" w:cs="Times New Roman"/>
                      <w:iCs/>
                      <w:color w:val="000000"/>
                      <w:sz w:val="24"/>
                      <w:szCs w:val="24"/>
                      <w:bdr w:val="none" w:sz="0" w:space="0" w:color="auto" w:frame="1"/>
                      <w:lang w:val="uk-UA" w:eastAsia="ru-RU"/>
                    </w:rPr>
                    <w:t>,</w:t>
                  </w:r>
                  <w:r w:rsidRPr="00BE1959">
                    <w:rPr>
                      <w:rFonts w:ascii="Times New Roman" w:eastAsia="Times New Roman" w:hAnsi="Times New Roman" w:cs="Times New Roman"/>
                      <w:iCs/>
                      <w:color w:val="000000"/>
                      <w:sz w:val="24"/>
                      <w:szCs w:val="24"/>
                      <w:bdr w:val="none" w:sz="0" w:space="0" w:color="auto" w:frame="1"/>
                      <w:lang w:val="uk-UA" w:eastAsia="ru-RU"/>
                    </w:rPr>
                    <w:t xml:space="preserve"> прям</w:t>
                  </w:r>
                  <w:r w:rsidR="0084175F" w:rsidRPr="00BE1959">
                    <w:rPr>
                      <w:rFonts w:ascii="Times New Roman" w:eastAsia="Times New Roman" w:hAnsi="Times New Roman" w:cs="Times New Roman"/>
                      <w:iCs/>
                      <w:color w:val="000000"/>
                      <w:sz w:val="24"/>
                      <w:szCs w:val="24"/>
                      <w:bdr w:val="none" w:sz="0" w:space="0" w:color="auto" w:frame="1"/>
                      <w:lang w:val="uk-UA" w:eastAsia="ru-RU"/>
                    </w:rPr>
                    <w:t xml:space="preserve">ого або через контроль, 20 або більше відсотками прав голосу </w:t>
                  </w:r>
                  <w:r w:rsidRPr="00BE1959">
                    <w:rPr>
                      <w:rFonts w:ascii="Times New Roman" w:eastAsia="Times New Roman" w:hAnsi="Times New Roman" w:cs="Times New Roman"/>
                      <w:iCs/>
                      <w:color w:val="000000"/>
                      <w:sz w:val="24"/>
                      <w:szCs w:val="24"/>
                      <w:bdr w:val="none" w:sz="0" w:space="0" w:color="auto" w:frame="1"/>
                      <w:lang w:val="uk-UA" w:eastAsia="ru-RU"/>
                    </w:rPr>
                    <w:t>або капіталу підприємства,</w:t>
                  </w:r>
                </w:p>
              </w:tc>
            </w:tr>
          </w:tbl>
          <w:p w:rsidR="005613AB" w:rsidRPr="00BE1959" w:rsidRDefault="005613AB" w:rsidP="005613AB">
            <w:pPr>
              <w:spacing w:after="0" w:line="240" w:lineRule="auto"/>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454"/>
            </w:tblGrid>
            <w:tr w:rsidR="00DE3173" w:rsidRPr="0043174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AD798E" w:rsidP="00D26A83">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iCs/>
                      <w:color w:val="000000"/>
                      <w:sz w:val="24"/>
                      <w:szCs w:val="24"/>
                      <w:bdr w:val="none" w:sz="0" w:space="0" w:color="auto" w:frame="1"/>
                      <w:lang w:val="uk-UA" w:eastAsia="ru-RU"/>
                    </w:rPr>
                    <w:t>«</w:t>
                  </w:r>
                  <w:r w:rsidR="00922EAA" w:rsidRPr="00BE1959">
                    <w:rPr>
                      <w:rFonts w:ascii="Times New Roman" w:eastAsia="Times New Roman" w:hAnsi="Times New Roman" w:cs="Times New Roman"/>
                      <w:iCs/>
                      <w:color w:val="000000"/>
                      <w:sz w:val="24"/>
                      <w:szCs w:val="24"/>
                      <w:bdr w:val="none" w:sz="0" w:space="0" w:color="auto" w:frame="1"/>
                      <w:lang w:val="uk-UA" w:eastAsia="ru-RU"/>
                    </w:rPr>
                    <w:t>контролем</w:t>
                  </w:r>
                  <w:r w:rsidRPr="00BE1959">
                    <w:rPr>
                      <w:rFonts w:ascii="Times New Roman" w:eastAsia="Times New Roman" w:hAnsi="Times New Roman" w:cs="Times New Roman"/>
                      <w:iCs/>
                      <w:color w:val="000000"/>
                      <w:sz w:val="24"/>
                      <w:szCs w:val="24"/>
                      <w:bdr w:val="none" w:sz="0" w:space="0" w:color="auto" w:frame="1"/>
                      <w:lang w:val="uk-UA" w:eastAsia="ru-RU"/>
                    </w:rPr>
                    <w:t>»</w:t>
                  </w:r>
                  <w:r w:rsidR="00922EAA" w:rsidRPr="00BE1959">
                    <w:rPr>
                      <w:rFonts w:ascii="Times New Roman" w:eastAsia="Times New Roman" w:hAnsi="Times New Roman" w:cs="Times New Roman"/>
                      <w:iCs/>
                      <w:color w:val="000000"/>
                      <w:sz w:val="24"/>
                      <w:szCs w:val="24"/>
                      <w:bdr w:val="none" w:sz="0" w:space="0" w:color="auto" w:frame="1"/>
                      <w:lang w:val="uk-UA" w:eastAsia="ru-RU"/>
                    </w:rPr>
                    <w:t>, що означає відносини між материнськ</w:t>
                  </w:r>
                  <w:r w:rsidRPr="00BE1959">
                    <w:rPr>
                      <w:rFonts w:ascii="Times New Roman" w:eastAsia="Times New Roman" w:hAnsi="Times New Roman" w:cs="Times New Roman"/>
                      <w:iCs/>
                      <w:color w:val="000000"/>
                      <w:sz w:val="24"/>
                      <w:szCs w:val="24"/>
                      <w:bdr w:val="none" w:sz="0" w:space="0" w:color="auto" w:frame="1"/>
                      <w:lang w:val="uk-UA" w:eastAsia="ru-RU"/>
                    </w:rPr>
                    <w:t xml:space="preserve">им підприємством і дочірнім підприємством </w:t>
                  </w:r>
                  <w:r w:rsidR="00922EAA" w:rsidRPr="00BE1959">
                    <w:rPr>
                      <w:rFonts w:ascii="Times New Roman" w:eastAsia="Times New Roman" w:hAnsi="Times New Roman" w:cs="Times New Roman"/>
                      <w:iCs/>
                      <w:color w:val="000000"/>
                      <w:sz w:val="24"/>
                      <w:szCs w:val="24"/>
                      <w:bdr w:val="none" w:sz="0" w:space="0" w:color="auto" w:frame="1"/>
                      <w:lang w:val="uk-UA" w:eastAsia="ru-RU"/>
                    </w:rPr>
                    <w:t xml:space="preserve">у всіх випадках, зазначених </w:t>
                  </w:r>
                  <w:r w:rsidRPr="00BE1959">
                    <w:rPr>
                      <w:rFonts w:ascii="Times New Roman" w:eastAsia="Times New Roman" w:hAnsi="Times New Roman" w:cs="Times New Roman"/>
                      <w:iCs/>
                      <w:color w:val="000000"/>
                      <w:sz w:val="24"/>
                      <w:szCs w:val="24"/>
                      <w:bdr w:val="none" w:sz="0" w:space="0" w:color="auto" w:frame="1"/>
                      <w:lang w:val="uk-UA" w:eastAsia="ru-RU"/>
                    </w:rPr>
                    <w:t>у статті 22(1) та (2) Директиви 2013/34/EU, або подібні відносини</w:t>
                  </w:r>
                  <w:r w:rsidR="00922EAA" w:rsidRPr="00BE1959">
                    <w:rPr>
                      <w:rFonts w:ascii="Times New Roman" w:eastAsia="Times New Roman" w:hAnsi="Times New Roman" w:cs="Times New Roman"/>
                      <w:iCs/>
                      <w:color w:val="000000"/>
                      <w:sz w:val="24"/>
                      <w:szCs w:val="24"/>
                      <w:bdr w:val="none" w:sz="0" w:space="0" w:color="auto" w:frame="1"/>
                      <w:lang w:val="uk-UA" w:eastAsia="ru-RU"/>
                    </w:rPr>
                    <w:t xml:space="preserve"> між будь-якою фізичною чи юридичною</w:t>
                  </w:r>
                  <w:r w:rsidR="00D26A83" w:rsidRPr="00BE1959">
                    <w:rPr>
                      <w:rFonts w:ascii="Times New Roman" w:eastAsia="Times New Roman" w:hAnsi="Times New Roman" w:cs="Times New Roman"/>
                      <w:iCs/>
                      <w:color w:val="000000"/>
                      <w:sz w:val="24"/>
                      <w:szCs w:val="24"/>
                      <w:bdr w:val="none" w:sz="0" w:space="0" w:color="auto" w:frame="1"/>
                      <w:lang w:val="uk-UA" w:eastAsia="ru-RU"/>
                    </w:rPr>
                    <w:t xml:space="preserve"> </w:t>
                  </w:r>
                  <w:r w:rsidR="00922EAA" w:rsidRPr="00BE1959">
                    <w:rPr>
                      <w:rFonts w:ascii="Times New Roman" w:eastAsia="Times New Roman" w:hAnsi="Times New Roman" w:cs="Times New Roman"/>
                      <w:iCs/>
                      <w:color w:val="000000"/>
                      <w:sz w:val="24"/>
                      <w:szCs w:val="24"/>
                      <w:bdr w:val="none" w:sz="0" w:space="0" w:color="auto" w:frame="1"/>
                      <w:lang w:val="uk-UA" w:eastAsia="ru-RU"/>
                    </w:rPr>
                    <w:t>ос</w:t>
                  </w:r>
                  <w:r w:rsidR="00D26A83" w:rsidRPr="00BE1959">
                    <w:rPr>
                      <w:rFonts w:ascii="Times New Roman" w:eastAsia="Times New Roman" w:hAnsi="Times New Roman" w:cs="Times New Roman"/>
                      <w:iCs/>
                      <w:color w:val="000000"/>
                      <w:sz w:val="24"/>
                      <w:szCs w:val="24"/>
                      <w:bdr w:val="none" w:sz="0" w:space="0" w:color="auto" w:frame="1"/>
                      <w:lang w:val="uk-UA" w:eastAsia="ru-RU"/>
                    </w:rPr>
                    <w:t xml:space="preserve">обою та підприємством, причому </w:t>
                  </w:r>
                  <w:r w:rsidR="00922EAA" w:rsidRPr="00BE1959">
                    <w:rPr>
                      <w:rFonts w:ascii="Times New Roman" w:eastAsia="Times New Roman" w:hAnsi="Times New Roman" w:cs="Times New Roman"/>
                      <w:iCs/>
                      <w:color w:val="000000"/>
                      <w:sz w:val="24"/>
                      <w:szCs w:val="24"/>
                      <w:bdr w:val="none" w:sz="0" w:space="0" w:color="auto" w:frame="1"/>
                      <w:lang w:val="uk-UA" w:eastAsia="ru-RU"/>
                    </w:rPr>
                    <w:t>буд</w:t>
                  </w:r>
                  <w:r w:rsidR="00D26A83" w:rsidRPr="00BE1959">
                    <w:rPr>
                      <w:rFonts w:ascii="Times New Roman" w:eastAsia="Times New Roman" w:hAnsi="Times New Roman" w:cs="Times New Roman"/>
                      <w:iCs/>
                      <w:color w:val="000000"/>
                      <w:sz w:val="24"/>
                      <w:szCs w:val="24"/>
                      <w:bdr w:val="none" w:sz="0" w:space="0" w:color="auto" w:frame="1"/>
                      <w:lang w:val="uk-UA" w:eastAsia="ru-RU"/>
                    </w:rPr>
                    <w:t>ь-яке дочірнє підприємство дочірнього підприємством також вважається дочірнім підприємством материнського підприємства, яке стоїть на чолі цих підприємств;</w:t>
                  </w:r>
                </w:p>
              </w:tc>
            </w:tr>
          </w:tbl>
          <w:p w:rsidR="005613AB" w:rsidRPr="00BE1959" w:rsidRDefault="005613AB" w:rsidP="005613AB">
            <w:pPr>
              <w:spacing w:after="0" w:line="240" w:lineRule="auto"/>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467"/>
            </w:tblGrid>
            <w:tr w:rsidR="00DE3173" w:rsidRPr="0043174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127D07" w:rsidP="00127D07">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постійним зв'язком обох або усіх цих осіб з однією й тією самою особою відносинами контролю;</w:t>
                  </w:r>
                </w:p>
              </w:tc>
            </w:tr>
          </w:tbl>
          <w:p w:rsidR="005613AB" w:rsidRPr="00BE1959" w:rsidRDefault="005613AB" w:rsidP="005613AB">
            <w:pPr>
              <w:spacing w:after="0" w:line="240" w:lineRule="auto"/>
              <w:rPr>
                <w:rFonts w:ascii="Times New Roman" w:eastAsia="Times New Roman" w:hAnsi="Times New Roman" w:cs="Times New Roman"/>
                <w:sz w:val="24"/>
                <w:szCs w:val="24"/>
                <w:lang w:val="uk-UA"/>
              </w:rPr>
            </w:pP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96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(36)</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D807D5" w:rsidP="00746CDC">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«керівний орган» - орган або органи інвестиційної фірми, оператор</w:t>
            </w:r>
            <w:r w:rsidR="00524992" w:rsidRPr="00BE1959">
              <w:rPr>
                <w:rFonts w:ascii="Times New Roman" w:eastAsia="Times New Roman" w:hAnsi="Times New Roman" w:cs="Times New Roman"/>
                <w:sz w:val="24"/>
                <w:szCs w:val="24"/>
                <w:lang w:val="uk-UA"/>
              </w:rPr>
              <w:t>а</w:t>
            </w:r>
            <w:r w:rsidRPr="00BE1959">
              <w:rPr>
                <w:rFonts w:ascii="Times New Roman" w:eastAsia="Times New Roman" w:hAnsi="Times New Roman" w:cs="Times New Roman"/>
                <w:sz w:val="24"/>
                <w:szCs w:val="24"/>
                <w:lang w:val="uk-UA"/>
              </w:rPr>
              <w:t xml:space="preserve"> ринку або надава</w:t>
            </w:r>
            <w:r w:rsidR="00524992" w:rsidRPr="00BE1959">
              <w:rPr>
                <w:rFonts w:ascii="Times New Roman" w:eastAsia="Times New Roman" w:hAnsi="Times New Roman" w:cs="Times New Roman"/>
                <w:sz w:val="24"/>
                <w:szCs w:val="24"/>
                <w:lang w:val="uk-UA"/>
              </w:rPr>
              <w:t xml:space="preserve">ча послуг із передачі даних, </w:t>
            </w:r>
            <w:r w:rsidR="009E5800" w:rsidRPr="00BE1959">
              <w:rPr>
                <w:rFonts w:ascii="Times New Roman" w:eastAsia="Times New Roman" w:hAnsi="Times New Roman" w:cs="Times New Roman"/>
                <w:sz w:val="24"/>
                <w:szCs w:val="24"/>
                <w:lang w:val="uk-UA"/>
              </w:rPr>
              <w:t>які</w:t>
            </w:r>
            <w:r w:rsidR="00524992" w:rsidRPr="00BE1959">
              <w:rPr>
                <w:rFonts w:ascii="Times New Roman" w:eastAsia="Times New Roman" w:hAnsi="Times New Roman" w:cs="Times New Roman"/>
                <w:sz w:val="24"/>
                <w:szCs w:val="24"/>
                <w:lang w:val="uk-UA"/>
              </w:rPr>
              <w:t xml:space="preserve"> призначені</w:t>
            </w:r>
            <w:r w:rsidR="00FC7033" w:rsidRPr="00BE1959">
              <w:rPr>
                <w:rFonts w:ascii="Times New Roman" w:eastAsia="Times New Roman" w:hAnsi="Times New Roman" w:cs="Times New Roman"/>
                <w:sz w:val="24"/>
                <w:szCs w:val="24"/>
                <w:lang w:val="uk-UA"/>
              </w:rPr>
              <w:t xml:space="preserve"> згід</w:t>
            </w:r>
            <w:r w:rsidR="009E5800" w:rsidRPr="00BE1959">
              <w:rPr>
                <w:rFonts w:ascii="Times New Roman" w:eastAsia="Times New Roman" w:hAnsi="Times New Roman" w:cs="Times New Roman"/>
                <w:sz w:val="24"/>
                <w:szCs w:val="24"/>
                <w:lang w:val="uk-UA"/>
              </w:rPr>
              <w:t>но з національним законодавством, які</w:t>
            </w:r>
            <w:r w:rsidR="00AE14F0" w:rsidRPr="00BE1959">
              <w:rPr>
                <w:rFonts w:ascii="Times New Roman" w:eastAsia="Times New Roman" w:hAnsi="Times New Roman" w:cs="Times New Roman"/>
                <w:sz w:val="24"/>
                <w:szCs w:val="24"/>
                <w:lang w:val="uk-UA"/>
              </w:rPr>
              <w:t xml:space="preserve"> мають повноваження на визначення стратегії, цілей і загального напряму діяльності господарюючого суб’єкта, які наглядають за процесом прийняття управлінських рішень та контролюють цей процес</w:t>
            </w:r>
            <w:r w:rsidR="00746CDC" w:rsidRPr="00BE1959">
              <w:rPr>
                <w:rFonts w:ascii="Times New Roman" w:eastAsia="Times New Roman" w:hAnsi="Times New Roman" w:cs="Times New Roman"/>
                <w:sz w:val="24"/>
                <w:szCs w:val="24"/>
                <w:lang w:val="uk-UA"/>
              </w:rPr>
              <w:t xml:space="preserve"> і які включають осіб, що фактично керують діяльністю цього суб’єкта.</w:t>
            </w:r>
          </w:p>
          <w:p w:rsidR="005613AB" w:rsidRPr="00BE1959" w:rsidRDefault="00746CDC" w:rsidP="00BD473C">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Якщо </w:t>
            </w:r>
            <w:r w:rsidR="00EE4E5A" w:rsidRPr="00BE1959">
              <w:rPr>
                <w:rFonts w:ascii="Times New Roman" w:eastAsia="Times New Roman" w:hAnsi="Times New Roman" w:cs="Times New Roman"/>
                <w:sz w:val="24"/>
                <w:szCs w:val="24"/>
                <w:lang w:val="uk-UA"/>
              </w:rPr>
              <w:t xml:space="preserve">у цій директиві згадується керівний орган, а згідно з національним законодавством управлінські та контрольні функції керівного органу покладені на інші органи чи на інших </w:t>
            </w:r>
            <w:r w:rsidR="00BD473C" w:rsidRPr="00BE1959">
              <w:rPr>
                <w:rFonts w:ascii="Times New Roman" w:eastAsia="Times New Roman" w:hAnsi="Times New Roman" w:cs="Times New Roman"/>
                <w:sz w:val="24"/>
                <w:szCs w:val="24"/>
                <w:lang w:val="uk-UA"/>
              </w:rPr>
              <w:t xml:space="preserve">членів </w:t>
            </w:r>
            <w:r w:rsidR="00EE4E5A" w:rsidRPr="00BE1959">
              <w:rPr>
                <w:rFonts w:ascii="Times New Roman" w:eastAsia="Times New Roman" w:hAnsi="Times New Roman" w:cs="Times New Roman"/>
                <w:sz w:val="24"/>
                <w:szCs w:val="24"/>
                <w:lang w:val="uk-UA"/>
              </w:rPr>
              <w:t xml:space="preserve">одного органу, то держави-члени визначають ці органи або </w:t>
            </w:r>
            <w:r w:rsidR="00BD473C" w:rsidRPr="00BE1959">
              <w:rPr>
                <w:rFonts w:ascii="Times New Roman" w:eastAsia="Times New Roman" w:hAnsi="Times New Roman" w:cs="Times New Roman"/>
                <w:sz w:val="24"/>
                <w:szCs w:val="24"/>
                <w:lang w:val="uk-UA"/>
              </w:rPr>
              <w:t>членів керівного органу, відповідальних згідно з її національним законодавством, якщо у цій директиві не зазначено інше</w:t>
            </w:r>
            <w:r w:rsidR="005613AB" w:rsidRPr="00BE1959">
              <w:rPr>
                <w:rFonts w:ascii="Times New Roman" w:eastAsia="Times New Roman" w:hAnsi="Times New Roman" w:cs="Times New Roman"/>
                <w:sz w:val="24"/>
                <w:szCs w:val="24"/>
                <w:lang w:val="uk-UA"/>
              </w:rPr>
              <w:t>;</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96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(37)</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BD473C" w:rsidRPr="00BE1959" w:rsidRDefault="008E6AFB" w:rsidP="006B241C">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«вище керівництво» - фізичні особи, які здійснюють виконавчі функції в рамках інвестиційн</w:t>
            </w:r>
            <w:r w:rsidR="00171AD4" w:rsidRPr="00BE1959">
              <w:rPr>
                <w:rFonts w:ascii="Times New Roman" w:eastAsia="Times New Roman" w:hAnsi="Times New Roman" w:cs="Times New Roman"/>
                <w:sz w:val="24"/>
                <w:szCs w:val="24"/>
                <w:lang w:val="uk-UA"/>
              </w:rPr>
              <w:t>ої</w:t>
            </w:r>
            <w:r w:rsidRPr="00BE1959">
              <w:rPr>
                <w:rFonts w:ascii="Times New Roman" w:eastAsia="Times New Roman" w:hAnsi="Times New Roman" w:cs="Times New Roman"/>
                <w:sz w:val="24"/>
                <w:szCs w:val="24"/>
                <w:lang w:val="uk-UA"/>
              </w:rPr>
              <w:t xml:space="preserve"> фірм</w:t>
            </w:r>
            <w:r w:rsidR="00171AD4" w:rsidRPr="00BE1959">
              <w:rPr>
                <w:rFonts w:ascii="Times New Roman" w:eastAsia="Times New Roman" w:hAnsi="Times New Roman" w:cs="Times New Roman"/>
                <w:sz w:val="24"/>
                <w:szCs w:val="24"/>
                <w:lang w:val="uk-UA"/>
              </w:rPr>
              <w:t>и</w:t>
            </w:r>
            <w:r w:rsidRPr="00BE1959">
              <w:rPr>
                <w:rFonts w:ascii="Times New Roman" w:eastAsia="Times New Roman" w:hAnsi="Times New Roman" w:cs="Times New Roman"/>
                <w:sz w:val="24"/>
                <w:szCs w:val="24"/>
                <w:lang w:val="uk-UA"/>
              </w:rPr>
              <w:t>, оператор</w:t>
            </w:r>
            <w:r w:rsidR="00171AD4" w:rsidRPr="00BE1959">
              <w:rPr>
                <w:rFonts w:ascii="Times New Roman" w:eastAsia="Times New Roman" w:hAnsi="Times New Roman" w:cs="Times New Roman"/>
                <w:sz w:val="24"/>
                <w:szCs w:val="24"/>
                <w:lang w:val="uk-UA"/>
              </w:rPr>
              <w:t>а</w:t>
            </w:r>
            <w:r w:rsidRPr="00BE1959">
              <w:rPr>
                <w:rFonts w:ascii="Times New Roman" w:eastAsia="Times New Roman" w:hAnsi="Times New Roman" w:cs="Times New Roman"/>
                <w:sz w:val="24"/>
                <w:szCs w:val="24"/>
                <w:lang w:val="uk-UA"/>
              </w:rPr>
              <w:t xml:space="preserve"> ри</w:t>
            </w:r>
            <w:r w:rsidR="00171AD4" w:rsidRPr="00BE1959">
              <w:rPr>
                <w:rFonts w:ascii="Times New Roman" w:eastAsia="Times New Roman" w:hAnsi="Times New Roman" w:cs="Times New Roman"/>
                <w:sz w:val="24"/>
                <w:szCs w:val="24"/>
                <w:lang w:val="uk-UA"/>
              </w:rPr>
              <w:t>н</w:t>
            </w:r>
            <w:r w:rsidRPr="00BE1959">
              <w:rPr>
                <w:rFonts w:ascii="Times New Roman" w:eastAsia="Times New Roman" w:hAnsi="Times New Roman" w:cs="Times New Roman"/>
                <w:sz w:val="24"/>
                <w:szCs w:val="24"/>
                <w:lang w:val="uk-UA"/>
              </w:rPr>
              <w:t xml:space="preserve">ку чи </w:t>
            </w:r>
            <w:r w:rsidR="00171AD4" w:rsidRPr="00BE1959">
              <w:rPr>
                <w:rFonts w:ascii="Times New Roman" w:eastAsia="Times New Roman" w:hAnsi="Times New Roman" w:cs="Times New Roman"/>
                <w:sz w:val="24"/>
                <w:szCs w:val="24"/>
                <w:lang w:val="uk-UA"/>
              </w:rPr>
              <w:t>надавача послуг з передачі даних і які відповідають за</w:t>
            </w:r>
            <w:r w:rsidR="00D63DE8" w:rsidRPr="00BE1959">
              <w:rPr>
                <w:rFonts w:ascii="Times New Roman" w:eastAsia="Times New Roman" w:hAnsi="Times New Roman" w:cs="Times New Roman"/>
                <w:sz w:val="24"/>
                <w:szCs w:val="24"/>
                <w:lang w:val="uk-UA"/>
              </w:rPr>
              <w:t xml:space="preserve"> повсякденне управління даним суб’єктом та підзвітні за це управління перед керівним органом</w:t>
            </w:r>
            <w:r w:rsidR="006B241C" w:rsidRPr="00BE1959">
              <w:rPr>
                <w:rFonts w:ascii="Times New Roman" w:eastAsia="Times New Roman" w:hAnsi="Times New Roman" w:cs="Times New Roman"/>
                <w:sz w:val="24"/>
                <w:szCs w:val="24"/>
                <w:lang w:val="uk-UA"/>
              </w:rPr>
              <w:t>, зокрема за реалізацію політики стосовно надання фірмою та її персоналом послуг та продуктів клієнтам;</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96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(38)</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322635" w:rsidP="00FA6AD9">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w:t>
            </w:r>
            <w:r w:rsidR="00480754" w:rsidRPr="00BE1959">
              <w:rPr>
                <w:rFonts w:ascii="Times New Roman" w:eastAsia="Times New Roman" w:hAnsi="Times New Roman" w:cs="Times New Roman"/>
                <w:sz w:val="24"/>
                <w:szCs w:val="24"/>
                <w:lang w:val="uk-UA"/>
              </w:rPr>
              <w:t xml:space="preserve">зустрічна </w:t>
            </w:r>
            <w:r w:rsidRPr="00BE1959">
              <w:rPr>
                <w:rFonts w:ascii="Times New Roman" w:eastAsia="Times New Roman" w:hAnsi="Times New Roman" w:cs="Times New Roman"/>
                <w:sz w:val="24"/>
                <w:szCs w:val="24"/>
                <w:lang w:val="uk-UA"/>
              </w:rPr>
              <w:t>торгівля за власний рахунок</w:t>
            </w:r>
            <w:r w:rsidR="00480754" w:rsidRPr="00BE1959">
              <w:rPr>
                <w:rFonts w:ascii="Times New Roman" w:eastAsia="Times New Roman" w:hAnsi="Times New Roman" w:cs="Times New Roman"/>
                <w:sz w:val="24"/>
                <w:szCs w:val="24"/>
                <w:lang w:val="uk-UA"/>
              </w:rPr>
              <w:t xml:space="preserve">» </w:t>
            </w:r>
            <w:r w:rsidR="007212AA" w:rsidRPr="00BE1959">
              <w:rPr>
                <w:rFonts w:ascii="Times New Roman" w:eastAsia="Times New Roman" w:hAnsi="Times New Roman" w:cs="Times New Roman"/>
                <w:sz w:val="24"/>
                <w:szCs w:val="24"/>
                <w:lang w:val="uk-UA"/>
              </w:rPr>
              <w:t xml:space="preserve">– операція, в якій посередник діє між покупцем і продавцем за даною угодою в такий спосіб, що </w:t>
            </w:r>
            <w:r w:rsidR="003547C6" w:rsidRPr="00BE1959">
              <w:rPr>
                <w:rFonts w:ascii="Times New Roman" w:eastAsia="Times New Roman" w:hAnsi="Times New Roman" w:cs="Times New Roman"/>
                <w:sz w:val="24"/>
                <w:szCs w:val="24"/>
                <w:lang w:val="uk-UA"/>
              </w:rPr>
              <w:t>вона у жодному разі не піддається</w:t>
            </w:r>
            <w:r w:rsidR="007212AA" w:rsidRPr="00BE1959">
              <w:rPr>
                <w:rFonts w:ascii="Times New Roman" w:eastAsia="Times New Roman" w:hAnsi="Times New Roman" w:cs="Times New Roman"/>
                <w:sz w:val="24"/>
                <w:szCs w:val="24"/>
                <w:lang w:val="uk-UA"/>
              </w:rPr>
              <w:t xml:space="preserve"> рин</w:t>
            </w:r>
            <w:r w:rsidR="00485A88" w:rsidRPr="00BE1959">
              <w:rPr>
                <w:rFonts w:ascii="Times New Roman" w:eastAsia="Times New Roman" w:hAnsi="Times New Roman" w:cs="Times New Roman"/>
                <w:sz w:val="24"/>
                <w:szCs w:val="24"/>
                <w:lang w:val="uk-UA"/>
              </w:rPr>
              <w:t>ково</w:t>
            </w:r>
            <w:r w:rsidR="003547C6" w:rsidRPr="00BE1959">
              <w:rPr>
                <w:rFonts w:ascii="Times New Roman" w:eastAsia="Times New Roman" w:hAnsi="Times New Roman" w:cs="Times New Roman"/>
                <w:sz w:val="24"/>
                <w:szCs w:val="24"/>
                <w:lang w:val="uk-UA"/>
              </w:rPr>
              <w:t>му</w:t>
            </w:r>
            <w:r w:rsidR="00485A88" w:rsidRPr="00BE1959">
              <w:rPr>
                <w:rFonts w:ascii="Times New Roman" w:eastAsia="Times New Roman" w:hAnsi="Times New Roman" w:cs="Times New Roman"/>
                <w:sz w:val="24"/>
                <w:szCs w:val="24"/>
                <w:lang w:val="uk-UA"/>
              </w:rPr>
              <w:t xml:space="preserve"> ризику впродовж усього періоду здійснення даної операції, причому</w:t>
            </w:r>
            <w:r w:rsidR="003547C6" w:rsidRPr="00BE1959">
              <w:rPr>
                <w:rFonts w:ascii="Times New Roman" w:eastAsia="Times New Roman" w:hAnsi="Times New Roman" w:cs="Times New Roman"/>
                <w:sz w:val="24"/>
                <w:szCs w:val="24"/>
                <w:lang w:val="uk-UA"/>
              </w:rPr>
              <w:t xml:space="preserve"> обидві сторони угоди виконуються одночасно, а угода укладається за ціною</w:t>
            </w:r>
            <w:r w:rsidR="00702001" w:rsidRPr="00BE1959">
              <w:rPr>
                <w:rFonts w:ascii="Times New Roman" w:eastAsia="Times New Roman" w:hAnsi="Times New Roman" w:cs="Times New Roman"/>
                <w:sz w:val="24"/>
                <w:szCs w:val="24"/>
                <w:lang w:val="uk-UA"/>
              </w:rPr>
              <w:t xml:space="preserve">, за якої посередник не отримує ані прибутку, ані збитку, крім попередньо оголошеної </w:t>
            </w:r>
            <w:r w:rsidR="00702001" w:rsidRPr="00BE1959">
              <w:rPr>
                <w:rFonts w:ascii="Times New Roman" w:eastAsia="Times New Roman" w:hAnsi="Times New Roman" w:cs="Times New Roman"/>
                <w:sz w:val="24"/>
                <w:szCs w:val="24"/>
                <w:lang w:val="uk-UA"/>
              </w:rPr>
              <w:lastRenderedPageBreak/>
              <w:t>комісії, збору чи тарифу за дану операцію;</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96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(39)</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200E4F" w:rsidP="00DE720D">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«алгоритмічна торгівля» - торгівля фінансовими інструментами, за якої </w:t>
            </w:r>
            <w:r w:rsidR="000F23FB" w:rsidRPr="00BE1959">
              <w:rPr>
                <w:rFonts w:ascii="Times New Roman" w:eastAsia="Times New Roman" w:hAnsi="Times New Roman" w:cs="Times New Roman"/>
                <w:sz w:val="24"/>
                <w:szCs w:val="24"/>
                <w:lang w:val="uk-UA"/>
              </w:rPr>
              <w:t>комп’ютерний алгоритм автоматично</w:t>
            </w:r>
            <w:r w:rsidR="003D1AF1" w:rsidRPr="00BE1959">
              <w:rPr>
                <w:rFonts w:ascii="Times New Roman" w:eastAsia="Times New Roman" w:hAnsi="Times New Roman" w:cs="Times New Roman"/>
                <w:sz w:val="24"/>
                <w:szCs w:val="24"/>
                <w:lang w:val="uk-UA"/>
              </w:rPr>
              <w:t>, з обмеженим втручанням людини або без такого втручання,</w:t>
            </w:r>
            <w:r w:rsidR="000F23FB" w:rsidRPr="00BE1959">
              <w:rPr>
                <w:rFonts w:ascii="Times New Roman" w:eastAsia="Times New Roman" w:hAnsi="Times New Roman" w:cs="Times New Roman"/>
                <w:sz w:val="24"/>
                <w:szCs w:val="24"/>
                <w:lang w:val="uk-UA"/>
              </w:rPr>
              <w:t xml:space="preserve"> визначає </w:t>
            </w:r>
            <w:r w:rsidRPr="00BE1959">
              <w:rPr>
                <w:rFonts w:ascii="Times New Roman" w:eastAsia="Times New Roman" w:hAnsi="Times New Roman" w:cs="Times New Roman"/>
                <w:sz w:val="24"/>
                <w:szCs w:val="24"/>
                <w:lang w:val="uk-UA"/>
              </w:rPr>
              <w:t>індивідуальні параметри замовлень</w:t>
            </w:r>
            <w:r w:rsidR="000F23FB" w:rsidRPr="00BE1959">
              <w:rPr>
                <w:rFonts w:ascii="Times New Roman" w:eastAsia="Times New Roman" w:hAnsi="Times New Roman" w:cs="Times New Roman"/>
                <w:sz w:val="24"/>
                <w:szCs w:val="24"/>
                <w:lang w:val="uk-UA"/>
              </w:rPr>
              <w:t>, зокрема необхідність надання замовлення</w:t>
            </w:r>
            <w:r w:rsidR="003D1AF1" w:rsidRPr="00BE1959">
              <w:rPr>
                <w:rFonts w:ascii="Times New Roman" w:eastAsia="Times New Roman" w:hAnsi="Times New Roman" w:cs="Times New Roman"/>
                <w:sz w:val="24"/>
                <w:szCs w:val="24"/>
                <w:lang w:val="uk-UA"/>
              </w:rPr>
              <w:t xml:space="preserve">, строки, ціну або обсяг замовлення чи порядок виконання замовлення після його надання, </w:t>
            </w:r>
            <w:r w:rsidR="00891373" w:rsidRPr="00BE1959">
              <w:rPr>
                <w:rFonts w:ascii="Times New Roman" w:eastAsia="Times New Roman" w:hAnsi="Times New Roman" w:cs="Times New Roman"/>
                <w:sz w:val="24"/>
                <w:szCs w:val="24"/>
                <w:lang w:val="uk-UA"/>
              </w:rPr>
              <w:t xml:space="preserve">і не включає систему, яка використовується тільки з метою направлення замовлень на один чи декілька торговельних майданчиків, оброблення замовлень без визначення параметрів торгівлі або </w:t>
            </w:r>
            <w:r w:rsidR="00DE720D" w:rsidRPr="00BE1959">
              <w:rPr>
                <w:rFonts w:ascii="Times New Roman" w:eastAsia="Times New Roman" w:hAnsi="Times New Roman" w:cs="Times New Roman"/>
                <w:sz w:val="24"/>
                <w:szCs w:val="24"/>
                <w:lang w:val="uk-UA"/>
              </w:rPr>
              <w:t>підтвердження замовлень чи оброблення результатів виконаних операцій;</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96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(40)</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996D65" w:rsidP="00996D65">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«високочастотний метод алгоритмічної торгівлі» - метод алгоритмічної торгівлі, який характеризують наступні ознаки:</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467"/>
            </w:tblGrid>
            <w:tr w:rsidR="00DE3173" w:rsidRPr="0043174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0F00F0" w:rsidP="00D0468E">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інфраструктура, призначена для зведення до мінімуму мережевих та інших типів затримок, що включає щонайменше один із наступних </w:t>
                  </w:r>
                  <w:r w:rsidR="00E41696" w:rsidRPr="00BE1959">
                    <w:rPr>
                      <w:rFonts w:ascii="Times New Roman" w:eastAsia="Times New Roman" w:hAnsi="Times New Roman" w:cs="Times New Roman"/>
                      <w:sz w:val="24"/>
                      <w:szCs w:val="24"/>
                      <w:lang w:val="uk-UA"/>
                    </w:rPr>
                    <w:t>засобів алгоритмічного введення замовлень</w:t>
                  </w:r>
                  <w:r w:rsidR="00A03B25" w:rsidRPr="00BE1959">
                    <w:rPr>
                      <w:rFonts w:ascii="Times New Roman" w:eastAsia="Times New Roman" w:hAnsi="Times New Roman" w:cs="Times New Roman"/>
                      <w:sz w:val="24"/>
                      <w:szCs w:val="24"/>
                      <w:lang w:val="uk-UA"/>
                    </w:rPr>
                    <w:t xml:space="preserve">: спільне користування, наближений хостинг або швидкісний прямий електронний </w:t>
                  </w:r>
                  <w:r w:rsidR="00D0468E" w:rsidRPr="00BE1959">
                    <w:rPr>
                      <w:rFonts w:ascii="Times New Roman" w:eastAsia="Times New Roman" w:hAnsi="Times New Roman" w:cs="Times New Roman"/>
                      <w:sz w:val="24"/>
                      <w:szCs w:val="24"/>
                      <w:lang w:val="uk-UA"/>
                    </w:rPr>
                    <w:t>доступ;</w:t>
                  </w:r>
                </w:p>
              </w:tc>
            </w:tr>
          </w:tbl>
          <w:p w:rsidR="005613AB" w:rsidRPr="00BE1959" w:rsidRDefault="005613AB" w:rsidP="005613AB">
            <w:pPr>
              <w:spacing w:after="0" w:line="240" w:lineRule="auto"/>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454"/>
            </w:tblGrid>
            <w:tr w:rsidR="00DE3173" w:rsidRPr="0043174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D0468E" w:rsidP="00D0050F">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визначення системою ініціювання, генерації, маршрутизації чи виконання замовлень без втручання людини щодо окремих операцій або замовлень; </w:t>
                  </w:r>
                </w:p>
              </w:tc>
            </w:tr>
          </w:tbl>
          <w:p w:rsidR="005613AB" w:rsidRPr="00BE1959" w:rsidRDefault="005613AB" w:rsidP="005613AB">
            <w:pPr>
              <w:spacing w:after="0" w:line="240" w:lineRule="auto"/>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467"/>
            </w:tblGrid>
            <w:tr w:rsidR="00DE3173" w:rsidRPr="0043174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D0050F" w:rsidP="00940FC2">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великі </w:t>
                  </w:r>
                  <w:r w:rsidR="00517225" w:rsidRPr="00BE1959">
                    <w:rPr>
                      <w:rFonts w:ascii="Times New Roman" w:eastAsia="Times New Roman" w:hAnsi="Times New Roman" w:cs="Times New Roman"/>
                      <w:sz w:val="24"/>
                      <w:szCs w:val="24"/>
                      <w:lang w:val="uk-UA"/>
                    </w:rPr>
                    <w:t>внутрішньоденні обсяги повідомлень, що с</w:t>
                  </w:r>
                  <w:r w:rsidR="00940FC2" w:rsidRPr="00BE1959">
                    <w:rPr>
                      <w:rFonts w:ascii="Times New Roman" w:eastAsia="Times New Roman" w:hAnsi="Times New Roman" w:cs="Times New Roman"/>
                      <w:sz w:val="24"/>
                      <w:szCs w:val="24"/>
                      <w:lang w:val="uk-UA"/>
                    </w:rPr>
                    <w:t>тановлять замовлення, котирування або відмови;</w:t>
                  </w:r>
                </w:p>
              </w:tc>
            </w:tr>
          </w:tbl>
          <w:p w:rsidR="005613AB" w:rsidRPr="00BE1959" w:rsidRDefault="005613AB" w:rsidP="005613AB">
            <w:pPr>
              <w:spacing w:after="0" w:line="240" w:lineRule="auto"/>
              <w:rPr>
                <w:rFonts w:ascii="Times New Roman" w:eastAsia="Times New Roman" w:hAnsi="Times New Roman" w:cs="Times New Roman"/>
                <w:sz w:val="24"/>
                <w:szCs w:val="24"/>
                <w:lang w:val="uk-UA"/>
              </w:rPr>
            </w:pP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96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(41)</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125405" w:rsidP="003514FD">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«прямий електронний доступ» - </w:t>
            </w:r>
            <w:r w:rsidR="005810D9" w:rsidRPr="00BE1959">
              <w:rPr>
                <w:rFonts w:ascii="Times New Roman" w:eastAsia="Times New Roman" w:hAnsi="Times New Roman" w:cs="Times New Roman"/>
                <w:sz w:val="24"/>
                <w:szCs w:val="24"/>
                <w:lang w:val="uk-UA"/>
              </w:rPr>
              <w:t>система, за якої член, учасник або клієнт торговельного майданч</w:t>
            </w:r>
            <w:r w:rsidR="00EB0887" w:rsidRPr="00BE1959">
              <w:rPr>
                <w:rFonts w:ascii="Times New Roman" w:eastAsia="Times New Roman" w:hAnsi="Times New Roman" w:cs="Times New Roman"/>
                <w:sz w:val="24"/>
                <w:szCs w:val="24"/>
                <w:lang w:val="uk-UA"/>
              </w:rPr>
              <w:t>ика дозволяє тій чи іншій особі використовувати свій торговельний код, щоб ця особа могла передавати електронними засобами замовлення стосовно фінансового інструмента безпосередньо на торговельний майданчик</w:t>
            </w:r>
            <w:r w:rsidR="000C66EE" w:rsidRPr="00BE1959">
              <w:rPr>
                <w:rFonts w:ascii="Times New Roman" w:eastAsia="Times New Roman" w:hAnsi="Times New Roman" w:cs="Times New Roman"/>
                <w:sz w:val="24"/>
                <w:szCs w:val="24"/>
                <w:lang w:val="uk-UA"/>
              </w:rPr>
              <w:t>, і яка включає механізми, що передбачають використання особою інфраструктури члена, учасника або клієнта ч</w:t>
            </w:r>
            <w:r w:rsidR="00A85A5D" w:rsidRPr="00BE1959">
              <w:rPr>
                <w:rFonts w:ascii="Times New Roman" w:eastAsia="Times New Roman" w:hAnsi="Times New Roman" w:cs="Times New Roman"/>
                <w:sz w:val="24"/>
                <w:szCs w:val="24"/>
                <w:lang w:val="uk-UA"/>
              </w:rPr>
              <w:t>и будь-якої системи зв'язку, наданої членом, учасником або клієнтом, для передачі замовлень (прям</w:t>
            </w:r>
            <w:r w:rsidR="00B50844" w:rsidRPr="00BE1959">
              <w:rPr>
                <w:rFonts w:ascii="Times New Roman" w:eastAsia="Times New Roman" w:hAnsi="Times New Roman" w:cs="Times New Roman"/>
                <w:sz w:val="24"/>
                <w:szCs w:val="24"/>
                <w:lang w:val="uk-UA"/>
              </w:rPr>
              <w:t>ий</w:t>
            </w:r>
            <w:r w:rsidR="00A85A5D" w:rsidRPr="00BE1959">
              <w:rPr>
                <w:rFonts w:ascii="Times New Roman" w:eastAsia="Times New Roman" w:hAnsi="Times New Roman" w:cs="Times New Roman"/>
                <w:sz w:val="24"/>
                <w:szCs w:val="24"/>
                <w:lang w:val="uk-UA"/>
              </w:rPr>
              <w:t xml:space="preserve"> доступ до ринку) та </w:t>
            </w:r>
            <w:r w:rsidR="00B50844" w:rsidRPr="00BE1959">
              <w:rPr>
                <w:rFonts w:ascii="Times New Roman" w:eastAsia="Times New Roman" w:hAnsi="Times New Roman" w:cs="Times New Roman"/>
                <w:sz w:val="24"/>
                <w:szCs w:val="24"/>
                <w:lang w:val="uk-UA"/>
              </w:rPr>
              <w:t>угод у випадку, якщо така інфраструктура даною особою не використовується (</w:t>
            </w:r>
            <w:r w:rsidR="003514FD" w:rsidRPr="00BE1959">
              <w:rPr>
                <w:rFonts w:ascii="Times New Roman" w:eastAsia="Times New Roman" w:hAnsi="Times New Roman" w:cs="Times New Roman"/>
                <w:sz w:val="24"/>
                <w:szCs w:val="24"/>
                <w:lang w:val="uk-UA"/>
              </w:rPr>
              <w:t>спонсорований доступ);</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96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(42)</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3514FD" w:rsidP="00F82B3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«практика </w:t>
            </w:r>
            <w:r w:rsidR="00D0257F" w:rsidRPr="00BE1959">
              <w:rPr>
                <w:rFonts w:ascii="Times New Roman" w:eastAsia="Times New Roman" w:hAnsi="Times New Roman" w:cs="Times New Roman"/>
                <w:sz w:val="24"/>
                <w:szCs w:val="24"/>
                <w:lang w:val="uk-UA"/>
              </w:rPr>
              <w:t xml:space="preserve">перехресних продажів» - пропонування інвестиційної послуги у </w:t>
            </w:r>
            <w:r w:rsidR="00F82B3B" w:rsidRPr="00BE1959">
              <w:rPr>
                <w:rFonts w:ascii="Times New Roman" w:eastAsia="Times New Roman" w:hAnsi="Times New Roman" w:cs="Times New Roman"/>
                <w:sz w:val="24"/>
                <w:szCs w:val="24"/>
                <w:lang w:val="uk-UA"/>
              </w:rPr>
              <w:t>пакеті</w:t>
            </w:r>
            <w:r w:rsidR="00D0257F" w:rsidRPr="00BE1959">
              <w:rPr>
                <w:rFonts w:ascii="Times New Roman" w:eastAsia="Times New Roman" w:hAnsi="Times New Roman" w:cs="Times New Roman"/>
                <w:sz w:val="24"/>
                <w:szCs w:val="24"/>
                <w:lang w:val="uk-UA"/>
              </w:rPr>
              <w:t xml:space="preserve"> з іншою послугою чи іншим </w:t>
            </w:r>
            <w:r w:rsidR="00F82B3B" w:rsidRPr="00BE1959">
              <w:rPr>
                <w:rFonts w:ascii="Times New Roman" w:eastAsia="Times New Roman" w:hAnsi="Times New Roman" w:cs="Times New Roman"/>
                <w:sz w:val="24"/>
                <w:szCs w:val="24"/>
                <w:lang w:val="uk-UA"/>
              </w:rPr>
              <w:t>продуктом або як умови для цієї ж угоди чи пакету;</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96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(43)</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82B3B" w:rsidRPr="00BE1959" w:rsidRDefault="00F82B3B" w:rsidP="00F82B3B">
            <w:pPr>
              <w:spacing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«структурований депозит» - депозит згідно з визначенням у п. (с) статті 2(1) Директиви</w:t>
            </w:r>
            <w:r w:rsidR="005613AB" w:rsidRPr="00BE1959">
              <w:rPr>
                <w:rFonts w:ascii="Times New Roman" w:eastAsia="Times New Roman" w:hAnsi="Times New Roman" w:cs="Times New Roman"/>
                <w:sz w:val="24"/>
                <w:szCs w:val="24"/>
                <w:lang w:val="uk-UA"/>
              </w:rPr>
              <w:t xml:space="preserve"> 2014/49/EU </w:t>
            </w:r>
            <w:r w:rsidRPr="00BE1959">
              <w:rPr>
                <w:rFonts w:ascii="Times New Roman" w:eastAsia="Times New Roman" w:hAnsi="Times New Roman" w:cs="Times New Roman"/>
                <w:sz w:val="24"/>
                <w:szCs w:val="24"/>
                <w:lang w:val="uk-UA"/>
              </w:rPr>
              <w:t>Європейського Парламенту та Ради</w:t>
            </w:r>
            <w:hyperlink r:id="rId51" w:anchor="ntr46-L_2014173EN.01034901-E0046" w:history="1">
              <w:r w:rsidR="005613AB" w:rsidRPr="00BE1959">
                <w:rPr>
                  <w:rFonts w:ascii="Times New Roman" w:eastAsia="Times New Roman" w:hAnsi="Times New Roman" w:cs="Times New Roman"/>
                  <w:sz w:val="24"/>
                  <w:szCs w:val="24"/>
                  <w:bdr w:val="none" w:sz="0" w:space="0" w:color="auto" w:frame="1"/>
                  <w:lang w:val="uk-UA"/>
                </w:rPr>
                <w:t> (</w:t>
              </w:r>
              <w:r w:rsidR="005613AB" w:rsidRPr="00BE1959">
                <w:rPr>
                  <w:rFonts w:ascii="Times New Roman" w:eastAsia="Times New Roman" w:hAnsi="Times New Roman" w:cs="Times New Roman"/>
                  <w:sz w:val="24"/>
                  <w:szCs w:val="24"/>
                  <w:bdr w:val="none" w:sz="0" w:space="0" w:color="auto" w:frame="1"/>
                  <w:vertAlign w:val="superscript"/>
                  <w:lang w:val="uk-UA"/>
                </w:rPr>
                <w:t>46</w:t>
              </w:r>
              <w:r w:rsidR="005613AB" w:rsidRPr="00BE1959">
                <w:rPr>
                  <w:rFonts w:ascii="Times New Roman" w:eastAsia="Times New Roman" w:hAnsi="Times New Roman" w:cs="Times New Roman"/>
                  <w:sz w:val="24"/>
                  <w:szCs w:val="24"/>
                  <w:bdr w:val="none" w:sz="0" w:space="0" w:color="auto" w:frame="1"/>
                  <w:lang w:val="uk-UA"/>
                </w:rPr>
                <w:t>)</w:t>
              </w:r>
            </w:hyperlink>
            <w:r w:rsidR="005613AB" w:rsidRPr="00BE1959">
              <w:rPr>
                <w:rFonts w:ascii="Times New Roman" w:eastAsia="Times New Roman" w:hAnsi="Times New Roman" w:cs="Times New Roman"/>
                <w:sz w:val="24"/>
                <w:szCs w:val="24"/>
                <w:lang w:val="uk-UA"/>
              </w:rPr>
              <w:t xml:space="preserve">, </w:t>
            </w:r>
            <w:r w:rsidR="00205080" w:rsidRPr="00BE1959">
              <w:rPr>
                <w:rFonts w:ascii="Times New Roman" w:eastAsia="Times New Roman" w:hAnsi="Times New Roman" w:cs="Times New Roman"/>
                <w:sz w:val="24"/>
                <w:szCs w:val="24"/>
                <w:lang w:val="uk-UA"/>
              </w:rPr>
              <w:t xml:space="preserve">який підлягає повній виплаті при настанні терміну погашення на умовах, за яких </w:t>
            </w:r>
            <w:r w:rsidR="00824D05" w:rsidRPr="00BE1959">
              <w:rPr>
                <w:rFonts w:ascii="Times New Roman" w:eastAsia="Times New Roman" w:hAnsi="Times New Roman" w:cs="Times New Roman"/>
                <w:sz w:val="24"/>
                <w:szCs w:val="24"/>
                <w:lang w:val="uk-UA"/>
              </w:rPr>
              <w:t xml:space="preserve">виплачується процент або премія, або </w:t>
            </w:r>
            <w:r w:rsidR="007B08C6" w:rsidRPr="00BE1959">
              <w:rPr>
                <w:rFonts w:ascii="Times New Roman" w:eastAsia="Times New Roman" w:hAnsi="Times New Roman" w:cs="Times New Roman"/>
                <w:sz w:val="24"/>
                <w:szCs w:val="24"/>
                <w:lang w:val="uk-UA"/>
              </w:rPr>
              <w:t>який наражається на ризик,</w:t>
            </w:r>
            <w:r w:rsidR="00824D05" w:rsidRPr="00BE1959">
              <w:rPr>
                <w:rFonts w:ascii="Times New Roman" w:eastAsia="Times New Roman" w:hAnsi="Times New Roman" w:cs="Times New Roman"/>
                <w:sz w:val="24"/>
                <w:szCs w:val="24"/>
                <w:lang w:val="uk-UA"/>
              </w:rPr>
              <w:t xml:space="preserve"> відповідно до формули, яка враховує наступні фактори:</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467"/>
            </w:tblGrid>
            <w:tr w:rsidR="00DE3173" w:rsidRPr="0043174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lastRenderedPageBreak/>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7B08C6" w:rsidP="004D65E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індекс або комбінація індексів, що виключає депозити зі змінною ставкою процент</w:t>
                  </w:r>
                  <w:r w:rsidR="004D65EB" w:rsidRPr="00BE1959">
                    <w:rPr>
                      <w:rFonts w:ascii="Times New Roman" w:eastAsia="Times New Roman" w:hAnsi="Times New Roman" w:cs="Times New Roman"/>
                      <w:sz w:val="24"/>
                      <w:szCs w:val="24"/>
                      <w:lang w:val="uk-UA"/>
                    </w:rPr>
                    <w:t>а</w:t>
                  </w:r>
                  <w:r w:rsidRPr="00BE1959">
                    <w:rPr>
                      <w:rFonts w:ascii="Times New Roman" w:eastAsia="Times New Roman" w:hAnsi="Times New Roman" w:cs="Times New Roman"/>
                      <w:sz w:val="24"/>
                      <w:szCs w:val="24"/>
                      <w:lang w:val="uk-UA"/>
                    </w:rPr>
                    <w:t xml:space="preserve">, повернення яких безпосередньо </w:t>
                  </w:r>
                  <w:r w:rsidR="004D65EB" w:rsidRPr="00BE1959">
                    <w:rPr>
                      <w:rFonts w:ascii="Times New Roman" w:eastAsia="Times New Roman" w:hAnsi="Times New Roman" w:cs="Times New Roman"/>
                      <w:sz w:val="24"/>
                      <w:szCs w:val="24"/>
                      <w:lang w:val="uk-UA"/>
                    </w:rPr>
                    <w:t>пов’язано</w:t>
                  </w:r>
                  <w:r w:rsidRPr="00BE1959">
                    <w:rPr>
                      <w:rFonts w:ascii="Times New Roman" w:eastAsia="Times New Roman" w:hAnsi="Times New Roman" w:cs="Times New Roman"/>
                      <w:sz w:val="24"/>
                      <w:szCs w:val="24"/>
                      <w:lang w:val="uk-UA"/>
                    </w:rPr>
                    <w:t xml:space="preserve"> з індексом ставки </w:t>
                  </w:r>
                  <w:r w:rsidR="00116ED5" w:rsidRPr="00BE1959">
                    <w:rPr>
                      <w:rFonts w:ascii="Times New Roman" w:eastAsia="Times New Roman" w:hAnsi="Times New Roman" w:cs="Times New Roman"/>
                      <w:sz w:val="24"/>
                      <w:szCs w:val="24"/>
                      <w:lang w:val="uk-UA"/>
                    </w:rPr>
                    <w:t>процент</w:t>
                  </w:r>
                  <w:r w:rsidR="004D65EB" w:rsidRPr="00BE1959">
                    <w:rPr>
                      <w:rFonts w:ascii="Times New Roman" w:eastAsia="Times New Roman" w:hAnsi="Times New Roman" w:cs="Times New Roman"/>
                      <w:sz w:val="24"/>
                      <w:szCs w:val="24"/>
                      <w:lang w:val="uk-UA"/>
                    </w:rPr>
                    <w:t>а, як-от ЄВРІБОР або ЛІБОР;</w:t>
                  </w:r>
                </w:p>
              </w:tc>
            </w:tr>
          </w:tbl>
          <w:p w:rsidR="005613AB" w:rsidRPr="00BE1959" w:rsidRDefault="005613AB" w:rsidP="005613AB">
            <w:pPr>
              <w:spacing w:after="0" w:line="240" w:lineRule="auto"/>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77"/>
              <w:gridCol w:w="8362"/>
            </w:tblGrid>
            <w:tr w:rsidR="00DE3173" w:rsidRPr="0043174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4D65EB" w:rsidP="004D65E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фінансовий інструмент або комбінація фінансових інструментів;</w:t>
                  </w:r>
                </w:p>
              </w:tc>
            </w:tr>
          </w:tbl>
          <w:p w:rsidR="005613AB" w:rsidRPr="00BE1959" w:rsidRDefault="005613AB" w:rsidP="005613AB">
            <w:pPr>
              <w:spacing w:after="0" w:line="240" w:lineRule="auto"/>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467"/>
            </w:tblGrid>
            <w:tr w:rsidR="00DE3173" w:rsidRPr="0043174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E7075D" w:rsidP="00E7075D">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Товар або комбінація товарів або інших матеріальних чи нематеріальних невзаємозамінних активів; або</w:t>
                  </w:r>
                </w:p>
              </w:tc>
            </w:tr>
          </w:tbl>
          <w:p w:rsidR="005613AB" w:rsidRPr="00BE1959" w:rsidRDefault="005613AB" w:rsidP="005613AB">
            <w:pPr>
              <w:spacing w:after="0" w:line="240" w:lineRule="auto"/>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01"/>
              <w:gridCol w:w="8438"/>
            </w:tblGrid>
            <w:tr w:rsidR="00DE3173" w:rsidRPr="0043174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717FD0" w:rsidP="00717FD0">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курс обміну іноземної валюти або комбінація курсів обміну іноземних валют;</w:t>
                  </w:r>
                </w:p>
              </w:tc>
            </w:tr>
          </w:tbl>
          <w:p w:rsidR="005613AB" w:rsidRPr="00BE1959" w:rsidRDefault="005613AB" w:rsidP="005613AB">
            <w:pPr>
              <w:spacing w:after="0" w:line="240" w:lineRule="auto"/>
              <w:rPr>
                <w:rFonts w:ascii="Times New Roman" w:eastAsia="Times New Roman" w:hAnsi="Times New Roman" w:cs="Times New Roman"/>
                <w:sz w:val="24"/>
                <w:szCs w:val="24"/>
                <w:lang w:val="uk-UA"/>
              </w:rPr>
            </w:pP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96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(44)</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157EE9" w:rsidP="00894ED3">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«оборот</w:t>
            </w:r>
            <w:r w:rsidR="00894ED3" w:rsidRPr="00BE1959">
              <w:rPr>
                <w:rFonts w:ascii="Times New Roman" w:eastAsia="Times New Roman" w:hAnsi="Times New Roman" w:cs="Times New Roman"/>
                <w:sz w:val="24"/>
                <w:szCs w:val="24"/>
                <w:lang w:val="uk-UA"/>
              </w:rPr>
              <w:t xml:space="preserve">ні цінні папери» - ті класи цінних паперів, які можуть </w:t>
            </w:r>
            <w:r w:rsidR="00CE4FE8" w:rsidRPr="00BE1959">
              <w:rPr>
                <w:rFonts w:ascii="Times New Roman" w:eastAsia="Times New Roman" w:hAnsi="Times New Roman" w:cs="Times New Roman"/>
                <w:sz w:val="24"/>
                <w:szCs w:val="24"/>
                <w:lang w:val="uk-UA"/>
              </w:rPr>
              <w:t>виступати предметом угоди на ринку</w:t>
            </w:r>
            <w:r w:rsidR="00894ED3" w:rsidRPr="00BE1959">
              <w:rPr>
                <w:rFonts w:ascii="Times New Roman" w:eastAsia="Times New Roman" w:hAnsi="Times New Roman" w:cs="Times New Roman"/>
                <w:sz w:val="24"/>
                <w:szCs w:val="24"/>
                <w:lang w:val="uk-UA"/>
              </w:rPr>
              <w:t xml:space="preserve"> капіталу, за винятком платіжних засобів, як-от:</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467"/>
            </w:tblGrid>
            <w:tr w:rsidR="00DE3173" w:rsidRPr="0043174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2D73" w:rsidP="00562D73">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акції компаній або інші цінні папери, еквівалентні акціям компаній, товариств або інших суб’єктів, та депозитарні розписки щодо акцій;</w:t>
                  </w:r>
                </w:p>
              </w:tc>
            </w:tr>
          </w:tbl>
          <w:p w:rsidR="005613AB" w:rsidRPr="00BE1959" w:rsidRDefault="005613AB" w:rsidP="005613AB">
            <w:pPr>
              <w:spacing w:after="0" w:line="240" w:lineRule="auto"/>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454"/>
            </w:tblGrid>
            <w:tr w:rsidR="00DE3173" w:rsidRPr="0043174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922EAA" w:rsidP="00E669A6">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iCs/>
                      <w:color w:val="000000"/>
                      <w:sz w:val="24"/>
                      <w:szCs w:val="24"/>
                      <w:bdr w:val="none" w:sz="0" w:space="0" w:color="auto" w:frame="1"/>
                      <w:lang w:val="uk-UA" w:eastAsia="ru-RU"/>
                    </w:rPr>
                    <w:t xml:space="preserve">облігації </w:t>
                  </w:r>
                  <w:r w:rsidR="00562D73" w:rsidRPr="00BE1959">
                    <w:rPr>
                      <w:rFonts w:ascii="Times New Roman" w:eastAsia="Times New Roman" w:hAnsi="Times New Roman" w:cs="Times New Roman"/>
                      <w:iCs/>
                      <w:color w:val="000000"/>
                      <w:sz w:val="24"/>
                      <w:szCs w:val="24"/>
                      <w:bdr w:val="none" w:sz="0" w:space="0" w:color="auto" w:frame="1"/>
                      <w:lang w:val="uk-UA" w:eastAsia="ru-RU"/>
                    </w:rPr>
                    <w:t>або</w:t>
                  </w:r>
                  <w:r w:rsidRPr="00BE1959">
                    <w:rPr>
                      <w:rFonts w:ascii="Times New Roman" w:eastAsia="Times New Roman" w:hAnsi="Times New Roman" w:cs="Times New Roman"/>
                      <w:iCs/>
                      <w:color w:val="000000"/>
                      <w:sz w:val="24"/>
                      <w:szCs w:val="24"/>
                      <w:bdr w:val="none" w:sz="0" w:space="0" w:color="auto" w:frame="1"/>
                      <w:lang w:val="uk-UA" w:eastAsia="ru-RU"/>
                    </w:rPr>
                    <w:t xml:space="preserve"> інші види боргових зобов'язань у формі цінних паперів, включаючи депозитарні розписки щодо таких цінних паперів;</w:t>
                  </w:r>
                </w:p>
              </w:tc>
            </w:tr>
          </w:tbl>
          <w:p w:rsidR="005613AB" w:rsidRPr="00BE1959" w:rsidRDefault="005613AB" w:rsidP="005613AB">
            <w:pPr>
              <w:spacing w:after="0" w:line="240" w:lineRule="auto"/>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467"/>
            </w:tblGrid>
            <w:tr w:rsidR="00DE3173" w:rsidRPr="0043174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922EAA" w:rsidP="00B61C7E">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iCs/>
                      <w:color w:val="000000"/>
                      <w:sz w:val="24"/>
                      <w:szCs w:val="24"/>
                      <w:bdr w:val="none" w:sz="0" w:space="0" w:color="auto" w:frame="1"/>
                      <w:lang w:val="uk-UA" w:eastAsia="ru-RU"/>
                    </w:rPr>
                    <w:t>будь-які</w:t>
                  </w:r>
                  <w:r w:rsidR="00E669A6" w:rsidRPr="00BE1959">
                    <w:rPr>
                      <w:rFonts w:ascii="Times New Roman" w:eastAsia="Times New Roman" w:hAnsi="Times New Roman" w:cs="Times New Roman"/>
                      <w:iCs/>
                      <w:color w:val="000000"/>
                      <w:sz w:val="24"/>
                      <w:szCs w:val="24"/>
                      <w:bdr w:val="none" w:sz="0" w:space="0" w:color="auto" w:frame="1"/>
                      <w:lang w:val="uk-UA" w:eastAsia="ru-RU"/>
                    </w:rPr>
                    <w:t xml:space="preserve"> </w:t>
                  </w:r>
                  <w:r w:rsidRPr="00BE1959">
                    <w:rPr>
                      <w:rFonts w:ascii="Times New Roman" w:eastAsia="Times New Roman" w:hAnsi="Times New Roman" w:cs="Times New Roman"/>
                      <w:iCs/>
                      <w:color w:val="000000"/>
                      <w:sz w:val="24"/>
                      <w:szCs w:val="24"/>
                      <w:bdr w:val="none" w:sz="0" w:space="0" w:color="auto" w:frame="1"/>
                      <w:lang w:val="uk-UA" w:eastAsia="ru-RU"/>
                    </w:rPr>
                    <w:t>інші цінні папери, що надають право на придбання</w:t>
                  </w:r>
                  <w:r w:rsidR="00E669A6" w:rsidRPr="00BE1959">
                    <w:rPr>
                      <w:rFonts w:ascii="Times New Roman" w:eastAsia="Times New Roman" w:hAnsi="Times New Roman" w:cs="Times New Roman"/>
                      <w:iCs/>
                      <w:color w:val="000000"/>
                      <w:sz w:val="24"/>
                      <w:szCs w:val="24"/>
                      <w:bdr w:val="none" w:sz="0" w:space="0" w:color="auto" w:frame="1"/>
                      <w:lang w:val="uk-UA" w:eastAsia="ru-RU"/>
                    </w:rPr>
                    <w:t xml:space="preserve"> </w:t>
                  </w:r>
                  <w:r w:rsidRPr="00BE1959">
                    <w:rPr>
                      <w:rFonts w:ascii="Times New Roman" w:eastAsia="Times New Roman" w:hAnsi="Times New Roman" w:cs="Times New Roman"/>
                      <w:iCs/>
                      <w:color w:val="000000"/>
                      <w:sz w:val="24"/>
                      <w:szCs w:val="24"/>
                      <w:bdr w:val="none" w:sz="0" w:space="0" w:color="auto" w:frame="1"/>
                      <w:lang w:val="uk-UA" w:eastAsia="ru-RU"/>
                    </w:rPr>
                    <w:t>чи продаж будь-яких</w:t>
                  </w:r>
                  <w:r w:rsidR="00E669A6" w:rsidRPr="00BE1959">
                    <w:rPr>
                      <w:rFonts w:ascii="Times New Roman" w:eastAsia="Times New Roman" w:hAnsi="Times New Roman" w:cs="Times New Roman"/>
                      <w:iCs/>
                      <w:color w:val="000000"/>
                      <w:sz w:val="24"/>
                      <w:szCs w:val="24"/>
                      <w:bdr w:val="none" w:sz="0" w:space="0" w:color="auto" w:frame="1"/>
                      <w:lang w:val="uk-UA" w:eastAsia="ru-RU"/>
                    </w:rPr>
                    <w:t xml:space="preserve"> оборотних</w:t>
                  </w:r>
                  <w:r w:rsidRPr="00BE1959">
                    <w:rPr>
                      <w:rFonts w:ascii="Times New Roman" w:eastAsia="Times New Roman" w:hAnsi="Times New Roman" w:cs="Times New Roman"/>
                      <w:iCs/>
                      <w:color w:val="000000"/>
                      <w:sz w:val="24"/>
                      <w:szCs w:val="24"/>
                      <w:bdr w:val="none" w:sz="0" w:space="0" w:color="auto" w:frame="1"/>
                      <w:lang w:val="uk-UA" w:eastAsia="ru-RU"/>
                    </w:rPr>
                    <w:t xml:space="preserve"> цінних паперів або </w:t>
                  </w:r>
                  <w:r w:rsidR="00C47003" w:rsidRPr="00BE1959">
                    <w:rPr>
                      <w:rFonts w:ascii="Times New Roman" w:eastAsia="Times New Roman" w:hAnsi="Times New Roman" w:cs="Times New Roman"/>
                      <w:iCs/>
                      <w:color w:val="000000"/>
                      <w:sz w:val="24"/>
                      <w:szCs w:val="24"/>
                      <w:bdr w:val="none" w:sz="0" w:space="0" w:color="auto" w:frame="1"/>
                      <w:lang w:val="uk-UA" w:eastAsia="ru-RU"/>
                    </w:rPr>
                    <w:t>тягнуть за собою грошовий розрахунок, визначуваний посиланням на оборотні цінні папери</w:t>
                  </w:r>
                  <w:r w:rsidR="00B61C7E" w:rsidRPr="00BE1959">
                    <w:rPr>
                      <w:rFonts w:ascii="Times New Roman" w:eastAsia="Times New Roman" w:hAnsi="Times New Roman" w:cs="Times New Roman"/>
                      <w:iCs/>
                      <w:color w:val="000000"/>
                      <w:sz w:val="24"/>
                      <w:szCs w:val="24"/>
                      <w:bdr w:val="none" w:sz="0" w:space="0" w:color="auto" w:frame="1"/>
                      <w:lang w:val="uk-UA" w:eastAsia="ru-RU"/>
                    </w:rPr>
                    <w:t>, валюту, ставки процента або доходність, товари або інші індекси чи міри;</w:t>
                  </w:r>
                </w:p>
              </w:tc>
            </w:tr>
          </w:tbl>
          <w:p w:rsidR="005613AB" w:rsidRPr="00BE1959" w:rsidRDefault="005613AB" w:rsidP="005613AB">
            <w:pPr>
              <w:spacing w:after="0" w:line="240" w:lineRule="auto"/>
              <w:rPr>
                <w:rFonts w:ascii="Times New Roman" w:eastAsia="Times New Roman" w:hAnsi="Times New Roman" w:cs="Times New Roman"/>
                <w:sz w:val="24"/>
                <w:szCs w:val="24"/>
                <w:lang w:val="uk-UA"/>
              </w:rPr>
            </w:pP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96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(45)</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B61C7E" w:rsidP="00896BE9">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«депозитарні розписки» - цінні папери, які можуть виступати предметом угоди на ринку капіталу і які представляють власність на </w:t>
            </w:r>
            <w:r w:rsidR="007E539B" w:rsidRPr="00BE1959">
              <w:rPr>
                <w:rFonts w:ascii="Times New Roman" w:eastAsia="Times New Roman" w:hAnsi="Times New Roman" w:cs="Times New Roman"/>
                <w:sz w:val="24"/>
                <w:szCs w:val="24"/>
                <w:lang w:val="uk-UA"/>
              </w:rPr>
              <w:t xml:space="preserve">цінні папери </w:t>
            </w:r>
            <w:r w:rsidR="00505EE1" w:rsidRPr="00BE1959">
              <w:rPr>
                <w:rFonts w:ascii="Times New Roman" w:eastAsia="Times New Roman" w:hAnsi="Times New Roman" w:cs="Times New Roman"/>
                <w:sz w:val="24"/>
                <w:szCs w:val="24"/>
                <w:lang w:val="uk-UA"/>
              </w:rPr>
              <w:t>іноземного емітента, з можливістю доступу до торгівлі на регульовано</w:t>
            </w:r>
            <w:r w:rsidR="00896BE9" w:rsidRPr="00BE1959">
              <w:rPr>
                <w:rFonts w:ascii="Times New Roman" w:eastAsia="Times New Roman" w:hAnsi="Times New Roman" w:cs="Times New Roman"/>
                <w:sz w:val="24"/>
                <w:szCs w:val="24"/>
                <w:lang w:val="uk-UA"/>
              </w:rPr>
              <w:t>му ринку та купівлі-продажу незалежно від цінних паперів іноземного емітента;</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96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(46)</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6878C4" w:rsidP="00591F16">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«біржовий торгований фонд»</w:t>
            </w:r>
            <w:r w:rsidR="00D032AA" w:rsidRPr="00BE1959">
              <w:rPr>
                <w:rFonts w:ascii="Times New Roman" w:eastAsia="Times New Roman" w:hAnsi="Times New Roman" w:cs="Times New Roman"/>
                <w:sz w:val="24"/>
                <w:szCs w:val="24"/>
                <w:lang w:val="uk-UA"/>
              </w:rPr>
              <w:t xml:space="preserve"> - фо</w:t>
            </w:r>
            <w:r w:rsidR="00C44BFE" w:rsidRPr="00BE1959">
              <w:rPr>
                <w:rFonts w:ascii="Times New Roman" w:eastAsia="Times New Roman" w:hAnsi="Times New Roman" w:cs="Times New Roman"/>
                <w:sz w:val="24"/>
                <w:szCs w:val="24"/>
                <w:lang w:val="uk-UA"/>
              </w:rPr>
              <w:t>нд, у якому принаймні од</w:t>
            </w:r>
            <w:r w:rsidR="00893544" w:rsidRPr="00BE1959">
              <w:rPr>
                <w:rFonts w:ascii="Times New Roman" w:eastAsia="Times New Roman" w:hAnsi="Times New Roman" w:cs="Times New Roman"/>
                <w:sz w:val="24"/>
                <w:szCs w:val="24"/>
                <w:lang w:val="uk-UA"/>
              </w:rPr>
              <w:t>ин клас паїв або</w:t>
            </w:r>
            <w:r w:rsidR="00591F16" w:rsidRPr="00BE1959">
              <w:rPr>
                <w:rFonts w:ascii="Times New Roman" w:eastAsia="Times New Roman" w:hAnsi="Times New Roman" w:cs="Times New Roman"/>
                <w:sz w:val="24"/>
                <w:szCs w:val="24"/>
                <w:lang w:val="uk-UA"/>
              </w:rPr>
              <w:t xml:space="preserve"> </w:t>
            </w:r>
            <w:r w:rsidR="00C44BFE" w:rsidRPr="00BE1959">
              <w:rPr>
                <w:rFonts w:ascii="Times New Roman" w:eastAsia="Times New Roman" w:hAnsi="Times New Roman" w:cs="Times New Roman"/>
                <w:sz w:val="24"/>
                <w:szCs w:val="24"/>
                <w:lang w:val="uk-UA"/>
              </w:rPr>
              <w:t>акцій торгується впродовж усього дня принаймні на одному торговельному майданчику та принаймні з одним маркет-мейкером, який уживає заходів для забезпечення т</w:t>
            </w:r>
            <w:r w:rsidR="00893544" w:rsidRPr="00BE1959">
              <w:rPr>
                <w:rFonts w:ascii="Times New Roman" w:eastAsia="Times New Roman" w:hAnsi="Times New Roman" w:cs="Times New Roman"/>
                <w:sz w:val="24"/>
                <w:szCs w:val="24"/>
                <w:lang w:val="uk-UA"/>
              </w:rPr>
              <w:t xml:space="preserve">ого, щоб ціна на його паї чи акції на даному торговельному майданчику істотно не відрізнялася від </w:t>
            </w:r>
            <w:r w:rsidR="006123F0" w:rsidRPr="00BE1959">
              <w:rPr>
                <w:rFonts w:ascii="Times New Roman" w:eastAsia="Times New Roman" w:hAnsi="Times New Roman" w:cs="Times New Roman"/>
                <w:sz w:val="24"/>
                <w:szCs w:val="24"/>
                <w:lang w:val="uk-UA"/>
              </w:rPr>
              <w:t>чистої вартості його активів та, де доречно, від орієнтовної чистої вартості його активів;</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96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(47)</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47467D" w:rsidP="0047467D">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«сертифікати» - сертифікати згідно з визначенням у статті</w:t>
            </w:r>
            <w:r w:rsidR="005613AB" w:rsidRPr="00BE1959">
              <w:rPr>
                <w:rFonts w:ascii="Times New Roman" w:eastAsia="Times New Roman" w:hAnsi="Times New Roman" w:cs="Times New Roman"/>
                <w:sz w:val="24"/>
                <w:szCs w:val="24"/>
                <w:lang w:val="uk-UA"/>
              </w:rPr>
              <w:t xml:space="preserve"> 2(1)(27) </w:t>
            </w:r>
            <w:r w:rsidRPr="00BE1959">
              <w:rPr>
                <w:rFonts w:ascii="Times New Roman" w:eastAsia="Times New Roman" w:hAnsi="Times New Roman" w:cs="Times New Roman"/>
                <w:sz w:val="24"/>
                <w:szCs w:val="24"/>
                <w:lang w:val="uk-UA"/>
              </w:rPr>
              <w:t>Регламенту</w:t>
            </w:r>
            <w:r w:rsidR="005613AB" w:rsidRPr="00BE1959">
              <w:rPr>
                <w:rFonts w:ascii="Times New Roman" w:eastAsia="Times New Roman" w:hAnsi="Times New Roman" w:cs="Times New Roman"/>
                <w:sz w:val="24"/>
                <w:szCs w:val="24"/>
                <w:lang w:val="uk-UA"/>
              </w:rPr>
              <w:t xml:space="preserve"> (EU) </w:t>
            </w:r>
            <w:r w:rsidRPr="00BE1959">
              <w:rPr>
                <w:rFonts w:ascii="Times New Roman" w:eastAsia="Times New Roman" w:hAnsi="Times New Roman" w:cs="Times New Roman"/>
                <w:sz w:val="24"/>
                <w:szCs w:val="24"/>
                <w:lang w:val="uk-UA"/>
              </w:rPr>
              <w:t>№</w:t>
            </w:r>
            <w:r w:rsidR="005613AB" w:rsidRPr="00BE1959">
              <w:rPr>
                <w:rFonts w:ascii="Times New Roman" w:eastAsia="Times New Roman" w:hAnsi="Times New Roman" w:cs="Times New Roman"/>
                <w:sz w:val="24"/>
                <w:szCs w:val="24"/>
                <w:lang w:val="uk-UA"/>
              </w:rPr>
              <w:t xml:space="preserve"> 600/2014;</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96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(48)</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47467D" w:rsidP="0047467D">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«структуровані фінансові продукти» - структуровані фінансові продукти згідно з визначенням у статті</w:t>
            </w:r>
            <w:r w:rsidR="005613AB" w:rsidRPr="00BE1959">
              <w:rPr>
                <w:rFonts w:ascii="Times New Roman" w:eastAsia="Times New Roman" w:hAnsi="Times New Roman" w:cs="Times New Roman"/>
                <w:sz w:val="24"/>
                <w:szCs w:val="24"/>
                <w:lang w:val="uk-UA"/>
              </w:rPr>
              <w:t xml:space="preserve"> 2(1)(28) </w:t>
            </w:r>
            <w:r w:rsidRPr="00BE1959">
              <w:rPr>
                <w:rFonts w:ascii="Times New Roman" w:eastAsia="Times New Roman" w:hAnsi="Times New Roman" w:cs="Times New Roman"/>
                <w:sz w:val="24"/>
                <w:szCs w:val="24"/>
                <w:lang w:val="uk-UA"/>
              </w:rPr>
              <w:t>Регламенту</w:t>
            </w:r>
            <w:r w:rsidR="005613AB" w:rsidRPr="00BE1959">
              <w:rPr>
                <w:rFonts w:ascii="Times New Roman" w:eastAsia="Times New Roman" w:hAnsi="Times New Roman" w:cs="Times New Roman"/>
                <w:sz w:val="24"/>
                <w:szCs w:val="24"/>
                <w:lang w:val="uk-UA"/>
              </w:rPr>
              <w:t xml:space="preserve"> (EU) </w:t>
            </w:r>
            <w:r w:rsidRPr="00BE1959">
              <w:rPr>
                <w:rFonts w:ascii="Times New Roman" w:eastAsia="Times New Roman" w:hAnsi="Times New Roman" w:cs="Times New Roman"/>
                <w:sz w:val="24"/>
                <w:szCs w:val="24"/>
                <w:lang w:val="uk-UA"/>
              </w:rPr>
              <w:t>№</w:t>
            </w:r>
            <w:r w:rsidR="005613AB" w:rsidRPr="00BE1959">
              <w:rPr>
                <w:rFonts w:ascii="Times New Roman" w:eastAsia="Times New Roman" w:hAnsi="Times New Roman" w:cs="Times New Roman"/>
                <w:sz w:val="24"/>
                <w:szCs w:val="24"/>
                <w:lang w:val="uk-UA"/>
              </w:rPr>
              <w:t xml:space="preserve"> 600/2014;</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96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(49)</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47467D" w:rsidP="00554A62">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«деривативи» - деривативи згідно з визначенням у статті</w:t>
            </w:r>
            <w:r w:rsidR="005613AB" w:rsidRPr="00BE1959">
              <w:rPr>
                <w:rFonts w:ascii="Times New Roman" w:eastAsia="Times New Roman" w:hAnsi="Times New Roman" w:cs="Times New Roman"/>
                <w:sz w:val="24"/>
                <w:szCs w:val="24"/>
                <w:lang w:val="uk-UA"/>
              </w:rPr>
              <w:t xml:space="preserve"> 2(1)(29) </w:t>
            </w:r>
            <w:r w:rsidR="00554A62" w:rsidRPr="00BE1959">
              <w:rPr>
                <w:rFonts w:ascii="Times New Roman" w:eastAsia="Times New Roman" w:hAnsi="Times New Roman" w:cs="Times New Roman"/>
                <w:sz w:val="24"/>
                <w:szCs w:val="24"/>
                <w:lang w:val="uk-UA"/>
              </w:rPr>
              <w:t>Регламенту</w:t>
            </w:r>
            <w:r w:rsidR="005613AB" w:rsidRPr="00BE1959">
              <w:rPr>
                <w:rFonts w:ascii="Times New Roman" w:eastAsia="Times New Roman" w:hAnsi="Times New Roman" w:cs="Times New Roman"/>
                <w:sz w:val="24"/>
                <w:szCs w:val="24"/>
                <w:lang w:val="uk-UA"/>
              </w:rPr>
              <w:t xml:space="preserve"> (EU) </w:t>
            </w:r>
            <w:r w:rsidR="00554A62" w:rsidRPr="00BE1959">
              <w:rPr>
                <w:rFonts w:ascii="Times New Roman" w:eastAsia="Times New Roman" w:hAnsi="Times New Roman" w:cs="Times New Roman"/>
                <w:sz w:val="24"/>
                <w:szCs w:val="24"/>
                <w:lang w:val="uk-UA"/>
              </w:rPr>
              <w:t xml:space="preserve">№ </w:t>
            </w:r>
            <w:r w:rsidR="005613AB" w:rsidRPr="00BE1959">
              <w:rPr>
                <w:rFonts w:ascii="Times New Roman" w:eastAsia="Times New Roman" w:hAnsi="Times New Roman" w:cs="Times New Roman"/>
                <w:sz w:val="24"/>
                <w:szCs w:val="24"/>
                <w:lang w:val="uk-UA"/>
              </w:rPr>
              <w:lastRenderedPageBreak/>
              <w:t>600/2014;</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96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(50)</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54A62" w:rsidP="00554A62">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«товарні деривативи» - товарні деривативи згідно з визначенням у статті</w:t>
            </w:r>
            <w:r w:rsidR="005613AB" w:rsidRPr="00BE1959">
              <w:rPr>
                <w:rFonts w:ascii="Times New Roman" w:eastAsia="Times New Roman" w:hAnsi="Times New Roman" w:cs="Times New Roman"/>
                <w:sz w:val="24"/>
                <w:szCs w:val="24"/>
                <w:lang w:val="uk-UA"/>
              </w:rPr>
              <w:t xml:space="preserve"> 2(1)(30) </w:t>
            </w:r>
            <w:r w:rsidRPr="00BE1959">
              <w:rPr>
                <w:rFonts w:ascii="Times New Roman" w:eastAsia="Times New Roman" w:hAnsi="Times New Roman" w:cs="Times New Roman"/>
                <w:sz w:val="24"/>
                <w:szCs w:val="24"/>
                <w:lang w:val="uk-UA"/>
              </w:rPr>
              <w:t>Регламенту</w:t>
            </w:r>
            <w:r w:rsidR="005613AB" w:rsidRPr="00BE1959">
              <w:rPr>
                <w:rFonts w:ascii="Times New Roman" w:eastAsia="Times New Roman" w:hAnsi="Times New Roman" w:cs="Times New Roman"/>
                <w:sz w:val="24"/>
                <w:szCs w:val="24"/>
                <w:lang w:val="uk-UA"/>
              </w:rPr>
              <w:t xml:space="preserve"> (EU) </w:t>
            </w:r>
            <w:r w:rsidRPr="00BE1959">
              <w:rPr>
                <w:rFonts w:ascii="Times New Roman" w:eastAsia="Times New Roman" w:hAnsi="Times New Roman" w:cs="Times New Roman"/>
                <w:sz w:val="24"/>
                <w:szCs w:val="24"/>
                <w:lang w:val="uk-UA"/>
              </w:rPr>
              <w:t>№</w:t>
            </w:r>
            <w:r w:rsidR="005613AB" w:rsidRPr="00BE1959">
              <w:rPr>
                <w:rFonts w:ascii="Times New Roman" w:eastAsia="Times New Roman" w:hAnsi="Times New Roman" w:cs="Times New Roman"/>
                <w:sz w:val="24"/>
                <w:szCs w:val="24"/>
                <w:lang w:val="uk-UA"/>
              </w:rPr>
              <w:t xml:space="preserve"> 600/2014;</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51"/>
        <w:gridCol w:w="8914"/>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(51)</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636F2E" w:rsidP="00636F2E">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«ЦКА» - ЦКА згідно з визначенням у статті</w:t>
            </w:r>
            <w:r w:rsidR="005613AB" w:rsidRPr="00BE1959">
              <w:rPr>
                <w:rFonts w:ascii="Times New Roman" w:eastAsia="Times New Roman" w:hAnsi="Times New Roman" w:cs="Times New Roman"/>
                <w:sz w:val="24"/>
                <w:szCs w:val="24"/>
                <w:lang w:val="uk-UA"/>
              </w:rPr>
              <w:t xml:space="preserve"> 2(1) </w:t>
            </w:r>
            <w:r w:rsidRPr="00BE1959">
              <w:rPr>
                <w:rFonts w:ascii="Times New Roman" w:eastAsia="Times New Roman" w:hAnsi="Times New Roman" w:cs="Times New Roman"/>
                <w:sz w:val="24"/>
                <w:szCs w:val="24"/>
                <w:lang w:val="uk-UA"/>
              </w:rPr>
              <w:t>Регламенту</w:t>
            </w:r>
            <w:r w:rsidR="005613AB" w:rsidRPr="00BE1959">
              <w:rPr>
                <w:rFonts w:ascii="Times New Roman" w:eastAsia="Times New Roman" w:hAnsi="Times New Roman" w:cs="Times New Roman"/>
                <w:sz w:val="24"/>
                <w:szCs w:val="24"/>
                <w:lang w:val="uk-UA"/>
              </w:rPr>
              <w:t xml:space="preserve"> (EU) </w:t>
            </w:r>
            <w:r w:rsidRPr="00BE1959">
              <w:rPr>
                <w:rFonts w:ascii="Times New Roman" w:eastAsia="Times New Roman" w:hAnsi="Times New Roman" w:cs="Times New Roman"/>
                <w:sz w:val="24"/>
                <w:szCs w:val="24"/>
                <w:lang w:val="uk-UA"/>
              </w:rPr>
              <w:t>№</w:t>
            </w:r>
            <w:r w:rsidR="005613AB" w:rsidRPr="00BE1959">
              <w:rPr>
                <w:rFonts w:ascii="Times New Roman" w:eastAsia="Times New Roman" w:hAnsi="Times New Roman" w:cs="Times New Roman"/>
                <w:sz w:val="24"/>
                <w:szCs w:val="24"/>
                <w:lang w:val="uk-UA"/>
              </w:rPr>
              <w:t> 648/2012;</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96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(52)</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6B7EC0" w:rsidP="0079571D">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«затверджений механізм публікації», або «ЗМП»</w:t>
            </w:r>
            <w:r w:rsidR="0079571D" w:rsidRPr="00BE1959">
              <w:rPr>
                <w:rFonts w:ascii="Times New Roman" w:eastAsia="Times New Roman" w:hAnsi="Times New Roman" w:cs="Times New Roman"/>
                <w:sz w:val="24"/>
                <w:szCs w:val="24"/>
                <w:lang w:val="uk-UA"/>
              </w:rPr>
              <w:t xml:space="preserve"> - особа, уповноважена за цією директивою надавати послугу публікації торговельних звітів від імені інвестиційних фірм на виконання статей 20 і 21 Регламенту</w:t>
            </w:r>
            <w:r w:rsidR="005613AB" w:rsidRPr="00BE1959">
              <w:rPr>
                <w:rFonts w:ascii="Times New Roman" w:eastAsia="Times New Roman" w:hAnsi="Times New Roman" w:cs="Times New Roman"/>
                <w:sz w:val="24"/>
                <w:szCs w:val="24"/>
                <w:lang w:val="uk-UA"/>
              </w:rPr>
              <w:t xml:space="preserve"> (EU) </w:t>
            </w:r>
            <w:r w:rsidR="0079571D" w:rsidRPr="00BE1959">
              <w:rPr>
                <w:rFonts w:ascii="Times New Roman" w:eastAsia="Times New Roman" w:hAnsi="Times New Roman" w:cs="Times New Roman"/>
                <w:sz w:val="24"/>
                <w:szCs w:val="24"/>
                <w:lang w:val="uk-UA"/>
              </w:rPr>
              <w:t>№</w:t>
            </w:r>
            <w:r w:rsidR="005613AB" w:rsidRPr="00BE1959">
              <w:rPr>
                <w:rFonts w:ascii="Times New Roman" w:eastAsia="Times New Roman" w:hAnsi="Times New Roman" w:cs="Times New Roman"/>
                <w:sz w:val="24"/>
                <w:szCs w:val="24"/>
                <w:lang w:val="uk-UA"/>
              </w:rPr>
              <w:t xml:space="preserve"> 600/2014;</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96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(53)</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720DD8" w:rsidP="00760CE5">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w:t>
            </w:r>
            <w:r w:rsidR="00760CE5" w:rsidRPr="00BE1959">
              <w:rPr>
                <w:rFonts w:ascii="Times New Roman" w:eastAsia="Times New Roman" w:hAnsi="Times New Roman" w:cs="Times New Roman"/>
                <w:sz w:val="24"/>
                <w:szCs w:val="24"/>
                <w:lang w:val="uk-UA"/>
              </w:rPr>
              <w:t>надавач зведень даних</w:t>
            </w:r>
            <w:r w:rsidRPr="00BE1959">
              <w:rPr>
                <w:rFonts w:ascii="Times New Roman" w:eastAsia="Times New Roman" w:hAnsi="Times New Roman" w:cs="Times New Roman"/>
                <w:sz w:val="24"/>
                <w:szCs w:val="24"/>
                <w:lang w:val="uk-UA"/>
              </w:rPr>
              <w:t>», або «НЗ</w:t>
            </w:r>
            <w:r w:rsidR="00760CE5" w:rsidRPr="00BE1959">
              <w:rPr>
                <w:rFonts w:ascii="Times New Roman" w:eastAsia="Times New Roman" w:hAnsi="Times New Roman" w:cs="Times New Roman"/>
                <w:sz w:val="24"/>
                <w:szCs w:val="24"/>
                <w:lang w:val="uk-UA"/>
              </w:rPr>
              <w:t>Д</w:t>
            </w:r>
            <w:r w:rsidRPr="00BE1959">
              <w:rPr>
                <w:rFonts w:ascii="Times New Roman" w:eastAsia="Times New Roman" w:hAnsi="Times New Roman" w:cs="Times New Roman"/>
                <w:sz w:val="24"/>
                <w:szCs w:val="24"/>
                <w:lang w:val="uk-UA"/>
              </w:rPr>
              <w:t xml:space="preserve">» - особа, уповноважена за цією директивою надавати послугу збирання торговельних звітів щодо фінансових інструментів, перерахованих у статтях </w:t>
            </w:r>
            <w:r w:rsidR="005613AB" w:rsidRPr="00BE1959">
              <w:rPr>
                <w:rFonts w:ascii="Times New Roman" w:eastAsia="Times New Roman" w:hAnsi="Times New Roman" w:cs="Times New Roman"/>
                <w:sz w:val="24"/>
                <w:szCs w:val="24"/>
                <w:lang w:val="uk-UA"/>
              </w:rPr>
              <w:t xml:space="preserve">6, 7, 10, 12 </w:t>
            </w:r>
            <w:r w:rsidRPr="00BE1959">
              <w:rPr>
                <w:rFonts w:ascii="Times New Roman" w:eastAsia="Times New Roman" w:hAnsi="Times New Roman" w:cs="Times New Roman"/>
                <w:sz w:val="24"/>
                <w:szCs w:val="24"/>
                <w:lang w:val="uk-UA"/>
              </w:rPr>
              <w:t>і</w:t>
            </w:r>
            <w:r w:rsidR="005613AB" w:rsidRPr="00BE1959">
              <w:rPr>
                <w:rFonts w:ascii="Times New Roman" w:eastAsia="Times New Roman" w:hAnsi="Times New Roman" w:cs="Times New Roman"/>
                <w:sz w:val="24"/>
                <w:szCs w:val="24"/>
                <w:lang w:val="uk-UA"/>
              </w:rPr>
              <w:t xml:space="preserve"> 13, 20 </w:t>
            </w:r>
            <w:r w:rsidRPr="00BE1959">
              <w:rPr>
                <w:rFonts w:ascii="Times New Roman" w:eastAsia="Times New Roman" w:hAnsi="Times New Roman" w:cs="Times New Roman"/>
                <w:sz w:val="24"/>
                <w:szCs w:val="24"/>
                <w:lang w:val="uk-UA"/>
              </w:rPr>
              <w:t>і</w:t>
            </w:r>
            <w:r w:rsidR="005613AB" w:rsidRPr="00BE1959">
              <w:rPr>
                <w:rFonts w:ascii="Times New Roman" w:eastAsia="Times New Roman" w:hAnsi="Times New Roman" w:cs="Times New Roman"/>
                <w:sz w:val="24"/>
                <w:szCs w:val="24"/>
                <w:lang w:val="uk-UA"/>
              </w:rPr>
              <w:t xml:space="preserve"> 21 </w:t>
            </w:r>
            <w:r w:rsidRPr="00BE1959">
              <w:rPr>
                <w:rFonts w:ascii="Times New Roman" w:eastAsia="Times New Roman" w:hAnsi="Times New Roman" w:cs="Times New Roman"/>
                <w:sz w:val="24"/>
                <w:szCs w:val="24"/>
                <w:lang w:val="uk-UA"/>
              </w:rPr>
              <w:t xml:space="preserve">Регламенту </w:t>
            </w:r>
            <w:r w:rsidR="005613AB" w:rsidRPr="00BE1959">
              <w:rPr>
                <w:rFonts w:ascii="Times New Roman" w:eastAsia="Times New Roman" w:hAnsi="Times New Roman" w:cs="Times New Roman"/>
                <w:sz w:val="24"/>
                <w:szCs w:val="24"/>
                <w:lang w:val="uk-UA"/>
              </w:rPr>
              <w:t xml:space="preserve">(EU) </w:t>
            </w:r>
            <w:r w:rsidRPr="00BE1959">
              <w:rPr>
                <w:rFonts w:ascii="Times New Roman" w:eastAsia="Times New Roman" w:hAnsi="Times New Roman" w:cs="Times New Roman"/>
                <w:sz w:val="24"/>
                <w:szCs w:val="24"/>
                <w:lang w:val="uk-UA"/>
              </w:rPr>
              <w:t>№</w:t>
            </w:r>
            <w:r w:rsidR="005613AB" w:rsidRPr="00BE1959">
              <w:rPr>
                <w:rFonts w:ascii="Times New Roman" w:eastAsia="Times New Roman" w:hAnsi="Times New Roman" w:cs="Times New Roman"/>
                <w:sz w:val="24"/>
                <w:szCs w:val="24"/>
                <w:lang w:val="uk-UA"/>
              </w:rPr>
              <w:t xml:space="preserve"> 600/2014</w:t>
            </w:r>
            <w:r w:rsidRPr="00BE1959">
              <w:rPr>
                <w:rFonts w:ascii="Times New Roman" w:eastAsia="Times New Roman" w:hAnsi="Times New Roman" w:cs="Times New Roman"/>
                <w:sz w:val="24"/>
                <w:szCs w:val="24"/>
                <w:lang w:val="uk-UA"/>
              </w:rPr>
              <w:t>, у регульованих ринків, БТМ, ОТМ і ЗМП</w:t>
            </w:r>
            <w:r w:rsidR="00742708" w:rsidRPr="00BE1959">
              <w:rPr>
                <w:rFonts w:ascii="Times New Roman" w:eastAsia="Times New Roman" w:hAnsi="Times New Roman" w:cs="Times New Roman"/>
                <w:sz w:val="24"/>
                <w:szCs w:val="24"/>
                <w:lang w:val="uk-UA"/>
              </w:rPr>
              <w:t xml:space="preserve"> і зведення їх у безперервний електронний потік оперативних даних про ціни та обсяги в розрізі фінансових інструментів;</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96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(54)</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760CE5" w:rsidP="00760CE5">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«затверджений механізм звітування», або «ЗМЗ» - особа, уповноважена за цією директивою надавати послугу повідомлення даних про операції компетентним органам або </w:t>
            </w:r>
            <w:r w:rsidR="005613AB" w:rsidRPr="00BE1959">
              <w:rPr>
                <w:rFonts w:ascii="Times New Roman" w:eastAsia="Times New Roman" w:hAnsi="Times New Roman" w:cs="Times New Roman"/>
                <w:sz w:val="24"/>
                <w:szCs w:val="24"/>
                <w:lang w:val="uk-UA"/>
              </w:rPr>
              <w:t xml:space="preserve">ESMA </w:t>
            </w:r>
            <w:r w:rsidRPr="00BE1959">
              <w:rPr>
                <w:rFonts w:ascii="Times New Roman" w:eastAsia="Times New Roman" w:hAnsi="Times New Roman" w:cs="Times New Roman"/>
                <w:sz w:val="24"/>
                <w:szCs w:val="24"/>
                <w:lang w:val="uk-UA"/>
              </w:rPr>
              <w:t>від</w:t>
            </w:r>
            <w:r w:rsidR="008D758F" w:rsidRPr="00BE1959">
              <w:rPr>
                <w:rFonts w:ascii="Times New Roman" w:eastAsia="Times New Roman" w:hAnsi="Times New Roman" w:cs="Times New Roman"/>
                <w:sz w:val="24"/>
                <w:szCs w:val="24"/>
                <w:lang w:val="uk-UA"/>
              </w:rPr>
              <w:t xml:space="preserve"> імені інвестиційних фірм</w:t>
            </w:r>
            <w:r w:rsidR="005613AB" w:rsidRPr="00BE1959">
              <w:rPr>
                <w:rFonts w:ascii="Times New Roman" w:eastAsia="Times New Roman" w:hAnsi="Times New Roman" w:cs="Times New Roman"/>
                <w:sz w:val="24"/>
                <w:szCs w:val="24"/>
                <w:lang w:val="uk-UA"/>
              </w:rPr>
              <w:t>;</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96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(55)</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8D758F"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w:t>
            </w:r>
            <w:r w:rsidR="00632E82" w:rsidRPr="00BE1959">
              <w:rPr>
                <w:rFonts w:ascii="Times New Roman" w:eastAsia="Times New Roman" w:hAnsi="Times New Roman" w:cs="Times New Roman"/>
                <w:iCs/>
                <w:color w:val="000000"/>
                <w:sz w:val="24"/>
                <w:szCs w:val="24"/>
                <w:bdr w:val="none" w:sz="0" w:space="0" w:color="auto" w:frame="1"/>
                <w:lang w:val="uk-UA" w:eastAsia="ru-RU"/>
              </w:rPr>
              <w:t>Держава-член походження</w:t>
            </w:r>
            <w:r w:rsidRPr="00BE1959">
              <w:rPr>
                <w:rFonts w:ascii="Times New Roman" w:eastAsia="Times New Roman" w:hAnsi="Times New Roman" w:cs="Times New Roman"/>
                <w:iCs/>
                <w:color w:val="000000"/>
                <w:sz w:val="24"/>
                <w:szCs w:val="24"/>
                <w:bdr w:val="none" w:sz="0" w:space="0" w:color="auto" w:frame="1"/>
                <w:lang w:val="uk-UA" w:eastAsia="ru-RU"/>
              </w:rPr>
              <w:t>»</w:t>
            </w:r>
            <w:r w:rsidR="00632E82" w:rsidRPr="00BE1959">
              <w:rPr>
                <w:rFonts w:ascii="Times New Roman" w:eastAsia="Times New Roman" w:hAnsi="Times New Roman" w:cs="Times New Roman"/>
                <w:iCs/>
                <w:color w:val="000000"/>
                <w:sz w:val="24"/>
                <w:szCs w:val="24"/>
                <w:bdr w:val="none" w:sz="0" w:space="0" w:color="auto" w:frame="1"/>
                <w:lang w:val="uk-UA" w:eastAsia="ru-RU"/>
              </w:rP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467"/>
            </w:tblGrid>
            <w:tr w:rsidR="00DE3173" w:rsidRPr="0043174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632E82"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iCs/>
                      <w:color w:val="000000"/>
                      <w:sz w:val="24"/>
                      <w:szCs w:val="24"/>
                      <w:bdr w:val="none" w:sz="0" w:space="0" w:color="auto" w:frame="1"/>
                      <w:lang w:val="uk-UA" w:eastAsia="ru-RU"/>
                    </w:rPr>
                    <w:t xml:space="preserve">щодо інвестиційних </w:t>
                  </w:r>
                  <w:r w:rsidR="008D758F" w:rsidRPr="00BE1959">
                    <w:rPr>
                      <w:rFonts w:ascii="Times New Roman" w:eastAsia="Times New Roman" w:hAnsi="Times New Roman" w:cs="Times New Roman"/>
                      <w:iCs/>
                      <w:color w:val="000000"/>
                      <w:sz w:val="24"/>
                      <w:szCs w:val="24"/>
                      <w:bdr w:val="none" w:sz="0" w:space="0" w:color="auto" w:frame="1"/>
                      <w:lang w:val="uk-UA" w:eastAsia="ru-RU"/>
                    </w:rPr>
                    <w:t>фірм</w:t>
                  </w:r>
                  <w:r w:rsidRPr="00BE1959">
                    <w:rPr>
                      <w:rFonts w:ascii="Times New Roman" w:eastAsia="Times New Roman" w:hAnsi="Times New Roman" w:cs="Times New Roman"/>
                      <w:iCs/>
                      <w:color w:val="000000"/>
                      <w:sz w:val="24"/>
                      <w:szCs w:val="24"/>
                      <w:bdr w:val="none" w:sz="0" w:space="0" w:color="auto" w:frame="1"/>
                      <w:lang w:val="uk-UA" w:eastAsia="ru-RU"/>
                    </w:rP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32"/>
                    <w:gridCol w:w="8014"/>
                  </w:tblGrid>
                  <w:tr w:rsidR="00DE3173" w:rsidRPr="0043174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251FE4" w:rsidP="00251FE4">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iCs/>
                            <w:color w:val="000000"/>
                            <w:sz w:val="24"/>
                            <w:szCs w:val="24"/>
                            <w:bdr w:val="none" w:sz="0" w:space="0" w:color="auto" w:frame="1"/>
                            <w:lang w:val="uk-UA" w:eastAsia="ru-RU"/>
                          </w:rPr>
                          <w:t>якщо інвестиційна фірма є фізичною особою - держава-член, в якій знаходиться її головна контора;</w:t>
                        </w:r>
                      </w:p>
                    </w:tc>
                  </w:tr>
                </w:tbl>
                <w:p w:rsidR="005613AB" w:rsidRPr="00BE1959" w:rsidRDefault="005613AB" w:rsidP="005613AB">
                  <w:pPr>
                    <w:spacing w:after="0" w:line="240" w:lineRule="auto"/>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99"/>
                    <w:gridCol w:w="7947"/>
                  </w:tblGrid>
                  <w:tr w:rsidR="00DE3173" w:rsidRPr="0043174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632E82" w:rsidP="00251FE4">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iCs/>
                            <w:color w:val="000000"/>
                            <w:sz w:val="24"/>
                            <w:szCs w:val="24"/>
                            <w:bdr w:val="none" w:sz="0" w:space="0" w:color="auto" w:frame="1"/>
                            <w:lang w:val="uk-UA" w:eastAsia="ru-RU"/>
                          </w:rPr>
                          <w:t xml:space="preserve">якщо інвестиційна </w:t>
                        </w:r>
                        <w:r w:rsidR="00A773F8" w:rsidRPr="00BE1959">
                          <w:rPr>
                            <w:rFonts w:ascii="Times New Roman" w:eastAsia="Times New Roman" w:hAnsi="Times New Roman" w:cs="Times New Roman"/>
                            <w:iCs/>
                            <w:color w:val="000000"/>
                            <w:sz w:val="24"/>
                            <w:szCs w:val="24"/>
                            <w:bdr w:val="none" w:sz="0" w:space="0" w:color="auto" w:frame="1"/>
                            <w:lang w:val="uk-UA" w:eastAsia="ru-RU"/>
                          </w:rPr>
                          <w:t>фірма</w:t>
                        </w:r>
                        <w:r w:rsidRPr="00BE1959">
                          <w:rPr>
                            <w:rFonts w:ascii="Times New Roman" w:eastAsia="Times New Roman" w:hAnsi="Times New Roman" w:cs="Times New Roman"/>
                            <w:iCs/>
                            <w:color w:val="000000"/>
                            <w:sz w:val="24"/>
                            <w:szCs w:val="24"/>
                            <w:bdr w:val="none" w:sz="0" w:space="0" w:color="auto" w:frame="1"/>
                            <w:lang w:val="uk-UA" w:eastAsia="ru-RU"/>
                          </w:rPr>
                          <w:t xml:space="preserve"> є юридичною особою -держава-член, в якій знаходиться її зареєстрован</w:t>
                        </w:r>
                        <w:r w:rsidR="00A773F8" w:rsidRPr="00BE1959">
                          <w:rPr>
                            <w:rFonts w:ascii="Times New Roman" w:eastAsia="Times New Roman" w:hAnsi="Times New Roman" w:cs="Times New Roman"/>
                            <w:iCs/>
                            <w:color w:val="000000"/>
                            <w:sz w:val="24"/>
                            <w:szCs w:val="24"/>
                            <w:bdr w:val="none" w:sz="0" w:space="0" w:color="auto" w:frame="1"/>
                            <w:lang w:val="uk-UA" w:eastAsia="ru-RU"/>
                          </w:rPr>
                          <w:t>а контора</w:t>
                        </w:r>
                        <w:r w:rsidRPr="00BE1959">
                          <w:rPr>
                            <w:rFonts w:ascii="Times New Roman" w:eastAsia="Times New Roman" w:hAnsi="Times New Roman" w:cs="Times New Roman"/>
                            <w:iCs/>
                            <w:color w:val="000000"/>
                            <w:sz w:val="24"/>
                            <w:szCs w:val="24"/>
                            <w:bdr w:val="none" w:sz="0" w:space="0" w:color="auto" w:frame="1"/>
                            <w:lang w:val="uk-UA" w:eastAsia="ru-RU"/>
                          </w:rPr>
                          <w:t>;</w:t>
                        </w:r>
                      </w:p>
                    </w:tc>
                  </w:tr>
                </w:tbl>
                <w:p w:rsidR="005613AB" w:rsidRPr="00BE1959" w:rsidRDefault="005613AB" w:rsidP="005613AB">
                  <w:pPr>
                    <w:spacing w:after="0" w:line="240" w:lineRule="auto"/>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65"/>
                    <w:gridCol w:w="7881"/>
                  </w:tblGrid>
                  <w:tr w:rsidR="00DE3173" w:rsidRPr="0043174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(iii)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BC3E65" w:rsidP="002B3E0D">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iCs/>
                            <w:color w:val="000000"/>
                            <w:sz w:val="24"/>
                            <w:szCs w:val="24"/>
                            <w:bdr w:val="none" w:sz="0" w:space="0" w:color="auto" w:frame="1"/>
                            <w:lang w:val="uk-UA" w:eastAsia="ru-RU"/>
                          </w:rPr>
                          <w:t>якщо у інвестиційної фірми відповідно до національного законодавства немає зареєстрованої контори –держава-член, в якій знаходиться її головна контора;</w:t>
                        </w:r>
                      </w:p>
                    </w:tc>
                  </w:tr>
                </w:tbl>
                <w:p w:rsidR="005613AB" w:rsidRPr="00BE1959" w:rsidRDefault="005613AB" w:rsidP="005613AB">
                  <w:pPr>
                    <w:spacing w:after="0" w:line="240" w:lineRule="auto"/>
                    <w:rPr>
                      <w:rFonts w:ascii="Times New Roman" w:eastAsia="Times New Roman" w:hAnsi="Times New Roman" w:cs="Times New Roman"/>
                      <w:sz w:val="24"/>
                      <w:szCs w:val="24"/>
                      <w:lang w:val="uk-UA"/>
                    </w:rPr>
                  </w:pPr>
                </w:p>
              </w:tc>
            </w:tr>
          </w:tbl>
          <w:p w:rsidR="005613AB" w:rsidRPr="00BE1959" w:rsidRDefault="005613AB" w:rsidP="005613AB">
            <w:pPr>
              <w:spacing w:after="0" w:line="240" w:lineRule="auto"/>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454"/>
            </w:tblGrid>
            <w:tr w:rsidR="00DE3173" w:rsidRPr="0043174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162A11" w:rsidP="00C31F8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iCs/>
                      <w:color w:val="000000"/>
                      <w:sz w:val="24"/>
                      <w:szCs w:val="24"/>
                      <w:bdr w:val="none" w:sz="0" w:space="0" w:color="auto" w:frame="1"/>
                      <w:lang w:val="uk-UA" w:eastAsia="ru-RU"/>
                    </w:rPr>
                    <w:t>щодо регульованого ринку - держава-член, в якій</w:t>
                  </w:r>
                  <w:r w:rsidR="00C31F8B" w:rsidRPr="00BE1959">
                    <w:rPr>
                      <w:rFonts w:ascii="Times New Roman" w:eastAsia="Times New Roman" w:hAnsi="Times New Roman" w:cs="Times New Roman"/>
                      <w:iCs/>
                      <w:color w:val="000000"/>
                      <w:sz w:val="24"/>
                      <w:szCs w:val="24"/>
                      <w:bdr w:val="none" w:sz="0" w:space="0" w:color="auto" w:frame="1"/>
                      <w:lang w:val="uk-UA" w:eastAsia="ru-RU"/>
                    </w:rPr>
                    <w:t xml:space="preserve"> </w:t>
                  </w:r>
                  <w:r w:rsidRPr="00BE1959">
                    <w:rPr>
                      <w:rFonts w:ascii="Times New Roman" w:eastAsia="Times New Roman" w:hAnsi="Times New Roman" w:cs="Times New Roman"/>
                      <w:iCs/>
                      <w:color w:val="000000"/>
                      <w:sz w:val="24"/>
                      <w:szCs w:val="24"/>
                      <w:bdr w:val="none" w:sz="0" w:space="0" w:color="auto" w:frame="1"/>
                      <w:lang w:val="uk-UA" w:eastAsia="ru-RU"/>
                    </w:rPr>
                    <w:t xml:space="preserve">зареєстровано цей регульований ринок, або, якщо відповідно до </w:t>
                  </w:r>
                  <w:r w:rsidR="00C31F8B" w:rsidRPr="00BE1959">
                    <w:rPr>
                      <w:rFonts w:ascii="Times New Roman" w:eastAsia="Times New Roman" w:hAnsi="Times New Roman" w:cs="Times New Roman"/>
                      <w:iCs/>
                      <w:color w:val="000000"/>
                      <w:sz w:val="24"/>
                      <w:szCs w:val="24"/>
                      <w:bdr w:val="none" w:sz="0" w:space="0" w:color="auto" w:frame="1"/>
                      <w:lang w:val="uk-UA" w:eastAsia="ru-RU"/>
                    </w:rPr>
                    <w:t>з</w:t>
                  </w:r>
                  <w:r w:rsidRPr="00BE1959">
                    <w:rPr>
                      <w:rFonts w:ascii="Times New Roman" w:eastAsia="Times New Roman" w:hAnsi="Times New Roman" w:cs="Times New Roman"/>
                      <w:iCs/>
                      <w:color w:val="000000"/>
                      <w:sz w:val="24"/>
                      <w:szCs w:val="24"/>
                      <w:bdr w:val="none" w:sz="0" w:space="0" w:color="auto" w:frame="1"/>
                      <w:lang w:val="uk-UA" w:eastAsia="ru-RU"/>
                    </w:rPr>
                    <w:t>аконодавства цієї держави-члена</w:t>
                  </w:r>
                  <w:r w:rsidR="00C31F8B" w:rsidRPr="00BE1959">
                    <w:rPr>
                      <w:rFonts w:ascii="Times New Roman" w:eastAsia="Times New Roman" w:hAnsi="Times New Roman" w:cs="Times New Roman"/>
                      <w:iCs/>
                      <w:color w:val="000000"/>
                      <w:sz w:val="24"/>
                      <w:szCs w:val="24"/>
                      <w:bdr w:val="none" w:sz="0" w:space="0" w:color="auto" w:frame="1"/>
                      <w:lang w:val="uk-UA" w:eastAsia="ru-RU"/>
                    </w:rPr>
                    <w:t xml:space="preserve"> у нього немає зареєстрованої контори</w:t>
                  </w:r>
                  <w:r w:rsidRPr="00BE1959">
                    <w:rPr>
                      <w:rFonts w:ascii="Times New Roman" w:eastAsia="Times New Roman" w:hAnsi="Times New Roman" w:cs="Times New Roman"/>
                      <w:iCs/>
                      <w:color w:val="000000"/>
                      <w:sz w:val="24"/>
                      <w:szCs w:val="24"/>
                      <w:bdr w:val="none" w:sz="0" w:space="0" w:color="auto" w:frame="1"/>
                      <w:lang w:val="uk-UA" w:eastAsia="ru-RU"/>
                    </w:rPr>
                    <w:t xml:space="preserve"> - держава-член, в якій знаходи</w:t>
                  </w:r>
                  <w:r w:rsidR="00C31F8B" w:rsidRPr="00BE1959">
                    <w:rPr>
                      <w:rFonts w:ascii="Times New Roman" w:eastAsia="Times New Roman" w:hAnsi="Times New Roman" w:cs="Times New Roman"/>
                      <w:iCs/>
                      <w:color w:val="000000"/>
                      <w:sz w:val="24"/>
                      <w:szCs w:val="24"/>
                      <w:bdr w:val="none" w:sz="0" w:space="0" w:color="auto" w:frame="1"/>
                      <w:lang w:val="uk-UA" w:eastAsia="ru-RU"/>
                    </w:rPr>
                    <w:t xml:space="preserve">ться головна контора </w:t>
                  </w:r>
                  <w:r w:rsidRPr="00BE1959">
                    <w:rPr>
                      <w:rFonts w:ascii="Times New Roman" w:eastAsia="Times New Roman" w:hAnsi="Times New Roman" w:cs="Times New Roman"/>
                      <w:iCs/>
                      <w:color w:val="000000"/>
                      <w:sz w:val="24"/>
                      <w:szCs w:val="24"/>
                      <w:bdr w:val="none" w:sz="0" w:space="0" w:color="auto" w:frame="1"/>
                      <w:lang w:val="uk-UA" w:eastAsia="ru-RU"/>
                    </w:rPr>
                    <w:t>регульованого ринку;</w:t>
                  </w:r>
                </w:p>
              </w:tc>
            </w:tr>
          </w:tbl>
          <w:p w:rsidR="005613AB" w:rsidRPr="00BE1959" w:rsidRDefault="005613AB" w:rsidP="005613AB">
            <w:pPr>
              <w:spacing w:after="0" w:line="240" w:lineRule="auto"/>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467"/>
            </w:tblGrid>
            <w:tr w:rsidR="00DE3173" w:rsidRPr="0043174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251FE4"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щодо ЗМП, НЗД або ЗМЗ:</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32"/>
                    <w:gridCol w:w="8014"/>
                  </w:tblGrid>
                  <w:tr w:rsidR="00DE3173" w:rsidRPr="0043174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BC3E65" w:rsidP="00BC3E65">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iCs/>
                            <w:color w:val="000000"/>
                            <w:sz w:val="24"/>
                            <w:szCs w:val="24"/>
                            <w:bdr w:val="none" w:sz="0" w:space="0" w:color="auto" w:frame="1"/>
                            <w:lang w:val="uk-UA" w:eastAsia="ru-RU"/>
                          </w:rPr>
                          <w:t xml:space="preserve">якщо </w:t>
                        </w:r>
                        <w:r w:rsidRPr="00BE1959">
                          <w:rPr>
                            <w:rFonts w:ascii="Times New Roman" w:eastAsia="Times New Roman" w:hAnsi="Times New Roman" w:cs="Times New Roman"/>
                            <w:sz w:val="24"/>
                            <w:szCs w:val="24"/>
                            <w:lang w:val="uk-UA"/>
                          </w:rPr>
                          <w:t>ЗМП, НЗД або ЗМЗ</w:t>
                        </w:r>
                        <w:r w:rsidRPr="00BE1959">
                          <w:rPr>
                            <w:rFonts w:ascii="Times New Roman" w:eastAsia="Times New Roman" w:hAnsi="Times New Roman" w:cs="Times New Roman"/>
                            <w:iCs/>
                            <w:color w:val="000000"/>
                            <w:sz w:val="24"/>
                            <w:szCs w:val="24"/>
                            <w:bdr w:val="none" w:sz="0" w:space="0" w:color="auto" w:frame="1"/>
                            <w:lang w:val="uk-UA" w:eastAsia="ru-RU"/>
                          </w:rPr>
                          <w:t xml:space="preserve"> є фізичною особою - держава-член, в якій знаходиться його головна контора;</w:t>
                        </w:r>
                      </w:p>
                    </w:tc>
                  </w:tr>
                </w:tbl>
                <w:p w:rsidR="005613AB" w:rsidRPr="00BE1959" w:rsidRDefault="005613AB" w:rsidP="005613AB">
                  <w:pPr>
                    <w:spacing w:after="0" w:line="240" w:lineRule="auto"/>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99"/>
                    <w:gridCol w:w="7947"/>
                  </w:tblGrid>
                  <w:tr w:rsidR="00DE3173" w:rsidRPr="0043174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lastRenderedPageBreak/>
                          <w:t>(ii)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BC3E65" w:rsidP="00BC3E65">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iCs/>
                            <w:color w:val="000000"/>
                            <w:sz w:val="24"/>
                            <w:szCs w:val="24"/>
                            <w:bdr w:val="none" w:sz="0" w:space="0" w:color="auto" w:frame="1"/>
                            <w:lang w:val="uk-UA" w:eastAsia="ru-RU"/>
                          </w:rPr>
                          <w:t xml:space="preserve">якщо </w:t>
                        </w:r>
                        <w:r w:rsidRPr="00BE1959">
                          <w:rPr>
                            <w:rFonts w:ascii="Times New Roman" w:eastAsia="Times New Roman" w:hAnsi="Times New Roman" w:cs="Times New Roman"/>
                            <w:sz w:val="24"/>
                            <w:szCs w:val="24"/>
                            <w:lang w:val="uk-UA"/>
                          </w:rPr>
                          <w:t>ЗМП, НЗД або ЗМЗ</w:t>
                        </w:r>
                        <w:r w:rsidRPr="00BE1959">
                          <w:rPr>
                            <w:rFonts w:ascii="Times New Roman" w:eastAsia="Times New Roman" w:hAnsi="Times New Roman" w:cs="Times New Roman"/>
                            <w:iCs/>
                            <w:color w:val="000000"/>
                            <w:sz w:val="24"/>
                            <w:szCs w:val="24"/>
                            <w:bdr w:val="none" w:sz="0" w:space="0" w:color="auto" w:frame="1"/>
                            <w:lang w:val="uk-UA" w:eastAsia="ru-RU"/>
                          </w:rPr>
                          <w:t xml:space="preserve"> юридичною особою - держава-член, в якій знаходиться його зареєстрована контора;</w:t>
                        </w:r>
                      </w:p>
                    </w:tc>
                  </w:tr>
                </w:tbl>
                <w:p w:rsidR="005613AB" w:rsidRPr="00BE1959" w:rsidRDefault="005613AB" w:rsidP="005613AB">
                  <w:pPr>
                    <w:spacing w:after="0" w:line="240" w:lineRule="auto"/>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65"/>
                    <w:gridCol w:w="7881"/>
                  </w:tblGrid>
                  <w:tr w:rsidR="00DE3173" w:rsidRPr="0043174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(iii)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BC3E65" w:rsidP="00A60BE6">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iCs/>
                            <w:color w:val="000000"/>
                            <w:sz w:val="24"/>
                            <w:szCs w:val="24"/>
                            <w:bdr w:val="none" w:sz="0" w:space="0" w:color="auto" w:frame="1"/>
                            <w:lang w:val="uk-UA" w:eastAsia="ru-RU"/>
                          </w:rPr>
                          <w:t xml:space="preserve">якщо у </w:t>
                        </w:r>
                        <w:r w:rsidR="00A60BE6" w:rsidRPr="00BE1959">
                          <w:rPr>
                            <w:rFonts w:ascii="Times New Roman" w:eastAsia="Times New Roman" w:hAnsi="Times New Roman" w:cs="Times New Roman"/>
                            <w:sz w:val="24"/>
                            <w:szCs w:val="24"/>
                            <w:lang w:val="uk-UA"/>
                          </w:rPr>
                          <w:t>ЗМП, НЗД або ЗМЗ</w:t>
                        </w:r>
                        <w:r w:rsidRPr="00BE1959">
                          <w:rPr>
                            <w:rFonts w:ascii="Times New Roman" w:eastAsia="Times New Roman" w:hAnsi="Times New Roman" w:cs="Times New Roman"/>
                            <w:iCs/>
                            <w:color w:val="000000"/>
                            <w:sz w:val="24"/>
                            <w:szCs w:val="24"/>
                            <w:bdr w:val="none" w:sz="0" w:space="0" w:color="auto" w:frame="1"/>
                            <w:lang w:val="uk-UA" w:eastAsia="ru-RU"/>
                          </w:rPr>
                          <w:t xml:space="preserve"> відповідно до національного законодавства немає зареєстрованої контори –держава-член, в якій знаходиться </w:t>
                        </w:r>
                        <w:r w:rsidR="00A60BE6" w:rsidRPr="00BE1959">
                          <w:rPr>
                            <w:rFonts w:ascii="Times New Roman" w:eastAsia="Times New Roman" w:hAnsi="Times New Roman" w:cs="Times New Roman"/>
                            <w:iCs/>
                            <w:color w:val="000000"/>
                            <w:sz w:val="24"/>
                            <w:szCs w:val="24"/>
                            <w:bdr w:val="none" w:sz="0" w:space="0" w:color="auto" w:frame="1"/>
                            <w:lang w:val="uk-UA" w:eastAsia="ru-RU"/>
                          </w:rPr>
                          <w:t>його</w:t>
                        </w:r>
                        <w:r w:rsidRPr="00BE1959">
                          <w:rPr>
                            <w:rFonts w:ascii="Times New Roman" w:eastAsia="Times New Roman" w:hAnsi="Times New Roman" w:cs="Times New Roman"/>
                            <w:iCs/>
                            <w:color w:val="000000"/>
                            <w:sz w:val="24"/>
                            <w:szCs w:val="24"/>
                            <w:bdr w:val="none" w:sz="0" w:space="0" w:color="auto" w:frame="1"/>
                            <w:lang w:val="uk-UA" w:eastAsia="ru-RU"/>
                          </w:rPr>
                          <w:t xml:space="preserve"> головна контора;</w:t>
                        </w:r>
                      </w:p>
                    </w:tc>
                  </w:tr>
                </w:tbl>
                <w:p w:rsidR="005613AB" w:rsidRPr="00BE1959" w:rsidRDefault="005613AB" w:rsidP="005613AB">
                  <w:pPr>
                    <w:spacing w:after="0" w:line="240" w:lineRule="auto"/>
                    <w:rPr>
                      <w:rFonts w:ascii="Times New Roman" w:eastAsia="Times New Roman" w:hAnsi="Times New Roman" w:cs="Times New Roman"/>
                      <w:sz w:val="24"/>
                      <w:szCs w:val="24"/>
                      <w:lang w:val="uk-UA"/>
                    </w:rPr>
                  </w:pPr>
                </w:p>
              </w:tc>
            </w:tr>
          </w:tbl>
          <w:p w:rsidR="005613AB" w:rsidRPr="00BE1959" w:rsidRDefault="005613AB" w:rsidP="005613AB">
            <w:pPr>
              <w:spacing w:after="0" w:line="240" w:lineRule="auto"/>
              <w:rPr>
                <w:rFonts w:ascii="Times New Roman" w:eastAsia="Times New Roman" w:hAnsi="Times New Roman" w:cs="Times New Roman"/>
                <w:sz w:val="24"/>
                <w:szCs w:val="24"/>
                <w:lang w:val="uk-UA"/>
              </w:rPr>
            </w:pP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96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(56)</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A60BE6" w:rsidP="00115F6F">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iCs/>
                <w:color w:val="000000"/>
                <w:sz w:val="24"/>
                <w:szCs w:val="24"/>
                <w:bdr w:val="none" w:sz="0" w:space="0" w:color="auto" w:frame="1"/>
                <w:lang w:val="uk-UA" w:eastAsia="ru-RU"/>
              </w:rPr>
              <w:t>«п</w:t>
            </w:r>
            <w:r w:rsidR="00162A11" w:rsidRPr="00BE1959">
              <w:rPr>
                <w:rFonts w:ascii="Times New Roman" w:eastAsia="Times New Roman" w:hAnsi="Times New Roman" w:cs="Times New Roman"/>
                <w:iCs/>
                <w:color w:val="000000"/>
                <w:sz w:val="24"/>
                <w:szCs w:val="24"/>
                <w:bdr w:val="none" w:sz="0" w:space="0" w:color="auto" w:frame="1"/>
                <w:lang w:val="uk-UA" w:eastAsia="ru-RU"/>
              </w:rPr>
              <w:t>риймаюча держава-член</w:t>
            </w:r>
            <w:r w:rsidRPr="00BE1959">
              <w:rPr>
                <w:rFonts w:ascii="Times New Roman" w:eastAsia="Times New Roman" w:hAnsi="Times New Roman" w:cs="Times New Roman"/>
                <w:iCs/>
                <w:color w:val="000000"/>
                <w:sz w:val="24"/>
                <w:szCs w:val="24"/>
                <w:bdr w:val="none" w:sz="0" w:space="0" w:color="auto" w:frame="1"/>
                <w:lang w:val="uk-UA" w:eastAsia="ru-RU"/>
              </w:rPr>
              <w:t>» -</w:t>
            </w:r>
            <w:r w:rsidR="00162A11" w:rsidRPr="00BE1959">
              <w:rPr>
                <w:rFonts w:ascii="Times New Roman" w:eastAsia="Times New Roman" w:hAnsi="Times New Roman" w:cs="Times New Roman"/>
                <w:iCs/>
                <w:color w:val="000000"/>
                <w:sz w:val="24"/>
                <w:szCs w:val="24"/>
                <w:bdr w:val="none" w:sz="0" w:space="0" w:color="auto" w:frame="1"/>
                <w:lang w:val="uk-UA" w:eastAsia="ru-RU"/>
              </w:rPr>
              <w:t xml:space="preserve"> </w:t>
            </w:r>
            <w:r w:rsidRPr="00BE1959">
              <w:rPr>
                <w:rFonts w:ascii="Times New Roman" w:eastAsia="Times New Roman" w:hAnsi="Times New Roman" w:cs="Times New Roman"/>
                <w:iCs/>
                <w:color w:val="000000"/>
                <w:sz w:val="24"/>
                <w:szCs w:val="24"/>
                <w:bdr w:val="none" w:sz="0" w:space="0" w:color="auto" w:frame="1"/>
                <w:lang w:val="uk-UA" w:eastAsia="ru-RU"/>
              </w:rPr>
              <w:t xml:space="preserve">інша </w:t>
            </w:r>
            <w:r w:rsidR="00162A11" w:rsidRPr="00BE1959">
              <w:rPr>
                <w:rFonts w:ascii="Times New Roman" w:eastAsia="Times New Roman" w:hAnsi="Times New Roman" w:cs="Times New Roman"/>
                <w:iCs/>
                <w:color w:val="000000"/>
                <w:sz w:val="24"/>
                <w:szCs w:val="24"/>
                <w:bdr w:val="none" w:sz="0" w:space="0" w:color="auto" w:frame="1"/>
                <w:lang w:val="uk-UA" w:eastAsia="ru-RU"/>
              </w:rPr>
              <w:t>держав</w:t>
            </w:r>
            <w:r w:rsidRPr="00BE1959">
              <w:rPr>
                <w:rFonts w:ascii="Times New Roman" w:eastAsia="Times New Roman" w:hAnsi="Times New Roman" w:cs="Times New Roman"/>
                <w:iCs/>
                <w:color w:val="000000"/>
                <w:sz w:val="24"/>
                <w:szCs w:val="24"/>
                <w:bdr w:val="none" w:sz="0" w:space="0" w:color="auto" w:frame="1"/>
                <w:lang w:val="uk-UA" w:eastAsia="ru-RU"/>
              </w:rPr>
              <w:t>а</w:t>
            </w:r>
            <w:r w:rsidR="00162A11" w:rsidRPr="00BE1959">
              <w:rPr>
                <w:rFonts w:ascii="Times New Roman" w:eastAsia="Times New Roman" w:hAnsi="Times New Roman" w:cs="Times New Roman"/>
                <w:iCs/>
                <w:color w:val="000000"/>
                <w:sz w:val="24"/>
                <w:szCs w:val="24"/>
                <w:bdr w:val="none" w:sz="0" w:space="0" w:color="auto" w:frame="1"/>
                <w:lang w:val="uk-UA" w:eastAsia="ru-RU"/>
              </w:rPr>
              <w:t>-член, ніж держава-член походження, в якій інвестиційн</w:t>
            </w:r>
            <w:r w:rsidR="00115F6F" w:rsidRPr="00BE1959">
              <w:rPr>
                <w:rFonts w:ascii="Times New Roman" w:eastAsia="Times New Roman" w:hAnsi="Times New Roman" w:cs="Times New Roman"/>
                <w:iCs/>
                <w:color w:val="000000"/>
                <w:sz w:val="24"/>
                <w:szCs w:val="24"/>
                <w:bdr w:val="none" w:sz="0" w:space="0" w:color="auto" w:frame="1"/>
                <w:lang w:val="uk-UA" w:eastAsia="ru-RU"/>
              </w:rPr>
              <w:t>а фірма</w:t>
            </w:r>
            <w:r w:rsidR="00162A11" w:rsidRPr="00BE1959">
              <w:rPr>
                <w:rFonts w:ascii="Times New Roman" w:eastAsia="Times New Roman" w:hAnsi="Times New Roman" w:cs="Times New Roman"/>
                <w:iCs/>
                <w:color w:val="000000"/>
                <w:sz w:val="24"/>
                <w:szCs w:val="24"/>
                <w:bdr w:val="none" w:sz="0" w:space="0" w:color="auto" w:frame="1"/>
                <w:lang w:val="uk-UA" w:eastAsia="ru-RU"/>
              </w:rPr>
              <w:t xml:space="preserve"> має</w:t>
            </w:r>
            <w:r w:rsidRPr="00BE1959">
              <w:rPr>
                <w:rFonts w:ascii="Times New Roman" w:eastAsia="Times New Roman" w:hAnsi="Times New Roman" w:cs="Times New Roman"/>
                <w:iCs/>
                <w:color w:val="000000"/>
                <w:sz w:val="24"/>
                <w:szCs w:val="24"/>
                <w:bdr w:val="none" w:sz="0" w:space="0" w:color="auto" w:frame="1"/>
                <w:lang w:val="uk-UA" w:eastAsia="ru-RU"/>
              </w:rPr>
              <w:t xml:space="preserve"> </w:t>
            </w:r>
            <w:r w:rsidR="00162A11" w:rsidRPr="00BE1959">
              <w:rPr>
                <w:rFonts w:ascii="Times New Roman" w:eastAsia="Times New Roman" w:hAnsi="Times New Roman" w:cs="Times New Roman"/>
                <w:iCs/>
                <w:color w:val="000000"/>
                <w:sz w:val="24"/>
                <w:szCs w:val="24"/>
                <w:bdr w:val="none" w:sz="0" w:space="0" w:color="auto" w:frame="1"/>
                <w:lang w:val="uk-UA" w:eastAsia="ru-RU"/>
              </w:rPr>
              <w:t xml:space="preserve">філію або надає </w:t>
            </w:r>
            <w:r w:rsidR="00115F6F" w:rsidRPr="00BE1959">
              <w:rPr>
                <w:rFonts w:ascii="Times New Roman" w:eastAsia="Times New Roman" w:hAnsi="Times New Roman" w:cs="Times New Roman"/>
                <w:iCs/>
                <w:color w:val="000000"/>
                <w:sz w:val="24"/>
                <w:szCs w:val="24"/>
                <w:bdr w:val="none" w:sz="0" w:space="0" w:color="auto" w:frame="1"/>
                <w:lang w:val="uk-UA" w:eastAsia="ru-RU"/>
              </w:rPr>
              <w:t xml:space="preserve">інвестиційні </w:t>
            </w:r>
            <w:r w:rsidR="00162A11" w:rsidRPr="00BE1959">
              <w:rPr>
                <w:rFonts w:ascii="Times New Roman" w:eastAsia="Times New Roman" w:hAnsi="Times New Roman" w:cs="Times New Roman"/>
                <w:iCs/>
                <w:color w:val="000000"/>
                <w:sz w:val="24"/>
                <w:szCs w:val="24"/>
                <w:bdr w:val="none" w:sz="0" w:space="0" w:color="auto" w:frame="1"/>
                <w:lang w:val="uk-UA" w:eastAsia="ru-RU"/>
              </w:rPr>
              <w:t>послуги т</w:t>
            </w:r>
            <w:r w:rsidRPr="00BE1959">
              <w:rPr>
                <w:rFonts w:ascii="Times New Roman" w:eastAsia="Times New Roman" w:hAnsi="Times New Roman" w:cs="Times New Roman"/>
                <w:iCs/>
                <w:color w:val="000000"/>
                <w:sz w:val="24"/>
                <w:szCs w:val="24"/>
                <w:bdr w:val="none" w:sz="0" w:space="0" w:color="auto" w:frame="1"/>
                <w:lang w:val="uk-UA" w:eastAsia="ru-RU"/>
              </w:rPr>
              <w:t>а</w:t>
            </w:r>
            <w:r w:rsidR="00115F6F" w:rsidRPr="00BE1959">
              <w:rPr>
                <w:rFonts w:ascii="Times New Roman" w:eastAsia="Times New Roman" w:hAnsi="Times New Roman" w:cs="Times New Roman"/>
                <w:iCs/>
                <w:color w:val="000000"/>
                <w:sz w:val="24"/>
                <w:szCs w:val="24"/>
                <w:bdr w:val="none" w:sz="0" w:space="0" w:color="auto" w:frame="1"/>
                <w:lang w:val="uk-UA" w:eastAsia="ru-RU"/>
              </w:rPr>
              <w:t xml:space="preserve"> (або) веде інвестиційну діяльність</w:t>
            </w:r>
            <w:r w:rsidRPr="00BE1959">
              <w:rPr>
                <w:rFonts w:ascii="Times New Roman" w:eastAsia="Times New Roman" w:hAnsi="Times New Roman" w:cs="Times New Roman"/>
                <w:iCs/>
                <w:color w:val="000000"/>
                <w:sz w:val="24"/>
                <w:szCs w:val="24"/>
                <w:bdr w:val="none" w:sz="0" w:space="0" w:color="auto" w:frame="1"/>
                <w:lang w:val="uk-UA" w:eastAsia="ru-RU"/>
              </w:rPr>
              <w:t xml:space="preserve">, або </w:t>
            </w:r>
            <w:r w:rsidR="00162A11" w:rsidRPr="00BE1959">
              <w:rPr>
                <w:rFonts w:ascii="Times New Roman" w:eastAsia="Times New Roman" w:hAnsi="Times New Roman" w:cs="Times New Roman"/>
                <w:iCs/>
                <w:color w:val="000000"/>
                <w:sz w:val="24"/>
                <w:szCs w:val="24"/>
                <w:bdr w:val="none" w:sz="0" w:space="0" w:color="auto" w:frame="1"/>
                <w:lang w:val="uk-UA" w:eastAsia="ru-RU"/>
              </w:rPr>
              <w:t xml:space="preserve">держав-член, </w:t>
            </w:r>
            <w:r w:rsidR="00115F6F" w:rsidRPr="00BE1959">
              <w:rPr>
                <w:rFonts w:ascii="Times New Roman" w:eastAsia="Times New Roman" w:hAnsi="Times New Roman" w:cs="Times New Roman"/>
                <w:iCs/>
                <w:color w:val="000000"/>
                <w:sz w:val="24"/>
                <w:szCs w:val="24"/>
                <w:bdr w:val="none" w:sz="0" w:space="0" w:color="auto" w:frame="1"/>
                <w:lang w:val="uk-UA" w:eastAsia="ru-RU"/>
              </w:rPr>
              <w:t>у</w:t>
            </w:r>
            <w:r w:rsidR="00162A11" w:rsidRPr="00BE1959">
              <w:rPr>
                <w:rFonts w:ascii="Times New Roman" w:eastAsia="Times New Roman" w:hAnsi="Times New Roman" w:cs="Times New Roman"/>
                <w:iCs/>
                <w:color w:val="000000"/>
                <w:sz w:val="24"/>
                <w:szCs w:val="24"/>
                <w:bdr w:val="none" w:sz="0" w:space="0" w:color="auto" w:frame="1"/>
                <w:lang w:val="uk-UA" w:eastAsia="ru-RU"/>
              </w:rPr>
              <w:t xml:space="preserve"> якій регульований ринок вживає відповідн</w:t>
            </w:r>
            <w:r w:rsidR="00115F6F" w:rsidRPr="00BE1959">
              <w:rPr>
                <w:rFonts w:ascii="Times New Roman" w:eastAsia="Times New Roman" w:hAnsi="Times New Roman" w:cs="Times New Roman"/>
                <w:iCs/>
                <w:color w:val="000000"/>
                <w:sz w:val="24"/>
                <w:szCs w:val="24"/>
                <w:bdr w:val="none" w:sz="0" w:space="0" w:color="auto" w:frame="1"/>
                <w:lang w:val="uk-UA" w:eastAsia="ru-RU"/>
              </w:rPr>
              <w:t>их</w:t>
            </w:r>
            <w:r w:rsidR="00162A11" w:rsidRPr="00BE1959">
              <w:rPr>
                <w:rFonts w:ascii="Times New Roman" w:eastAsia="Times New Roman" w:hAnsi="Times New Roman" w:cs="Times New Roman"/>
                <w:iCs/>
                <w:color w:val="000000"/>
                <w:sz w:val="24"/>
                <w:szCs w:val="24"/>
                <w:bdr w:val="none" w:sz="0" w:space="0" w:color="auto" w:frame="1"/>
                <w:lang w:val="uk-UA" w:eastAsia="ru-RU"/>
              </w:rPr>
              <w:t xml:space="preserve"> заход</w:t>
            </w:r>
            <w:r w:rsidR="00115F6F" w:rsidRPr="00BE1959">
              <w:rPr>
                <w:rFonts w:ascii="Times New Roman" w:eastAsia="Times New Roman" w:hAnsi="Times New Roman" w:cs="Times New Roman"/>
                <w:iCs/>
                <w:color w:val="000000"/>
                <w:sz w:val="24"/>
                <w:szCs w:val="24"/>
                <w:bdr w:val="none" w:sz="0" w:space="0" w:color="auto" w:frame="1"/>
                <w:lang w:val="uk-UA" w:eastAsia="ru-RU"/>
              </w:rPr>
              <w:t>ів</w:t>
            </w:r>
            <w:r w:rsidR="00162A11" w:rsidRPr="00BE1959">
              <w:rPr>
                <w:rFonts w:ascii="Times New Roman" w:eastAsia="Times New Roman" w:hAnsi="Times New Roman" w:cs="Times New Roman"/>
                <w:iCs/>
                <w:color w:val="000000"/>
                <w:sz w:val="24"/>
                <w:szCs w:val="24"/>
                <w:bdr w:val="none" w:sz="0" w:space="0" w:color="auto" w:frame="1"/>
                <w:lang w:val="uk-UA" w:eastAsia="ru-RU"/>
              </w:rPr>
              <w:t xml:space="preserve"> для того, щоб полегшити віддаленим членам або учасникам, створеним у цій державі-члені, доступ до торгівлі в рамках його системи;</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96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(57)</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772811" w:rsidP="00DF6442">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«фірма </w:t>
            </w:r>
            <w:r w:rsidR="00941CD6" w:rsidRPr="00BE1959">
              <w:rPr>
                <w:rFonts w:ascii="Times New Roman" w:eastAsia="Times New Roman" w:hAnsi="Times New Roman" w:cs="Times New Roman"/>
                <w:sz w:val="24"/>
                <w:szCs w:val="24"/>
                <w:lang w:val="uk-UA"/>
              </w:rPr>
              <w:t xml:space="preserve">з </w:t>
            </w:r>
            <w:r w:rsidRPr="00BE1959">
              <w:rPr>
                <w:rFonts w:ascii="Times New Roman" w:eastAsia="Times New Roman" w:hAnsi="Times New Roman" w:cs="Times New Roman"/>
                <w:sz w:val="24"/>
                <w:szCs w:val="24"/>
                <w:lang w:val="uk-UA"/>
              </w:rPr>
              <w:t xml:space="preserve">третьої країни» </w:t>
            </w:r>
            <w:r w:rsidR="00941CD6" w:rsidRPr="00BE1959">
              <w:rPr>
                <w:rFonts w:ascii="Times New Roman" w:eastAsia="Times New Roman" w:hAnsi="Times New Roman" w:cs="Times New Roman"/>
                <w:sz w:val="24"/>
                <w:szCs w:val="24"/>
                <w:lang w:val="uk-UA"/>
              </w:rPr>
              <w:t>- фірма, яка у разі знаходження її головної контори або зареєстрованої контори у Союзі була б кредитною установою, що надає інвестиційні послуги або веде інвестиційну діяльність, або інвестиційною фірмою;</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96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(58)</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DF6442" w:rsidP="00DF6442">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«оптовий енергетичний продукт» - оптові енергетичні продукти згідно з визначенням у п. (4) статті 2 Регламенту</w:t>
            </w:r>
            <w:r w:rsidR="005613AB" w:rsidRPr="00BE1959">
              <w:rPr>
                <w:rFonts w:ascii="Times New Roman" w:eastAsia="Times New Roman" w:hAnsi="Times New Roman" w:cs="Times New Roman"/>
                <w:sz w:val="24"/>
                <w:szCs w:val="24"/>
                <w:lang w:val="uk-UA"/>
              </w:rPr>
              <w:t xml:space="preserve"> (EU) </w:t>
            </w:r>
            <w:r w:rsidRPr="00BE1959">
              <w:rPr>
                <w:rFonts w:ascii="Times New Roman" w:eastAsia="Times New Roman" w:hAnsi="Times New Roman" w:cs="Times New Roman"/>
                <w:sz w:val="24"/>
                <w:szCs w:val="24"/>
                <w:lang w:val="uk-UA"/>
              </w:rPr>
              <w:t>№</w:t>
            </w:r>
            <w:r w:rsidR="005613AB" w:rsidRPr="00BE1959">
              <w:rPr>
                <w:rFonts w:ascii="Times New Roman" w:eastAsia="Times New Roman" w:hAnsi="Times New Roman" w:cs="Times New Roman"/>
                <w:sz w:val="24"/>
                <w:szCs w:val="24"/>
                <w:lang w:val="uk-UA"/>
              </w:rPr>
              <w:t> 1227/2011;</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96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(59)</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2E408E" w:rsidP="009D34E6">
            <w:pPr>
              <w:spacing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«деривативи на сільськогосподарські товари» - контракти на деривативи стосовно товарів, перерахованих у статті 1 </w:t>
            </w:r>
            <w:r w:rsidR="009D34E6" w:rsidRPr="00BE1959">
              <w:rPr>
                <w:rFonts w:ascii="Times New Roman" w:eastAsia="Times New Roman" w:hAnsi="Times New Roman" w:cs="Times New Roman"/>
                <w:sz w:val="24"/>
                <w:szCs w:val="24"/>
                <w:lang w:val="uk-UA"/>
              </w:rPr>
              <w:t xml:space="preserve">Регламенту (EU) № 1308/2013 Європейського Парламенту та Ради </w:t>
            </w:r>
            <w:r w:rsidRPr="00BE1959">
              <w:rPr>
                <w:rFonts w:ascii="Times New Roman" w:eastAsia="Times New Roman" w:hAnsi="Times New Roman" w:cs="Times New Roman"/>
                <w:sz w:val="24"/>
                <w:szCs w:val="24"/>
                <w:lang w:val="uk-UA"/>
              </w:rPr>
              <w:t>та Додатку І, частини І-ХХ та</w:t>
            </w:r>
            <w:r w:rsidR="005613AB" w:rsidRPr="00BE1959">
              <w:rPr>
                <w:rFonts w:ascii="Times New Roman" w:eastAsia="Times New Roman" w:hAnsi="Times New Roman" w:cs="Times New Roman"/>
                <w:sz w:val="24"/>
                <w:szCs w:val="24"/>
                <w:lang w:val="uk-UA"/>
              </w:rPr>
              <w:t xml:space="preserve"> XXIV/1, </w:t>
            </w:r>
            <w:r w:rsidR="009D34E6" w:rsidRPr="00BE1959">
              <w:rPr>
                <w:rFonts w:ascii="Times New Roman" w:eastAsia="Times New Roman" w:hAnsi="Times New Roman" w:cs="Times New Roman"/>
                <w:sz w:val="24"/>
                <w:szCs w:val="24"/>
                <w:lang w:val="uk-UA"/>
              </w:rPr>
              <w:t xml:space="preserve">до нього </w:t>
            </w:r>
            <w:hyperlink r:id="rId52" w:anchor="ntr47-L_2014173EN.01034901-E0047" w:history="1">
              <w:r w:rsidR="005613AB" w:rsidRPr="00BE1959">
                <w:rPr>
                  <w:rFonts w:ascii="Times New Roman" w:eastAsia="Times New Roman" w:hAnsi="Times New Roman" w:cs="Times New Roman"/>
                  <w:sz w:val="24"/>
                  <w:szCs w:val="24"/>
                  <w:bdr w:val="none" w:sz="0" w:space="0" w:color="auto" w:frame="1"/>
                  <w:lang w:val="uk-UA"/>
                </w:rPr>
                <w:t> (</w:t>
              </w:r>
              <w:r w:rsidR="005613AB" w:rsidRPr="00BE1959">
                <w:rPr>
                  <w:rFonts w:ascii="Times New Roman" w:eastAsia="Times New Roman" w:hAnsi="Times New Roman" w:cs="Times New Roman"/>
                  <w:sz w:val="24"/>
                  <w:szCs w:val="24"/>
                  <w:bdr w:val="none" w:sz="0" w:space="0" w:color="auto" w:frame="1"/>
                  <w:vertAlign w:val="superscript"/>
                  <w:lang w:val="uk-UA"/>
                </w:rPr>
                <w:t>47</w:t>
              </w:r>
              <w:r w:rsidR="005613AB" w:rsidRPr="00BE1959">
                <w:rPr>
                  <w:rFonts w:ascii="Times New Roman" w:eastAsia="Times New Roman" w:hAnsi="Times New Roman" w:cs="Times New Roman"/>
                  <w:sz w:val="24"/>
                  <w:szCs w:val="24"/>
                  <w:bdr w:val="none" w:sz="0" w:space="0" w:color="auto" w:frame="1"/>
                  <w:lang w:val="uk-UA"/>
                </w:rPr>
                <w:t>)</w:t>
              </w:r>
            </w:hyperlink>
            <w:r w:rsidR="005613AB" w:rsidRPr="00BE1959">
              <w:rPr>
                <w:rFonts w:ascii="Times New Roman" w:eastAsia="Times New Roman" w:hAnsi="Times New Roman" w:cs="Times New Roman"/>
                <w:sz w:val="24"/>
                <w:szCs w:val="24"/>
                <w:lang w:val="uk-UA"/>
              </w:rPr>
              <w:t>;</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960"/>
      </w:tblGrid>
      <w:tr w:rsidR="005613AB" w:rsidRPr="00BE1959"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(60)</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9269E2"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«суверенний емітент» - будь-який з наступних суб’єктів, який </w:t>
            </w:r>
            <w:r w:rsidR="00C071E8" w:rsidRPr="00BE1959">
              <w:rPr>
                <w:rFonts w:ascii="Times New Roman" w:eastAsia="Times New Roman" w:hAnsi="Times New Roman" w:cs="Times New Roman"/>
                <w:sz w:val="24"/>
                <w:szCs w:val="24"/>
                <w:lang w:val="uk-UA"/>
              </w:rPr>
              <w:t>випускає боргові інструменти:</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81"/>
              <w:gridCol w:w="8358"/>
            </w:tblGrid>
            <w:tr w:rsidR="00DE3173" w:rsidRPr="00BE1959" w:rsidTr="00C071E8">
              <w:tc>
                <w:tcPr>
                  <w:tcW w:w="272"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(i)</w:t>
                  </w:r>
                </w:p>
              </w:tc>
              <w:tc>
                <w:tcPr>
                  <w:tcW w:w="4728"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C071E8"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Союз</w:t>
                  </w:r>
                  <w:r w:rsidR="005613AB" w:rsidRPr="00BE1959">
                    <w:rPr>
                      <w:rFonts w:ascii="Times New Roman" w:eastAsia="Times New Roman" w:hAnsi="Times New Roman" w:cs="Times New Roman"/>
                      <w:sz w:val="24"/>
                      <w:szCs w:val="24"/>
                      <w:lang w:val="uk-UA"/>
                    </w:rPr>
                    <w:t>;</w:t>
                  </w:r>
                </w:p>
              </w:tc>
            </w:tr>
          </w:tbl>
          <w:p w:rsidR="005613AB" w:rsidRPr="00BE1959" w:rsidRDefault="005613AB" w:rsidP="005613AB">
            <w:pPr>
              <w:spacing w:after="0" w:line="240" w:lineRule="auto"/>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99"/>
              <w:gridCol w:w="8440"/>
            </w:tblGrid>
            <w:tr w:rsidR="00DE3173" w:rsidRPr="0043174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C071E8" w:rsidP="00C071E8">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держава-член, зокрема державний орган, агентство або компанія спеціального призначення держави-члена;</w:t>
                  </w:r>
                </w:p>
              </w:tc>
            </w:tr>
          </w:tbl>
          <w:p w:rsidR="005613AB" w:rsidRPr="00BE1959" w:rsidRDefault="005613AB" w:rsidP="005613AB">
            <w:pPr>
              <w:spacing w:after="0" w:line="240" w:lineRule="auto"/>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39"/>
              <w:gridCol w:w="8200"/>
            </w:tblGrid>
            <w:tr w:rsidR="00DE3173" w:rsidRPr="0043174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(iii)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C071E8" w:rsidP="00C071E8">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у випадку федеративної держави-члена – член федерації;</w:t>
                  </w:r>
                </w:p>
              </w:tc>
            </w:tr>
          </w:tbl>
          <w:p w:rsidR="005613AB" w:rsidRPr="00BE1959" w:rsidRDefault="005613AB" w:rsidP="005613AB">
            <w:pPr>
              <w:spacing w:after="0" w:line="240" w:lineRule="auto"/>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46"/>
              <w:gridCol w:w="8293"/>
            </w:tblGrid>
            <w:tr w:rsidR="00DE3173" w:rsidRPr="0043174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(iv)</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05F65" w:rsidP="00505F65">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компанія спеціального призначення для декількох держав-членів;</w:t>
                  </w:r>
                </w:p>
              </w:tc>
            </w:tr>
          </w:tbl>
          <w:p w:rsidR="005613AB" w:rsidRPr="00BE1959" w:rsidRDefault="005613AB" w:rsidP="005613AB">
            <w:pPr>
              <w:spacing w:after="0" w:line="240" w:lineRule="auto"/>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454"/>
            </w:tblGrid>
            <w:tr w:rsidR="00DE3173" w:rsidRPr="0043174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(v)</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05F65" w:rsidP="00E962FA">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міжнародна фінансова установа, створена двома чи більше державами-членами, яка має на меті залучати фінансування та надавати фінансову допомогу на користь </w:t>
                  </w:r>
                  <w:r w:rsidR="00E962FA" w:rsidRPr="00BE1959">
                    <w:rPr>
                      <w:rFonts w:ascii="Times New Roman" w:eastAsia="Times New Roman" w:hAnsi="Times New Roman" w:cs="Times New Roman"/>
                      <w:sz w:val="24"/>
                      <w:szCs w:val="24"/>
                      <w:lang w:val="uk-UA"/>
                    </w:rPr>
                    <w:t>своїх членів, які зазнають серйозних фінансових проблем чи яким загрожують такі проблеми; або</w:t>
                  </w:r>
                </w:p>
              </w:tc>
            </w:tr>
          </w:tbl>
          <w:p w:rsidR="005613AB" w:rsidRPr="00BE1959" w:rsidRDefault="005613AB" w:rsidP="005613AB">
            <w:pPr>
              <w:spacing w:after="0" w:line="240" w:lineRule="auto"/>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81"/>
              <w:gridCol w:w="8358"/>
            </w:tblGrid>
            <w:tr w:rsidR="00DE3173" w:rsidRPr="00BE1959" w:rsidTr="00D76F1F">
              <w:tc>
                <w:tcPr>
                  <w:tcW w:w="272"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(vi)</w:t>
                  </w:r>
                </w:p>
              </w:tc>
              <w:tc>
                <w:tcPr>
                  <w:tcW w:w="4728"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D76F1F"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Європейський інвестиційний банк</w:t>
                  </w:r>
                  <w:r w:rsidR="005613AB" w:rsidRPr="00BE1959">
                    <w:rPr>
                      <w:rFonts w:ascii="Times New Roman" w:eastAsia="Times New Roman" w:hAnsi="Times New Roman" w:cs="Times New Roman"/>
                      <w:sz w:val="24"/>
                      <w:szCs w:val="24"/>
                      <w:lang w:val="uk-UA"/>
                    </w:rPr>
                    <w:t>;</w:t>
                  </w:r>
                </w:p>
              </w:tc>
            </w:tr>
          </w:tbl>
          <w:p w:rsidR="005613AB" w:rsidRPr="00BE1959" w:rsidRDefault="005613AB" w:rsidP="005613AB">
            <w:pPr>
              <w:spacing w:after="0" w:line="240" w:lineRule="auto"/>
              <w:rPr>
                <w:rFonts w:ascii="Times New Roman" w:eastAsia="Times New Roman" w:hAnsi="Times New Roman" w:cs="Times New Roman"/>
                <w:sz w:val="24"/>
                <w:szCs w:val="24"/>
                <w:lang w:val="uk-UA"/>
              </w:rPr>
            </w:pP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54"/>
        <w:gridCol w:w="8911"/>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(61)</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44293F" w:rsidP="0044293F">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«суверенний борг» - борговий інструмент, випущений суверенним емітентом;</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96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lastRenderedPageBreak/>
              <w:t>(62)</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44293F"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w:t>
            </w:r>
            <w:r w:rsidR="00323E40" w:rsidRPr="00BE1959">
              <w:rPr>
                <w:rFonts w:ascii="Times New Roman" w:eastAsia="Times New Roman" w:hAnsi="Times New Roman" w:cs="Times New Roman"/>
                <w:sz w:val="24"/>
                <w:szCs w:val="24"/>
                <w:lang w:val="uk-UA"/>
              </w:rPr>
              <w:t>надійний носій» - будь-який інструмент, який:</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467"/>
            </w:tblGrid>
            <w:tr w:rsidR="00DE3173" w:rsidRPr="0043174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323E40" w:rsidP="002B6348">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дозволяє клієнту зберігати інформацію, адре</w:t>
                  </w:r>
                  <w:r w:rsidR="005732E9" w:rsidRPr="00BE1959">
                    <w:rPr>
                      <w:rFonts w:ascii="Times New Roman" w:eastAsia="Times New Roman" w:hAnsi="Times New Roman" w:cs="Times New Roman"/>
                      <w:sz w:val="24"/>
                      <w:szCs w:val="24"/>
                      <w:lang w:val="uk-UA"/>
                    </w:rPr>
                    <w:t>совану особисто цьому клієнту, з можливістю доступу до неї для подальшого користування</w:t>
                  </w:r>
                  <w:r w:rsidR="002B6348" w:rsidRPr="00BE1959">
                    <w:rPr>
                      <w:rFonts w:ascii="Times New Roman" w:eastAsia="Times New Roman" w:hAnsi="Times New Roman" w:cs="Times New Roman"/>
                      <w:sz w:val="24"/>
                      <w:szCs w:val="24"/>
                      <w:lang w:val="uk-UA"/>
                    </w:rPr>
                    <w:t>,</w:t>
                  </w:r>
                  <w:r w:rsidR="005732E9" w:rsidRPr="00BE1959">
                    <w:rPr>
                      <w:rFonts w:ascii="Times New Roman" w:eastAsia="Times New Roman" w:hAnsi="Times New Roman" w:cs="Times New Roman"/>
                      <w:sz w:val="24"/>
                      <w:szCs w:val="24"/>
                      <w:lang w:val="uk-UA"/>
                    </w:rPr>
                    <w:t xml:space="preserve"> впродовж періоду часу, достатнього для цілей цієї інформації;</w:t>
                  </w:r>
                </w:p>
              </w:tc>
            </w:tr>
          </w:tbl>
          <w:p w:rsidR="005613AB" w:rsidRPr="00BE1959" w:rsidRDefault="005613AB" w:rsidP="005613AB">
            <w:pPr>
              <w:spacing w:after="0" w:line="240" w:lineRule="auto"/>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48"/>
              <w:gridCol w:w="8291"/>
            </w:tblGrid>
            <w:tr w:rsidR="00DE3173" w:rsidRPr="0043174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2B6348" w:rsidP="002B6348">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дозволяє без змін відтворювати збережену інформацію;</w:t>
                  </w:r>
                </w:p>
              </w:tc>
            </w:tr>
          </w:tbl>
          <w:p w:rsidR="005613AB" w:rsidRPr="00BE1959" w:rsidRDefault="005613AB" w:rsidP="005613AB">
            <w:pPr>
              <w:spacing w:after="0" w:line="240" w:lineRule="auto"/>
              <w:rPr>
                <w:rFonts w:ascii="Times New Roman" w:eastAsia="Times New Roman" w:hAnsi="Times New Roman" w:cs="Times New Roman"/>
                <w:sz w:val="24"/>
                <w:szCs w:val="24"/>
                <w:lang w:val="uk-UA"/>
              </w:rPr>
            </w:pP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79"/>
        <w:gridCol w:w="8786"/>
      </w:tblGrid>
      <w:tr w:rsidR="00DE3173"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(63)</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2B6348" w:rsidP="00BE7DA0">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«надавач послуг із</w:t>
            </w:r>
            <w:r w:rsidR="00A536E6" w:rsidRPr="00BE1959">
              <w:rPr>
                <w:rFonts w:ascii="Times New Roman" w:eastAsia="Times New Roman" w:hAnsi="Times New Roman" w:cs="Times New Roman"/>
                <w:sz w:val="24"/>
                <w:szCs w:val="24"/>
                <w:lang w:val="uk-UA"/>
              </w:rPr>
              <w:t xml:space="preserve"> повідомлення даних» - ЗМП, НЗД</w:t>
            </w:r>
            <w:r w:rsidR="00BE7DA0" w:rsidRPr="00BE1959">
              <w:rPr>
                <w:rFonts w:ascii="Times New Roman" w:eastAsia="Times New Roman" w:hAnsi="Times New Roman" w:cs="Times New Roman"/>
                <w:sz w:val="24"/>
                <w:szCs w:val="24"/>
                <w:lang w:val="uk-UA"/>
              </w:rPr>
              <w:t xml:space="preserve"> або ЗМЗ.</w:t>
            </w:r>
          </w:p>
        </w:tc>
      </w:tr>
    </w:tbl>
    <w:p w:rsidR="005613AB" w:rsidRPr="00BE1959" w:rsidRDefault="005613AB" w:rsidP="000567AF">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2.   </w:t>
      </w:r>
      <w:r w:rsidR="006677A8" w:rsidRPr="00BE1959">
        <w:rPr>
          <w:rFonts w:ascii="Times New Roman" w:eastAsia="Times New Roman" w:hAnsi="Times New Roman" w:cs="Times New Roman"/>
          <w:sz w:val="24"/>
          <w:szCs w:val="24"/>
          <w:lang w:val="uk-UA"/>
        </w:rPr>
        <w:t xml:space="preserve">Комісія уповноважена приймати делеговані акти відповідно до статті 89 </w:t>
      </w:r>
      <w:r w:rsidR="00805CF3" w:rsidRPr="00BE1959">
        <w:rPr>
          <w:rFonts w:ascii="Times New Roman" w:eastAsia="Times New Roman" w:hAnsi="Times New Roman" w:cs="Times New Roman"/>
          <w:sz w:val="24"/>
          <w:szCs w:val="24"/>
          <w:lang w:val="uk-UA"/>
        </w:rPr>
        <w:t>для</w:t>
      </w:r>
      <w:r w:rsidR="006677A8" w:rsidRPr="00BE1959">
        <w:rPr>
          <w:rFonts w:ascii="Times New Roman" w:eastAsia="Times New Roman" w:hAnsi="Times New Roman" w:cs="Times New Roman"/>
          <w:sz w:val="24"/>
          <w:szCs w:val="24"/>
          <w:lang w:val="uk-UA"/>
        </w:rPr>
        <w:t xml:space="preserve"> зазначення деяких технічних елементів визначень, наведених у п. 1 цієї статті, коригу</w:t>
      </w:r>
      <w:r w:rsidR="000567AF" w:rsidRPr="00BE1959">
        <w:rPr>
          <w:rFonts w:ascii="Times New Roman" w:eastAsia="Times New Roman" w:hAnsi="Times New Roman" w:cs="Times New Roman"/>
          <w:sz w:val="24"/>
          <w:szCs w:val="24"/>
          <w:lang w:val="uk-UA"/>
        </w:rPr>
        <w:t>ва</w:t>
      </w:r>
      <w:r w:rsidR="00805CF3" w:rsidRPr="00BE1959">
        <w:rPr>
          <w:rFonts w:ascii="Times New Roman" w:eastAsia="Times New Roman" w:hAnsi="Times New Roman" w:cs="Times New Roman"/>
          <w:sz w:val="24"/>
          <w:szCs w:val="24"/>
          <w:lang w:val="uk-UA"/>
        </w:rPr>
        <w:t>ння</w:t>
      </w:r>
      <w:r w:rsidR="006677A8" w:rsidRPr="00BE1959">
        <w:rPr>
          <w:rFonts w:ascii="Times New Roman" w:eastAsia="Times New Roman" w:hAnsi="Times New Roman" w:cs="Times New Roman"/>
          <w:sz w:val="24"/>
          <w:szCs w:val="24"/>
          <w:lang w:val="uk-UA"/>
        </w:rPr>
        <w:t xml:space="preserve"> їх відповідним чином згідно з подіями на ринку, </w:t>
      </w:r>
      <w:r w:rsidR="000567AF" w:rsidRPr="00BE1959">
        <w:rPr>
          <w:rFonts w:ascii="Times New Roman" w:eastAsia="Times New Roman" w:hAnsi="Times New Roman" w:cs="Times New Roman"/>
          <w:sz w:val="24"/>
          <w:szCs w:val="24"/>
          <w:lang w:val="uk-UA"/>
        </w:rPr>
        <w:t>розвитком технологій та досвідом щодо дій, заборонених згідно з Регламентом</w:t>
      </w:r>
      <w:r w:rsidRPr="00BE1959">
        <w:rPr>
          <w:rFonts w:ascii="Times New Roman" w:eastAsia="Times New Roman" w:hAnsi="Times New Roman" w:cs="Times New Roman"/>
          <w:sz w:val="24"/>
          <w:szCs w:val="24"/>
          <w:lang w:val="uk-UA"/>
        </w:rPr>
        <w:t xml:space="preserve"> (EU) </w:t>
      </w:r>
      <w:r w:rsidR="000567AF" w:rsidRPr="00BE1959">
        <w:rPr>
          <w:rFonts w:ascii="Times New Roman" w:eastAsia="Times New Roman" w:hAnsi="Times New Roman" w:cs="Times New Roman"/>
          <w:sz w:val="24"/>
          <w:szCs w:val="24"/>
          <w:lang w:val="uk-UA"/>
        </w:rPr>
        <w:t>№</w:t>
      </w:r>
      <w:r w:rsidRPr="00BE1959">
        <w:rPr>
          <w:rFonts w:ascii="Times New Roman" w:eastAsia="Times New Roman" w:hAnsi="Times New Roman" w:cs="Times New Roman"/>
          <w:sz w:val="24"/>
          <w:szCs w:val="24"/>
          <w:lang w:val="uk-UA"/>
        </w:rPr>
        <w:t xml:space="preserve"> 596/2014</w:t>
      </w:r>
      <w:r w:rsidR="000567AF" w:rsidRPr="00BE1959">
        <w:rPr>
          <w:rFonts w:ascii="Times New Roman" w:eastAsia="Times New Roman" w:hAnsi="Times New Roman" w:cs="Times New Roman"/>
          <w:sz w:val="24"/>
          <w:szCs w:val="24"/>
          <w:lang w:val="uk-UA"/>
        </w:rPr>
        <w:t>, а також забезпеч</w:t>
      </w:r>
      <w:r w:rsidR="00805CF3" w:rsidRPr="00BE1959">
        <w:rPr>
          <w:rFonts w:ascii="Times New Roman" w:eastAsia="Times New Roman" w:hAnsi="Times New Roman" w:cs="Times New Roman"/>
          <w:sz w:val="24"/>
          <w:szCs w:val="24"/>
          <w:lang w:val="uk-UA"/>
        </w:rPr>
        <w:t>ення</w:t>
      </w:r>
      <w:r w:rsidR="000567AF" w:rsidRPr="00BE1959">
        <w:rPr>
          <w:rFonts w:ascii="Times New Roman" w:eastAsia="Times New Roman" w:hAnsi="Times New Roman" w:cs="Times New Roman"/>
          <w:sz w:val="24"/>
          <w:szCs w:val="24"/>
          <w:lang w:val="uk-UA"/>
        </w:rPr>
        <w:t xml:space="preserve"> одноманітн</w:t>
      </w:r>
      <w:r w:rsidR="00805CF3" w:rsidRPr="00BE1959">
        <w:rPr>
          <w:rFonts w:ascii="Times New Roman" w:eastAsia="Times New Roman" w:hAnsi="Times New Roman" w:cs="Times New Roman"/>
          <w:sz w:val="24"/>
          <w:szCs w:val="24"/>
          <w:lang w:val="uk-UA"/>
        </w:rPr>
        <w:t>ого</w:t>
      </w:r>
      <w:r w:rsidR="000567AF" w:rsidRPr="00BE1959">
        <w:rPr>
          <w:rFonts w:ascii="Times New Roman" w:eastAsia="Times New Roman" w:hAnsi="Times New Roman" w:cs="Times New Roman"/>
          <w:sz w:val="24"/>
          <w:szCs w:val="24"/>
          <w:lang w:val="uk-UA"/>
        </w:rPr>
        <w:t xml:space="preserve"> застосування</w:t>
      </w:r>
      <w:r w:rsidR="00805CF3" w:rsidRPr="00BE1959">
        <w:rPr>
          <w:rFonts w:ascii="Times New Roman" w:eastAsia="Times New Roman" w:hAnsi="Times New Roman" w:cs="Times New Roman"/>
          <w:sz w:val="24"/>
          <w:szCs w:val="24"/>
          <w:lang w:val="uk-UA"/>
        </w:rPr>
        <w:t xml:space="preserve"> цієї директиви.</w:t>
      </w:r>
    </w:p>
    <w:p w:rsidR="005613AB" w:rsidRPr="00BE1959" w:rsidRDefault="00E0583E" w:rsidP="005613AB">
      <w:pPr>
        <w:spacing w:before="480" w:after="0" w:line="312" w:lineRule="atLeast"/>
        <w:jc w:val="center"/>
        <w:textAlignment w:val="baseline"/>
        <w:rPr>
          <w:rFonts w:ascii="Times New Roman" w:eastAsia="Times New Roman" w:hAnsi="Times New Roman" w:cs="Times New Roman"/>
          <w:b/>
          <w:bCs/>
          <w:sz w:val="24"/>
          <w:szCs w:val="24"/>
          <w:lang w:val="uk-UA"/>
        </w:rPr>
      </w:pPr>
      <w:r w:rsidRPr="00BE1959">
        <w:rPr>
          <w:rFonts w:ascii="Times New Roman" w:eastAsia="Times New Roman" w:hAnsi="Times New Roman" w:cs="Times New Roman"/>
          <w:b/>
          <w:bCs/>
          <w:sz w:val="24"/>
          <w:szCs w:val="24"/>
          <w:lang w:val="uk-UA"/>
        </w:rPr>
        <w:t>РОЗДІЛ</w:t>
      </w:r>
      <w:r w:rsidR="005613AB" w:rsidRPr="00BE1959">
        <w:rPr>
          <w:rFonts w:ascii="Times New Roman" w:eastAsia="Times New Roman" w:hAnsi="Times New Roman" w:cs="Times New Roman"/>
          <w:b/>
          <w:bCs/>
          <w:sz w:val="24"/>
          <w:szCs w:val="24"/>
          <w:lang w:val="uk-UA"/>
        </w:rPr>
        <w:t xml:space="preserve"> II</w:t>
      </w:r>
    </w:p>
    <w:p w:rsidR="00E0583E" w:rsidRPr="00BE1959" w:rsidRDefault="00264677" w:rsidP="005613AB">
      <w:pPr>
        <w:spacing w:after="0" w:line="312" w:lineRule="atLeast"/>
        <w:jc w:val="center"/>
        <w:textAlignment w:val="baseline"/>
        <w:rPr>
          <w:rFonts w:ascii="Times New Roman" w:eastAsia="Times New Roman" w:hAnsi="Times New Roman" w:cs="Times New Roman"/>
          <w:b/>
          <w:bCs/>
          <w:sz w:val="24"/>
          <w:szCs w:val="24"/>
          <w:bdr w:val="none" w:sz="0" w:space="0" w:color="auto" w:frame="1"/>
          <w:lang w:val="uk-UA"/>
        </w:rPr>
      </w:pPr>
      <w:r w:rsidRPr="00BE1959">
        <w:rPr>
          <w:rFonts w:ascii="Times New Roman" w:eastAsia="Times New Roman" w:hAnsi="Times New Roman" w:cs="Times New Roman"/>
          <w:b/>
          <w:bCs/>
          <w:sz w:val="24"/>
          <w:szCs w:val="24"/>
          <w:bdr w:val="none" w:sz="0" w:space="0" w:color="auto" w:frame="1"/>
          <w:lang w:val="uk-UA"/>
        </w:rPr>
        <w:t>ВИДАЧА</w:t>
      </w:r>
      <w:r w:rsidR="00E0583E" w:rsidRPr="00BE1959">
        <w:rPr>
          <w:rFonts w:ascii="Times New Roman" w:eastAsia="Times New Roman" w:hAnsi="Times New Roman" w:cs="Times New Roman"/>
          <w:b/>
          <w:bCs/>
          <w:sz w:val="24"/>
          <w:szCs w:val="24"/>
          <w:bdr w:val="none" w:sz="0" w:space="0" w:color="auto" w:frame="1"/>
          <w:lang w:val="uk-UA"/>
        </w:rPr>
        <w:t xml:space="preserve"> ДОЗВОЛІВ ІНВЕСТИЦІЙНИМ ФІРМАМ ТА УМОВИ ЇХНЬОЇ ДІЯЛЬНОСТІ</w:t>
      </w:r>
    </w:p>
    <w:p w:rsidR="00264677" w:rsidRPr="00BE1959" w:rsidRDefault="00264677" w:rsidP="005613AB">
      <w:pPr>
        <w:spacing w:after="0" w:line="312" w:lineRule="atLeast"/>
        <w:jc w:val="center"/>
        <w:textAlignment w:val="baseline"/>
        <w:rPr>
          <w:rFonts w:ascii="Times New Roman" w:eastAsia="Times New Roman" w:hAnsi="Times New Roman" w:cs="Times New Roman"/>
          <w:b/>
          <w:bCs/>
          <w:i/>
          <w:iCs/>
          <w:sz w:val="24"/>
          <w:szCs w:val="24"/>
          <w:bdr w:val="none" w:sz="0" w:space="0" w:color="auto" w:frame="1"/>
          <w:lang w:val="uk-UA"/>
        </w:rPr>
      </w:pPr>
    </w:p>
    <w:p w:rsidR="005613AB" w:rsidRPr="00BE1959" w:rsidRDefault="00264677" w:rsidP="005613AB">
      <w:pPr>
        <w:spacing w:after="0" w:line="312" w:lineRule="atLeast"/>
        <w:jc w:val="center"/>
        <w:textAlignment w:val="baseline"/>
        <w:rPr>
          <w:rFonts w:ascii="Times New Roman" w:eastAsia="Times New Roman" w:hAnsi="Times New Roman" w:cs="Times New Roman"/>
          <w:b/>
          <w:bCs/>
          <w:sz w:val="24"/>
          <w:szCs w:val="24"/>
          <w:lang w:val="uk-UA"/>
        </w:rPr>
      </w:pPr>
      <w:r w:rsidRPr="00BE1959">
        <w:rPr>
          <w:rFonts w:ascii="Times New Roman" w:eastAsia="Times New Roman" w:hAnsi="Times New Roman" w:cs="Times New Roman"/>
          <w:b/>
          <w:bCs/>
          <w:i/>
          <w:iCs/>
          <w:sz w:val="24"/>
          <w:szCs w:val="24"/>
          <w:bdr w:val="none" w:sz="0" w:space="0" w:color="auto" w:frame="1"/>
          <w:lang w:val="uk-UA"/>
        </w:rPr>
        <w:t>ГЛАВА</w:t>
      </w:r>
      <w:r w:rsidR="005613AB" w:rsidRPr="00BE1959">
        <w:rPr>
          <w:rFonts w:ascii="Times New Roman" w:eastAsia="Times New Roman" w:hAnsi="Times New Roman" w:cs="Times New Roman"/>
          <w:b/>
          <w:bCs/>
          <w:i/>
          <w:iCs/>
          <w:sz w:val="24"/>
          <w:szCs w:val="24"/>
          <w:bdr w:val="none" w:sz="0" w:space="0" w:color="auto" w:frame="1"/>
          <w:lang w:val="uk-UA"/>
        </w:rPr>
        <w:t xml:space="preserve"> I</w:t>
      </w:r>
    </w:p>
    <w:p w:rsidR="005613AB" w:rsidRPr="00BE1959" w:rsidRDefault="00264677" w:rsidP="005613AB">
      <w:pPr>
        <w:spacing w:after="0" w:line="312" w:lineRule="atLeast"/>
        <w:jc w:val="center"/>
        <w:textAlignment w:val="baseline"/>
        <w:rPr>
          <w:rFonts w:ascii="Times New Roman" w:eastAsia="Times New Roman" w:hAnsi="Times New Roman" w:cs="Times New Roman"/>
          <w:b/>
          <w:bCs/>
          <w:sz w:val="24"/>
          <w:szCs w:val="24"/>
          <w:lang w:val="uk-UA"/>
        </w:rPr>
      </w:pPr>
      <w:r w:rsidRPr="00BE1959">
        <w:rPr>
          <w:rFonts w:ascii="Times New Roman" w:eastAsia="Times New Roman" w:hAnsi="Times New Roman" w:cs="Times New Roman"/>
          <w:b/>
          <w:bCs/>
          <w:i/>
          <w:iCs/>
          <w:sz w:val="24"/>
          <w:szCs w:val="24"/>
          <w:bdr w:val="none" w:sz="0" w:space="0" w:color="auto" w:frame="1"/>
          <w:lang w:val="uk-UA"/>
        </w:rPr>
        <w:t>Умови та порядок видачі дозволів</w:t>
      </w:r>
    </w:p>
    <w:p w:rsidR="005613AB" w:rsidRPr="00BE1959" w:rsidRDefault="00162A11" w:rsidP="005613AB">
      <w:pPr>
        <w:spacing w:before="360" w:after="120" w:line="312" w:lineRule="atLeast"/>
        <w:jc w:val="center"/>
        <w:textAlignment w:val="baseline"/>
        <w:rPr>
          <w:rFonts w:ascii="Times New Roman" w:eastAsia="Times New Roman" w:hAnsi="Times New Roman" w:cs="Times New Roman"/>
          <w:i/>
          <w:iCs/>
          <w:sz w:val="24"/>
          <w:szCs w:val="24"/>
          <w:lang w:val="uk-UA"/>
        </w:rPr>
      </w:pPr>
      <w:r w:rsidRPr="00BE1959">
        <w:rPr>
          <w:rFonts w:ascii="Times New Roman" w:eastAsia="Times New Roman" w:hAnsi="Times New Roman" w:cs="Times New Roman"/>
          <w:i/>
          <w:iCs/>
          <w:sz w:val="24"/>
          <w:szCs w:val="24"/>
          <w:lang w:val="uk-UA"/>
        </w:rPr>
        <w:t>Стаття</w:t>
      </w:r>
      <w:r w:rsidR="005613AB" w:rsidRPr="00BE1959">
        <w:rPr>
          <w:rFonts w:ascii="Times New Roman" w:eastAsia="Times New Roman" w:hAnsi="Times New Roman" w:cs="Times New Roman"/>
          <w:i/>
          <w:iCs/>
          <w:sz w:val="24"/>
          <w:szCs w:val="24"/>
          <w:lang w:val="uk-UA"/>
        </w:rPr>
        <w:t xml:space="preserve"> 5</w:t>
      </w:r>
    </w:p>
    <w:p w:rsidR="005613AB" w:rsidRPr="00BE1959" w:rsidRDefault="00D249C1" w:rsidP="005613AB">
      <w:pPr>
        <w:spacing w:before="60" w:after="120" w:line="312" w:lineRule="atLeast"/>
        <w:jc w:val="center"/>
        <w:textAlignment w:val="baseline"/>
        <w:rPr>
          <w:rFonts w:ascii="Times New Roman" w:eastAsia="Times New Roman" w:hAnsi="Times New Roman" w:cs="Times New Roman"/>
          <w:b/>
          <w:bCs/>
          <w:sz w:val="24"/>
          <w:szCs w:val="24"/>
          <w:lang w:val="uk-UA"/>
        </w:rPr>
      </w:pPr>
      <w:r w:rsidRPr="00BE1959">
        <w:rPr>
          <w:rFonts w:ascii="Times New Roman" w:eastAsia="Times New Roman" w:hAnsi="Times New Roman" w:cs="Times New Roman"/>
          <w:b/>
          <w:bCs/>
          <w:sz w:val="24"/>
          <w:szCs w:val="24"/>
          <w:lang w:val="uk-UA"/>
        </w:rPr>
        <w:t>Вимога щодо наявності дозволу</w:t>
      </w:r>
    </w:p>
    <w:p w:rsidR="005613AB" w:rsidRPr="00BE1959" w:rsidRDefault="005613AB" w:rsidP="00D249C1">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1.   </w:t>
      </w:r>
      <w:r w:rsidR="00D249C1" w:rsidRPr="00BE1959">
        <w:rPr>
          <w:rFonts w:ascii="Times New Roman" w:eastAsia="Times New Roman" w:hAnsi="Times New Roman" w:cs="Times New Roman"/>
          <w:sz w:val="24"/>
          <w:szCs w:val="24"/>
          <w:lang w:val="uk-UA"/>
        </w:rPr>
        <w:t>Кожна держава-член вимагає, щоб надання інвестиційних послуг і (або) ведення інвестиційної діяльності як постійного роду занять або постійної діяльності на професійній основі підлягало попередньому дозволу відповідно до цієї статті. Такий дозвіл видається компетентним органом держави-члена походження, призначеним відповідно до статті 67.</w:t>
      </w:r>
    </w:p>
    <w:p w:rsidR="005613AB" w:rsidRPr="00BE1959" w:rsidRDefault="005613AB" w:rsidP="007F3516">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2.   </w:t>
      </w:r>
      <w:r w:rsidR="00D249C1" w:rsidRPr="00BE1959">
        <w:rPr>
          <w:rFonts w:ascii="Times New Roman" w:eastAsia="Times New Roman" w:hAnsi="Times New Roman" w:cs="Times New Roman"/>
          <w:sz w:val="24"/>
          <w:szCs w:val="24"/>
          <w:lang w:val="uk-UA"/>
        </w:rPr>
        <w:t>У порядку відступу від п</w:t>
      </w:r>
      <w:r w:rsidR="007F3516" w:rsidRPr="00BE1959">
        <w:rPr>
          <w:rFonts w:ascii="Times New Roman" w:eastAsia="Times New Roman" w:hAnsi="Times New Roman" w:cs="Times New Roman"/>
          <w:sz w:val="24"/>
          <w:szCs w:val="24"/>
          <w:lang w:val="uk-UA"/>
        </w:rPr>
        <w:t>. 1 держави-члени видають дозвіл операторові ринку на управління БТМ або ОТМ за умови попередньої перевірки дотримання ним цієї глави.</w:t>
      </w:r>
    </w:p>
    <w:p w:rsidR="005613AB" w:rsidRPr="00BE1959" w:rsidRDefault="005613AB" w:rsidP="007F3516">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3.   </w:t>
      </w:r>
      <w:r w:rsidR="001F5C90" w:rsidRPr="00BE1959">
        <w:rPr>
          <w:rFonts w:ascii="Times New Roman" w:eastAsia="Times New Roman" w:hAnsi="Times New Roman" w:cs="Times New Roman"/>
          <w:sz w:val="24"/>
          <w:szCs w:val="24"/>
          <w:lang w:val="uk-UA"/>
        </w:rPr>
        <w:t>Держави-члени</w:t>
      </w:r>
      <w:r w:rsidRPr="00BE1959">
        <w:rPr>
          <w:rFonts w:ascii="Times New Roman" w:eastAsia="Times New Roman" w:hAnsi="Times New Roman" w:cs="Times New Roman"/>
          <w:sz w:val="24"/>
          <w:szCs w:val="24"/>
          <w:lang w:val="uk-UA"/>
        </w:rPr>
        <w:t xml:space="preserve"> </w:t>
      </w:r>
      <w:r w:rsidR="007F3516" w:rsidRPr="00BE1959">
        <w:rPr>
          <w:rFonts w:ascii="Times New Roman" w:eastAsia="Times New Roman" w:hAnsi="Times New Roman" w:cs="Times New Roman"/>
          <w:sz w:val="24"/>
          <w:szCs w:val="24"/>
          <w:lang w:val="uk-UA"/>
        </w:rPr>
        <w:t xml:space="preserve">реєструють усі інвестиційні фірми. Цей реєстр є загальнодоступним і містить інформацію про послуги та види діяльності, на які у інвестиційної фірми є дозвіл. Реєстр оновлюється на регулярній основі. </w:t>
      </w:r>
      <w:r w:rsidR="00B93F14" w:rsidRPr="00BE1959">
        <w:rPr>
          <w:rFonts w:ascii="Times New Roman" w:eastAsia="Times New Roman" w:hAnsi="Times New Roman" w:cs="Times New Roman"/>
          <w:sz w:val="24"/>
          <w:szCs w:val="24"/>
          <w:lang w:val="uk-UA"/>
        </w:rPr>
        <w:t>Інформація про кожний дозвіл доводиться до відома ESMA.</w:t>
      </w:r>
    </w:p>
    <w:p w:rsidR="005613AB" w:rsidRPr="00BE1959" w:rsidRDefault="005613AB" w:rsidP="00481ED8">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ESMA </w:t>
      </w:r>
      <w:r w:rsidR="007F3516" w:rsidRPr="00BE1959">
        <w:rPr>
          <w:rFonts w:ascii="Times New Roman" w:eastAsia="Times New Roman" w:hAnsi="Times New Roman" w:cs="Times New Roman"/>
          <w:sz w:val="24"/>
          <w:szCs w:val="24"/>
          <w:lang w:val="uk-UA"/>
        </w:rPr>
        <w:t xml:space="preserve">складає перелік усіх інвестиційних фірм у Союзі. Цей перелік містить інформацію про послуги чи види діяльності, на які </w:t>
      </w:r>
      <w:r w:rsidR="00481ED8" w:rsidRPr="00BE1959">
        <w:rPr>
          <w:rFonts w:ascii="Times New Roman" w:eastAsia="Times New Roman" w:hAnsi="Times New Roman" w:cs="Times New Roman"/>
          <w:sz w:val="24"/>
          <w:szCs w:val="24"/>
          <w:lang w:val="uk-UA"/>
        </w:rPr>
        <w:t>у кожної інвестиційної фірми є дозвіл, і регулярно оновлюється. ESMA публікує цей перелік на своєму веб-сайті і постійно актуалізує його.</w:t>
      </w:r>
    </w:p>
    <w:p w:rsidR="005613AB" w:rsidRPr="00BE1959" w:rsidRDefault="00481ED8" w:rsidP="00B63B35">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lastRenderedPageBreak/>
        <w:t xml:space="preserve">Якщо </w:t>
      </w:r>
      <w:r w:rsidR="00B63B35" w:rsidRPr="00BE1959">
        <w:rPr>
          <w:rFonts w:ascii="Times New Roman" w:eastAsia="Times New Roman" w:hAnsi="Times New Roman" w:cs="Times New Roman"/>
          <w:sz w:val="24"/>
          <w:szCs w:val="24"/>
          <w:lang w:val="uk-UA"/>
        </w:rPr>
        <w:t>компетентний орган відкликав дозвіл відповідно до пп.</w:t>
      </w:r>
      <w:r w:rsidR="005613AB" w:rsidRPr="00BE1959">
        <w:rPr>
          <w:rFonts w:ascii="Times New Roman" w:eastAsia="Times New Roman" w:hAnsi="Times New Roman" w:cs="Times New Roman"/>
          <w:sz w:val="24"/>
          <w:szCs w:val="24"/>
          <w:lang w:val="uk-UA"/>
        </w:rPr>
        <w:t xml:space="preserve"> (b), (c) </w:t>
      </w:r>
      <w:r w:rsidR="00B63B35" w:rsidRPr="00BE1959">
        <w:rPr>
          <w:rFonts w:ascii="Times New Roman" w:eastAsia="Times New Roman" w:hAnsi="Times New Roman" w:cs="Times New Roman"/>
          <w:sz w:val="24"/>
          <w:szCs w:val="24"/>
          <w:lang w:val="uk-UA"/>
        </w:rPr>
        <w:t xml:space="preserve">і </w:t>
      </w:r>
      <w:r w:rsidR="005613AB" w:rsidRPr="00BE1959">
        <w:rPr>
          <w:rFonts w:ascii="Times New Roman" w:eastAsia="Times New Roman" w:hAnsi="Times New Roman" w:cs="Times New Roman"/>
          <w:sz w:val="24"/>
          <w:szCs w:val="24"/>
          <w:lang w:val="uk-UA"/>
        </w:rPr>
        <w:t xml:space="preserve">(d) </w:t>
      </w:r>
      <w:r w:rsidR="0065313E" w:rsidRPr="00BE1959">
        <w:rPr>
          <w:rFonts w:ascii="Times New Roman" w:eastAsia="Times New Roman" w:hAnsi="Times New Roman" w:cs="Times New Roman"/>
          <w:sz w:val="24"/>
          <w:szCs w:val="24"/>
          <w:lang w:val="uk-UA"/>
        </w:rPr>
        <w:t>статті</w:t>
      </w:r>
      <w:r w:rsidR="005613AB" w:rsidRPr="00BE1959">
        <w:rPr>
          <w:rFonts w:ascii="Times New Roman" w:eastAsia="Times New Roman" w:hAnsi="Times New Roman" w:cs="Times New Roman"/>
          <w:sz w:val="24"/>
          <w:szCs w:val="24"/>
          <w:lang w:val="uk-UA"/>
        </w:rPr>
        <w:t xml:space="preserve"> 8, </w:t>
      </w:r>
      <w:r w:rsidR="00B63B35" w:rsidRPr="00BE1959">
        <w:rPr>
          <w:rFonts w:ascii="Times New Roman" w:eastAsia="Times New Roman" w:hAnsi="Times New Roman" w:cs="Times New Roman"/>
          <w:sz w:val="24"/>
          <w:szCs w:val="24"/>
          <w:lang w:val="uk-UA"/>
        </w:rPr>
        <w:t>то інформація про відкликання публікується у вищезгаданому переліку впродовж п’яти років.</w:t>
      </w:r>
    </w:p>
    <w:p w:rsidR="005613AB" w:rsidRPr="00BE1959" w:rsidRDefault="005613AB" w:rsidP="00B63B35">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4.   </w:t>
      </w:r>
      <w:r w:rsidR="00B63B35" w:rsidRPr="00BE1959">
        <w:rPr>
          <w:rFonts w:ascii="Times New Roman" w:eastAsia="Times New Roman" w:hAnsi="Times New Roman" w:cs="Times New Roman"/>
          <w:sz w:val="24"/>
          <w:szCs w:val="24"/>
          <w:lang w:val="uk-UA"/>
        </w:rPr>
        <w:t>Кожна держава-член вимагає, щоб:</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9093"/>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AC26C5" w:rsidP="006505D1">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будь-яка інвестиційна фірма, що є юридичною особою, мала свою головну контору в тій самій державі-члені, де розташована її зареєстрована контора;</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DE3173"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6505D1" w:rsidP="006505D1">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будь-яка інвестиційна фірма, що не є юридичною особою, та будь-яка інвестиційна фірма, що є юридичною особою, але за національним законодавством не має зареєстрованої контори, мала свою головну контору в тій державі-члені, де вона фактично веде свою діяльність.</w:t>
            </w:r>
          </w:p>
        </w:tc>
      </w:tr>
    </w:tbl>
    <w:p w:rsidR="005613AB" w:rsidRPr="00BE1959" w:rsidRDefault="00162A11" w:rsidP="005613AB">
      <w:pPr>
        <w:spacing w:before="360" w:after="120" w:line="312" w:lineRule="atLeast"/>
        <w:jc w:val="center"/>
        <w:textAlignment w:val="baseline"/>
        <w:rPr>
          <w:rFonts w:ascii="Times New Roman" w:eastAsia="Times New Roman" w:hAnsi="Times New Roman" w:cs="Times New Roman"/>
          <w:i/>
          <w:iCs/>
          <w:sz w:val="24"/>
          <w:szCs w:val="24"/>
          <w:lang w:val="uk-UA"/>
        </w:rPr>
      </w:pPr>
      <w:r w:rsidRPr="00BE1959">
        <w:rPr>
          <w:rFonts w:ascii="Times New Roman" w:eastAsia="Times New Roman" w:hAnsi="Times New Roman" w:cs="Times New Roman"/>
          <w:i/>
          <w:iCs/>
          <w:sz w:val="24"/>
          <w:szCs w:val="24"/>
          <w:lang w:val="uk-UA"/>
        </w:rPr>
        <w:t>Стаття</w:t>
      </w:r>
      <w:r w:rsidR="005613AB" w:rsidRPr="00BE1959">
        <w:rPr>
          <w:rFonts w:ascii="Times New Roman" w:eastAsia="Times New Roman" w:hAnsi="Times New Roman" w:cs="Times New Roman"/>
          <w:i/>
          <w:iCs/>
          <w:sz w:val="24"/>
          <w:szCs w:val="24"/>
          <w:lang w:val="uk-UA"/>
        </w:rPr>
        <w:t xml:space="preserve"> 6</w:t>
      </w:r>
    </w:p>
    <w:p w:rsidR="005613AB" w:rsidRPr="00BE1959" w:rsidRDefault="00D060A7" w:rsidP="005613AB">
      <w:pPr>
        <w:spacing w:before="60" w:after="120" w:line="312" w:lineRule="atLeast"/>
        <w:jc w:val="center"/>
        <w:textAlignment w:val="baseline"/>
        <w:rPr>
          <w:rFonts w:ascii="Times New Roman" w:eastAsia="Times New Roman" w:hAnsi="Times New Roman" w:cs="Times New Roman"/>
          <w:b/>
          <w:bCs/>
          <w:sz w:val="24"/>
          <w:szCs w:val="24"/>
          <w:lang w:val="uk-UA"/>
        </w:rPr>
      </w:pPr>
      <w:r w:rsidRPr="00BE1959">
        <w:rPr>
          <w:rFonts w:ascii="Times New Roman" w:eastAsia="Times New Roman" w:hAnsi="Times New Roman" w:cs="Times New Roman"/>
          <w:b/>
          <w:bCs/>
          <w:sz w:val="24"/>
          <w:szCs w:val="24"/>
          <w:lang w:val="uk-UA"/>
        </w:rPr>
        <w:t>Сфера дії дозволу</w:t>
      </w:r>
    </w:p>
    <w:p w:rsidR="005613AB" w:rsidRPr="00BE1959" w:rsidRDefault="005613AB" w:rsidP="00B30EE1">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1.   </w:t>
      </w:r>
      <w:r w:rsidR="00D060A7" w:rsidRPr="00BE1959">
        <w:rPr>
          <w:rFonts w:ascii="Times New Roman" w:eastAsia="Times New Roman" w:hAnsi="Times New Roman" w:cs="Times New Roman"/>
          <w:sz w:val="24"/>
          <w:szCs w:val="24"/>
          <w:lang w:val="uk-UA"/>
        </w:rPr>
        <w:t xml:space="preserve">Держава-член походження забезпечує, щоб у дозволі були зазначені інвестиційні послуги або види інвестиційної діяльності, які інвестиційній фірмі дозволено надавати або вести. Дозвіл може охоплювати одну або декілька з додаткових послуг, зазначених у розділі В Додатку І. Дозвіл у жодному разі не видається виключно для надання </w:t>
      </w:r>
      <w:r w:rsidR="00B30EE1" w:rsidRPr="00BE1959">
        <w:rPr>
          <w:rFonts w:ascii="Times New Roman" w:eastAsia="Times New Roman" w:hAnsi="Times New Roman" w:cs="Times New Roman"/>
          <w:sz w:val="24"/>
          <w:szCs w:val="24"/>
          <w:lang w:val="uk-UA"/>
        </w:rPr>
        <w:t>додаткових послуг.</w:t>
      </w:r>
    </w:p>
    <w:p w:rsidR="005613AB" w:rsidRPr="00BE1959" w:rsidRDefault="005613AB" w:rsidP="00B30EE1">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2.   </w:t>
      </w:r>
      <w:r w:rsidR="00B30EE1" w:rsidRPr="00BE1959">
        <w:rPr>
          <w:rFonts w:ascii="Times New Roman" w:eastAsia="Times New Roman" w:hAnsi="Times New Roman" w:cs="Times New Roman"/>
          <w:sz w:val="24"/>
          <w:szCs w:val="24"/>
          <w:lang w:val="uk-UA"/>
        </w:rPr>
        <w:t>Інвестиційна фірма, що звернулася за дозволом на розширення своєї діяльності іншими інвестиційними послугами або видами діяльності чи додатковими послугами, не передбаченими на момент видачі первинного дозволу, подає заявку на розширення сфери дозволу.</w:t>
      </w:r>
    </w:p>
    <w:p w:rsidR="005613AB" w:rsidRPr="00BE1959" w:rsidRDefault="005613AB" w:rsidP="0077502F">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3.   </w:t>
      </w:r>
      <w:r w:rsidR="00B30EE1" w:rsidRPr="00BE1959">
        <w:rPr>
          <w:rFonts w:ascii="Times New Roman" w:eastAsia="Times New Roman" w:hAnsi="Times New Roman" w:cs="Times New Roman"/>
          <w:sz w:val="24"/>
          <w:szCs w:val="24"/>
          <w:lang w:val="uk-UA"/>
        </w:rPr>
        <w:t>Дозвіл діє на всій території Союзу й дозволяє інвестиційній фірмі надавати послуги або вести види діяльності, які охоплює виданий дозвіл, на всій території Союзу</w:t>
      </w:r>
      <w:r w:rsidR="0077502F" w:rsidRPr="00BE1959">
        <w:rPr>
          <w:rFonts w:ascii="Times New Roman" w:eastAsia="Times New Roman" w:hAnsi="Times New Roman" w:cs="Times New Roman"/>
          <w:sz w:val="24"/>
          <w:szCs w:val="24"/>
          <w:lang w:val="uk-UA"/>
        </w:rPr>
        <w:t xml:space="preserve"> або на основі права на створення підприємств, зокрема через філію, або на основі свободи надання послуг.</w:t>
      </w:r>
    </w:p>
    <w:p w:rsidR="005613AB" w:rsidRPr="00BE1959" w:rsidRDefault="00162A11" w:rsidP="005613AB">
      <w:pPr>
        <w:spacing w:before="360" w:after="120" w:line="312" w:lineRule="atLeast"/>
        <w:jc w:val="center"/>
        <w:textAlignment w:val="baseline"/>
        <w:rPr>
          <w:rFonts w:ascii="Times New Roman" w:eastAsia="Times New Roman" w:hAnsi="Times New Roman" w:cs="Times New Roman"/>
          <w:i/>
          <w:iCs/>
          <w:sz w:val="24"/>
          <w:szCs w:val="24"/>
          <w:lang w:val="uk-UA"/>
        </w:rPr>
      </w:pPr>
      <w:r w:rsidRPr="00BE1959">
        <w:rPr>
          <w:rFonts w:ascii="Times New Roman" w:eastAsia="Times New Roman" w:hAnsi="Times New Roman" w:cs="Times New Roman"/>
          <w:i/>
          <w:iCs/>
          <w:sz w:val="24"/>
          <w:szCs w:val="24"/>
          <w:lang w:val="uk-UA"/>
        </w:rPr>
        <w:t>Стаття</w:t>
      </w:r>
      <w:r w:rsidR="005613AB" w:rsidRPr="00BE1959">
        <w:rPr>
          <w:rFonts w:ascii="Times New Roman" w:eastAsia="Times New Roman" w:hAnsi="Times New Roman" w:cs="Times New Roman"/>
          <w:i/>
          <w:iCs/>
          <w:sz w:val="24"/>
          <w:szCs w:val="24"/>
          <w:lang w:val="uk-UA"/>
        </w:rPr>
        <w:t xml:space="preserve"> 7</w:t>
      </w:r>
    </w:p>
    <w:p w:rsidR="005613AB" w:rsidRPr="00BE1959" w:rsidRDefault="000B6E8A" w:rsidP="000B6E8A">
      <w:pPr>
        <w:spacing w:before="60" w:after="120" w:line="312" w:lineRule="atLeast"/>
        <w:jc w:val="center"/>
        <w:textAlignment w:val="baseline"/>
        <w:rPr>
          <w:rFonts w:ascii="Times New Roman" w:eastAsia="Times New Roman" w:hAnsi="Times New Roman" w:cs="Times New Roman"/>
          <w:b/>
          <w:bCs/>
          <w:sz w:val="24"/>
          <w:szCs w:val="24"/>
          <w:lang w:val="uk-UA"/>
        </w:rPr>
      </w:pPr>
      <w:r w:rsidRPr="00BE1959">
        <w:rPr>
          <w:rFonts w:ascii="Times New Roman" w:eastAsia="Times New Roman" w:hAnsi="Times New Roman" w:cs="Times New Roman"/>
          <w:b/>
          <w:bCs/>
          <w:sz w:val="24"/>
          <w:szCs w:val="24"/>
          <w:lang w:val="uk-UA"/>
        </w:rPr>
        <w:t>Процедури видачі дозволів і відхилення заявок на дозволи</w:t>
      </w:r>
    </w:p>
    <w:p w:rsidR="005613AB" w:rsidRPr="00BE1959" w:rsidRDefault="005613AB" w:rsidP="00AF288E">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1.   </w:t>
      </w:r>
      <w:r w:rsidR="00AF288E" w:rsidRPr="00BE1959">
        <w:rPr>
          <w:rFonts w:ascii="Times New Roman" w:eastAsia="Times New Roman" w:hAnsi="Times New Roman" w:cs="Times New Roman"/>
          <w:sz w:val="24"/>
          <w:szCs w:val="24"/>
          <w:lang w:val="uk-UA"/>
        </w:rPr>
        <w:t>Компетентний орган</w:t>
      </w:r>
      <w:r w:rsidRPr="00BE1959">
        <w:rPr>
          <w:rFonts w:ascii="Times New Roman" w:eastAsia="Times New Roman" w:hAnsi="Times New Roman" w:cs="Times New Roman"/>
          <w:sz w:val="24"/>
          <w:szCs w:val="24"/>
          <w:lang w:val="uk-UA"/>
        </w:rPr>
        <w:t xml:space="preserve"> </w:t>
      </w:r>
      <w:r w:rsidR="00AF288E" w:rsidRPr="00BE1959">
        <w:rPr>
          <w:rFonts w:ascii="Times New Roman" w:eastAsia="Times New Roman" w:hAnsi="Times New Roman" w:cs="Times New Roman"/>
          <w:sz w:val="24"/>
          <w:szCs w:val="24"/>
          <w:lang w:val="uk-UA"/>
        </w:rPr>
        <w:t>не видає дозвіл</w:t>
      </w:r>
      <w:r w:rsidR="00D248BA" w:rsidRPr="00BE1959">
        <w:rPr>
          <w:rFonts w:ascii="Times New Roman" w:eastAsia="Times New Roman" w:hAnsi="Times New Roman" w:cs="Times New Roman"/>
          <w:sz w:val="24"/>
          <w:szCs w:val="24"/>
          <w:lang w:val="uk-UA"/>
        </w:rPr>
        <w:t>, поки не переконається повністю</w:t>
      </w:r>
      <w:r w:rsidR="00AF288E" w:rsidRPr="00BE1959">
        <w:rPr>
          <w:rFonts w:ascii="Times New Roman" w:eastAsia="Times New Roman" w:hAnsi="Times New Roman" w:cs="Times New Roman"/>
          <w:sz w:val="24"/>
          <w:szCs w:val="24"/>
          <w:lang w:val="uk-UA"/>
        </w:rPr>
        <w:t xml:space="preserve"> в тому, що заявник відповідає всім вимогам, установленим положеннями, прийнятими на виконання цієї директиви.</w:t>
      </w:r>
    </w:p>
    <w:p w:rsidR="005613AB" w:rsidRPr="00BE1959" w:rsidRDefault="005613AB" w:rsidP="00B06E1F">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2.   </w:t>
      </w:r>
      <w:r w:rsidR="00D248BA" w:rsidRPr="00BE1959">
        <w:rPr>
          <w:rFonts w:ascii="Times New Roman" w:eastAsia="Times New Roman" w:hAnsi="Times New Roman" w:cs="Times New Roman"/>
          <w:sz w:val="24"/>
          <w:szCs w:val="24"/>
          <w:lang w:val="uk-UA"/>
        </w:rPr>
        <w:t>Інвестиційна фірма</w:t>
      </w:r>
      <w:r w:rsidRPr="00BE1959">
        <w:rPr>
          <w:rFonts w:ascii="Times New Roman" w:eastAsia="Times New Roman" w:hAnsi="Times New Roman" w:cs="Times New Roman"/>
          <w:sz w:val="24"/>
          <w:szCs w:val="24"/>
          <w:lang w:val="uk-UA"/>
        </w:rPr>
        <w:t xml:space="preserve"> </w:t>
      </w:r>
      <w:r w:rsidR="00D248BA" w:rsidRPr="00BE1959">
        <w:rPr>
          <w:rFonts w:ascii="Times New Roman" w:eastAsia="Times New Roman" w:hAnsi="Times New Roman" w:cs="Times New Roman"/>
          <w:sz w:val="24"/>
          <w:szCs w:val="24"/>
          <w:lang w:val="uk-UA"/>
        </w:rPr>
        <w:t>надає всю інформацію, зокрема програму діяльності, з зазначенням, серед іншого, передбачених видів діяльності та організаційної структури, необхідну для того, щоб компетентний орган переконався, що дана інвестиційн</w:t>
      </w:r>
      <w:r w:rsidR="00B06E1F" w:rsidRPr="00BE1959">
        <w:rPr>
          <w:rFonts w:ascii="Times New Roman" w:eastAsia="Times New Roman" w:hAnsi="Times New Roman" w:cs="Times New Roman"/>
          <w:sz w:val="24"/>
          <w:szCs w:val="24"/>
          <w:lang w:val="uk-UA"/>
        </w:rPr>
        <w:t xml:space="preserve">а фірма </w:t>
      </w:r>
      <w:r w:rsidR="00B06E1F" w:rsidRPr="00BE1959">
        <w:rPr>
          <w:rFonts w:ascii="Times New Roman" w:eastAsia="Times New Roman" w:hAnsi="Times New Roman" w:cs="Times New Roman"/>
          <w:sz w:val="24"/>
          <w:szCs w:val="24"/>
          <w:lang w:val="uk-UA"/>
        </w:rPr>
        <w:lastRenderedPageBreak/>
        <w:t>створила, станом на момент видачі первинного дозволу, всі необхідні умови для виконання нею своїх зобов’язань, викладених у цій главі директиви.</w:t>
      </w:r>
    </w:p>
    <w:p w:rsidR="004D09CF"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3.   </w:t>
      </w:r>
      <w:r w:rsidR="004D09CF" w:rsidRPr="00BE1959">
        <w:rPr>
          <w:rFonts w:ascii="Times New Roman" w:eastAsia="Times New Roman" w:hAnsi="Times New Roman" w:cs="Times New Roman"/>
          <w:sz w:val="24"/>
          <w:szCs w:val="24"/>
          <w:lang w:val="uk-UA"/>
        </w:rPr>
        <w:t>Упродовж шести місяців з дня подачі повної заявки заявника повідомляють про видачу чи невидачу дозволу.</w:t>
      </w:r>
    </w:p>
    <w:p w:rsidR="005613AB" w:rsidRPr="00BE1959" w:rsidRDefault="005613AB" w:rsidP="004D09CF">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4.   </w:t>
      </w:r>
      <w:r w:rsidR="00F3240E" w:rsidRPr="00BE1959">
        <w:rPr>
          <w:rFonts w:ascii="Times New Roman" w:eastAsia="Times New Roman" w:hAnsi="Times New Roman" w:cs="Times New Roman"/>
          <w:sz w:val="24"/>
          <w:szCs w:val="24"/>
          <w:lang w:val="uk-UA"/>
        </w:rPr>
        <w:t>ESMA розробляє проекти нормативно-технічних стандартів, де зазначається наступне:</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9093"/>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D83B0C" w:rsidP="00D83B0C">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інформація, що має бути надана компетентним органам згідно з п. 2 цієї статті, зокрема програма діяльності;</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5613AB" w:rsidRPr="00BE1959"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D83B0C" w:rsidP="00D83B0C">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вимоги, застосовні до управління інвестиційними фірмами згідно з статтею 9(6), та інформація щодо повідомлень згідно з статтею 9(5);</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9093"/>
      </w:tblGrid>
      <w:tr w:rsidR="00DE3173" w:rsidRPr="00BE1959"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0B5788" w:rsidP="000B5788">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вимоги, застосовні до акціонерів і членів з кваліфікованими частками участі, а також перешкоди, які можуть заважати ефективному виконанню наглядових функцій компетентного органу, згідно зі статтею 10(1) і (2).</w:t>
            </w:r>
          </w:p>
        </w:tc>
      </w:tr>
    </w:tbl>
    <w:p w:rsidR="00A43C60" w:rsidRPr="00BE1959" w:rsidRDefault="00A43C60" w:rsidP="00A43C60">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ESMA подає проекти цих нормативно-технічних стандартів Комісії до 3 липня 2015 року.</w:t>
      </w:r>
    </w:p>
    <w:p w:rsidR="00A43C60" w:rsidRPr="00BE1959" w:rsidRDefault="00A43C60" w:rsidP="00A43C60">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Комісії </w:t>
      </w:r>
      <w:r w:rsidR="005B75EA" w:rsidRPr="00BE1959">
        <w:rPr>
          <w:rFonts w:ascii="Times New Roman" w:eastAsia="Times New Roman" w:hAnsi="Times New Roman" w:cs="Times New Roman"/>
          <w:sz w:val="24"/>
          <w:szCs w:val="24"/>
          <w:lang w:val="uk-UA"/>
        </w:rPr>
        <w:t>делегується</w:t>
      </w:r>
      <w:r w:rsidRPr="00BE1959">
        <w:rPr>
          <w:rFonts w:ascii="Times New Roman" w:eastAsia="Times New Roman" w:hAnsi="Times New Roman" w:cs="Times New Roman"/>
          <w:sz w:val="24"/>
          <w:szCs w:val="24"/>
          <w:lang w:val="uk-UA"/>
        </w:rPr>
        <w:t xml:space="preserve"> повноваження на прийняття нормативно-технічних стандартів, згаданих у першому абзаці</w:t>
      </w:r>
      <w:r w:rsidR="00F3240E" w:rsidRPr="00BE1959">
        <w:rPr>
          <w:rFonts w:ascii="Times New Roman" w:eastAsia="Times New Roman" w:hAnsi="Times New Roman" w:cs="Times New Roman"/>
          <w:sz w:val="24"/>
          <w:szCs w:val="24"/>
          <w:lang w:val="uk-UA"/>
        </w:rPr>
        <w:t xml:space="preserve"> цього пункту</w:t>
      </w:r>
      <w:r w:rsidRPr="00BE1959">
        <w:rPr>
          <w:rFonts w:ascii="Times New Roman" w:eastAsia="Times New Roman" w:hAnsi="Times New Roman" w:cs="Times New Roman"/>
          <w:sz w:val="24"/>
          <w:szCs w:val="24"/>
          <w:lang w:val="uk-UA"/>
        </w:rPr>
        <w:t>, згідно зі статтями 10-14 Регламенту (EU) № 1095/2010.</w:t>
      </w:r>
    </w:p>
    <w:p w:rsidR="004710FF" w:rsidRPr="00BE1959" w:rsidRDefault="004710FF" w:rsidP="004710FF">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5.   ESMA розробляє проекти  виконавчих технічних стандартів, де визначаються типові форми, шаблони та процедури повідомлення чи надання інформації, передбаченої у п. 2 цієї статті та у статті 9(5).</w:t>
      </w:r>
    </w:p>
    <w:p w:rsidR="004710FF" w:rsidRPr="00BE1959" w:rsidRDefault="004710FF" w:rsidP="004710FF">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ESMA подає проекти цих  виконавчих технічних стандартів Комісії до 3 січня 2016 року.</w:t>
      </w:r>
    </w:p>
    <w:p w:rsidR="00A8432C" w:rsidRPr="00BE1959" w:rsidRDefault="004710FF" w:rsidP="004710FF">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Комісії </w:t>
      </w:r>
      <w:r w:rsidR="005B75EA" w:rsidRPr="00BE1959">
        <w:rPr>
          <w:rFonts w:ascii="Times New Roman" w:eastAsia="Times New Roman" w:hAnsi="Times New Roman" w:cs="Times New Roman"/>
          <w:sz w:val="24"/>
          <w:szCs w:val="24"/>
          <w:lang w:val="uk-UA"/>
        </w:rPr>
        <w:t>делегується</w:t>
      </w:r>
      <w:r w:rsidRPr="00BE1959">
        <w:rPr>
          <w:rFonts w:ascii="Times New Roman" w:eastAsia="Times New Roman" w:hAnsi="Times New Roman" w:cs="Times New Roman"/>
          <w:sz w:val="24"/>
          <w:szCs w:val="24"/>
          <w:lang w:val="uk-UA"/>
        </w:rPr>
        <w:t xml:space="preserve"> повноваження на прийняття виконавчих стандартів, згаданих у першому абзаці цього пункту, згідно зі статтею 15 Регламенту (EU) № 1095/2010.</w:t>
      </w:r>
    </w:p>
    <w:p w:rsidR="005613AB" w:rsidRPr="00BE1959" w:rsidRDefault="00162A11" w:rsidP="005613AB">
      <w:pPr>
        <w:spacing w:before="360" w:after="120" w:line="312" w:lineRule="atLeast"/>
        <w:jc w:val="center"/>
        <w:textAlignment w:val="baseline"/>
        <w:rPr>
          <w:rFonts w:ascii="Times New Roman" w:eastAsia="Times New Roman" w:hAnsi="Times New Roman" w:cs="Times New Roman"/>
          <w:i/>
          <w:iCs/>
          <w:sz w:val="24"/>
          <w:szCs w:val="24"/>
          <w:lang w:val="uk-UA"/>
        </w:rPr>
      </w:pPr>
      <w:r w:rsidRPr="00BE1959">
        <w:rPr>
          <w:rFonts w:ascii="Times New Roman" w:eastAsia="Times New Roman" w:hAnsi="Times New Roman" w:cs="Times New Roman"/>
          <w:i/>
          <w:iCs/>
          <w:sz w:val="24"/>
          <w:szCs w:val="24"/>
          <w:lang w:val="uk-UA"/>
        </w:rPr>
        <w:t>Стаття</w:t>
      </w:r>
      <w:r w:rsidR="005613AB" w:rsidRPr="00BE1959">
        <w:rPr>
          <w:rFonts w:ascii="Times New Roman" w:eastAsia="Times New Roman" w:hAnsi="Times New Roman" w:cs="Times New Roman"/>
          <w:i/>
          <w:iCs/>
          <w:sz w:val="24"/>
          <w:szCs w:val="24"/>
          <w:lang w:val="uk-UA"/>
        </w:rPr>
        <w:t xml:space="preserve"> 8</w:t>
      </w:r>
    </w:p>
    <w:p w:rsidR="005613AB" w:rsidRPr="00BE1959" w:rsidRDefault="000B6E8A" w:rsidP="005613AB">
      <w:pPr>
        <w:spacing w:before="60" w:after="120" w:line="312" w:lineRule="atLeast"/>
        <w:jc w:val="center"/>
        <w:textAlignment w:val="baseline"/>
        <w:rPr>
          <w:rFonts w:ascii="Times New Roman" w:eastAsia="Times New Roman" w:hAnsi="Times New Roman" w:cs="Times New Roman"/>
          <w:b/>
          <w:bCs/>
          <w:sz w:val="24"/>
          <w:szCs w:val="24"/>
          <w:lang w:val="uk-UA"/>
        </w:rPr>
      </w:pPr>
      <w:r w:rsidRPr="00BE1959">
        <w:rPr>
          <w:rFonts w:ascii="Times New Roman" w:eastAsia="Times New Roman" w:hAnsi="Times New Roman" w:cs="Times New Roman"/>
          <w:b/>
          <w:bCs/>
          <w:sz w:val="24"/>
          <w:szCs w:val="24"/>
          <w:lang w:val="uk-UA"/>
        </w:rPr>
        <w:t>Відкликання дозволів</w:t>
      </w:r>
    </w:p>
    <w:p w:rsidR="005613AB" w:rsidRPr="00BE1959" w:rsidRDefault="001E74E1" w:rsidP="001E74E1">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Компетентний орган може відкликати дозвіл, виданий інвестиційній фірмі, якщо така інвестиційна фірма:</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9093"/>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1E74E1" w:rsidP="0084778E">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не використовує дозвіл упродовж 12 місяців, прямо відмовляється від дозволу або не надавала інвестиційні послуги чи не вела інвестиційну діяльність упродовж попередніх шести місяців, </w:t>
            </w:r>
            <w:r w:rsidR="00B107C1" w:rsidRPr="00BE1959">
              <w:rPr>
                <w:rFonts w:ascii="Times New Roman" w:eastAsia="Times New Roman" w:hAnsi="Times New Roman" w:cs="Times New Roman"/>
                <w:sz w:val="24"/>
                <w:szCs w:val="24"/>
                <w:lang w:val="uk-UA"/>
              </w:rPr>
              <w:t xml:space="preserve">якщо відповідна держава-член не передбачила для таких випадків </w:t>
            </w:r>
            <w:r w:rsidR="0084778E" w:rsidRPr="00BE1959">
              <w:rPr>
                <w:rFonts w:ascii="Times New Roman" w:eastAsia="Times New Roman" w:hAnsi="Times New Roman" w:cs="Times New Roman"/>
                <w:sz w:val="24"/>
                <w:szCs w:val="24"/>
                <w:lang w:val="uk-UA"/>
              </w:rPr>
              <w:t>втрату дозволом чинності;</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84778E" w:rsidP="00762A6D">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отримала </w:t>
            </w:r>
            <w:r w:rsidR="00762A6D" w:rsidRPr="00BE1959">
              <w:rPr>
                <w:rFonts w:ascii="Times New Roman" w:eastAsia="Times New Roman" w:hAnsi="Times New Roman" w:cs="Times New Roman"/>
                <w:sz w:val="24"/>
                <w:szCs w:val="24"/>
                <w:lang w:val="uk-UA"/>
              </w:rPr>
              <w:t>дозвіл шляхом надання неправдивих заяв або будь-якими іншими незаконними засобами;</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9093"/>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lastRenderedPageBreak/>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762A6D" w:rsidP="00762A6D">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вже не відповідає умовам, на яких був виданий дозвіл, зокрема не дотримується умов, викладених у </w:t>
            </w:r>
            <w:r w:rsidR="00270867" w:rsidRPr="00BE1959">
              <w:rPr>
                <w:rFonts w:ascii="Times New Roman" w:eastAsia="Times New Roman" w:hAnsi="Times New Roman" w:cs="Times New Roman"/>
                <w:sz w:val="24"/>
                <w:szCs w:val="24"/>
                <w:lang w:val="uk-UA"/>
              </w:rPr>
              <w:t>Регламенті</w:t>
            </w:r>
            <w:r w:rsidR="005613AB" w:rsidRPr="00BE1959">
              <w:rPr>
                <w:rFonts w:ascii="Times New Roman" w:eastAsia="Times New Roman" w:hAnsi="Times New Roman" w:cs="Times New Roman"/>
                <w:sz w:val="24"/>
                <w:szCs w:val="24"/>
                <w:lang w:val="uk-UA"/>
              </w:rPr>
              <w:t xml:space="preserve"> </w:t>
            </w:r>
            <w:r w:rsidR="00DB4825" w:rsidRPr="00BE1959">
              <w:rPr>
                <w:rFonts w:ascii="Times New Roman" w:eastAsia="Times New Roman" w:hAnsi="Times New Roman" w:cs="Times New Roman"/>
                <w:sz w:val="24"/>
                <w:szCs w:val="24"/>
                <w:lang w:val="uk-UA"/>
              </w:rPr>
              <w:t>(EU) №</w:t>
            </w:r>
            <w:r w:rsidR="005613AB" w:rsidRPr="00BE1959">
              <w:rPr>
                <w:rFonts w:ascii="Times New Roman" w:eastAsia="Times New Roman" w:hAnsi="Times New Roman" w:cs="Times New Roman"/>
                <w:sz w:val="24"/>
                <w:szCs w:val="24"/>
                <w:lang w:val="uk-UA"/>
              </w:rPr>
              <w:t> 575/2013;</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762A6D" w:rsidP="00762A6D">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серйозно і систематично порушувала положення, прийняті на виконання цієї директиви або Регламенту</w:t>
            </w:r>
            <w:r w:rsidR="005613AB" w:rsidRPr="00BE1959">
              <w:rPr>
                <w:rFonts w:ascii="Times New Roman" w:eastAsia="Times New Roman" w:hAnsi="Times New Roman" w:cs="Times New Roman"/>
                <w:sz w:val="24"/>
                <w:szCs w:val="24"/>
                <w:lang w:val="uk-UA"/>
              </w:rPr>
              <w:t xml:space="preserve"> </w:t>
            </w:r>
            <w:r w:rsidR="007B0149" w:rsidRPr="00BE1959">
              <w:rPr>
                <w:rFonts w:ascii="Times New Roman" w:eastAsia="Times New Roman" w:hAnsi="Times New Roman" w:cs="Times New Roman"/>
                <w:sz w:val="24"/>
                <w:szCs w:val="24"/>
                <w:lang w:val="uk-UA"/>
              </w:rPr>
              <w:t>(EU) № 600/2014</w:t>
            </w:r>
            <w:r w:rsidRPr="00BE1959">
              <w:rPr>
                <w:rFonts w:ascii="Times New Roman" w:eastAsia="Times New Roman" w:hAnsi="Times New Roman" w:cs="Times New Roman"/>
                <w:sz w:val="24"/>
                <w:szCs w:val="24"/>
                <w:lang w:val="uk-UA"/>
              </w:rPr>
              <w:t>, які регламентують умови діяльності інвестиційних фірм;</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9093"/>
      </w:tblGrid>
      <w:tr w:rsidR="00DE3173"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(e)</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FF3362" w:rsidP="00FF3362">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потрапляє у будь-яку з категорій випадків, у яких національним законодавством, стосовно питань, які виходять за рамки сфери дії цієї директиви, передбачено відкликання дозволу.</w:t>
            </w:r>
          </w:p>
        </w:tc>
      </w:tr>
    </w:tbl>
    <w:p w:rsidR="005613AB" w:rsidRPr="00BE1959" w:rsidRDefault="003741B2"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Інформація про кожний випадок відкликання дозволу доводиться до відома ESMA.</w:t>
      </w:r>
    </w:p>
    <w:p w:rsidR="005613AB" w:rsidRPr="00BE1959" w:rsidRDefault="00162A11" w:rsidP="005613AB">
      <w:pPr>
        <w:spacing w:before="360" w:after="120" w:line="312" w:lineRule="atLeast"/>
        <w:jc w:val="center"/>
        <w:textAlignment w:val="baseline"/>
        <w:rPr>
          <w:rFonts w:ascii="Times New Roman" w:eastAsia="Times New Roman" w:hAnsi="Times New Roman" w:cs="Times New Roman"/>
          <w:i/>
          <w:iCs/>
          <w:sz w:val="24"/>
          <w:szCs w:val="24"/>
          <w:lang w:val="uk-UA"/>
        </w:rPr>
      </w:pPr>
      <w:r w:rsidRPr="00BE1959">
        <w:rPr>
          <w:rFonts w:ascii="Times New Roman" w:eastAsia="Times New Roman" w:hAnsi="Times New Roman" w:cs="Times New Roman"/>
          <w:i/>
          <w:iCs/>
          <w:sz w:val="24"/>
          <w:szCs w:val="24"/>
          <w:lang w:val="uk-UA"/>
        </w:rPr>
        <w:t>Стаття</w:t>
      </w:r>
      <w:r w:rsidR="005613AB" w:rsidRPr="00BE1959">
        <w:rPr>
          <w:rFonts w:ascii="Times New Roman" w:eastAsia="Times New Roman" w:hAnsi="Times New Roman" w:cs="Times New Roman"/>
          <w:i/>
          <w:iCs/>
          <w:sz w:val="24"/>
          <w:szCs w:val="24"/>
          <w:lang w:val="uk-UA"/>
        </w:rPr>
        <w:t xml:space="preserve"> 9</w:t>
      </w:r>
    </w:p>
    <w:p w:rsidR="005613AB" w:rsidRPr="00BE1959" w:rsidRDefault="000B6E8A" w:rsidP="005613AB">
      <w:pPr>
        <w:spacing w:before="60" w:after="120" w:line="312" w:lineRule="atLeast"/>
        <w:jc w:val="center"/>
        <w:textAlignment w:val="baseline"/>
        <w:rPr>
          <w:rFonts w:ascii="Times New Roman" w:eastAsia="Times New Roman" w:hAnsi="Times New Roman" w:cs="Times New Roman"/>
          <w:b/>
          <w:bCs/>
          <w:sz w:val="24"/>
          <w:szCs w:val="24"/>
          <w:lang w:val="uk-UA"/>
        </w:rPr>
      </w:pPr>
      <w:r w:rsidRPr="00BE1959">
        <w:rPr>
          <w:rFonts w:ascii="Times New Roman" w:eastAsia="Times New Roman" w:hAnsi="Times New Roman" w:cs="Times New Roman"/>
          <w:b/>
          <w:bCs/>
          <w:sz w:val="24"/>
          <w:szCs w:val="24"/>
          <w:lang w:val="uk-UA"/>
        </w:rPr>
        <w:t>Керівний орган</w:t>
      </w:r>
    </w:p>
    <w:p w:rsidR="005613AB" w:rsidRPr="00BE1959" w:rsidRDefault="005613AB" w:rsidP="00225204">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1.   </w:t>
      </w:r>
      <w:r w:rsidR="00225204" w:rsidRPr="00BE1959">
        <w:rPr>
          <w:rFonts w:ascii="Times New Roman" w:eastAsia="Times New Roman" w:hAnsi="Times New Roman" w:cs="Times New Roman"/>
          <w:sz w:val="24"/>
          <w:szCs w:val="24"/>
          <w:lang w:val="uk-UA"/>
        </w:rPr>
        <w:t xml:space="preserve">Компетентні органи, що видають дозвіл відповідно до статті 5, забезпечують, щоб інвестиційні фірми та їхні керівні органи дотримувалися статей 88 і 91 </w:t>
      </w:r>
      <w:r w:rsidR="00016E03" w:rsidRPr="00BE1959">
        <w:rPr>
          <w:rFonts w:ascii="Times New Roman" w:eastAsia="Times New Roman" w:hAnsi="Times New Roman" w:cs="Times New Roman"/>
          <w:sz w:val="24"/>
          <w:szCs w:val="24"/>
          <w:lang w:val="uk-UA"/>
        </w:rPr>
        <w:t>Директиви</w:t>
      </w:r>
      <w:r w:rsidRPr="00BE1959">
        <w:rPr>
          <w:rFonts w:ascii="Times New Roman" w:eastAsia="Times New Roman" w:hAnsi="Times New Roman" w:cs="Times New Roman"/>
          <w:sz w:val="24"/>
          <w:szCs w:val="24"/>
          <w:lang w:val="uk-UA"/>
        </w:rPr>
        <w:t xml:space="preserve"> 2013/36/EU.</w:t>
      </w:r>
    </w:p>
    <w:p w:rsidR="005613AB" w:rsidRPr="00BE1959" w:rsidRDefault="005613AB" w:rsidP="00225204">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ESMA </w:t>
      </w:r>
      <w:r w:rsidR="00225204" w:rsidRPr="00BE1959">
        <w:rPr>
          <w:rFonts w:ascii="Times New Roman" w:eastAsia="Times New Roman" w:hAnsi="Times New Roman" w:cs="Times New Roman"/>
          <w:sz w:val="24"/>
          <w:szCs w:val="24"/>
          <w:lang w:val="uk-UA"/>
        </w:rPr>
        <w:t>і</w:t>
      </w:r>
      <w:r w:rsidRPr="00BE1959">
        <w:rPr>
          <w:rFonts w:ascii="Times New Roman" w:eastAsia="Times New Roman" w:hAnsi="Times New Roman" w:cs="Times New Roman"/>
          <w:sz w:val="24"/>
          <w:szCs w:val="24"/>
          <w:lang w:val="uk-UA"/>
        </w:rPr>
        <w:t xml:space="preserve"> EBA </w:t>
      </w:r>
      <w:r w:rsidR="00225204" w:rsidRPr="00BE1959">
        <w:rPr>
          <w:rFonts w:ascii="Times New Roman" w:eastAsia="Times New Roman" w:hAnsi="Times New Roman" w:cs="Times New Roman"/>
          <w:sz w:val="24"/>
          <w:szCs w:val="24"/>
          <w:lang w:val="uk-UA"/>
        </w:rPr>
        <w:t xml:space="preserve">спільно приймають керівні принципи щодо елементів, перерахованих </w:t>
      </w:r>
      <w:r w:rsidR="005E1C03" w:rsidRPr="00BE1959">
        <w:rPr>
          <w:rFonts w:ascii="Times New Roman" w:eastAsia="Times New Roman" w:hAnsi="Times New Roman" w:cs="Times New Roman"/>
          <w:sz w:val="24"/>
          <w:szCs w:val="24"/>
          <w:lang w:val="uk-UA"/>
        </w:rPr>
        <w:t>у статті</w:t>
      </w:r>
      <w:r w:rsidRPr="00BE1959">
        <w:rPr>
          <w:rFonts w:ascii="Times New Roman" w:eastAsia="Times New Roman" w:hAnsi="Times New Roman" w:cs="Times New Roman"/>
          <w:sz w:val="24"/>
          <w:szCs w:val="24"/>
          <w:lang w:val="uk-UA"/>
        </w:rPr>
        <w:t xml:space="preserve"> 91(12) </w:t>
      </w:r>
      <w:r w:rsidR="00016E03" w:rsidRPr="00BE1959">
        <w:rPr>
          <w:rFonts w:ascii="Times New Roman" w:eastAsia="Times New Roman" w:hAnsi="Times New Roman" w:cs="Times New Roman"/>
          <w:sz w:val="24"/>
          <w:szCs w:val="24"/>
          <w:lang w:val="uk-UA"/>
        </w:rPr>
        <w:t>Директиви</w:t>
      </w:r>
      <w:r w:rsidRPr="00BE1959">
        <w:rPr>
          <w:rFonts w:ascii="Times New Roman" w:eastAsia="Times New Roman" w:hAnsi="Times New Roman" w:cs="Times New Roman"/>
          <w:sz w:val="24"/>
          <w:szCs w:val="24"/>
          <w:lang w:val="uk-UA"/>
        </w:rPr>
        <w:t xml:space="preserve"> 2013/36/EU.</w:t>
      </w:r>
    </w:p>
    <w:p w:rsidR="005613AB" w:rsidRPr="00BE1959" w:rsidRDefault="005613AB" w:rsidP="00B61A2C">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2.   </w:t>
      </w:r>
      <w:r w:rsidR="00225204" w:rsidRPr="00BE1959">
        <w:rPr>
          <w:rFonts w:ascii="Times New Roman" w:eastAsia="Times New Roman" w:hAnsi="Times New Roman" w:cs="Times New Roman"/>
          <w:sz w:val="24"/>
          <w:szCs w:val="24"/>
          <w:lang w:val="uk-UA"/>
        </w:rPr>
        <w:t xml:space="preserve">Видаючи дозвіл відповідно до статті 5, компетентні органи можуть уповноважити членів керівного органу на зайняття </w:t>
      </w:r>
      <w:r w:rsidR="00B61A2C" w:rsidRPr="00BE1959">
        <w:rPr>
          <w:rFonts w:ascii="Times New Roman" w:eastAsia="Times New Roman" w:hAnsi="Times New Roman" w:cs="Times New Roman"/>
          <w:sz w:val="24"/>
          <w:szCs w:val="24"/>
          <w:lang w:val="uk-UA"/>
        </w:rPr>
        <w:t>ще однієї невиконавчої директорської посади на додаток до тих, що дозволені відповідно до статті</w:t>
      </w:r>
      <w:r w:rsidRPr="00BE1959">
        <w:rPr>
          <w:rFonts w:ascii="Times New Roman" w:eastAsia="Times New Roman" w:hAnsi="Times New Roman" w:cs="Times New Roman"/>
          <w:sz w:val="24"/>
          <w:szCs w:val="24"/>
          <w:lang w:val="uk-UA"/>
        </w:rPr>
        <w:t xml:space="preserve"> 91(3) </w:t>
      </w:r>
      <w:r w:rsidR="00016E03" w:rsidRPr="00BE1959">
        <w:rPr>
          <w:rFonts w:ascii="Times New Roman" w:eastAsia="Times New Roman" w:hAnsi="Times New Roman" w:cs="Times New Roman"/>
          <w:sz w:val="24"/>
          <w:szCs w:val="24"/>
          <w:lang w:val="uk-UA"/>
        </w:rPr>
        <w:t>Директиви</w:t>
      </w:r>
      <w:r w:rsidRPr="00BE1959">
        <w:rPr>
          <w:rFonts w:ascii="Times New Roman" w:eastAsia="Times New Roman" w:hAnsi="Times New Roman" w:cs="Times New Roman"/>
          <w:sz w:val="24"/>
          <w:szCs w:val="24"/>
          <w:lang w:val="uk-UA"/>
        </w:rPr>
        <w:t xml:space="preserve"> 2013/36/EU. </w:t>
      </w:r>
      <w:r w:rsidR="00B61A2C" w:rsidRPr="00BE1959">
        <w:rPr>
          <w:rFonts w:ascii="Times New Roman" w:eastAsia="Times New Roman" w:hAnsi="Times New Roman" w:cs="Times New Roman"/>
          <w:sz w:val="24"/>
          <w:szCs w:val="24"/>
          <w:lang w:val="uk-UA"/>
        </w:rPr>
        <w:t xml:space="preserve">Компетентні органи регулярно інформують </w:t>
      </w:r>
      <w:r w:rsidRPr="00BE1959">
        <w:rPr>
          <w:rFonts w:ascii="Times New Roman" w:eastAsia="Times New Roman" w:hAnsi="Times New Roman" w:cs="Times New Roman"/>
          <w:sz w:val="24"/>
          <w:szCs w:val="24"/>
          <w:lang w:val="uk-UA"/>
        </w:rPr>
        <w:t xml:space="preserve">ESMA </w:t>
      </w:r>
      <w:r w:rsidR="00B61A2C" w:rsidRPr="00BE1959">
        <w:rPr>
          <w:rFonts w:ascii="Times New Roman" w:eastAsia="Times New Roman" w:hAnsi="Times New Roman" w:cs="Times New Roman"/>
          <w:sz w:val="24"/>
          <w:szCs w:val="24"/>
          <w:lang w:val="uk-UA"/>
        </w:rPr>
        <w:t>про такі дозволи.</w:t>
      </w:r>
    </w:p>
    <w:p w:rsidR="005613AB" w:rsidRPr="00BE1959" w:rsidRDefault="005613AB" w:rsidP="007416BC">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EBA </w:t>
      </w:r>
      <w:r w:rsidR="00B61A2C" w:rsidRPr="00BE1959">
        <w:rPr>
          <w:rFonts w:ascii="Times New Roman" w:eastAsia="Times New Roman" w:hAnsi="Times New Roman" w:cs="Times New Roman"/>
          <w:sz w:val="24"/>
          <w:szCs w:val="24"/>
          <w:lang w:val="uk-UA"/>
        </w:rPr>
        <w:t>і</w:t>
      </w:r>
      <w:r w:rsidRPr="00BE1959">
        <w:rPr>
          <w:rFonts w:ascii="Times New Roman" w:eastAsia="Times New Roman" w:hAnsi="Times New Roman" w:cs="Times New Roman"/>
          <w:sz w:val="24"/>
          <w:szCs w:val="24"/>
          <w:lang w:val="uk-UA"/>
        </w:rPr>
        <w:t xml:space="preserve"> ESMA </w:t>
      </w:r>
      <w:r w:rsidR="00B61A2C" w:rsidRPr="00BE1959">
        <w:rPr>
          <w:rFonts w:ascii="Times New Roman" w:eastAsia="Times New Roman" w:hAnsi="Times New Roman" w:cs="Times New Roman"/>
          <w:sz w:val="24"/>
          <w:szCs w:val="24"/>
          <w:lang w:val="uk-UA"/>
        </w:rPr>
        <w:t>координують збирання інформації, передбаченої першим абзацом цього пункту</w:t>
      </w:r>
      <w:r w:rsidR="007416BC" w:rsidRPr="00BE1959">
        <w:rPr>
          <w:rFonts w:ascii="Times New Roman" w:eastAsia="Times New Roman" w:hAnsi="Times New Roman" w:cs="Times New Roman"/>
          <w:sz w:val="24"/>
          <w:szCs w:val="24"/>
          <w:lang w:val="uk-UA"/>
        </w:rPr>
        <w:t xml:space="preserve"> та статтею</w:t>
      </w:r>
      <w:r w:rsidRPr="00BE1959">
        <w:rPr>
          <w:rFonts w:ascii="Times New Roman" w:eastAsia="Times New Roman" w:hAnsi="Times New Roman" w:cs="Times New Roman"/>
          <w:sz w:val="24"/>
          <w:szCs w:val="24"/>
          <w:lang w:val="uk-UA"/>
        </w:rPr>
        <w:t xml:space="preserve"> </w:t>
      </w:r>
      <w:r w:rsidR="00162A11" w:rsidRPr="00BE1959">
        <w:rPr>
          <w:rFonts w:ascii="Times New Roman" w:eastAsia="Times New Roman" w:hAnsi="Times New Roman" w:cs="Times New Roman"/>
          <w:sz w:val="24"/>
          <w:szCs w:val="24"/>
          <w:lang w:val="uk-UA"/>
        </w:rPr>
        <w:t>Стаття</w:t>
      </w:r>
      <w:r w:rsidRPr="00BE1959">
        <w:rPr>
          <w:rFonts w:ascii="Times New Roman" w:eastAsia="Times New Roman" w:hAnsi="Times New Roman" w:cs="Times New Roman"/>
          <w:sz w:val="24"/>
          <w:szCs w:val="24"/>
          <w:lang w:val="uk-UA"/>
        </w:rPr>
        <w:t xml:space="preserve"> 91(6) </w:t>
      </w:r>
      <w:r w:rsidR="00016E03" w:rsidRPr="00BE1959">
        <w:rPr>
          <w:rFonts w:ascii="Times New Roman" w:eastAsia="Times New Roman" w:hAnsi="Times New Roman" w:cs="Times New Roman"/>
          <w:sz w:val="24"/>
          <w:szCs w:val="24"/>
          <w:lang w:val="uk-UA"/>
        </w:rPr>
        <w:t>Директиви</w:t>
      </w:r>
      <w:r w:rsidRPr="00BE1959">
        <w:rPr>
          <w:rFonts w:ascii="Times New Roman" w:eastAsia="Times New Roman" w:hAnsi="Times New Roman" w:cs="Times New Roman"/>
          <w:sz w:val="24"/>
          <w:szCs w:val="24"/>
          <w:lang w:val="uk-UA"/>
        </w:rPr>
        <w:t xml:space="preserve"> 2013/36/EU </w:t>
      </w:r>
      <w:r w:rsidR="007416BC" w:rsidRPr="00BE1959">
        <w:rPr>
          <w:rFonts w:ascii="Times New Roman" w:eastAsia="Times New Roman" w:hAnsi="Times New Roman" w:cs="Times New Roman"/>
          <w:sz w:val="24"/>
          <w:szCs w:val="24"/>
          <w:lang w:val="uk-UA"/>
        </w:rPr>
        <w:t>стосовно інвестиційних фірм.</w:t>
      </w:r>
    </w:p>
    <w:p w:rsidR="007416BC"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3.   </w:t>
      </w:r>
      <w:r w:rsidR="001F5C90" w:rsidRPr="00BE1959">
        <w:rPr>
          <w:rFonts w:ascii="Times New Roman" w:eastAsia="Times New Roman" w:hAnsi="Times New Roman" w:cs="Times New Roman"/>
          <w:sz w:val="24"/>
          <w:szCs w:val="24"/>
          <w:lang w:val="uk-UA"/>
        </w:rPr>
        <w:t>Держави-члени</w:t>
      </w:r>
      <w:r w:rsidRPr="00BE1959">
        <w:rPr>
          <w:rFonts w:ascii="Times New Roman" w:eastAsia="Times New Roman" w:hAnsi="Times New Roman" w:cs="Times New Roman"/>
          <w:sz w:val="24"/>
          <w:szCs w:val="24"/>
          <w:lang w:val="uk-UA"/>
        </w:rPr>
        <w:t xml:space="preserve"> </w:t>
      </w:r>
      <w:r w:rsidR="007416BC" w:rsidRPr="00BE1959">
        <w:rPr>
          <w:rFonts w:ascii="Times New Roman" w:eastAsia="Times New Roman" w:hAnsi="Times New Roman" w:cs="Times New Roman"/>
          <w:sz w:val="24"/>
          <w:szCs w:val="24"/>
          <w:lang w:val="uk-UA"/>
        </w:rPr>
        <w:t xml:space="preserve">забезпечують, щоб керівний орган інвестиційної фірми визначив механізми управління, які забезпечують ефективне і раціональне керівництво інвестиційною фірмою, включаючи розподіл обов’язків у інвестиційній фірмі та запобігання конфліктів інтересів, причому в спосіб, який сприяє цілісності ринку та інтересам клієнтів, </w:t>
      </w:r>
      <w:r w:rsidR="00FA4B66" w:rsidRPr="00BE1959">
        <w:rPr>
          <w:rFonts w:ascii="Times New Roman" w:eastAsia="Times New Roman" w:hAnsi="Times New Roman" w:cs="Times New Roman"/>
          <w:sz w:val="24"/>
          <w:szCs w:val="24"/>
          <w:lang w:val="uk-UA"/>
        </w:rPr>
        <w:t>а також наглядав за цими механізмами управління і ніс відповідальність за їхнє впровадження.</w:t>
      </w:r>
    </w:p>
    <w:p w:rsidR="005613AB" w:rsidRPr="00BE1959" w:rsidRDefault="00FA4B66" w:rsidP="00FA4B66">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Без шкоди для вимог, установлених статтею</w:t>
      </w:r>
      <w:r w:rsidR="005613AB" w:rsidRPr="00BE1959">
        <w:rPr>
          <w:rFonts w:ascii="Times New Roman" w:eastAsia="Times New Roman" w:hAnsi="Times New Roman" w:cs="Times New Roman"/>
          <w:sz w:val="24"/>
          <w:szCs w:val="24"/>
          <w:lang w:val="uk-UA"/>
        </w:rPr>
        <w:t xml:space="preserve"> 88(1) </w:t>
      </w:r>
      <w:r w:rsidR="00016E03" w:rsidRPr="00BE1959">
        <w:rPr>
          <w:rFonts w:ascii="Times New Roman" w:eastAsia="Times New Roman" w:hAnsi="Times New Roman" w:cs="Times New Roman"/>
          <w:sz w:val="24"/>
          <w:szCs w:val="24"/>
          <w:lang w:val="uk-UA"/>
        </w:rPr>
        <w:t>Директиви</w:t>
      </w:r>
      <w:r w:rsidR="005613AB" w:rsidRPr="00BE1959">
        <w:rPr>
          <w:rFonts w:ascii="Times New Roman" w:eastAsia="Times New Roman" w:hAnsi="Times New Roman" w:cs="Times New Roman"/>
          <w:sz w:val="24"/>
          <w:szCs w:val="24"/>
          <w:lang w:val="uk-UA"/>
        </w:rPr>
        <w:t xml:space="preserve"> 2013/36/EU, </w:t>
      </w:r>
      <w:r w:rsidRPr="00BE1959">
        <w:rPr>
          <w:rFonts w:ascii="Times New Roman" w:eastAsia="Times New Roman" w:hAnsi="Times New Roman" w:cs="Times New Roman"/>
          <w:sz w:val="24"/>
          <w:szCs w:val="24"/>
          <w:lang w:val="uk-UA"/>
        </w:rPr>
        <w:t>ці механізми також забезпечують, щоб керівний орган визначив, затвердив і контролював:</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9093"/>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A94ACF" w:rsidP="00A94ACF">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організацію фірми для надання інвестиційних послуг і ведення інвестиційної діяльності та надання додаткових послуг, включаючи навички, знання і досвід, якими повинні володіти працівники, ресурси, процедури та механізми надання послуг і ведення діяльності, з урахуванням характеру, масштабу і складності діяльності фірми </w:t>
            </w:r>
            <w:r w:rsidRPr="00BE1959">
              <w:rPr>
                <w:rFonts w:ascii="Times New Roman" w:eastAsia="Times New Roman" w:hAnsi="Times New Roman" w:cs="Times New Roman"/>
                <w:sz w:val="24"/>
                <w:szCs w:val="24"/>
                <w:lang w:val="uk-UA"/>
              </w:rPr>
              <w:lastRenderedPageBreak/>
              <w:t>та всіх вимог, що їх фірма повинна дотримуватися;</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63231A" w:rsidP="00783CF6">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політику щодо послуг, видів діяльності, продуктів і операцій, які пропонуються або надаються, відповідно до стійкості фірми до ризиків</w:t>
            </w:r>
            <w:r w:rsidR="00783CF6" w:rsidRPr="00BE1959">
              <w:rPr>
                <w:rFonts w:ascii="Times New Roman" w:eastAsia="Times New Roman" w:hAnsi="Times New Roman" w:cs="Times New Roman"/>
                <w:sz w:val="24"/>
                <w:szCs w:val="24"/>
                <w:lang w:val="uk-UA"/>
              </w:rPr>
              <w:t>,</w:t>
            </w:r>
            <w:r w:rsidRPr="00BE1959">
              <w:rPr>
                <w:rFonts w:ascii="Times New Roman" w:eastAsia="Times New Roman" w:hAnsi="Times New Roman" w:cs="Times New Roman"/>
                <w:sz w:val="24"/>
                <w:szCs w:val="24"/>
                <w:lang w:val="uk-UA"/>
              </w:rPr>
              <w:t xml:space="preserve"> </w:t>
            </w:r>
            <w:r w:rsidR="00783CF6" w:rsidRPr="00BE1959">
              <w:rPr>
                <w:rFonts w:ascii="Times New Roman" w:eastAsia="Times New Roman" w:hAnsi="Times New Roman" w:cs="Times New Roman"/>
                <w:sz w:val="24"/>
                <w:szCs w:val="24"/>
                <w:lang w:val="uk-UA"/>
              </w:rPr>
              <w:t>з урахуванням</w:t>
            </w:r>
            <w:r w:rsidRPr="00BE1959">
              <w:rPr>
                <w:rFonts w:ascii="Times New Roman" w:eastAsia="Times New Roman" w:hAnsi="Times New Roman" w:cs="Times New Roman"/>
                <w:sz w:val="24"/>
                <w:szCs w:val="24"/>
                <w:lang w:val="uk-UA"/>
              </w:rPr>
              <w:t xml:space="preserve"> характеристик та потреб клієнтів фірми, яким вищезазначені послуги тощо пропонуватимуться або надаватимуться, включаючи проведення у доречних випадках необхідних стрес-тестів;</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9093"/>
      </w:tblGrid>
      <w:tr w:rsidR="00DE3173"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783CF6" w:rsidP="00783CF6">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політику щодо оплати праці осіб, задіяних у наданні послуг клієнтам, спрямовану на заохочення відповідальної ділової поведінки, справедливе ставлення до клієнтів, а також уникнення конфліктів інтересів у стосунках із клієнтами.</w:t>
            </w:r>
          </w:p>
        </w:tc>
      </w:tr>
    </w:tbl>
    <w:p w:rsidR="005613AB" w:rsidRPr="00BE1959" w:rsidRDefault="007A553E" w:rsidP="002542A0">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Керівний орган контролює та періодично оцінює відповідність і реалізацію стратегічний цілей фірми у наданні інвестиційних послуг, веденні інвестиційної діяльності та наданні додаткових послуг, ефектив</w:t>
      </w:r>
      <w:r w:rsidR="000649A0" w:rsidRPr="00BE1959">
        <w:rPr>
          <w:rFonts w:ascii="Times New Roman" w:eastAsia="Times New Roman" w:hAnsi="Times New Roman" w:cs="Times New Roman"/>
          <w:sz w:val="24"/>
          <w:szCs w:val="24"/>
          <w:lang w:val="uk-UA"/>
        </w:rPr>
        <w:t xml:space="preserve">ність механізмів управління інвестиційною фірмою та адекватність правил стосовно надання послуг клієнтам і </w:t>
      </w:r>
      <w:r w:rsidR="002542A0" w:rsidRPr="00BE1959">
        <w:rPr>
          <w:rFonts w:ascii="Times New Roman" w:eastAsia="Times New Roman" w:hAnsi="Times New Roman" w:cs="Times New Roman"/>
          <w:sz w:val="24"/>
          <w:szCs w:val="24"/>
          <w:lang w:val="uk-UA"/>
        </w:rPr>
        <w:t>вживає відповідних заходів для усунення виявлених недоліків.</w:t>
      </w:r>
    </w:p>
    <w:p w:rsidR="005613AB" w:rsidRPr="00BE1959" w:rsidRDefault="002542A0" w:rsidP="002542A0">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Члени керівного органу мають достатній доступ до інформації та документації, потрібної їм для нагляду і контролю за прийняттям управлінських рішень.</w:t>
      </w:r>
    </w:p>
    <w:p w:rsidR="005613AB" w:rsidRPr="00BE1959" w:rsidRDefault="005613AB" w:rsidP="002542A0">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4.   </w:t>
      </w:r>
      <w:r w:rsidR="00AF288E" w:rsidRPr="00BE1959">
        <w:rPr>
          <w:rFonts w:ascii="Times New Roman" w:eastAsia="Times New Roman" w:hAnsi="Times New Roman" w:cs="Times New Roman"/>
          <w:sz w:val="24"/>
          <w:szCs w:val="24"/>
          <w:lang w:val="uk-UA"/>
        </w:rPr>
        <w:t>Компетентний орган</w:t>
      </w:r>
      <w:r w:rsidRPr="00BE1959">
        <w:rPr>
          <w:rFonts w:ascii="Times New Roman" w:eastAsia="Times New Roman" w:hAnsi="Times New Roman" w:cs="Times New Roman"/>
          <w:sz w:val="24"/>
          <w:szCs w:val="24"/>
          <w:lang w:val="uk-UA"/>
        </w:rPr>
        <w:t xml:space="preserve"> </w:t>
      </w:r>
      <w:r w:rsidR="002542A0" w:rsidRPr="00BE1959">
        <w:rPr>
          <w:rFonts w:ascii="Times New Roman" w:eastAsia="Times New Roman" w:hAnsi="Times New Roman" w:cs="Times New Roman"/>
          <w:sz w:val="24"/>
          <w:szCs w:val="24"/>
          <w:lang w:val="uk-UA"/>
        </w:rPr>
        <w:t>відмовляє у видачі дозволу, якщо він не переконався в тому, що члени керівного органу інвестиційної фірми мають достатньо високу репутацію, володіють достатніми знаннями, навичками та досвідом і витрачають достатньо часу на виконання своїх функцій в інвестиційній фірмі, або якщо існують об’єктивні та очевидні підстави вважати, що керівний орган фірми може становити загрозу для ефективного, раціонального і розумного управління нею й для належного врахування інтересів її клієнтів та цілісності ринку.</w:t>
      </w:r>
    </w:p>
    <w:p w:rsidR="005613AB" w:rsidRPr="00BE1959" w:rsidRDefault="005613AB" w:rsidP="002F4EE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5.   </w:t>
      </w:r>
      <w:r w:rsidR="001F5C90" w:rsidRPr="00BE1959">
        <w:rPr>
          <w:rFonts w:ascii="Times New Roman" w:eastAsia="Times New Roman" w:hAnsi="Times New Roman" w:cs="Times New Roman"/>
          <w:sz w:val="24"/>
          <w:szCs w:val="24"/>
          <w:lang w:val="uk-UA"/>
        </w:rPr>
        <w:t>Держави-члени</w:t>
      </w:r>
      <w:r w:rsidRPr="00BE1959">
        <w:rPr>
          <w:rFonts w:ascii="Times New Roman" w:eastAsia="Times New Roman" w:hAnsi="Times New Roman" w:cs="Times New Roman"/>
          <w:sz w:val="24"/>
          <w:szCs w:val="24"/>
          <w:lang w:val="uk-UA"/>
        </w:rPr>
        <w:t xml:space="preserve"> </w:t>
      </w:r>
      <w:r w:rsidR="002F4EEB" w:rsidRPr="00BE1959">
        <w:rPr>
          <w:rFonts w:ascii="Times New Roman" w:eastAsia="Times New Roman" w:hAnsi="Times New Roman" w:cs="Times New Roman"/>
          <w:sz w:val="24"/>
          <w:szCs w:val="24"/>
          <w:lang w:val="uk-UA"/>
        </w:rPr>
        <w:t>вимагають від інвестиційної фірми повідомити компетентний орган про всіх членів її керівного органу та про всі зміни у його складі, поряд з усією інформацією, потрібною для того, щоб оцінити, чи виконує фірма вимоги, викладені у пунктах 1, 2 і 3.</w:t>
      </w:r>
    </w:p>
    <w:p w:rsidR="005613AB" w:rsidRPr="00BE1959" w:rsidRDefault="005613AB" w:rsidP="003B2B0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6.   </w:t>
      </w:r>
      <w:r w:rsidR="001F5C90" w:rsidRPr="00BE1959">
        <w:rPr>
          <w:rFonts w:ascii="Times New Roman" w:eastAsia="Times New Roman" w:hAnsi="Times New Roman" w:cs="Times New Roman"/>
          <w:sz w:val="24"/>
          <w:szCs w:val="24"/>
          <w:lang w:val="uk-UA"/>
        </w:rPr>
        <w:t>Держави-члени</w:t>
      </w:r>
      <w:r w:rsidRPr="00BE1959">
        <w:rPr>
          <w:rFonts w:ascii="Times New Roman" w:eastAsia="Times New Roman" w:hAnsi="Times New Roman" w:cs="Times New Roman"/>
          <w:sz w:val="24"/>
          <w:szCs w:val="24"/>
          <w:lang w:val="uk-UA"/>
        </w:rPr>
        <w:t xml:space="preserve"> </w:t>
      </w:r>
      <w:r w:rsidR="003B2B0B" w:rsidRPr="00BE1959">
        <w:rPr>
          <w:rFonts w:ascii="Times New Roman" w:eastAsia="Times New Roman" w:hAnsi="Times New Roman" w:cs="Times New Roman"/>
          <w:sz w:val="24"/>
          <w:szCs w:val="24"/>
          <w:lang w:val="uk-UA"/>
        </w:rPr>
        <w:t>вимагають, щоб як мінімум дві особи, які відповідають вимогам, установленим у пункті 1, фактично керували діяльністю інвестиційної фірми-заявника.</w:t>
      </w:r>
    </w:p>
    <w:p w:rsidR="005613AB" w:rsidRPr="00BE1959" w:rsidRDefault="003B2B0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У порядку відступу від першого абзацу держави-члени можуть видавати дозвіл інвестиційним фірмам, що є фізичними особами, або інвестиційним фірмами, що є юридичними особами, керованими єдиною фізичною особою, відповідно до їхніх установчих правил і національного законодавства. Тим не менш, держави-члени вимагають</w:t>
      </w:r>
      <w:r w:rsidR="0074501D" w:rsidRPr="00BE1959">
        <w:rPr>
          <w:rFonts w:ascii="Times New Roman" w:eastAsia="Times New Roman" w:hAnsi="Times New Roman" w:cs="Times New Roman"/>
          <w:sz w:val="24"/>
          <w:szCs w:val="24"/>
          <w:lang w:val="uk-UA"/>
        </w:rP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9093"/>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2A45D2" w:rsidP="002A45D2">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наявності альтернативних механізмів, які забезпечують раціональне і розумне управління такими інвестиційними фірмами й належне врахування інтересів клієнтів та цілісності ринку;</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DE3173"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lastRenderedPageBreak/>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E27F19" w:rsidP="00E27F19">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наявності у вищезгаданих фізичних осіб достатньо високої репутації, достатніх знань, навичок і досвіду та витрачання ними достатнього часу на виконання своїх обов’язків.</w:t>
            </w:r>
          </w:p>
        </w:tc>
      </w:tr>
    </w:tbl>
    <w:p w:rsidR="005613AB" w:rsidRPr="00BE1959" w:rsidRDefault="00162A11" w:rsidP="005613AB">
      <w:pPr>
        <w:spacing w:before="360" w:after="120" w:line="312" w:lineRule="atLeast"/>
        <w:jc w:val="center"/>
        <w:textAlignment w:val="baseline"/>
        <w:rPr>
          <w:rFonts w:ascii="Times New Roman" w:eastAsia="Times New Roman" w:hAnsi="Times New Roman" w:cs="Times New Roman"/>
          <w:i/>
          <w:iCs/>
          <w:sz w:val="24"/>
          <w:szCs w:val="24"/>
          <w:lang w:val="uk-UA"/>
        </w:rPr>
      </w:pPr>
      <w:r w:rsidRPr="00BE1959">
        <w:rPr>
          <w:rFonts w:ascii="Times New Roman" w:eastAsia="Times New Roman" w:hAnsi="Times New Roman" w:cs="Times New Roman"/>
          <w:i/>
          <w:iCs/>
          <w:sz w:val="24"/>
          <w:szCs w:val="24"/>
          <w:lang w:val="uk-UA"/>
        </w:rPr>
        <w:t>Стаття</w:t>
      </w:r>
      <w:r w:rsidR="005613AB" w:rsidRPr="00BE1959">
        <w:rPr>
          <w:rFonts w:ascii="Times New Roman" w:eastAsia="Times New Roman" w:hAnsi="Times New Roman" w:cs="Times New Roman"/>
          <w:i/>
          <w:iCs/>
          <w:sz w:val="24"/>
          <w:szCs w:val="24"/>
          <w:lang w:val="uk-UA"/>
        </w:rPr>
        <w:t xml:space="preserve"> 10</w:t>
      </w:r>
    </w:p>
    <w:p w:rsidR="005613AB" w:rsidRPr="00BE1959" w:rsidRDefault="000B6E8A" w:rsidP="005613AB">
      <w:pPr>
        <w:spacing w:before="60" w:after="120" w:line="312" w:lineRule="atLeast"/>
        <w:jc w:val="center"/>
        <w:textAlignment w:val="baseline"/>
        <w:rPr>
          <w:rFonts w:ascii="Times New Roman" w:eastAsia="Times New Roman" w:hAnsi="Times New Roman" w:cs="Times New Roman"/>
          <w:b/>
          <w:bCs/>
          <w:sz w:val="24"/>
          <w:szCs w:val="24"/>
          <w:lang w:val="uk-UA"/>
        </w:rPr>
      </w:pPr>
      <w:r w:rsidRPr="00BE1959">
        <w:rPr>
          <w:rFonts w:ascii="Times New Roman" w:eastAsia="Times New Roman" w:hAnsi="Times New Roman" w:cs="Times New Roman"/>
          <w:b/>
          <w:bCs/>
          <w:sz w:val="24"/>
          <w:szCs w:val="24"/>
          <w:lang w:val="uk-UA"/>
        </w:rPr>
        <w:t>Акціонери та члени з кваліфікованими частками участі</w:t>
      </w:r>
    </w:p>
    <w:p w:rsidR="007E2686"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1.   </w:t>
      </w:r>
      <w:r w:rsidR="007E2686" w:rsidRPr="00BE1959">
        <w:rPr>
          <w:rFonts w:ascii="Times New Roman" w:eastAsia="Times New Roman" w:hAnsi="Times New Roman" w:cs="Times New Roman"/>
          <w:sz w:val="24"/>
          <w:szCs w:val="24"/>
          <w:lang w:val="uk-UA"/>
        </w:rPr>
        <w:t xml:space="preserve">Компетентні органи не видають дозвіл на надання інвестиційних послуг або ведення інвестиційної діяльності інвестиційною фірмою, поки не отримають інформацію про особи акціонерів або членів, як прямих, </w:t>
      </w:r>
      <w:r w:rsidR="009616CC" w:rsidRPr="00BE1959">
        <w:rPr>
          <w:rFonts w:ascii="Times New Roman" w:eastAsia="Times New Roman" w:hAnsi="Times New Roman" w:cs="Times New Roman"/>
          <w:sz w:val="24"/>
          <w:szCs w:val="24"/>
          <w:lang w:val="uk-UA"/>
        </w:rPr>
        <w:t>так і непрямих, фізичних або юридичних осіб, які мають кваліфіковані частки участі, та про розміри цих часток.</w:t>
      </w:r>
    </w:p>
    <w:p w:rsidR="005613AB" w:rsidRPr="00BE1959" w:rsidRDefault="007E2686" w:rsidP="009616CC">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Компетентні органи</w:t>
      </w:r>
      <w:r w:rsidR="005613AB" w:rsidRPr="00BE1959">
        <w:rPr>
          <w:rFonts w:ascii="Times New Roman" w:eastAsia="Times New Roman" w:hAnsi="Times New Roman" w:cs="Times New Roman"/>
          <w:sz w:val="24"/>
          <w:szCs w:val="24"/>
          <w:lang w:val="uk-UA"/>
        </w:rPr>
        <w:t xml:space="preserve"> </w:t>
      </w:r>
      <w:r w:rsidR="009616CC" w:rsidRPr="00BE1959">
        <w:rPr>
          <w:rFonts w:ascii="Times New Roman" w:eastAsia="Times New Roman" w:hAnsi="Times New Roman" w:cs="Times New Roman"/>
          <w:sz w:val="24"/>
          <w:szCs w:val="24"/>
          <w:lang w:val="uk-UA"/>
        </w:rPr>
        <w:t>відмовляють у дозволі, якщо, враховуючи необхідність забезпечення раціонального і розумного управління інвестиційною фірмою, вони не переконані у відповідності поставленим вимогам акціонерів або членів із кваліфікованими частками участі.</w:t>
      </w:r>
    </w:p>
    <w:p w:rsidR="005613AB" w:rsidRPr="00BE1959" w:rsidRDefault="009616CC" w:rsidP="009616CC">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Якщо існують тісні зв'язки між інвестиційною фірмою та іншими фізичними або юридичними особами, то к</w:t>
      </w:r>
      <w:r w:rsidR="00AF288E" w:rsidRPr="00BE1959">
        <w:rPr>
          <w:rFonts w:ascii="Times New Roman" w:eastAsia="Times New Roman" w:hAnsi="Times New Roman" w:cs="Times New Roman"/>
          <w:sz w:val="24"/>
          <w:szCs w:val="24"/>
          <w:lang w:val="uk-UA"/>
        </w:rPr>
        <w:t>омпетентний орган</w:t>
      </w:r>
      <w:r w:rsidR="005613AB" w:rsidRPr="00BE1959">
        <w:rPr>
          <w:rFonts w:ascii="Times New Roman" w:eastAsia="Times New Roman" w:hAnsi="Times New Roman" w:cs="Times New Roman"/>
          <w:sz w:val="24"/>
          <w:szCs w:val="24"/>
          <w:lang w:val="uk-UA"/>
        </w:rPr>
        <w:t xml:space="preserve"> </w:t>
      </w:r>
      <w:r w:rsidRPr="00BE1959">
        <w:rPr>
          <w:rFonts w:ascii="Times New Roman" w:eastAsia="Times New Roman" w:hAnsi="Times New Roman" w:cs="Times New Roman"/>
          <w:sz w:val="24"/>
          <w:szCs w:val="24"/>
          <w:lang w:val="uk-UA"/>
        </w:rPr>
        <w:t>видає дозвіл тільки за умови, що ці зв'язки не перешкоджають ефективному здійсненню наглядових функцій компетентного органу.</w:t>
      </w:r>
    </w:p>
    <w:p w:rsidR="005613AB" w:rsidRPr="00BE1959" w:rsidRDefault="005613AB" w:rsidP="00B32B9C">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2.   </w:t>
      </w:r>
      <w:r w:rsidR="00AF288E" w:rsidRPr="00BE1959">
        <w:rPr>
          <w:rFonts w:ascii="Times New Roman" w:eastAsia="Times New Roman" w:hAnsi="Times New Roman" w:cs="Times New Roman"/>
          <w:sz w:val="24"/>
          <w:szCs w:val="24"/>
          <w:lang w:val="uk-UA"/>
        </w:rPr>
        <w:t>Компетентний орган</w:t>
      </w:r>
      <w:r w:rsidRPr="00BE1959">
        <w:rPr>
          <w:rFonts w:ascii="Times New Roman" w:eastAsia="Times New Roman" w:hAnsi="Times New Roman" w:cs="Times New Roman"/>
          <w:sz w:val="24"/>
          <w:szCs w:val="24"/>
          <w:lang w:val="uk-UA"/>
        </w:rPr>
        <w:t xml:space="preserve"> </w:t>
      </w:r>
      <w:r w:rsidR="009616CC" w:rsidRPr="00BE1959">
        <w:rPr>
          <w:rFonts w:ascii="Times New Roman" w:eastAsia="Times New Roman" w:hAnsi="Times New Roman" w:cs="Times New Roman"/>
          <w:sz w:val="24"/>
          <w:szCs w:val="24"/>
          <w:lang w:val="uk-UA"/>
        </w:rPr>
        <w:t xml:space="preserve">відмовляє у дозволі, якщо </w:t>
      </w:r>
      <w:r w:rsidR="001979F8" w:rsidRPr="00BE1959">
        <w:rPr>
          <w:rFonts w:ascii="Times New Roman" w:eastAsia="Times New Roman" w:hAnsi="Times New Roman" w:cs="Times New Roman"/>
          <w:sz w:val="24"/>
          <w:szCs w:val="24"/>
          <w:lang w:val="uk-UA"/>
        </w:rPr>
        <w:t xml:space="preserve">закони, нормативні акти або адміністративні положення третьої країни, що регламентують діяльність однієї чи декількох фізичних або юридичних осіб, з якими у фірми існують тісні зв'язки, </w:t>
      </w:r>
      <w:r w:rsidR="00B32B9C" w:rsidRPr="00BE1959">
        <w:rPr>
          <w:rFonts w:ascii="Times New Roman" w:eastAsia="Times New Roman" w:hAnsi="Times New Roman" w:cs="Times New Roman"/>
          <w:sz w:val="24"/>
          <w:szCs w:val="24"/>
          <w:lang w:val="uk-UA"/>
        </w:rPr>
        <w:t>або труднощі, пов'язані з забезпеченням виконання вищезгаданих законів тощо, перешкоджають ефективному здійсненню наглядових функцій.</w:t>
      </w:r>
    </w:p>
    <w:p w:rsidR="005613AB" w:rsidRPr="00BE1959" w:rsidRDefault="005613AB" w:rsidP="00253931">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3.   </w:t>
      </w:r>
      <w:r w:rsidR="001F5C90" w:rsidRPr="00BE1959">
        <w:rPr>
          <w:rFonts w:ascii="Times New Roman" w:eastAsia="Times New Roman" w:hAnsi="Times New Roman" w:cs="Times New Roman"/>
          <w:sz w:val="24"/>
          <w:szCs w:val="24"/>
          <w:lang w:val="uk-UA"/>
        </w:rPr>
        <w:t>Держави-члени</w:t>
      </w:r>
      <w:r w:rsidRPr="00BE1959">
        <w:rPr>
          <w:rFonts w:ascii="Times New Roman" w:eastAsia="Times New Roman" w:hAnsi="Times New Roman" w:cs="Times New Roman"/>
          <w:sz w:val="24"/>
          <w:szCs w:val="24"/>
          <w:lang w:val="uk-UA"/>
        </w:rPr>
        <w:t xml:space="preserve"> </w:t>
      </w:r>
      <w:r w:rsidR="00B32B9C" w:rsidRPr="00BE1959">
        <w:rPr>
          <w:rFonts w:ascii="Times New Roman" w:eastAsia="Times New Roman" w:hAnsi="Times New Roman" w:cs="Times New Roman"/>
          <w:sz w:val="24"/>
          <w:szCs w:val="24"/>
          <w:lang w:val="uk-UA"/>
        </w:rPr>
        <w:t xml:space="preserve">вимагають, щоб </w:t>
      </w:r>
      <w:r w:rsidR="002018FE" w:rsidRPr="00BE1959">
        <w:rPr>
          <w:rFonts w:ascii="Times New Roman" w:eastAsia="Times New Roman" w:hAnsi="Times New Roman" w:cs="Times New Roman"/>
          <w:sz w:val="24"/>
          <w:szCs w:val="24"/>
          <w:lang w:val="uk-UA"/>
        </w:rPr>
        <w:t xml:space="preserve">у випадках, де вплив, здійснюваний особами, згаданими у першому абзаці п. 1, </w:t>
      </w:r>
      <w:r w:rsidR="00253931" w:rsidRPr="00BE1959">
        <w:rPr>
          <w:rFonts w:ascii="Times New Roman" w:eastAsia="Times New Roman" w:hAnsi="Times New Roman" w:cs="Times New Roman"/>
          <w:sz w:val="24"/>
          <w:szCs w:val="24"/>
          <w:lang w:val="uk-UA"/>
        </w:rPr>
        <w:t>може завдати шкоди раціональному і розумному управлінню інвестиційною фірмою, компетентний орган уживав належних заходів для того, щоб покласти край цій ситуації.</w:t>
      </w:r>
    </w:p>
    <w:p w:rsidR="005613AB" w:rsidRPr="00BE1959" w:rsidRDefault="00463F4A" w:rsidP="003621E3">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Такі заходи можуть включати подання заяв на предмет отримання судових наказів </w:t>
      </w:r>
      <w:r w:rsidR="00AB2383" w:rsidRPr="00BE1959">
        <w:rPr>
          <w:rFonts w:ascii="Times New Roman" w:eastAsia="Times New Roman" w:hAnsi="Times New Roman" w:cs="Times New Roman"/>
          <w:sz w:val="24"/>
          <w:szCs w:val="24"/>
          <w:lang w:val="uk-UA"/>
        </w:rPr>
        <w:t>чи</w:t>
      </w:r>
      <w:r w:rsidR="003621E3" w:rsidRPr="00BE1959">
        <w:rPr>
          <w:rFonts w:ascii="Times New Roman" w:eastAsia="Times New Roman" w:hAnsi="Times New Roman" w:cs="Times New Roman"/>
          <w:sz w:val="24"/>
          <w:szCs w:val="24"/>
          <w:lang w:val="uk-UA"/>
        </w:rPr>
        <w:t xml:space="preserve"> накладення санкцій </w:t>
      </w:r>
      <w:r w:rsidR="00AB2383" w:rsidRPr="00BE1959">
        <w:rPr>
          <w:rFonts w:ascii="Times New Roman" w:eastAsia="Times New Roman" w:hAnsi="Times New Roman" w:cs="Times New Roman"/>
          <w:sz w:val="24"/>
          <w:szCs w:val="24"/>
          <w:lang w:val="uk-UA"/>
        </w:rPr>
        <w:t>на</w:t>
      </w:r>
      <w:r w:rsidR="003621E3" w:rsidRPr="00BE1959">
        <w:rPr>
          <w:rFonts w:ascii="Times New Roman" w:eastAsia="Times New Roman" w:hAnsi="Times New Roman" w:cs="Times New Roman"/>
          <w:sz w:val="24"/>
          <w:szCs w:val="24"/>
          <w:lang w:val="uk-UA"/>
        </w:rPr>
        <w:t xml:space="preserve"> директорів і осіб, відповідальних за управління, або призупинення здійснення прав голосу, закріплених за акціями, що належать відповідним акціонерам або членам.</w:t>
      </w:r>
    </w:p>
    <w:p w:rsidR="005613AB" w:rsidRPr="00BE1959" w:rsidRDefault="00162A11" w:rsidP="005613AB">
      <w:pPr>
        <w:spacing w:before="360" w:after="120" w:line="312" w:lineRule="atLeast"/>
        <w:jc w:val="center"/>
        <w:textAlignment w:val="baseline"/>
        <w:rPr>
          <w:rFonts w:ascii="Times New Roman" w:eastAsia="Times New Roman" w:hAnsi="Times New Roman" w:cs="Times New Roman"/>
          <w:i/>
          <w:iCs/>
          <w:sz w:val="24"/>
          <w:szCs w:val="24"/>
          <w:lang w:val="uk-UA"/>
        </w:rPr>
      </w:pPr>
      <w:r w:rsidRPr="00BE1959">
        <w:rPr>
          <w:rFonts w:ascii="Times New Roman" w:eastAsia="Times New Roman" w:hAnsi="Times New Roman" w:cs="Times New Roman"/>
          <w:i/>
          <w:iCs/>
          <w:sz w:val="24"/>
          <w:szCs w:val="24"/>
          <w:lang w:val="uk-UA"/>
        </w:rPr>
        <w:t>Стаття</w:t>
      </w:r>
      <w:r w:rsidR="005613AB" w:rsidRPr="00BE1959">
        <w:rPr>
          <w:rFonts w:ascii="Times New Roman" w:eastAsia="Times New Roman" w:hAnsi="Times New Roman" w:cs="Times New Roman"/>
          <w:i/>
          <w:iCs/>
          <w:sz w:val="24"/>
          <w:szCs w:val="24"/>
          <w:lang w:val="uk-UA"/>
        </w:rPr>
        <w:t xml:space="preserve"> 11</w:t>
      </w:r>
    </w:p>
    <w:p w:rsidR="005613AB" w:rsidRPr="00BE1959" w:rsidRDefault="00BE673D" w:rsidP="005613AB">
      <w:pPr>
        <w:spacing w:before="60" w:after="120" w:line="312" w:lineRule="atLeast"/>
        <w:jc w:val="center"/>
        <w:textAlignment w:val="baseline"/>
        <w:rPr>
          <w:rFonts w:ascii="Times New Roman" w:eastAsia="Times New Roman" w:hAnsi="Times New Roman" w:cs="Times New Roman"/>
          <w:b/>
          <w:bCs/>
          <w:sz w:val="24"/>
          <w:szCs w:val="24"/>
          <w:lang w:val="uk-UA"/>
        </w:rPr>
      </w:pPr>
      <w:r w:rsidRPr="00BE1959">
        <w:rPr>
          <w:rFonts w:ascii="Times New Roman" w:eastAsia="Times New Roman" w:hAnsi="Times New Roman" w:cs="Times New Roman"/>
          <w:b/>
          <w:bCs/>
          <w:sz w:val="24"/>
          <w:szCs w:val="24"/>
          <w:lang w:val="uk-UA"/>
        </w:rPr>
        <w:t>Повідомлення про пропоновані придбання</w:t>
      </w:r>
    </w:p>
    <w:p w:rsidR="005613AB" w:rsidRPr="00BE1959" w:rsidRDefault="005613AB" w:rsidP="008459D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1.   </w:t>
      </w:r>
      <w:r w:rsidR="001F5C90" w:rsidRPr="00BE1959">
        <w:rPr>
          <w:rFonts w:ascii="Times New Roman" w:eastAsia="Times New Roman" w:hAnsi="Times New Roman" w:cs="Times New Roman"/>
          <w:sz w:val="24"/>
          <w:szCs w:val="24"/>
          <w:lang w:val="uk-UA"/>
        </w:rPr>
        <w:t>Держави-члени</w:t>
      </w:r>
      <w:r w:rsidRPr="00BE1959">
        <w:rPr>
          <w:rFonts w:ascii="Times New Roman" w:eastAsia="Times New Roman" w:hAnsi="Times New Roman" w:cs="Times New Roman"/>
          <w:sz w:val="24"/>
          <w:szCs w:val="24"/>
          <w:lang w:val="uk-UA"/>
        </w:rPr>
        <w:t xml:space="preserve"> </w:t>
      </w:r>
      <w:r w:rsidR="007E5E54" w:rsidRPr="00BE1959">
        <w:rPr>
          <w:rFonts w:ascii="Times New Roman" w:eastAsia="Times New Roman" w:hAnsi="Times New Roman" w:cs="Times New Roman"/>
          <w:sz w:val="24"/>
          <w:szCs w:val="24"/>
          <w:lang w:val="uk-UA"/>
        </w:rPr>
        <w:t>вимагають, щоб будь-яка фізична чи юридична особа або такі особи, діючі у згоді (далі – «пропонований покупець»</w:t>
      </w:r>
      <w:r w:rsidR="001B18BC" w:rsidRPr="00BE1959">
        <w:rPr>
          <w:rFonts w:ascii="Times New Roman" w:eastAsia="Times New Roman" w:hAnsi="Times New Roman" w:cs="Times New Roman"/>
          <w:sz w:val="24"/>
          <w:szCs w:val="24"/>
          <w:lang w:val="uk-UA"/>
        </w:rPr>
        <w:t>), які ухвалили рішення або про придбання, пряме чи опосередковане, кваліфікованої частки участі в інвестиційній фірмі, або про подальше збільшення, пряме чи опосередковане, такої кваліфікованої частки участі в інвестиційній фірмі</w:t>
      </w:r>
      <w:r w:rsidR="005637FF" w:rsidRPr="00BE1959">
        <w:rPr>
          <w:rFonts w:ascii="Times New Roman" w:eastAsia="Times New Roman" w:hAnsi="Times New Roman" w:cs="Times New Roman"/>
          <w:sz w:val="24"/>
          <w:szCs w:val="24"/>
          <w:lang w:val="uk-UA"/>
        </w:rPr>
        <w:t xml:space="preserve">, у результаті чого належна їм частка прав голосу або капіталу сягне </w:t>
      </w:r>
      <w:r w:rsidR="005637FF" w:rsidRPr="00BE1959">
        <w:rPr>
          <w:rFonts w:ascii="Times New Roman" w:eastAsia="Times New Roman" w:hAnsi="Times New Roman" w:cs="Times New Roman"/>
          <w:sz w:val="24"/>
          <w:szCs w:val="24"/>
          <w:lang w:val="uk-UA"/>
        </w:rPr>
        <w:lastRenderedPageBreak/>
        <w:t>або перевищить 20%, 30% або 50% або інвестиційна фірма стане дочірнім підприємством</w:t>
      </w:r>
      <w:r w:rsidR="001F716F" w:rsidRPr="00BE1959">
        <w:rPr>
          <w:rFonts w:ascii="Times New Roman" w:eastAsia="Times New Roman" w:hAnsi="Times New Roman" w:cs="Times New Roman"/>
          <w:sz w:val="24"/>
          <w:szCs w:val="24"/>
          <w:lang w:val="uk-UA"/>
        </w:rPr>
        <w:t xml:space="preserve"> пропонованого покупця (далі – «про</w:t>
      </w:r>
      <w:r w:rsidR="005941D4" w:rsidRPr="00BE1959">
        <w:rPr>
          <w:rFonts w:ascii="Times New Roman" w:eastAsia="Times New Roman" w:hAnsi="Times New Roman" w:cs="Times New Roman"/>
          <w:sz w:val="24"/>
          <w:szCs w:val="24"/>
          <w:lang w:val="uk-UA"/>
        </w:rPr>
        <w:t xml:space="preserve">поноване придбання»), спочатку письмово </w:t>
      </w:r>
      <w:r w:rsidR="00EB41EA" w:rsidRPr="00BE1959">
        <w:rPr>
          <w:rFonts w:ascii="Times New Roman" w:eastAsia="Times New Roman" w:hAnsi="Times New Roman" w:cs="Times New Roman"/>
          <w:sz w:val="24"/>
          <w:szCs w:val="24"/>
          <w:lang w:val="uk-UA"/>
        </w:rPr>
        <w:t xml:space="preserve">повідомили компетентні органи інвестиційної фірми, в якій вони планують придбати або збільшити кваліфіковану частку участі, зазначивши розмір цієї частки та подавши </w:t>
      </w:r>
      <w:r w:rsidR="008459DB" w:rsidRPr="00BE1959">
        <w:rPr>
          <w:rFonts w:ascii="Times New Roman" w:eastAsia="Times New Roman" w:hAnsi="Times New Roman" w:cs="Times New Roman"/>
          <w:sz w:val="24"/>
          <w:szCs w:val="24"/>
          <w:lang w:val="uk-UA"/>
        </w:rPr>
        <w:t xml:space="preserve">відповідну інформацію, згадану </w:t>
      </w:r>
      <w:r w:rsidR="005E1C03" w:rsidRPr="00BE1959">
        <w:rPr>
          <w:rFonts w:ascii="Times New Roman" w:eastAsia="Times New Roman" w:hAnsi="Times New Roman" w:cs="Times New Roman"/>
          <w:sz w:val="24"/>
          <w:szCs w:val="24"/>
          <w:lang w:val="uk-UA"/>
        </w:rPr>
        <w:t>у статті</w:t>
      </w:r>
      <w:r w:rsidRPr="00BE1959">
        <w:rPr>
          <w:rFonts w:ascii="Times New Roman" w:eastAsia="Times New Roman" w:hAnsi="Times New Roman" w:cs="Times New Roman"/>
          <w:sz w:val="24"/>
          <w:szCs w:val="24"/>
          <w:lang w:val="uk-UA"/>
        </w:rPr>
        <w:t xml:space="preserve"> 13(4).</w:t>
      </w:r>
    </w:p>
    <w:p w:rsidR="005613AB" w:rsidRPr="00BE1959" w:rsidRDefault="001F5C90" w:rsidP="005637FF">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Держави-члени</w:t>
      </w:r>
      <w:r w:rsidR="005613AB" w:rsidRPr="00BE1959">
        <w:rPr>
          <w:rFonts w:ascii="Times New Roman" w:eastAsia="Times New Roman" w:hAnsi="Times New Roman" w:cs="Times New Roman"/>
          <w:sz w:val="24"/>
          <w:szCs w:val="24"/>
          <w:lang w:val="uk-UA"/>
        </w:rPr>
        <w:t xml:space="preserve"> </w:t>
      </w:r>
      <w:r w:rsidR="00EB41EA" w:rsidRPr="00BE1959">
        <w:rPr>
          <w:rFonts w:ascii="Times New Roman" w:eastAsia="Times New Roman" w:hAnsi="Times New Roman" w:cs="Times New Roman"/>
          <w:sz w:val="24"/>
          <w:szCs w:val="24"/>
          <w:lang w:val="uk-UA"/>
        </w:rPr>
        <w:t>вимагають, щоб будь-яка фізична чи юридична особа, яка ухвалила рішення про продаж, прямий чи опосередкований, кваліфікованої частки участі в інвестиційній фірмі, спочатку повідомила компетентн</w:t>
      </w:r>
      <w:r w:rsidR="00E94743" w:rsidRPr="00BE1959">
        <w:rPr>
          <w:rFonts w:ascii="Times New Roman" w:eastAsia="Times New Roman" w:hAnsi="Times New Roman" w:cs="Times New Roman"/>
          <w:sz w:val="24"/>
          <w:szCs w:val="24"/>
          <w:lang w:val="uk-UA"/>
        </w:rPr>
        <w:t>і</w:t>
      </w:r>
      <w:r w:rsidR="00EB41EA" w:rsidRPr="00BE1959">
        <w:rPr>
          <w:rFonts w:ascii="Times New Roman" w:eastAsia="Times New Roman" w:hAnsi="Times New Roman" w:cs="Times New Roman"/>
          <w:sz w:val="24"/>
          <w:szCs w:val="24"/>
          <w:lang w:val="uk-UA"/>
        </w:rPr>
        <w:t xml:space="preserve"> органи інвестиційної фірми, зазначив</w:t>
      </w:r>
      <w:r w:rsidR="00E94743" w:rsidRPr="00BE1959">
        <w:rPr>
          <w:rFonts w:ascii="Times New Roman" w:eastAsia="Times New Roman" w:hAnsi="Times New Roman" w:cs="Times New Roman"/>
          <w:sz w:val="24"/>
          <w:szCs w:val="24"/>
          <w:lang w:val="uk-UA"/>
        </w:rPr>
        <w:t>ши розмір цієї частки. Така особа також повідомляє компетентні органи, якщо вона ухвалила рішення про зменшення своєї кваліфікованої частки участі</w:t>
      </w:r>
      <w:r w:rsidR="005637FF" w:rsidRPr="00BE1959">
        <w:rPr>
          <w:rFonts w:ascii="Times New Roman" w:eastAsia="Times New Roman" w:hAnsi="Times New Roman" w:cs="Times New Roman"/>
          <w:sz w:val="24"/>
          <w:szCs w:val="24"/>
          <w:lang w:val="uk-UA"/>
        </w:rPr>
        <w:t>, у результаті чого належна їй частка прав голосу або капіталу впаде нижче 20%, 30% або 50% або інвестиційна фірма припинить бути її дочірнім підприємством.</w:t>
      </w:r>
    </w:p>
    <w:p w:rsidR="005613AB" w:rsidRPr="00BE1959" w:rsidRDefault="00C537C2" w:rsidP="00206D1E">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Державам-членам не потрібно застосовувати</w:t>
      </w:r>
      <w:r w:rsidR="00206D1E" w:rsidRPr="00BE1959">
        <w:rPr>
          <w:rFonts w:ascii="Times New Roman" w:eastAsia="Times New Roman" w:hAnsi="Times New Roman" w:cs="Times New Roman"/>
          <w:sz w:val="24"/>
          <w:szCs w:val="24"/>
          <w:lang w:val="uk-UA"/>
        </w:rPr>
        <w:t xml:space="preserve"> 30-відсотковий поріг, якщо вони, відповідно до пп. (а) статті</w:t>
      </w:r>
      <w:r w:rsidR="005613AB" w:rsidRPr="00BE1959">
        <w:rPr>
          <w:rFonts w:ascii="Times New Roman" w:eastAsia="Times New Roman" w:hAnsi="Times New Roman" w:cs="Times New Roman"/>
          <w:sz w:val="24"/>
          <w:szCs w:val="24"/>
          <w:lang w:val="uk-UA"/>
        </w:rPr>
        <w:t xml:space="preserve"> 9(3) </w:t>
      </w:r>
      <w:r w:rsidR="00016E03" w:rsidRPr="00BE1959">
        <w:rPr>
          <w:rFonts w:ascii="Times New Roman" w:eastAsia="Times New Roman" w:hAnsi="Times New Roman" w:cs="Times New Roman"/>
          <w:sz w:val="24"/>
          <w:szCs w:val="24"/>
          <w:lang w:val="uk-UA"/>
        </w:rPr>
        <w:t>Директиви</w:t>
      </w:r>
      <w:r w:rsidR="005613AB" w:rsidRPr="00BE1959">
        <w:rPr>
          <w:rFonts w:ascii="Times New Roman" w:eastAsia="Times New Roman" w:hAnsi="Times New Roman" w:cs="Times New Roman"/>
          <w:sz w:val="24"/>
          <w:szCs w:val="24"/>
          <w:lang w:val="uk-UA"/>
        </w:rPr>
        <w:t xml:space="preserve"> 2004/109/EC, </w:t>
      </w:r>
      <w:r w:rsidR="00206D1E" w:rsidRPr="00BE1959">
        <w:rPr>
          <w:rFonts w:ascii="Times New Roman" w:eastAsia="Times New Roman" w:hAnsi="Times New Roman" w:cs="Times New Roman"/>
          <w:sz w:val="24"/>
          <w:szCs w:val="24"/>
          <w:lang w:val="uk-UA"/>
        </w:rPr>
        <w:t>застосовують поріг в одну третину.</w:t>
      </w:r>
    </w:p>
    <w:p w:rsidR="00D5179C" w:rsidRPr="00BE1959" w:rsidRDefault="00D5179C"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Установлюючи, чи виконані критерії щодо кваліфікованої частки участі, згадані у статті 10 і у цій статті, держави-члени не враховують права голосу чи акції, що можуть належати інвестиційним фірмам або кредитним установам у </w:t>
      </w:r>
      <w:r w:rsidR="000E5FBF" w:rsidRPr="00BE1959">
        <w:rPr>
          <w:rFonts w:ascii="Times New Roman" w:eastAsia="Times New Roman" w:hAnsi="Times New Roman" w:cs="Times New Roman"/>
          <w:sz w:val="24"/>
          <w:szCs w:val="24"/>
          <w:lang w:val="uk-UA"/>
        </w:rPr>
        <w:t xml:space="preserve">результаті передплати на фінансові інструменти і (або) розміщення фінансових інструментів на основі твердого зобов’язання, зазначеного у п. 6 розділу А Додатку І, за умови, що ці права, з одного боку, не здійснюються і не використовуються в інший спосіб для втручання в управління емітентом, а з іншого </w:t>
      </w:r>
      <w:r w:rsidR="00C8585B" w:rsidRPr="00BE1959">
        <w:rPr>
          <w:rFonts w:ascii="Times New Roman" w:eastAsia="Times New Roman" w:hAnsi="Times New Roman" w:cs="Times New Roman"/>
          <w:sz w:val="24"/>
          <w:szCs w:val="24"/>
          <w:lang w:val="uk-UA"/>
        </w:rPr>
        <w:t>–</w:t>
      </w:r>
      <w:r w:rsidR="000E5FBF" w:rsidRPr="00BE1959">
        <w:rPr>
          <w:rFonts w:ascii="Times New Roman" w:eastAsia="Times New Roman" w:hAnsi="Times New Roman" w:cs="Times New Roman"/>
          <w:sz w:val="24"/>
          <w:szCs w:val="24"/>
          <w:lang w:val="uk-UA"/>
        </w:rPr>
        <w:t xml:space="preserve"> </w:t>
      </w:r>
      <w:r w:rsidR="00C8585B" w:rsidRPr="00BE1959">
        <w:rPr>
          <w:rFonts w:ascii="Times New Roman" w:eastAsia="Times New Roman" w:hAnsi="Times New Roman" w:cs="Times New Roman"/>
          <w:sz w:val="24"/>
          <w:szCs w:val="24"/>
          <w:lang w:val="uk-UA"/>
        </w:rPr>
        <w:t>відчужені впродовж року після придбання.</w:t>
      </w:r>
    </w:p>
    <w:p w:rsidR="005613AB" w:rsidRPr="00BE1959" w:rsidRDefault="005613AB" w:rsidP="00C8585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2.   </w:t>
      </w:r>
      <w:r w:rsidR="00C8585B" w:rsidRPr="00BE1959">
        <w:rPr>
          <w:rFonts w:ascii="Times New Roman" w:eastAsia="Times New Roman" w:hAnsi="Times New Roman" w:cs="Times New Roman"/>
          <w:sz w:val="24"/>
          <w:szCs w:val="24"/>
          <w:lang w:val="uk-UA"/>
        </w:rPr>
        <w:t>Відповідні компетентні органи працюють на основі всебічних консультацій один з одним при проведенні оцінки, передбаченої у статті 13(1) (далі – «оцінка»), якщо пропонованим покупцем є один із наступних суб’єктів:</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9093"/>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3E6C14" w:rsidP="0022490C">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кредитна установа, організація страхування життя, страхова компанія, організація перестрахування, інвестиційна фірма або управляюча компанія</w:t>
            </w:r>
            <w:r w:rsidR="005D07E1" w:rsidRPr="00BE1959">
              <w:rPr>
                <w:rFonts w:ascii="Times New Roman" w:eastAsia="Times New Roman" w:hAnsi="Times New Roman" w:cs="Times New Roman"/>
                <w:sz w:val="24"/>
                <w:szCs w:val="24"/>
                <w:lang w:val="uk-UA"/>
              </w:rPr>
              <w:t xml:space="preserve"> </w:t>
            </w:r>
            <w:r w:rsidR="0022490C" w:rsidRPr="00BE1959">
              <w:rPr>
                <w:rFonts w:ascii="Times New Roman" w:eastAsia="Times New Roman" w:hAnsi="Times New Roman" w:cs="Times New Roman"/>
                <w:sz w:val="24"/>
                <w:szCs w:val="24"/>
                <w:lang w:val="uk-UA"/>
              </w:rPr>
              <w:t>UCITS, що отримала дозвіл у іншій державі-члені або в іншій галузі, ніж та, в якій пропонується придбання;</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6E7835" w:rsidP="0022490C">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материнське підприємство кредитної установи, організації страхування життя, страхової компанії, організації перестрахування, інвестиційної фірми або управляючої компанії UCITS, що отримало дозвіл у іншій державі-члені або в іншій галузі, ніж та, в якій пропонується придбання; або</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9093"/>
      </w:tblGrid>
      <w:tr w:rsidR="00DE3173"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6E7835" w:rsidP="006E7835">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фізична або юридична особа, яка контролює кредитну установу, організацію страхування життя, страхову компанію, організацію перестрахування, інвестиційну фірму або управляючу компанію UCITS, що отримала дозвіл у іншій державі-члені або в іншій галузі, ніж та, в якій пропонується придбання.</w:t>
            </w:r>
          </w:p>
        </w:tc>
      </w:tr>
    </w:tbl>
    <w:p w:rsidR="005C2100" w:rsidRPr="00BE1959" w:rsidRDefault="007E2686" w:rsidP="0019656A">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Компетентні органи</w:t>
      </w:r>
      <w:r w:rsidR="0019656A" w:rsidRPr="00BE1959">
        <w:rPr>
          <w:rFonts w:ascii="Times New Roman" w:eastAsia="Times New Roman" w:hAnsi="Times New Roman" w:cs="Times New Roman"/>
          <w:sz w:val="24"/>
          <w:szCs w:val="24"/>
          <w:lang w:val="uk-UA"/>
        </w:rPr>
        <w:t xml:space="preserve"> без необґрунтованих затримок надають один одному будь-яку інформацію, що є </w:t>
      </w:r>
      <w:r w:rsidR="003C1245" w:rsidRPr="00BE1959">
        <w:rPr>
          <w:rFonts w:ascii="Times New Roman" w:eastAsia="Times New Roman" w:hAnsi="Times New Roman" w:cs="Times New Roman"/>
          <w:sz w:val="24"/>
          <w:szCs w:val="24"/>
          <w:lang w:val="uk-UA"/>
        </w:rPr>
        <w:t xml:space="preserve">істотною або актуальною </w:t>
      </w:r>
      <w:r w:rsidR="0019656A" w:rsidRPr="00BE1959">
        <w:rPr>
          <w:rFonts w:ascii="Times New Roman" w:eastAsia="Times New Roman" w:hAnsi="Times New Roman" w:cs="Times New Roman"/>
          <w:sz w:val="24"/>
          <w:szCs w:val="24"/>
          <w:lang w:val="uk-UA"/>
        </w:rPr>
        <w:t xml:space="preserve">для </w:t>
      </w:r>
      <w:r w:rsidR="003C1245" w:rsidRPr="00BE1959">
        <w:rPr>
          <w:rFonts w:ascii="Times New Roman" w:eastAsia="Times New Roman" w:hAnsi="Times New Roman" w:cs="Times New Roman"/>
          <w:sz w:val="24"/>
          <w:szCs w:val="24"/>
          <w:lang w:val="uk-UA"/>
        </w:rPr>
        <w:t xml:space="preserve">проведення </w:t>
      </w:r>
      <w:r w:rsidR="0019656A" w:rsidRPr="00BE1959">
        <w:rPr>
          <w:rFonts w:ascii="Times New Roman" w:eastAsia="Times New Roman" w:hAnsi="Times New Roman" w:cs="Times New Roman"/>
          <w:sz w:val="24"/>
          <w:szCs w:val="24"/>
          <w:lang w:val="uk-UA"/>
        </w:rPr>
        <w:t xml:space="preserve">оцінки. У цьому відношенні </w:t>
      </w:r>
      <w:r w:rsidR="0019656A" w:rsidRPr="00BE1959">
        <w:rPr>
          <w:rFonts w:ascii="Times New Roman" w:eastAsia="Times New Roman" w:hAnsi="Times New Roman" w:cs="Times New Roman"/>
          <w:sz w:val="24"/>
          <w:szCs w:val="24"/>
          <w:lang w:val="uk-UA"/>
        </w:rPr>
        <w:lastRenderedPageBreak/>
        <w:t>к</w:t>
      </w:r>
      <w:r w:rsidRPr="00BE1959">
        <w:rPr>
          <w:rFonts w:ascii="Times New Roman" w:eastAsia="Times New Roman" w:hAnsi="Times New Roman" w:cs="Times New Roman"/>
          <w:sz w:val="24"/>
          <w:szCs w:val="24"/>
          <w:lang w:val="uk-UA"/>
        </w:rPr>
        <w:t>омпетентні органи</w:t>
      </w:r>
      <w:r w:rsidR="005613AB" w:rsidRPr="00BE1959">
        <w:rPr>
          <w:rFonts w:ascii="Times New Roman" w:eastAsia="Times New Roman" w:hAnsi="Times New Roman" w:cs="Times New Roman"/>
          <w:sz w:val="24"/>
          <w:szCs w:val="24"/>
          <w:lang w:val="uk-UA"/>
        </w:rPr>
        <w:t xml:space="preserve"> </w:t>
      </w:r>
      <w:r w:rsidR="003C1245" w:rsidRPr="00BE1959">
        <w:rPr>
          <w:rFonts w:ascii="Times New Roman" w:eastAsia="Times New Roman" w:hAnsi="Times New Roman" w:cs="Times New Roman"/>
          <w:sz w:val="24"/>
          <w:szCs w:val="24"/>
          <w:lang w:val="uk-UA"/>
        </w:rPr>
        <w:t>на вимогу доводять усю актуальну інформацію до відома один одного, а всю істотну інформацію надають за власною ініціативою. У рішенні компетентного органу, який надав дозвіл інвестиційній фірмі, в якій пропонується здійснити придбання, наводяться думки та застереження, висловлені компетентним органом, який відповідає за пропонованого покупця.</w:t>
      </w:r>
    </w:p>
    <w:p w:rsidR="00F947D7"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3.   </w:t>
      </w:r>
      <w:r w:rsidR="001F5C90" w:rsidRPr="00BE1959">
        <w:rPr>
          <w:rFonts w:ascii="Times New Roman" w:eastAsia="Times New Roman" w:hAnsi="Times New Roman" w:cs="Times New Roman"/>
          <w:sz w:val="24"/>
          <w:szCs w:val="24"/>
          <w:lang w:val="uk-UA"/>
        </w:rPr>
        <w:t>Держави-члени</w:t>
      </w:r>
      <w:r w:rsidRPr="00BE1959">
        <w:rPr>
          <w:rFonts w:ascii="Times New Roman" w:eastAsia="Times New Roman" w:hAnsi="Times New Roman" w:cs="Times New Roman"/>
          <w:sz w:val="24"/>
          <w:szCs w:val="24"/>
          <w:lang w:val="uk-UA"/>
        </w:rPr>
        <w:t xml:space="preserve"> </w:t>
      </w:r>
      <w:r w:rsidR="00F947D7" w:rsidRPr="00BE1959">
        <w:rPr>
          <w:rFonts w:ascii="Times New Roman" w:eastAsia="Times New Roman" w:hAnsi="Times New Roman" w:cs="Times New Roman"/>
          <w:sz w:val="24"/>
          <w:szCs w:val="24"/>
          <w:lang w:val="uk-UA"/>
        </w:rPr>
        <w:t xml:space="preserve">вимагають, щоб у випадку, якщо інвестиційній фірмі стає відомо про будь-які придбання чи відчуження часток участі у її капіталі, в результаті яких </w:t>
      </w:r>
      <w:r w:rsidR="00810805" w:rsidRPr="00BE1959">
        <w:rPr>
          <w:rFonts w:ascii="Times New Roman" w:eastAsia="Times New Roman" w:hAnsi="Times New Roman" w:cs="Times New Roman"/>
          <w:sz w:val="24"/>
          <w:szCs w:val="24"/>
          <w:lang w:val="uk-UA"/>
        </w:rPr>
        <w:t>розміри цих часток перевищують будь-який з порогів, зазначених у першому абзаці пункту 1, або падають нижче будь-якого з цих порогів, інвестиційна фірма повинна без затримок повідомити про це компетентний орган</w:t>
      </w:r>
      <w:r w:rsidR="009E64C3" w:rsidRPr="00BE1959">
        <w:rPr>
          <w:rFonts w:ascii="Times New Roman" w:eastAsia="Times New Roman" w:hAnsi="Times New Roman" w:cs="Times New Roman"/>
          <w:sz w:val="24"/>
          <w:szCs w:val="24"/>
          <w:lang w:val="uk-UA"/>
        </w:rPr>
        <w:t>.</w:t>
      </w:r>
    </w:p>
    <w:p w:rsidR="009E64C3" w:rsidRPr="00BE1959" w:rsidRDefault="009E64C3"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Щонайменше раз на рік інвестиційні фірми також повідомляють компетентному органові прізвища акціонерів і членів, які володіють кваліфікованими частками участі, та розміри таких часток</w:t>
      </w:r>
      <w:r w:rsidR="00BE3639" w:rsidRPr="00BE1959">
        <w:rPr>
          <w:rFonts w:ascii="Times New Roman" w:eastAsia="Times New Roman" w:hAnsi="Times New Roman" w:cs="Times New Roman"/>
          <w:sz w:val="24"/>
          <w:szCs w:val="24"/>
          <w:lang w:val="uk-UA"/>
        </w:rPr>
        <w:t>, наведені, наприклад, в інформації, отриманій на річних загальних зборах акціонерів і членів або в результаті дотримання нормативних актів, застосовних до компаній, чиї оборотні цінні папери допущені до торгівлі на регульованому ринку.</w:t>
      </w:r>
    </w:p>
    <w:p w:rsidR="005613AB" w:rsidRPr="00BE1959" w:rsidRDefault="005613AB" w:rsidP="00D734D6">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4.   </w:t>
      </w:r>
      <w:r w:rsidR="001F5C90" w:rsidRPr="00BE1959">
        <w:rPr>
          <w:rFonts w:ascii="Times New Roman" w:eastAsia="Times New Roman" w:hAnsi="Times New Roman" w:cs="Times New Roman"/>
          <w:sz w:val="24"/>
          <w:szCs w:val="24"/>
          <w:lang w:val="uk-UA"/>
        </w:rPr>
        <w:t>Держави-члени</w:t>
      </w:r>
      <w:r w:rsidRPr="00BE1959">
        <w:rPr>
          <w:rFonts w:ascii="Times New Roman" w:eastAsia="Times New Roman" w:hAnsi="Times New Roman" w:cs="Times New Roman"/>
          <w:sz w:val="24"/>
          <w:szCs w:val="24"/>
          <w:lang w:val="uk-UA"/>
        </w:rPr>
        <w:t xml:space="preserve"> </w:t>
      </w:r>
      <w:r w:rsidR="00BE3639" w:rsidRPr="00BE1959">
        <w:rPr>
          <w:rFonts w:ascii="Times New Roman" w:eastAsia="Times New Roman" w:hAnsi="Times New Roman" w:cs="Times New Roman"/>
          <w:sz w:val="24"/>
          <w:szCs w:val="24"/>
          <w:lang w:val="uk-UA"/>
        </w:rPr>
        <w:t xml:space="preserve">вимагають, щоб компетентні органи вживали заходів, аналогічних наведеним у статті 10(3), стосовно осіб, які не виконують обов’язок із попереднього надання інформації про придбання або збільшення кваліфікованої частки участі. Якщо частка участі придбавається попри </w:t>
      </w:r>
      <w:r w:rsidR="00D734D6" w:rsidRPr="00BE1959">
        <w:rPr>
          <w:rFonts w:ascii="Times New Roman" w:eastAsia="Times New Roman" w:hAnsi="Times New Roman" w:cs="Times New Roman"/>
          <w:sz w:val="24"/>
          <w:szCs w:val="24"/>
          <w:lang w:val="uk-UA"/>
        </w:rPr>
        <w:t>заперечення компетентних органів, то д</w:t>
      </w:r>
      <w:r w:rsidR="001F5C90" w:rsidRPr="00BE1959">
        <w:rPr>
          <w:rFonts w:ascii="Times New Roman" w:eastAsia="Times New Roman" w:hAnsi="Times New Roman" w:cs="Times New Roman"/>
          <w:sz w:val="24"/>
          <w:szCs w:val="24"/>
          <w:lang w:val="uk-UA"/>
        </w:rPr>
        <w:t>ержави-члени</w:t>
      </w:r>
      <w:r w:rsidRPr="00BE1959">
        <w:rPr>
          <w:rFonts w:ascii="Times New Roman" w:eastAsia="Times New Roman" w:hAnsi="Times New Roman" w:cs="Times New Roman"/>
          <w:sz w:val="24"/>
          <w:szCs w:val="24"/>
          <w:lang w:val="uk-UA"/>
        </w:rPr>
        <w:t xml:space="preserve">, </w:t>
      </w:r>
      <w:r w:rsidR="00D734D6" w:rsidRPr="00BE1959">
        <w:rPr>
          <w:rFonts w:ascii="Times New Roman" w:eastAsia="Times New Roman" w:hAnsi="Times New Roman" w:cs="Times New Roman"/>
          <w:sz w:val="24"/>
          <w:szCs w:val="24"/>
          <w:lang w:val="uk-UA"/>
        </w:rPr>
        <w:t>незалежно від будь-яких інших санкцій, що накладатимуться, передбачають або призупинення здійснення відповідних прав голосу, або визнання поданих голосів недійсними, або можливість їхнього анулювання.</w:t>
      </w:r>
    </w:p>
    <w:p w:rsidR="005613AB" w:rsidRPr="00BE1959" w:rsidRDefault="00162A11" w:rsidP="005613AB">
      <w:pPr>
        <w:spacing w:before="360" w:after="120" w:line="312" w:lineRule="atLeast"/>
        <w:jc w:val="center"/>
        <w:textAlignment w:val="baseline"/>
        <w:rPr>
          <w:rFonts w:ascii="Times New Roman" w:eastAsia="Times New Roman" w:hAnsi="Times New Roman" w:cs="Times New Roman"/>
          <w:i/>
          <w:iCs/>
          <w:sz w:val="24"/>
          <w:szCs w:val="24"/>
          <w:lang w:val="uk-UA"/>
        </w:rPr>
      </w:pPr>
      <w:r w:rsidRPr="00BE1959">
        <w:rPr>
          <w:rFonts w:ascii="Times New Roman" w:eastAsia="Times New Roman" w:hAnsi="Times New Roman" w:cs="Times New Roman"/>
          <w:i/>
          <w:iCs/>
          <w:sz w:val="24"/>
          <w:szCs w:val="24"/>
          <w:lang w:val="uk-UA"/>
        </w:rPr>
        <w:t>Стаття</w:t>
      </w:r>
      <w:r w:rsidR="005613AB" w:rsidRPr="00BE1959">
        <w:rPr>
          <w:rFonts w:ascii="Times New Roman" w:eastAsia="Times New Roman" w:hAnsi="Times New Roman" w:cs="Times New Roman"/>
          <w:i/>
          <w:iCs/>
          <w:sz w:val="24"/>
          <w:szCs w:val="24"/>
          <w:lang w:val="uk-UA"/>
        </w:rPr>
        <w:t xml:space="preserve"> 12</w:t>
      </w:r>
    </w:p>
    <w:p w:rsidR="005613AB" w:rsidRPr="00BE1959" w:rsidRDefault="00BE673D" w:rsidP="005613AB">
      <w:pPr>
        <w:spacing w:before="60" w:after="120" w:line="312" w:lineRule="atLeast"/>
        <w:jc w:val="center"/>
        <w:textAlignment w:val="baseline"/>
        <w:rPr>
          <w:rFonts w:ascii="Times New Roman" w:eastAsia="Times New Roman" w:hAnsi="Times New Roman" w:cs="Times New Roman"/>
          <w:b/>
          <w:bCs/>
          <w:sz w:val="24"/>
          <w:szCs w:val="24"/>
          <w:lang w:val="uk-UA"/>
        </w:rPr>
      </w:pPr>
      <w:r w:rsidRPr="00BE1959">
        <w:rPr>
          <w:rFonts w:ascii="Times New Roman" w:eastAsia="Times New Roman" w:hAnsi="Times New Roman" w:cs="Times New Roman"/>
          <w:b/>
          <w:bCs/>
          <w:sz w:val="24"/>
          <w:szCs w:val="24"/>
          <w:lang w:val="uk-UA"/>
        </w:rPr>
        <w:t>Період оцінки</w:t>
      </w:r>
    </w:p>
    <w:p w:rsidR="005613AB" w:rsidRPr="00BE1959" w:rsidRDefault="005613AB" w:rsidP="00D22B10">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1.   </w:t>
      </w:r>
      <w:r w:rsidR="007E2686" w:rsidRPr="00BE1959">
        <w:rPr>
          <w:rFonts w:ascii="Times New Roman" w:eastAsia="Times New Roman" w:hAnsi="Times New Roman" w:cs="Times New Roman"/>
          <w:sz w:val="24"/>
          <w:szCs w:val="24"/>
          <w:lang w:val="uk-UA"/>
        </w:rPr>
        <w:t>Компетентні органи</w:t>
      </w:r>
      <w:r w:rsidRPr="00BE1959">
        <w:rPr>
          <w:rFonts w:ascii="Times New Roman" w:eastAsia="Times New Roman" w:hAnsi="Times New Roman" w:cs="Times New Roman"/>
          <w:sz w:val="24"/>
          <w:szCs w:val="24"/>
          <w:lang w:val="uk-UA"/>
        </w:rPr>
        <w:t xml:space="preserve">, </w:t>
      </w:r>
      <w:r w:rsidR="00E749DE" w:rsidRPr="00BE1959">
        <w:rPr>
          <w:rFonts w:ascii="Times New Roman" w:eastAsia="Times New Roman" w:hAnsi="Times New Roman" w:cs="Times New Roman"/>
          <w:sz w:val="24"/>
          <w:szCs w:val="24"/>
          <w:lang w:val="uk-UA"/>
        </w:rPr>
        <w:t xml:space="preserve">невідкладно й у будь-якому випадку не пізніше, ніж через два робочі дні, після отримання повідомлення, потрібного згідно з першим абзацом п. 1 статті 11, а також після можливого наступного отримання інформації, згаданої у п. 2 цієї статті, </w:t>
      </w:r>
      <w:r w:rsidR="00D22B10" w:rsidRPr="00BE1959">
        <w:rPr>
          <w:rFonts w:ascii="Times New Roman" w:eastAsia="Times New Roman" w:hAnsi="Times New Roman" w:cs="Times New Roman"/>
          <w:sz w:val="24"/>
          <w:szCs w:val="24"/>
          <w:lang w:val="uk-UA"/>
        </w:rPr>
        <w:t xml:space="preserve">письмово </w:t>
      </w:r>
      <w:r w:rsidR="00E749DE" w:rsidRPr="00BE1959">
        <w:rPr>
          <w:rFonts w:ascii="Times New Roman" w:eastAsia="Times New Roman" w:hAnsi="Times New Roman" w:cs="Times New Roman"/>
          <w:sz w:val="24"/>
          <w:szCs w:val="24"/>
          <w:lang w:val="uk-UA"/>
        </w:rPr>
        <w:t xml:space="preserve">підтверджують </w:t>
      </w:r>
      <w:r w:rsidR="00D22B10" w:rsidRPr="00BE1959">
        <w:rPr>
          <w:rFonts w:ascii="Times New Roman" w:eastAsia="Times New Roman" w:hAnsi="Times New Roman" w:cs="Times New Roman"/>
          <w:sz w:val="24"/>
          <w:szCs w:val="24"/>
          <w:lang w:val="uk-UA"/>
        </w:rPr>
        <w:t xml:space="preserve">пропонованому покупцю </w:t>
      </w:r>
      <w:r w:rsidR="00E749DE" w:rsidRPr="00BE1959">
        <w:rPr>
          <w:rFonts w:ascii="Times New Roman" w:eastAsia="Times New Roman" w:hAnsi="Times New Roman" w:cs="Times New Roman"/>
          <w:sz w:val="24"/>
          <w:szCs w:val="24"/>
          <w:lang w:val="uk-UA"/>
        </w:rPr>
        <w:t xml:space="preserve">її </w:t>
      </w:r>
      <w:r w:rsidR="00D22B10" w:rsidRPr="00BE1959">
        <w:rPr>
          <w:rFonts w:ascii="Times New Roman" w:eastAsia="Times New Roman" w:hAnsi="Times New Roman" w:cs="Times New Roman"/>
          <w:sz w:val="24"/>
          <w:szCs w:val="24"/>
          <w:lang w:val="uk-UA"/>
        </w:rPr>
        <w:t>отримання.</w:t>
      </w:r>
    </w:p>
    <w:p w:rsidR="005613AB" w:rsidRPr="00BE1959" w:rsidRDefault="00D22B10" w:rsidP="00D22B10">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Для проведення оцінки к</w:t>
      </w:r>
      <w:r w:rsidR="007E2686" w:rsidRPr="00BE1959">
        <w:rPr>
          <w:rFonts w:ascii="Times New Roman" w:eastAsia="Times New Roman" w:hAnsi="Times New Roman" w:cs="Times New Roman"/>
          <w:sz w:val="24"/>
          <w:szCs w:val="24"/>
          <w:lang w:val="uk-UA"/>
        </w:rPr>
        <w:t>омпетентні органи</w:t>
      </w:r>
      <w:r w:rsidR="005613AB" w:rsidRPr="00BE1959">
        <w:rPr>
          <w:rFonts w:ascii="Times New Roman" w:eastAsia="Times New Roman" w:hAnsi="Times New Roman" w:cs="Times New Roman"/>
          <w:sz w:val="24"/>
          <w:szCs w:val="24"/>
          <w:lang w:val="uk-UA"/>
        </w:rPr>
        <w:t xml:space="preserve"> </w:t>
      </w:r>
      <w:r w:rsidRPr="00BE1959">
        <w:rPr>
          <w:rFonts w:ascii="Times New Roman" w:eastAsia="Times New Roman" w:hAnsi="Times New Roman" w:cs="Times New Roman"/>
          <w:sz w:val="24"/>
          <w:szCs w:val="24"/>
          <w:lang w:val="uk-UA"/>
        </w:rPr>
        <w:t xml:space="preserve">мають максимум шістдесят робочих днів </w:t>
      </w:r>
      <w:r w:rsidR="00C946E1" w:rsidRPr="00BE1959">
        <w:rPr>
          <w:rFonts w:ascii="Times New Roman" w:eastAsia="Times New Roman" w:hAnsi="Times New Roman" w:cs="Times New Roman"/>
          <w:sz w:val="24"/>
          <w:szCs w:val="24"/>
          <w:lang w:val="uk-UA"/>
        </w:rPr>
        <w:t>і</w:t>
      </w:r>
      <w:r w:rsidRPr="00BE1959">
        <w:rPr>
          <w:rFonts w:ascii="Times New Roman" w:eastAsia="Times New Roman" w:hAnsi="Times New Roman" w:cs="Times New Roman"/>
          <w:sz w:val="24"/>
          <w:szCs w:val="24"/>
          <w:lang w:val="uk-UA"/>
        </w:rPr>
        <w:t>з дати письмового підтвердження отримання вищезгаданого повідомлення та всіх документів, що на вимогу держави-члена повинні бути додані до повідомлення згідно з переліком, згаданим у</w:t>
      </w:r>
      <w:r w:rsidR="005E1C03" w:rsidRPr="00BE1959">
        <w:rPr>
          <w:rFonts w:ascii="Times New Roman" w:eastAsia="Times New Roman" w:hAnsi="Times New Roman" w:cs="Times New Roman"/>
          <w:sz w:val="24"/>
          <w:szCs w:val="24"/>
          <w:lang w:val="uk-UA"/>
        </w:rPr>
        <w:t xml:space="preserve"> статті</w:t>
      </w:r>
      <w:r w:rsidR="005613AB" w:rsidRPr="00BE1959">
        <w:rPr>
          <w:rFonts w:ascii="Times New Roman" w:eastAsia="Times New Roman" w:hAnsi="Times New Roman" w:cs="Times New Roman"/>
          <w:sz w:val="24"/>
          <w:szCs w:val="24"/>
          <w:lang w:val="uk-UA"/>
        </w:rPr>
        <w:t xml:space="preserve"> 13(4) (</w:t>
      </w:r>
      <w:r w:rsidR="00C946E1" w:rsidRPr="00BE1959">
        <w:rPr>
          <w:rFonts w:ascii="Times New Roman" w:eastAsia="Times New Roman" w:hAnsi="Times New Roman" w:cs="Times New Roman"/>
          <w:sz w:val="24"/>
          <w:szCs w:val="24"/>
          <w:lang w:val="uk-UA"/>
        </w:rPr>
        <w:t>далі – «період оцінки»).</w:t>
      </w:r>
    </w:p>
    <w:p w:rsidR="00C946E1" w:rsidRPr="00BE1959" w:rsidRDefault="007E2686" w:rsidP="00C946E1">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Компетентні органи</w:t>
      </w:r>
      <w:r w:rsidR="005613AB" w:rsidRPr="00BE1959">
        <w:rPr>
          <w:rFonts w:ascii="Times New Roman" w:eastAsia="Times New Roman" w:hAnsi="Times New Roman" w:cs="Times New Roman"/>
          <w:sz w:val="24"/>
          <w:szCs w:val="24"/>
          <w:lang w:val="uk-UA"/>
        </w:rPr>
        <w:t xml:space="preserve"> </w:t>
      </w:r>
      <w:r w:rsidR="00C946E1" w:rsidRPr="00BE1959">
        <w:rPr>
          <w:rFonts w:ascii="Times New Roman" w:eastAsia="Times New Roman" w:hAnsi="Times New Roman" w:cs="Times New Roman"/>
          <w:sz w:val="24"/>
          <w:szCs w:val="24"/>
          <w:lang w:val="uk-UA"/>
        </w:rPr>
        <w:t>інформують пропонованого покупця про дату закінчення періоду оцінки в момент підтвердження отримання вищезгаданого повідомлення і документів.</w:t>
      </w:r>
    </w:p>
    <w:p w:rsidR="00C946E1"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2.   </w:t>
      </w:r>
      <w:r w:rsidR="00C946E1" w:rsidRPr="00BE1959">
        <w:rPr>
          <w:rFonts w:ascii="Times New Roman" w:eastAsia="Times New Roman" w:hAnsi="Times New Roman" w:cs="Times New Roman"/>
          <w:sz w:val="24"/>
          <w:szCs w:val="24"/>
          <w:lang w:val="uk-UA"/>
        </w:rPr>
        <w:t xml:space="preserve">Компетентні органи упродовж періоду оцінки можуть, у необхідних випадках, але не пізніше, ніж на п’ятдесятий робочий день періоду оцінки, зажадати надання додаткової </w:t>
      </w:r>
      <w:r w:rsidR="00C946E1" w:rsidRPr="00BE1959">
        <w:rPr>
          <w:rFonts w:ascii="Times New Roman" w:eastAsia="Times New Roman" w:hAnsi="Times New Roman" w:cs="Times New Roman"/>
          <w:sz w:val="24"/>
          <w:szCs w:val="24"/>
          <w:lang w:val="uk-UA"/>
        </w:rPr>
        <w:lastRenderedPageBreak/>
        <w:t>інформації, що необхідна для проведення оцінки. Такий запит оформлюється у письмовому вигляді з зазначенням необхідної додаткової інформації.</w:t>
      </w:r>
    </w:p>
    <w:p w:rsidR="00403261" w:rsidRPr="00BE1959" w:rsidRDefault="00403261"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Період оцінки переривається на період із дати запиту інформації компетентними органами до дати отримання відповіді на цей запит від пропонованого </w:t>
      </w:r>
      <w:r w:rsidR="00707751" w:rsidRPr="00BE1959">
        <w:rPr>
          <w:rFonts w:ascii="Times New Roman" w:eastAsia="Times New Roman" w:hAnsi="Times New Roman" w:cs="Times New Roman"/>
          <w:sz w:val="24"/>
          <w:szCs w:val="24"/>
          <w:lang w:val="uk-UA"/>
        </w:rPr>
        <w:t>покупця</w:t>
      </w:r>
      <w:r w:rsidRPr="00BE1959">
        <w:rPr>
          <w:rFonts w:ascii="Times New Roman" w:eastAsia="Times New Roman" w:hAnsi="Times New Roman" w:cs="Times New Roman"/>
          <w:sz w:val="24"/>
          <w:szCs w:val="24"/>
          <w:lang w:val="uk-UA"/>
        </w:rPr>
        <w:t>. Така перерва не повинна перевищувати 20 робочих днів. Додаткові запити компетентн</w:t>
      </w:r>
      <w:r w:rsidR="00707751" w:rsidRPr="00BE1959">
        <w:rPr>
          <w:rFonts w:ascii="Times New Roman" w:eastAsia="Times New Roman" w:hAnsi="Times New Roman" w:cs="Times New Roman"/>
          <w:sz w:val="24"/>
          <w:szCs w:val="24"/>
          <w:lang w:val="uk-UA"/>
        </w:rPr>
        <w:t>их</w:t>
      </w:r>
      <w:r w:rsidRPr="00BE1959">
        <w:rPr>
          <w:rFonts w:ascii="Times New Roman" w:eastAsia="Times New Roman" w:hAnsi="Times New Roman" w:cs="Times New Roman"/>
          <w:sz w:val="24"/>
          <w:szCs w:val="24"/>
          <w:lang w:val="uk-UA"/>
        </w:rPr>
        <w:t xml:space="preserve"> орган</w:t>
      </w:r>
      <w:r w:rsidR="00707751" w:rsidRPr="00BE1959">
        <w:rPr>
          <w:rFonts w:ascii="Times New Roman" w:eastAsia="Times New Roman" w:hAnsi="Times New Roman" w:cs="Times New Roman"/>
          <w:sz w:val="24"/>
          <w:szCs w:val="24"/>
          <w:lang w:val="uk-UA"/>
        </w:rPr>
        <w:t>ів</w:t>
      </w:r>
      <w:r w:rsidRPr="00BE1959">
        <w:rPr>
          <w:rFonts w:ascii="Times New Roman" w:eastAsia="Times New Roman" w:hAnsi="Times New Roman" w:cs="Times New Roman"/>
          <w:sz w:val="24"/>
          <w:szCs w:val="24"/>
          <w:lang w:val="uk-UA"/>
        </w:rPr>
        <w:t xml:space="preserve"> щодо доповнення або уточнення інформації надсилаються цим</w:t>
      </w:r>
      <w:r w:rsidR="00707751" w:rsidRPr="00BE1959">
        <w:rPr>
          <w:rFonts w:ascii="Times New Roman" w:eastAsia="Times New Roman" w:hAnsi="Times New Roman" w:cs="Times New Roman"/>
          <w:sz w:val="24"/>
          <w:szCs w:val="24"/>
          <w:lang w:val="uk-UA"/>
        </w:rPr>
        <w:t>и</w:t>
      </w:r>
      <w:r w:rsidRPr="00BE1959">
        <w:rPr>
          <w:rFonts w:ascii="Times New Roman" w:eastAsia="Times New Roman" w:hAnsi="Times New Roman" w:cs="Times New Roman"/>
          <w:sz w:val="24"/>
          <w:szCs w:val="24"/>
          <w:lang w:val="uk-UA"/>
        </w:rPr>
        <w:t xml:space="preserve"> орган</w:t>
      </w:r>
      <w:r w:rsidR="00707751" w:rsidRPr="00BE1959">
        <w:rPr>
          <w:rFonts w:ascii="Times New Roman" w:eastAsia="Times New Roman" w:hAnsi="Times New Roman" w:cs="Times New Roman"/>
          <w:sz w:val="24"/>
          <w:szCs w:val="24"/>
          <w:lang w:val="uk-UA"/>
        </w:rPr>
        <w:t>а</w:t>
      </w:r>
      <w:r w:rsidRPr="00BE1959">
        <w:rPr>
          <w:rFonts w:ascii="Times New Roman" w:eastAsia="Times New Roman" w:hAnsi="Times New Roman" w:cs="Times New Roman"/>
          <w:sz w:val="24"/>
          <w:szCs w:val="24"/>
          <w:lang w:val="uk-UA"/>
        </w:rPr>
        <w:t>м</w:t>
      </w:r>
      <w:r w:rsidR="00707751" w:rsidRPr="00BE1959">
        <w:rPr>
          <w:rFonts w:ascii="Times New Roman" w:eastAsia="Times New Roman" w:hAnsi="Times New Roman" w:cs="Times New Roman"/>
          <w:sz w:val="24"/>
          <w:szCs w:val="24"/>
          <w:lang w:val="uk-UA"/>
        </w:rPr>
        <w:t>и</w:t>
      </w:r>
      <w:r w:rsidRPr="00BE1959">
        <w:rPr>
          <w:rFonts w:ascii="Times New Roman" w:eastAsia="Times New Roman" w:hAnsi="Times New Roman" w:cs="Times New Roman"/>
          <w:sz w:val="24"/>
          <w:szCs w:val="24"/>
          <w:lang w:val="uk-UA"/>
        </w:rPr>
        <w:t xml:space="preserve"> на </w:t>
      </w:r>
      <w:r w:rsidR="00707751" w:rsidRPr="00BE1959">
        <w:rPr>
          <w:rFonts w:ascii="Times New Roman" w:eastAsia="Times New Roman" w:hAnsi="Times New Roman" w:cs="Times New Roman"/>
          <w:sz w:val="24"/>
          <w:szCs w:val="24"/>
          <w:lang w:val="uk-UA"/>
        </w:rPr>
        <w:t>їхній</w:t>
      </w:r>
      <w:r w:rsidRPr="00BE1959">
        <w:rPr>
          <w:rFonts w:ascii="Times New Roman" w:eastAsia="Times New Roman" w:hAnsi="Times New Roman" w:cs="Times New Roman"/>
          <w:sz w:val="24"/>
          <w:szCs w:val="24"/>
          <w:lang w:val="uk-UA"/>
        </w:rPr>
        <w:t xml:space="preserve"> розсуд, але не можуть призводити до перерви у періоді оцінки.</w:t>
      </w:r>
    </w:p>
    <w:p w:rsidR="00707751"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3.   </w:t>
      </w:r>
      <w:r w:rsidR="00707751" w:rsidRPr="00BE1959">
        <w:rPr>
          <w:rFonts w:ascii="Times New Roman" w:eastAsia="Times New Roman" w:hAnsi="Times New Roman" w:cs="Times New Roman"/>
          <w:sz w:val="24"/>
          <w:szCs w:val="24"/>
          <w:lang w:val="uk-UA"/>
        </w:rPr>
        <w:t>Компетентні органи можуть продовжити перерву, згадану в другому абзаці пункту 3 цієї статті, до 30 робочих днів, якщо пропонований покупець</w:t>
      </w:r>
      <w:r w:rsidR="00DA7F30" w:rsidRPr="00BE1959">
        <w:rPr>
          <w:rFonts w:ascii="Times New Roman" w:eastAsia="Times New Roman" w:hAnsi="Times New Roman" w:cs="Times New Roman"/>
          <w:sz w:val="24"/>
          <w:szCs w:val="24"/>
          <w:lang w:val="uk-UA"/>
        </w:rPr>
        <w:t xml:space="preserve"> є:</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30"/>
        <w:gridCol w:w="8935"/>
      </w:tblGrid>
      <w:tr w:rsidR="005613AB" w:rsidRPr="0043174D" w:rsidTr="00DA7F30">
        <w:tc>
          <w:tcPr>
            <w:tcW w:w="280"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(a)</w:t>
            </w:r>
          </w:p>
        </w:tc>
        <w:tc>
          <w:tcPr>
            <w:tcW w:w="4720"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DA7F30" w:rsidP="00DA7F30">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фізичною або юридичною особою, яка розташована поза межами Союзу або діяльність якої регулюється поза межами Союзу;</w:t>
            </w:r>
            <w:r w:rsidR="001401D7" w:rsidRPr="00BE1959">
              <w:rPr>
                <w:rFonts w:ascii="Times New Roman" w:eastAsia="Times New Roman" w:hAnsi="Times New Roman" w:cs="Times New Roman"/>
                <w:sz w:val="24"/>
                <w:szCs w:val="24"/>
                <w:lang w:val="uk-UA"/>
              </w:rPr>
              <w:t xml:space="preserve"> або</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DE3173"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DA7F30" w:rsidP="00815C12">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фізичною або юридичною особою, яка не підлягає наглядові за ц</w:t>
            </w:r>
            <w:r w:rsidR="001401D7" w:rsidRPr="00BE1959">
              <w:rPr>
                <w:rFonts w:ascii="Times New Roman" w:eastAsia="Times New Roman" w:hAnsi="Times New Roman" w:cs="Times New Roman"/>
                <w:sz w:val="24"/>
                <w:szCs w:val="24"/>
                <w:lang w:val="uk-UA"/>
              </w:rPr>
              <w:t xml:space="preserve">ією директивою або </w:t>
            </w:r>
            <w:r w:rsidR="00815C12" w:rsidRPr="00BE1959">
              <w:rPr>
                <w:rFonts w:ascii="Times New Roman" w:eastAsia="Times New Roman" w:hAnsi="Times New Roman" w:cs="Times New Roman"/>
                <w:sz w:val="24"/>
                <w:szCs w:val="24"/>
                <w:lang w:val="uk-UA"/>
              </w:rPr>
              <w:t>Д</w:t>
            </w:r>
            <w:r w:rsidR="001401D7" w:rsidRPr="00BE1959">
              <w:rPr>
                <w:rFonts w:ascii="Times New Roman" w:eastAsia="Times New Roman" w:hAnsi="Times New Roman" w:cs="Times New Roman"/>
                <w:sz w:val="24"/>
                <w:szCs w:val="24"/>
                <w:lang w:val="uk-UA"/>
              </w:rPr>
              <w:t>ирективами</w:t>
            </w:r>
            <w:r w:rsidR="005613AB" w:rsidRPr="00BE1959">
              <w:rPr>
                <w:rFonts w:ascii="Times New Roman" w:eastAsia="Times New Roman" w:hAnsi="Times New Roman" w:cs="Times New Roman"/>
                <w:sz w:val="24"/>
                <w:szCs w:val="24"/>
                <w:lang w:val="uk-UA"/>
              </w:rPr>
              <w:t xml:space="preserve"> 2009/65/EC, 2009/138/EC </w:t>
            </w:r>
            <w:r w:rsidR="001401D7" w:rsidRPr="00BE1959">
              <w:rPr>
                <w:rFonts w:ascii="Times New Roman" w:eastAsia="Times New Roman" w:hAnsi="Times New Roman" w:cs="Times New Roman"/>
                <w:sz w:val="24"/>
                <w:szCs w:val="24"/>
                <w:lang w:val="uk-UA"/>
              </w:rPr>
              <w:t>чи</w:t>
            </w:r>
            <w:r w:rsidR="005613AB" w:rsidRPr="00BE1959">
              <w:rPr>
                <w:rFonts w:ascii="Times New Roman" w:eastAsia="Times New Roman" w:hAnsi="Times New Roman" w:cs="Times New Roman"/>
                <w:sz w:val="24"/>
                <w:szCs w:val="24"/>
                <w:lang w:val="uk-UA"/>
              </w:rPr>
              <w:t xml:space="preserve"> 2013/36/EU.</w:t>
            </w:r>
          </w:p>
        </w:tc>
      </w:tr>
    </w:tbl>
    <w:p w:rsidR="005613AB" w:rsidRPr="00BE1959" w:rsidRDefault="005613AB" w:rsidP="00446C11">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4.   </w:t>
      </w:r>
      <w:r w:rsidR="00D16224" w:rsidRPr="00BE1959">
        <w:rPr>
          <w:rFonts w:ascii="Times New Roman" w:eastAsia="Times New Roman" w:hAnsi="Times New Roman" w:cs="Times New Roman"/>
          <w:sz w:val="24"/>
          <w:szCs w:val="24"/>
          <w:lang w:val="uk-UA"/>
        </w:rPr>
        <w:t>Якщо компетентні органи після завершення проведення оцінки виріши</w:t>
      </w:r>
      <w:r w:rsidR="00DB1FDD" w:rsidRPr="00BE1959">
        <w:rPr>
          <w:rFonts w:ascii="Times New Roman" w:eastAsia="Times New Roman" w:hAnsi="Times New Roman" w:cs="Times New Roman"/>
          <w:sz w:val="24"/>
          <w:szCs w:val="24"/>
          <w:lang w:val="uk-UA"/>
        </w:rPr>
        <w:t>ли</w:t>
      </w:r>
      <w:r w:rsidR="00D16224" w:rsidRPr="00BE1959">
        <w:rPr>
          <w:rFonts w:ascii="Times New Roman" w:eastAsia="Times New Roman" w:hAnsi="Times New Roman" w:cs="Times New Roman"/>
          <w:sz w:val="24"/>
          <w:szCs w:val="24"/>
          <w:lang w:val="uk-UA"/>
        </w:rPr>
        <w:t xml:space="preserve"> висловити заперечення щодо пропонованого придбання, то в</w:t>
      </w:r>
      <w:r w:rsidR="00DB1FDD" w:rsidRPr="00BE1959">
        <w:rPr>
          <w:rFonts w:ascii="Times New Roman" w:eastAsia="Times New Roman" w:hAnsi="Times New Roman" w:cs="Times New Roman"/>
          <w:sz w:val="24"/>
          <w:szCs w:val="24"/>
          <w:lang w:val="uk-UA"/>
        </w:rPr>
        <w:t>они</w:t>
      </w:r>
      <w:r w:rsidR="00D16224" w:rsidRPr="00BE1959">
        <w:rPr>
          <w:rFonts w:ascii="Times New Roman" w:eastAsia="Times New Roman" w:hAnsi="Times New Roman" w:cs="Times New Roman"/>
          <w:sz w:val="24"/>
          <w:szCs w:val="24"/>
          <w:lang w:val="uk-UA"/>
        </w:rPr>
        <w:t xml:space="preserve"> упродовж двох робочих днів, причому не пізніше закінчення періоду оцінки, інформу</w:t>
      </w:r>
      <w:r w:rsidR="00DB1FDD" w:rsidRPr="00BE1959">
        <w:rPr>
          <w:rFonts w:ascii="Times New Roman" w:eastAsia="Times New Roman" w:hAnsi="Times New Roman" w:cs="Times New Roman"/>
          <w:sz w:val="24"/>
          <w:szCs w:val="24"/>
          <w:lang w:val="uk-UA"/>
        </w:rPr>
        <w:t>ють</w:t>
      </w:r>
      <w:r w:rsidR="00D16224" w:rsidRPr="00BE1959">
        <w:rPr>
          <w:rFonts w:ascii="Times New Roman" w:eastAsia="Times New Roman" w:hAnsi="Times New Roman" w:cs="Times New Roman"/>
          <w:sz w:val="24"/>
          <w:szCs w:val="24"/>
          <w:lang w:val="uk-UA"/>
        </w:rPr>
        <w:t xml:space="preserve"> пропонованого </w:t>
      </w:r>
      <w:r w:rsidR="00DB1FDD" w:rsidRPr="00BE1959">
        <w:rPr>
          <w:rFonts w:ascii="Times New Roman" w:eastAsia="Times New Roman" w:hAnsi="Times New Roman" w:cs="Times New Roman"/>
          <w:sz w:val="24"/>
          <w:szCs w:val="24"/>
          <w:lang w:val="uk-UA"/>
        </w:rPr>
        <w:t>покупця</w:t>
      </w:r>
      <w:r w:rsidR="00D16224" w:rsidRPr="00BE1959">
        <w:rPr>
          <w:rFonts w:ascii="Times New Roman" w:eastAsia="Times New Roman" w:hAnsi="Times New Roman" w:cs="Times New Roman"/>
          <w:sz w:val="24"/>
          <w:szCs w:val="24"/>
          <w:lang w:val="uk-UA"/>
        </w:rPr>
        <w:t xml:space="preserve"> у письмовій формі про своє заперечення і виклада</w:t>
      </w:r>
      <w:r w:rsidR="00DB1FDD" w:rsidRPr="00BE1959">
        <w:rPr>
          <w:rFonts w:ascii="Times New Roman" w:eastAsia="Times New Roman" w:hAnsi="Times New Roman" w:cs="Times New Roman"/>
          <w:sz w:val="24"/>
          <w:szCs w:val="24"/>
          <w:lang w:val="uk-UA"/>
        </w:rPr>
        <w:t>ють</w:t>
      </w:r>
      <w:r w:rsidR="00D16224" w:rsidRPr="00BE1959">
        <w:rPr>
          <w:rFonts w:ascii="Times New Roman" w:eastAsia="Times New Roman" w:hAnsi="Times New Roman" w:cs="Times New Roman"/>
          <w:sz w:val="24"/>
          <w:szCs w:val="24"/>
          <w:lang w:val="uk-UA"/>
        </w:rPr>
        <w:t xml:space="preserve"> причини такого рішення.</w:t>
      </w:r>
      <w:r w:rsidR="00446C11" w:rsidRPr="00BE1959">
        <w:rPr>
          <w:rFonts w:ascii="Times New Roman" w:eastAsia="Times New Roman" w:hAnsi="Times New Roman" w:cs="Times New Roman"/>
          <w:sz w:val="24"/>
          <w:szCs w:val="24"/>
          <w:lang w:val="uk-UA"/>
        </w:rPr>
        <w:t xml:space="preserve"> </w:t>
      </w:r>
      <w:r w:rsidR="00D16224" w:rsidRPr="00BE1959">
        <w:rPr>
          <w:rFonts w:ascii="Times New Roman" w:eastAsia="Times New Roman" w:hAnsi="Times New Roman" w:cs="Times New Roman"/>
          <w:sz w:val="24"/>
          <w:szCs w:val="24"/>
          <w:lang w:val="uk-UA"/>
        </w:rPr>
        <w:t xml:space="preserve">З урахуванням національного законодавства відповідне викладення причин вищезгаданого рішення </w:t>
      </w:r>
      <w:r w:rsidR="00446C11" w:rsidRPr="00BE1959">
        <w:rPr>
          <w:rFonts w:ascii="Times New Roman" w:eastAsia="Times New Roman" w:hAnsi="Times New Roman" w:cs="Times New Roman"/>
          <w:sz w:val="24"/>
          <w:szCs w:val="24"/>
          <w:lang w:val="uk-UA"/>
        </w:rPr>
        <w:t xml:space="preserve">на вимогу пропонованого покупця </w:t>
      </w:r>
      <w:r w:rsidR="00D16224" w:rsidRPr="00BE1959">
        <w:rPr>
          <w:rFonts w:ascii="Times New Roman" w:eastAsia="Times New Roman" w:hAnsi="Times New Roman" w:cs="Times New Roman"/>
          <w:sz w:val="24"/>
          <w:szCs w:val="24"/>
          <w:lang w:val="uk-UA"/>
        </w:rPr>
        <w:t xml:space="preserve">може бути оприлюднено для загального доступу. </w:t>
      </w:r>
      <w:r w:rsidR="00446C11" w:rsidRPr="00BE1959">
        <w:rPr>
          <w:rFonts w:ascii="Times New Roman" w:eastAsia="Times New Roman" w:hAnsi="Times New Roman" w:cs="Times New Roman"/>
          <w:sz w:val="24"/>
          <w:szCs w:val="24"/>
          <w:lang w:val="uk-UA"/>
        </w:rPr>
        <w:t>Це не заважає державі-члену</w:t>
      </w:r>
      <w:r w:rsidR="00D16224" w:rsidRPr="00BE1959">
        <w:rPr>
          <w:rFonts w:ascii="Times New Roman" w:eastAsia="Times New Roman" w:hAnsi="Times New Roman" w:cs="Times New Roman"/>
          <w:sz w:val="24"/>
          <w:szCs w:val="24"/>
          <w:lang w:val="uk-UA"/>
        </w:rPr>
        <w:t xml:space="preserve"> дозволити компетентному органові здійснювати таке розголошення причин і без вимоги з боку пропонованого </w:t>
      </w:r>
      <w:r w:rsidR="00446C11" w:rsidRPr="00BE1959">
        <w:rPr>
          <w:rFonts w:ascii="Times New Roman" w:eastAsia="Times New Roman" w:hAnsi="Times New Roman" w:cs="Times New Roman"/>
          <w:sz w:val="24"/>
          <w:szCs w:val="24"/>
          <w:lang w:val="uk-UA"/>
        </w:rPr>
        <w:t>покупця</w:t>
      </w:r>
      <w:r w:rsidR="00D16224" w:rsidRPr="00BE1959">
        <w:rPr>
          <w:rFonts w:ascii="Times New Roman" w:eastAsia="Times New Roman" w:hAnsi="Times New Roman" w:cs="Times New Roman"/>
          <w:sz w:val="24"/>
          <w:szCs w:val="24"/>
          <w:lang w:val="uk-UA"/>
        </w:rPr>
        <w:t>.</w:t>
      </w:r>
    </w:p>
    <w:p w:rsidR="00DB1FDD" w:rsidRPr="00BE1959" w:rsidRDefault="005613AB" w:rsidP="00D71A01">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5.   </w:t>
      </w:r>
      <w:r w:rsidR="00DB1FDD" w:rsidRPr="00BE1959">
        <w:rPr>
          <w:rFonts w:ascii="Times New Roman" w:eastAsia="Times New Roman" w:hAnsi="Times New Roman" w:cs="Times New Roman"/>
          <w:sz w:val="24"/>
          <w:szCs w:val="24"/>
          <w:lang w:val="uk-UA"/>
        </w:rPr>
        <w:t>Якщо компетентн</w:t>
      </w:r>
      <w:r w:rsidR="00446C11" w:rsidRPr="00BE1959">
        <w:rPr>
          <w:rFonts w:ascii="Times New Roman" w:eastAsia="Times New Roman" w:hAnsi="Times New Roman" w:cs="Times New Roman"/>
          <w:sz w:val="24"/>
          <w:szCs w:val="24"/>
          <w:lang w:val="uk-UA"/>
        </w:rPr>
        <w:t>і</w:t>
      </w:r>
      <w:r w:rsidR="00DB1FDD" w:rsidRPr="00BE1959">
        <w:rPr>
          <w:rFonts w:ascii="Times New Roman" w:eastAsia="Times New Roman" w:hAnsi="Times New Roman" w:cs="Times New Roman"/>
          <w:sz w:val="24"/>
          <w:szCs w:val="24"/>
          <w:lang w:val="uk-UA"/>
        </w:rPr>
        <w:t xml:space="preserve"> орган</w:t>
      </w:r>
      <w:r w:rsidR="00446C11" w:rsidRPr="00BE1959">
        <w:rPr>
          <w:rFonts w:ascii="Times New Roman" w:eastAsia="Times New Roman" w:hAnsi="Times New Roman" w:cs="Times New Roman"/>
          <w:sz w:val="24"/>
          <w:szCs w:val="24"/>
          <w:lang w:val="uk-UA"/>
        </w:rPr>
        <w:t>и</w:t>
      </w:r>
      <w:r w:rsidR="00DB1FDD" w:rsidRPr="00BE1959">
        <w:rPr>
          <w:rFonts w:ascii="Times New Roman" w:eastAsia="Times New Roman" w:hAnsi="Times New Roman" w:cs="Times New Roman"/>
          <w:sz w:val="24"/>
          <w:szCs w:val="24"/>
          <w:lang w:val="uk-UA"/>
        </w:rPr>
        <w:t xml:space="preserve"> протягом періоду оцінки не вислови</w:t>
      </w:r>
      <w:r w:rsidR="00446C11" w:rsidRPr="00BE1959">
        <w:rPr>
          <w:rFonts w:ascii="Times New Roman" w:eastAsia="Times New Roman" w:hAnsi="Times New Roman" w:cs="Times New Roman"/>
          <w:sz w:val="24"/>
          <w:szCs w:val="24"/>
          <w:lang w:val="uk-UA"/>
        </w:rPr>
        <w:t>ли письмового</w:t>
      </w:r>
      <w:r w:rsidR="00DB1FDD" w:rsidRPr="00BE1959">
        <w:rPr>
          <w:rFonts w:ascii="Times New Roman" w:eastAsia="Times New Roman" w:hAnsi="Times New Roman" w:cs="Times New Roman"/>
          <w:sz w:val="24"/>
          <w:szCs w:val="24"/>
          <w:lang w:val="uk-UA"/>
        </w:rPr>
        <w:t xml:space="preserve"> заперечення проти пропонованого придбання, воно вважається схваленим.</w:t>
      </w:r>
    </w:p>
    <w:p w:rsidR="00DB1FDD" w:rsidRPr="00BE1959" w:rsidRDefault="00D71A01" w:rsidP="00D71A01">
      <w:pPr>
        <w:shd w:val="clear" w:color="auto" w:fill="FFFFFF"/>
        <w:spacing w:before="120" w:after="0" w:line="240" w:lineRule="auto"/>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6</w:t>
      </w:r>
      <w:r w:rsidR="00DB1FDD" w:rsidRPr="00BE1959">
        <w:rPr>
          <w:rFonts w:ascii="Times New Roman" w:eastAsia="Times New Roman" w:hAnsi="Times New Roman" w:cs="Times New Roman"/>
          <w:sz w:val="24"/>
          <w:szCs w:val="24"/>
          <w:lang w:val="uk-UA"/>
        </w:rPr>
        <w:t>.   Компетентн</w:t>
      </w:r>
      <w:r w:rsidRPr="00BE1959">
        <w:rPr>
          <w:rFonts w:ascii="Times New Roman" w:eastAsia="Times New Roman" w:hAnsi="Times New Roman" w:cs="Times New Roman"/>
          <w:sz w:val="24"/>
          <w:szCs w:val="24"/>
          <w:lang w:val="uk-UA"/>
        </w:rPr>
        <w:t>і</w:t>
      </w:r>
      <w:r w:rsidR="00DB1FDD" w:rsidRPr="00BE1959">
        <w:rPr>
          <w:rFonts w:ascii="Times New Roman" w:eastAsia="Times New Roman" w:hAnsi="Times New Roman" w:cs="Times New Roman"/>
          <w:sz w:val="24"/>
          <w:szCs w:val="24"/>
          <w:lang w:val="uk-UA"/>
        </w:rPr>
        <w:t xml:space="preserve"> орган</w:t>
      </w:r>
      <w:r w:rsidRPr="00BE1959">
        <w:rPr>
          <w:rFonts w:ascii="Times New Roman" w:eastAsia="Times New Roman" w:hAnsi="Times New Roman" w:cs="Times New Roman"/>
          <w:sz w:val="24"/>
          <w:szCs w:val="24"/>
          <w:lang w:val="uk-UA"/>
        </w:rPr>
        <w:t>и</w:t>
      </w:r>
      <w:r w:rsidR="00DB1FDD" w:rsidRPr="00BE1959">
        <w:rPr>
          <w:rFonts w:ascii="Times New Roman" w:eastAsia="Times New Roman" w:hAnsi="Times New Roman" w:cs="Times New Roman"/>
          <w:sz w:val="24"/>
          <w:szCs w:val="24"/>
          <w:lang w:val="uk-UA"/>
        </w:rPr>
        <w:t xml:space="preserve"> мож</w:t>
      </w:r>
      <w:r w:rsidRPr="00BE1959">
        <w:rPr>
          <w:rFonts w:ascii="Times New Roman" w:eastAsia="Times New Roman" w:hAnsi="Times New Roman" w:cs="Times New Roman"/>
          <w:sz w:val="24"/>
          <w:szCs w:val="24"/>
          <w:lang w:val="uk-UA"/>
        </w:rPr>
        <w:t>уть</w:t>
      </w:r>
      <w:r w:rsidR="00DB1FDD" w:rsidRPr="00BE1959">
        <w:rPr>
          <w:rFonts w:ascii="Times New Roman" w:eastAsia="Times New Roman" w:hAnsi="Times New Roman" w:cs="Times New Roman"/>
          <w:sz w:val="24"/>
          <w:szCs w:val="24"/>
          <w:lang w:val="uk-UA"/>
        </w:rPr>
        <w:t xml:space="preserve"> </w:t>
      </w:r>
      <w:r w:rsidRPr="00BE1959">
        <w:rPr>
          <w:rFonts w:ascii="Times New Roman" w:eastAsia="Times New Roman" w:hAnsi="Times New Roman" w:cs="Times New Roman"/>
          <w:sz w:val="24"/>
          <w:szCs w:val="24"/>
          <w:lang w:val="uk-UA"/>
        </w:rPr>
        <w:t>установити максимальний строк проведення пропонованого придбання</w:t>
      </w:r>
      <w:r w:rsidR="00DB1FDD" w:rsidRPr="00BE1959">
        <w:rPr>
          <w:rFonts w:ascii="Times New Roman" w:eastAsia="Times New Roman" w:hAnsi="Times New Roman" w:cs="Times New Roman"/>
          <w:sz w:val="24"/>
          <w:szCs w:val="24"/>
          <w:lang w:val="uk-UA"/>
        </w:rPr>
        <w:t xml:space="preserve"> і в необхідному випадку продовжити його.</w:t>
      </w:r>
    </w:p>
    <w:p w:rsidR="005613AB" w:rsidRPr="00BE1959" w:rsidRDefault="00D71A01" w:rsidP="00A8432C">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7</w:t>
      </w:r>
      <w:r w:rsidR="00DB1FDD" w:rsidRPr="00BE1959">
        <w:rPr>
          <w:rFonts w:ascii="Times New Roman" w:eastAsia="Times New Roman" w:hAnsi="Times New Roman" w:cs="Times New Roman"/>
          <w:sz w:val="24"/>
          <w:szCs w:val="24"/>
          <w:lang w:val="uk-UA"/>
        </w:rPr>
        <w:t xml:space="preserve">.   Держави-члени </w:t>
      </w:r>
      <w:r w:rsidRPr="00BE1959">
        <w:rPr>
          <w:rFonts w:ascii="Times New Roman" w:eastAsia="Times New Roman" w:hAnsi="Times New Roman" w:cs="Times New Roman"/>
          <w:sz w:val="24"/>
          <w:szCs w:val="24"/>
          <w:lang w:val="uk-UA"/>
        </w:rPr>
        <w:t>не можуть установлювати</w:t>
      </w:r>
      <w:r w:rsidR="00DB1FDD" w:rsidRPr="00BE1959">
        <w:rPr>
          <w:rFonts w:ascii="Times New Roman" w:eastAsia="Times New Roman" w:hAnsi="Times New Roman" w:cs="Times New Roman"/>
          <w:sz w:val="24"/>
          <w:szCs w:val="24"/>
          <w:lang w:val="uk-UA"/>
        </w:rPr>
        <w:t xml:space="preserve"> вимоги щодо повідомлення компетентн</w:t>
      </w:r>
      <w:r w:rsidR="00A8432C" w:rsidRPr="00BE1959">
        <w:rPr>
          <w:rFonts w:ascii="Times New Roman" w:eastAsia="Times New Roman" w:hAnsi="Times New Roman" w:cs="Times New Roman"/>
          <w:sz w:val="24"/>
          <w:szCs w:val="24"/>
          <w:lang w:val="uk-UA"/>
        </w:rPr>
        <w:t>их</w:t>
      </w:r>
      <w:r w:rsidR="00DB1FDD" w:rsidRPr="00BE1959">
        <w:rPr>
          <w:rFonts w:ascii="Times New Roman" w:eastAsia="Times New Roman" w:hAnsi="Times New Roman" w:cs="Times New Roman"/>
          <w:sz w:val="24"/>
          <w:szCs w:val="24"/>
          <w:lang w:val="uk-UA"/>
        </w:rPr>
        <w:t xml:space="preserve"> орган</w:t>
      </w:r>
      <w:r w:rsidR="00A8432C" w:rsidRPr="00BE1959">
        <w:rPr>
          <w:rFonts w:ascii="Times New Roman" w:eastAsia="Times New Roman" w:hAnsi="Times New Roman" w:cs="Times New Roman"/>
          <w:sz w:val="24"/>
          <w:szCs w:val="24"/>
          <w:lang w:val="uk-UA"/>
        </w:rPr>
        <w:t>ів</w:t>
      </w:r>
      <w:r w:rsidR="00DB1FDD" w:rsidRPr="00BE1959">
        <w:rPr>
          <w:rFonts w:ascii="Times New Roman" w:eastAsia="Times New Roman" w:hAnsi="Times New Roman" w:cs="Times New Roman"/>
          <w:sz w:val="24"/>
          <w:szCs w:val="24"/>
          <w:lang w:val="uk-UA"/>
        </w:rPr>
        <w:t xml:space="preserve"> про пряме чи опосередковане придбання прав голосу чи капіталу або щодо затвердження компетентним</w:t>
      </w:r>
      <w:r w:rsidR="00A8432C" w:rsidRPr="00BE1959">
        <w:rPr>
          <w:rFonts w:ascii="Times New Roman" w:eastAsia="Times New Roman" w:hAnsi="Times New Roman" w:cs="Times New Roman"/>
          <w:sz w:val="24"/>
          <w:szCs w:val="24"/>
          <w:lang w:val="uk-UA"/>
        </w:rPr>
        <w:t>и</w:t>
      </w:r>
      <w:r w:rsidR="00DB1FDD" w:rsidRPr="00BE1959">
        <w:rPr>
          <w:rFonts w:ascii="Times New Roman" w:eastAsia="Times New Roman" w:hAnsi="Times New Roman" w:cs="Times New Roman"/>
          <w:sz w:val="24"/>
          <w:szCs w:val="24"/>
          <w:lang w:val="uk-UA"/>
        </w:rPr>
        <w:t xml:space="preserve"> орган</w:t>
      </w:r>
      <w:r w:rsidR="00A8432C" w:rsidRPr="00BE1959">
        <w:rPr>
          <w:rFonts w:ascii="Times New Roman" w:eastAsia="Times New Roman" w:hAnsi="Times New Roman" w:cs="Times New Roman"/>
          <w:sz w:val="24"/>
          <w:szCs w:val="24"/>
          <w:lang w:val="uk-UA"/>
        </w:rPr>
        <w:t>а</w:t>
      </w:r>
      <w:r w:rsidR="00DB1FDD" w:rsidRPr="00BE1959">
        <w:rPr>
          <w:rFonts w:ascii="Times New Roman" w:eastAsia="Times New Roman" w:hAnsi="Times New Roman" w:cs="Times New Roman"/>
          <w:sz w:val="24"/>
          <w:szCs w:val="24"/>
          <w:lang w:val="uk-UA"/>
        </w:rPr>
        <w:t>м</w:t>
      </w:r>
      <w:r w:rsidR="00A8432C" w:rsidRPr="00BE1959">
        <w:rPr>
          <w:rFonts w:ascii="Times New Roman" w:eastAsia="Times New Roman" w:hAnsi="Times New Roman" w:cs="Times New Roman"/>
          <w:sz w:val="24"/>
          <w:szCs w:val="24"/>
          <w:lang w:val="uk-UA"/>
        </w:rPr>
        <w:t>и</w:t>
      </w:r>
      <w:r w:rsidR="00DB1FDD" w:rsidRPr="00BE1959">
        <w:rPr>
          <w:rFonts w:ascii="Times New Roman" w:eastAsia="Times New Roman" w:hAnsi="Times New Roman" w:cs="Times New Roman"/>
          <w:sz w:val="24"/>
          <w:szCs w:val="24"/>
          <w:lang w:val="uk-UA"/>
        </w:rPr>
        <w:t xml:space="preserve"> такого придбання, що є жорсткішими, ніж вимоги, встановлені у </w:t>
      </w:r>
      <w:r w:rsidR="00A8432C" w:rsidRPr="00BE1959">
        <w:rPr>
          <w:rFonts w:ascii="Times New Roman" w:eastAsia="Times New Roman" w:hAnsi="Times New Roman" w:cs="Times New Roman"/>
          <w:sz w:val="24"/>
          <w:szCs w:val="24"/>
          <w:lang w:val="uk-UA"/>
        </w:rPr>
        <w:t>цій директиві.</w:t>
      </w:r>
    </w:p>
    <w:p w:rsidR="003C6D5F" w:rsidRPr="00BE1959" w:rsidRDefault="005613AB" w:rsidP="00A8432C">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8.   </w:t>
      </w:r>
      <w:r w:rsidR="00A8432C" w:rsidRPr="00BE1959">
        <w:rPr>
          <w:rFonts w:ascii="Times New Roman" w:eastAsia="Times New Roman" w:hAnsi="Times New Roman" w:cs="Times New Roman"/>
          <w:sz w:val="24"/>
          <w:szCs w:val="24"/>
          <w:lang w:val="uk-UA"/>
        </w:rPr>
        <w:t xml:space="preserve">ESMA розробляє проекти  </w:t>
      </w:r>
      <w:r w:rsidR="003C6D5F" w:rsidRPr="00BE1959">
        <w:rPr>
          <w:rFonts w:ascii="Times New Roman" w:eastAsia="Times New Roman" w:hAnsi="Times New Roman" w:cs="Times New Roman"/>
          <w:sz w:val="24"/>
          <w:szCs w:val="24"/>
          <w:lang w:val="uk-UA"/>
        </w:rPr>
        <w:t>нормативно-</w:t>
      </w:r>
      <w:r w:rsidR="00A8432C" w:rsidRPr="00BE1959">
        <w:rPr>
          <w:rFonts w:ascii="Times New Roman" w:eastAsia="Times New Roman" w:hAnsi="Times New Roman" w:cs="Times New Roman"/>
          <w:sz w:val="24"/>
          <w:szCs w:val="24"/>
          <w:lang w:val="uk-UA"/>
        </w:rPr>
        <w:t>технічних стандартів, де визнача</w:t>
      </w:r>
      <w:r w:rsidR="003C6D5F" w:rsidRPr="00BE1959">
        <w:rPr>
          <w:rFonts w:ascii="Times New Roman" w:eastAsia="Times New Roman" w:hAnsi="Times New Roman" w:cs="Times New Roman"/>
          <w:sz w:val="24"/>
          <w:szCs w:val="24"/>
          <w:lang w:val="uk-UA"/>
        </w:rPr>
        <w:t>є</w:t>
      </w:r>
      <w:r w:rsidR="00A8432C" w:rsidRPr="00BE1959">
        <w:rPr>
          <w:rFonts w:ascii="Times New Roman" w:eastAsia="Times New Roman" w:hAnsi="Times New Roman" w:cs="Times New Roman"/>
          <w:sz w:val="24"/>
          <w:szCs w:val="24"/>
          <w:lang w:val="uk-UA"/>
        </w:rPr>
        <w:t xml:space="preserve">ться </w:t>
      </w:r>
      <w:r w:rsidR="003C6D5F" w:rsidRPr="00BE1959">
        <w:rPr>
          <w:rFonts w:ascii="Times New Roman" w:eastAsia="Times New Roman" w:hAnsi="Times New Roman" w:cs="Times New Roman"/>
          <w:sz w:val="24"/>
          <w:szCs w:val="24"/>
          <w:lang w:val="uk-UA"/>
        </w:rPr>
        <w:t>вичерпний перелік інформації, згаданої у статті 13(4), яку пропоновані покупці повинні включати у повідомлення, без шкоди для п. 2 цієї статті.</w:t>
      </w:r>
    </w:p>
    <w:p w:rsidR="00A8432C" w:rsidRPr="00BE1959" w:rsidRDefault="00A8432C" w:rsidP="00A8432C">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ESMA подає проекти цих нормативно-технічних стандартів Комісії до </w:t>
      </w:r>
      <w:r w:rsidR="003C6D5F" w:rsidRPr="00BE1959">
        <w:rPr>
          <w:rFonts w:ascii="Times New Roman" w:eastAsia="Times New Roman" w:hAnsi="Times New Roman" w:cs="Times New Roman"/>
          <w:sz w:val="24"/>
          <w:szCs w:val="24"/>
          <w:lang w:val="uk-UA"/>
        </w:rPr>
        <w:t>1</w:t>
      </w:r>
      <w:r w:rsidRPr="00BE1959">
        <w:rPr>
          <w:rFonts w:ascii="Times New Roman" w:eastAsia="Times New Roman" w:hAnsi="Times New Roman" w:cs="Times New Roman"/>
          <w:sz w:val="24"/>
          <w:szCs w:val="24"/>
          <w:lang w:val="uk-UA"/>
        </w:rPr>
        <w:t xml:space="preserve"> січня 201</w:t>
      </w:r>
      <w:r w:rsidR="003C6D5F" w:rsidRPr="00BE1959">
        <w:rPr>
          <w:rFonts w:ascii="Times New Roman" w:eastAsia="Times New Roman" w:hAnsi="Times New Roman" w:cs="Times New Roman"/>
          <w:sz w:val="24"/>
          <w:szCs w:val="24"/>
          <w:lang w:val="uk-UA"/>
        </w:rPr>
        <w:t>4</w:t>
      </w:r>
      <w:r w:rsidRPr="00BE1959">
        <w:rPr>
          <w:rFonts w:ascii="Times New Roman" w:eastAsia="Times New Roman" w:hAnsi="Times New Roman" w:cs="Times New Roman"/>
          <w:sz w:val="24"/>
          <w:szCs w:val="24"/>
          <w:lang w:val="uk-UA"/>
        </w:rPr>
        <w:t xml:space="preserve"> року.</w:t>
      </w:r>
    </w:p>
    <w:p w:rsidR="00A8432C" w:rsidRPr="00BE1959" w:rsidRDefault="00A8432C" w:rsidP="00A8432C">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Комісії </w:t>
      </w:r>
      <w:r w:rsidR="005B75EA" w:rsidRPr="00BE1959">
        <w:rPr>
          <w:rFonts w:ascii="Times New Roman" w:eastAsia="Times New Roman" w:hAnsi="Times New Roman" w:cs="Times New Roman"/>
          <w:sz w:val="24"/>
          <w:szCs w:val="24"/>
          <w:lang w:val="uk-UA"/>
        </w:rPr>
        <w:t xml:space="preserve">делегується </w:t>
      </w:r>
      <w:r w:rsidRPr="00BE1959">
        <w:rPr>
          <w:rFonts w:ascii="Times New Roman" w:eastAsia="Times New Roman" w:hAnsi="Times New Roman" w:cs="Times New Roman"/>
          <w:sz w:val="24"/>
          <w:szCs w:val="24"/>
          <w:lang w:val="uk-UA"/>
        </w:rPr>
        <w:t>повноваження на прийняття нормативно-технічних стандартів, згаданих у першому абзаці цього пункту, згідно зі статт</w:t>
      </w:r>
      <w:r w:rsidR="003C6D5F" w:rsidRPr="00BE1959">
        <w:rPr>
          <w:rFonts w:ascii="Times New Roman" w:eastAsia="Times New Roman" w:hAnsi="Times New Roman" w:cs="Times New Roman"/>
          <w:sz w:val="24"/>
          <w:szCs w:val="24"/>
          <w:lang w:val="uk-UA"/>
        </w:rPr>
        <w:t>ями 10-14</w:t>
      </w:r>
      <w:r w:rsidRPr="00BE1959">
        <w:rPr>
          <w:rFonts w:ascii="Times New Roman" w:eastAsia="Times New Roman" w:hAnsi="Times New Roman" w:cs="Times New Roman"/>
          <w:sz w:val="24"/>
          <w:szCs w:val="24"/>
          <w:lang w:val="uk-UA"/>
        </w:rPr>
        <w:t xml:space="preserve"> Регламенту (EU) № 1095/2010.</w:t>
      </w:r>
    </w:p>
    <w:p w:rsidR="004710FF" w:rsidRPr="00BE1959" w:rsidRDefault="005613AB" w:rsidP="004710FF">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lastRenderedPageBreak/>
        <w:t>9.   </w:t>
      </w:r>
      <w:r w:rsidR="004710FF" w:rsidRPr="00BE1959">
        <w:rPr>
          <w:rFonts w:ascii="Times New Roman" w:eastAsia="Times New Roman" w:hAnsi="Times New Roman" w:cs="Times New Roman"/>
          <w:sz w:val="24"/>
          <w:szCs w:val="24"/>
          <w:lang w:val="uk-UA"/>
        </w:rPr>
        <w:t>ESMA розробляє проекти  виконавчих технічних стандартів, де визначаються типові форми, шаблони та процедури щодо модальностей процесу консультацій між відповідними компетентними органами, згаданого у статті 11(2).</w:t>
      </w:r>
    </w:p>
    <w:p w:rsidR="004710FF" w:rsidRPr="00BE1959" w:rsidRDefault="004710FF" w:rsidP="004710FF">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ESMA подає проекти цих  виконавчих технічних стандартів Комісії до 1 січня 2014 року.</w:t>
      </w:r>
    </w:p>
    <w:p w:rsidR="005613AB" w:rsidRPr="00BE1959" w:rsidRDefault="004710FF" w:rsidP="004710FF">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Комісії </w:t>
      </w:r>
      <w:r w:rsidR="00C40E11" w:rsidRPr="00BE1959">
        <w:rPr>
          <w:rFonts w:ascii="Times New Roman" w:eastAsia="Times New Roman" w:hAnsi="Times New Roman" w:cs="Times New Roman"/>
          <w:sz w:val="24"/>
          <w:szCs w:val="24"/>
          <w:lang w:val="uk-UA"/>
        </w:rPr>
        <w:t>нада</w:t>
      </w:r>
      <w:r w:rsidR="005B75EA" w:rsidRPr="00BE1959">
        <w:rPr>
          <w:rFonts w:ascii="Times New Roman" w:eastAsia="Times New Roman" w:hAnsi="Times New Roman" w:cs="Times New Roman"/>
          <w:sz w:val="24"/>
          <w:szCs w:val="24"/>
          <w:lang w:val="uk-UA"/>
        </w:rPr>
        <w:t>ється</w:t>
      </w:r>
      <w:r w:rsidRPr="00BE1959">
        <w:rPr>
          <w:rFonts w:ascii="Times New Roman" w:eastAsia="Times New Roman" w:hAnsi="Times New Roman" w:cs="Times New Roman"/>
          <w:sz w:val="24"/>
          <w:szCs w:val="24"/>
          <w:lang w:val="uk-UA"/>
        </w:rPr>
        <w:t xml:space="preserve"> повноваження на прийняття виконавчих стандартів, згаданих у першому абзаці цього пункту, згідно зі статтею 15 Регламенту (EU) № 1095/2010.</w:t>
      </w:r>
    </w:p>
    <w:p w:rsidR="005613AB" w:rsidRPr="00BE1959" w:rsidRDefault="00162A11" w:rsidP="005613AB">
      <w:pPr>
        <w:spacing w:before="360" w:after="120" w:line="312" w:lineRule="atLeast"/>
        <w:jc w:val="center"/>
        <w:textAlignment w:val="baseline"/>
        <w:rPr>
          <w:rFonts w:ascii="Times New Roman" w:eastAsia="Times New Roman" w:hAnsi="Times New Roman" w:cs="Times New Roman"/>
          <w:i/>
          <w:iCs/>
          <w:sz w:val="24"/>
          <w:szCs w:val="24"/>
          <w:lang w:val="uk-UA"/>
        </w:rPr>
      </w:pPr>
      <w:r w:rsidRPr="00BE1959">
        <w:rPr>
          <w:rFonts w:ascii="Times New Roman" w:eastAsia="Times New Roman" w:hAnsi="Times New Roman" w:cs="Times New Roman"/>
          <w:i/>
          <w:iCs/>
          <w:sz w:val="24"/>
          <w:szCs w:val="24"/>
          <w:lang w:val="uk-UA"/>
        </w:rPr>
        <w:t>Стаття</w:t>
      </w:r>
      <w:r w:rsidR="005613AB" w:rsidRPr="00BE1959">
        <w:rPr>
          <w:rFonts w:ascii="Times New Roman" w:eastAsia="Times New Roman" w:hAnsi="Times New Roman" w:cs="Times New Roman"/>
          <w:i/>
          <w:iCs/>
          <w:sz w:val="24"/>
          <w:szCs w:val="24"/>
          <w:lang w:val="uk-UA"/>
        </w:rPr>
        <w:t xml:space="preserve"> 13</w:t>
      </w:r>
    </w:p>
    <w:p w:rsidR="005613AB" w:rsidRPr="00BE1959" w:rsidRDefault="00BE673D" w:rsidP="005613AB">
      <w:pPr>
        <w:spacing w:before="60" w:after="120" w:line="312" w:lineRule="atLeast"/>
        <w:jc w:val="center"/>
        <w:textAlignment w:val="baseline"/>
        <w:rPr>
          <w:rFonts w:ascii="Times New Roman" w:eastAsia="Times New Roman" w:hAnsi="Times New Roman" w:cs="Times New Roman"/>
          <w:b/>
          <w:bCs/>
          <w:sz w:val="24"/>
          <w:szCs w:val="24"/>
          <w:lang w:val="uk-UA"/>
        </w:rPr>
      </w:pPr>
      <w:r w:rsidRPr="00BE1959">
        <w:rPr>
          <w:rFonts w:ascii="Times New Roman" w:eastAsia="Times New Roman" w:hAnsi="Times New Roman" w:cs="Times New Roman"/>
          <w:b/>
          <w:bCs/>
          <w:sz w:val="24"/>
          <w:szCs w:val="24"/>
          <w:lang w:val="uk-UA"/>
        </w:rPr>
        <w:t>Оцінка</w:t>
      </w:r>
    </w:p>
    <w:p w:rsidR="004C1F45"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1.   </w:t>
      </w:r>
      <w:r w:rsidR="004C1F45" w:rsidRPr="00BE1959">
        <w:rPr>
          <w:rFonts w:ascii="Times New Roman" w:eastAsia="Times New Roman" w:hAnsi="Times New Roman" w:cs="Times New Roman"/>
          <w:sz w:val="24"/>
          <w:szCs w:val="24"/>
          <w:lang w:val="uk-UA"/>
        </w:rPr>
        <w:t>Проводячи оцінку повідомлення, передбаченого у статті 11(1), та інформації, зазначеної у статті 12(2), компетентні органи з метою забезпечення раціонального і розумного управління інвестиційною фірмою, в якій пропонується здійснити придбання, та з урахуванням ймовірного впливу пропонованого покупця на цю інвестиційну фірму аналізує відповідність пропонованого покупця і фінансову доречність пропонованого придбання за всіма наступними критеріями:</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67"/>
        <w:gridCol w:w="8598"/>
      </w:tblGrid>
      <w:tr w:rsidR="005613AB" w:rsidRPr="00BE1959"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4C1F45" w:rsidP="003014E7">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репутація </w:t>
            </w:r>
            <w:r w:rsidR="003014E7" w:rsidRPr="00BE1959">
              <w:rPr>
                <w:rFonts w:ascii="Times New Roman" w:eastAsia="Times New Roman" w:hAnsi="Times New Roman" w:cs="Times New Roman"/>
                <w:sz w:val="24"/>
                <w:szCs w:val="24"/>
                <w:lang w:val="uk-UA"/>
              </w:rPr>
              <w:t>п</w:t>
            </w:r>
            <w:r w:rsidRPr="00BE1959">
              <w:rPr>
                <w:rFonts w:ascii="Times New Roman" w:eastAsia="Times New Roman" w:hAnsi="Times New Roman" w:cs="Times New Roman"/>
                <w:sz w:val="24"/>
                <w:szCs w:val="24"/>
                <w:lang w:val="uk-UA"/>
              </w:rPr>
              <w:t>ропонованого</w:t>
            </w:r>
            <w:r w:rsidR="003014E7" w:rsidRPr="00BE1959">
              <w:rPr>
                <w:rFonts w:ascii="Times New Roman" w:eastAsia="Times New Roman" w:hAnsi="Times New Roman" w:cs="Times New Roman"/>
                <w:sz w:val="24"/>
                <w:szCs w:val="24"/>
                <w:lang w:val="uk-UA"/>
              </w:rPr>
              <w:t xml:space="preserve"> покупця</w:t>
            </w:r>
            <w:r w:rsidRPr="00BE1959">
              <w:rPr>
                <w:rFonts w:ascii="Times New Roman" w:eastAsia="Times New Roman" w:hAnsi="Times New Roman" w:cs="Times New Roman"/>
                <w:sz w:val="24"/>
                <w:szCs w:val="24"/>
                <w:lang w:val="uk-UA"/>
              </w:rPr>
              <w:t>;</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D56E3F" w:rsidP="00815C12">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репутація та досвід особи, яка керуватиме діяльністю </w:t>
            </w:r>
            <w:r w:rsidR="00815C12" w:rsidRPr="00BE1959">
              <w:rPr>
                <w:rFonts w:ascii="Times New Roman" w:eastAsia="Times New Roman" w:hAnsi="Times New Roman" w:cs="Times New Roman"/>
                <w:sz w:val="24"/>
                <w:szCs w:val="24"/>
                <w:lang w:val="uk-UA"/>
              </w:rPr>
              <w:t>інвестиційної фірми</w:t>
            </w:r>
            <w:r w:rsidRPr="00BE1959">
              <w:rPr>
                <w:rFonts w:ascii="Times New Roman" w:eastAsia="Times New Roman" w:hAnsi="Times New Roman" w:cs="Times New Roman"/>
                <w:sz w:val="24"/>
                <w:szCs w:val="24"/>
                <w:lang w:val="uk-UA"/>
              </w:rPr>
              <w:t xml:space="preserve"> в результаті пропонованого придбання;</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9093"/>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4C1F45" w:rsidP="00815C12">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фінансова спроможність пропонованого </w:t>
            </w:r>
            <w:r w:rsidR="003014E7" w:rsidRPr="00BE1959">
              <w:rPr>
                <w:rFonts w:ascii="Times New Roman" w:eastAsia="Times New Roman" w:hAnsi="Times New Roman" w:cs="Times New Roman"/>
                <w:sz w:val="24"/>
                <w:szCs w:val="24"/>
                <w:lang w:val="uk-UA"/>
              </w:rPr>
              <w:t>покупця</w:t>
            </w:r>
            <w:r w:rsidR="00815C12" w:rsidRPr="00BE1959">
              <w:rPr>
                <w:rFonts w:ascii="Times New Roman" w:eastAsia="Times New Roman" w:hAnsi="Times New Roman" w:cs="Times New Roman"/>
                <w:sz w:val="24"/>
                <w:szCs w:val="24"/>
                <w:lang w:val="uk-UA"/>
              </w:rPr>
              <w:t>, зокрема щодо виду діяльності, що ведеться і передбачається в інвестиційній фірмі, в якій пропонується здійснити придбання;</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D56E3F" w:rsidP="00ED7307">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чи зможе </w:t>
            </w:r>
            <w:r w:rsidR="00815C12" w:rsidRPr="00BE1959">
              <w:rPr>
                <w:rFonts w:ascii="Times New Roman" w:eastAsia="Times New Roman" w:hAnsi="Times New Roman" w:cs="Times New Roman"/>
                <w:sz w:val="24"/>
                <w:szCs w:val="24"/>
                <w:lang w:val="uk-UA"/>
              </w:rPr>
              <w:t>інвестиційна фірма</w:t>
            </w:r>
            <w:r w:rsidRPr="00BE1959">
              <w:rPr>
                <w:rFonts w:ascii="Times New Roman" w:eastAsia="Times New Roman" w:hAnsi="Times New Roman" w:cs="Times New Roman"/>
                <w:sz w:val="24"/>
                <w:szCs w:val="24"/>
                <w:lang w:val="uk-UA"/>
              </w:rPr>
              <w:t xml:space="preserve"> дотриматися і продовжувати дотримуватися </w:t>
            </w:r>
            <w:r w:rsidR="00815C12" w:rsidRPr="00BE1959">
              <w:rPr>
                <w:rFonts w:ascii="Times New Roman" w:eastAsia="Times New Roman" w:hAnsi="Times New Roman" w:cs="Times New Roman"/>
                <w:sz w:val="24"/>
                <w:szCs w:val="24"/>
                <w:lang w:val="uk-UA"/>
              </w:rPr>
              <w:t>пруденційних вимог на основі цієї директиви та, де доречно, інших директив, зокрема Директив</w:t>
            </w:r>
            <w:r w:rsidR="005613AB" w:rsidRPr="00BE1959">
              <w:rPr>
                <w:rFonts w:ascii="Times New Roman" w:eastAsia="Times New Roman" w:hAnsi="Times New Roman" w:cs="Times New Roman"/>
                <w:sz w:val="24"/>
                <w:szCs w:val="24"/>
                <w:lang w:val="uk-UA"/>
              </w:rPr>
              <w:t xml:space="preserve"> 2002/87/EC </w:t>
            </w:r>
            <w:r w:rsidR="00815C12" w:rsidRPr="00BE1959">
              <w:rPr>
                <w:rFonts w:ascii="Times New Roman" w:eastAsia="Times New Roman" w:hAnsi="Times New Roman" w:cs="Times New Roman"/>
                <w:sz w:val="24"/>
                <w:szCs w:val="24"/>
                <w:lang w:val="uk-UA"/>
              </w:rPr>
              <w:t>і</w:t>
            </w:r>
            <w:r w:rsidR="005613AB" w:rsidRPr="00BE1959">
              <w:rPr>
                <w:rFonts w:ascii="Times New Roman" w:eastAsia="Times New Roman" w:hAnsi="Times New Roman" w:cs="Times New Roman"/>
                <w:sz w:val="24"/>
                <w:szCs w:val="24"/>
                <w:lang w:val="uk-UA"/>
              </w:rPr>
              <w:t xml:space="preserve"> 2013/36/EU, </w:t>
            </w:r>
            <w:r w:rsidR="00ED7307" w:rsidRPr="00BE1959">
              <w:rPr>
                <w:rFonts w:ascii="Times New Roman" w:eastAsia="Times New Roman" w:hAnsi="Times New Roman" w:cs="Times New Roman"/>
                <w:sz w:val="24"/>
                <w:szCs w:val="24"/>
                <w:lang w:val="uk-UA"/>
              </w:rPr>
              <w:t>наприклад, чи має група, до якої вона увійде, структуру, що уможливлює здійснення ефективного нагляду, ефективний обмін інформацією між компетентними органами та визначення розподілу обов’язків між компетентними органами;</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9093"/>
      </w:tblGrid>
      <w:tr w:rsidR="00DE3173"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(e)</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D56E3F" w:rsidP="00F34A01">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чи існують вагомі підстави підозрювати, що у зв'язку з пропонованим придбанням вчиняється відмивання грошей або фінансування тероризму чи спроба таких дій у значенні, передбаченому статтею 1 Директиви 2005/60/EC, або що пропоноване придбання може підвищити ризик учинення такий дій.</w:t>
            </w:r>
          </w:p>
        </w:tc>
      </w:tr>
    </w:tbl>
    <w:p w:rsidR="005613AB" w:rsidRPr="00BE1959" w:rsidRDefault="00F34A01" w:rsidP="00F34A01">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Комісії </w:t>
      </w:r>
      <w:r w:rsidR="005B75EA" w:rsidRPr="00BE1959">
        <w:rPr>
          <w:rFonts w:ascii="Times New Roman" w:eastAsia="Times New Roman" w:hAnsi="Times New Roman" w:cs="Times New Roman"/>
          <w:sz w:val="24"/>
          <w:szCs w:val="24"/>
          <w:lang w:val="uk-UA"/>
        </w:rPr>
        <w:t>делегується</w:t>
      </w:r>
      <w:r w:rsidRPr="00BE1959">
        <w:rPr>
          <w:rFonts w:ascii="Times New Roman" w:eastAsia="Times New Roman" w:hAnsi="Times New Roman" w:cs="Times New Roman"/>
          <w:sz w:val="24"/>
          <w:szCs w:val="24"/>
          <w:lang w:val="uk-UA"/>
        </w:rPr>
        <w:t xml:space="preserve"> повноваження на прийняття делегованих актів відповідно до статті 89, якими будуть відкориговані критерії, встановлені у першому абзаці цього пункту.</w:t>
      </w:r>
    </w:p>
    <w:p w:rsidR="005613AB" w:rsidRPr="00BE1959" w:rsidRDefault="005613AB" w:rsidP="00223744">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2.   </w:t>
      </w:r>
      <w:r w:rsidR="00223744" w:rsidRPr="00BE1959">
        <w:rPr>
          <w:rFonts w:ascii="Times New Roman" w:eastAsia="Times New Roman" w:hAnsi="Times New Roman" w:cs="Times New Roman"/>
          <w:sz w:val="24"/>
          <w:szCs w:val="24"/>
          <w:lang w:val="uk-UA"/>
        </w:rPr>
        <w:t xml:space="preserve">Компетентні органи можуть висловлювати заперечення проти пропонованого придбання тільки у випадку, коли існують вагомі підстави для цього, виходячи з критеріїв, </w:t>
      </w:r>
      <w:r w:rsidR="00223744" w:rsidRPr="00BE1959">
        <w:rPr>
          <w:rFonts w:ascii="Times New Roman" w:eastAsia="Times New Roman" w:hAnsi="Times New Roman" w:cs="Times New Roman"/>
          <w:sz w:val="24"/>
          <w:szCs w:val="24"/>
          <w:lang w:val="uk-UA"/>
        </w:rPr>
        <w:lastRenderedPageBreak/>
        <w:t>викладених у пункті 1 цієї статті, або якщо інформація, надана пропонованим покупцем, є неповною.</w:t>
      </w:r>
    </w:p>
    <w:p w:rsidR="005613AB" w:rsidRPr="00BE1959" w:rsidRDefault="005613AB" w:rsidP="00223744">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3.   </w:t>
      </w:r>
      <w:r w:rsidR="00223744" w:rsidRPr="00BE1959">
        <w:rPr>
          <w:rFonts w:ascii="Times New Roman" w:eastAsia="Times New Roman" w:hAnsi="Times New Roman" w:cs="Times New Roman"/>
          <w:sz w:val="24"/>
          <w:szCs w:val="24"/>
          <w:lang w:val="uk-UA"/>
        </w:rPr>
        <w:t>Держави-члени не встановлюють жодних попередніх умов стосовно розміру частки участі, придбання якої здійснюється, і не дозволяють своїм компетентним органам вивчати пропоноване придбання з точки зору економічних потреб ринку.</w:t>
      </w:r>
    </w:p>
    <w:p w:rsidR="00223744"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4.   </w:t>
      </w:r>
      <w:r w:rsidR="00223744" w:rsidRPr="00BE1959">
        <w:rPr>
          <w:rFonts w:ascii="Times New Roman" w:eastAsia="Times New Roman" w:hAnsi="Times New Roman" w:cs="Times New Roman"/>
          <w:sz w:val="24"/>
          <w:szCs w:val="24"/>
          <w:lang w:val="uk-UA"/>
        </w:rPr>
        <w:t xml:space="preserve">Держави-члени оприлюднюють для загального доступу перелік із зазначенням інформації, яка є необхідною для проведення вищезгаданої оцінки і яка надається компетентним органам під час надання повідомлення, згаданого у статті </w:t>
      </w:r>
      <w:r w:rsidR="00F23FE7" w:rsidRPr="00BE1959">
        <w:rPr>
          <w:rFonts w:ascii="Times New Roman" w:eastAsia="Times New Roman" w:hAnsi="Times New Roman" w:cs="Times New Roman"/>
          <w:sz w:val="24"/>
          <w:szCs w:val="24"/>
          <w:lang w:val="uk-UA"/>
        </w:rPr>
        <w:t>11</w:t>
      </w:r>
      <w:r w:rsidR="00223744" w:rsidRPr="00BE1959">
        <w:rPr>
          <w:rFonts w:ascii="Times New Roman" w:eastAsia="Times New Roman" w:hAnsi="Times New Roman" w:cs="Times New Roman"/>
          <w:sz w:val="24"/>
          <w:szCs w:val="24"/>
          <w:lang w:val="uk-UA"/>
        </w:rPr>
        <w:t>(</w:t>
      </w:r>
      <w:r w:rsidR="00F23FE7" w:rsidRPr="00BE1959">
        <w:rPr>
          <w:rFonts w:ascii="Times New Roman" w:eastAsia="Times New Roman" w:hAnsi="Times New Roman" w:cs="Times New Roman"/>
          <w:sz w:val="24"/>
          <w:szCs w:val="24"/>
          <w:lang w:val="uk-UA"/>
        </w:rPr>
        <w:t>1</w:t>
      </w:r>
      <w:r w:rsidR="00223744" w:rsidRPr="00BE1959">
        <w:rPr>
          <w:rFonts w:ascii="Times New Roman" w:eastAsia="Times New Roman" w:hAnsi="Times New Roman" w:cs="Times New Roman"/>
          <w:sz w:val="24"/>
          <w:szCs w:val="24"/>
          <w:lang w:val="uk-UA"/>
        </w:rPr>
        <w:t xml:space="preserve">). Потрібна інформація повинна бути сумірною необхідності та адаптованою до характеру пропонованого </w:t>
      </w:r>
      <w:r w:rsidR="00F23FE7" w:rsidRPr="00BE1959">
        <w:rPr>
          <w:rFonts w:ascii="Times New Roman" w:eastAsia="Times New Roman" w:hAnsi="Times New Roman" w:cs="Times New Roman"/>
          <w:sz w:val="24"/>
          <w:szCs w:val="24"/>
          <w:lang w:val="uk-UA"/>
        </w:rPr>
        <w:t>покупця</w:t>
      </w:r>
      <w:r w:rsidR="00223744" w:rsidRPr="00BE1959">
        <w:rPr>
          <w:rFonts w:ascii="Times New Roman" w:eastAsia="Times New Roman" w:hAnsi="Times New Roman" w:cs="Times New Roman"/>
          <w:sz w:val="24"/>
          <w:szCs w:val="24"/>
          <w:lang w:val="uk-UA"/>
        </w:rPr>
        <w:t xml:space="preserve"> і пропонованого придбання. Держави-члени не вимагають інформації, яка не є актуальною для пруденційної оцінки.</w:t>
      </w:r>
    </w:p>
    <w:p w:rsidR="005613AB" w:rsidRPr="00BE1959" w:rsidRDefault="005613AB" w:rsidP="00E32813">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5.   </w:t>
      </w:r>
      <w:r w:rsidR="00F23FE7" w:rsidRPr="00BE1959">
        <w:rPr>
          <w:rFonts w:ascii="Times New Roman" w:eastAsia="Times New Roman" w:hAnsi="Times New Roman" w:cs="Times New Roman"/>
          <w:sz w:val="24"/>
          <w:szCs w:val="24"/>
          <w:lang w:val="uk-UA"/>
        </w:rPr>
        <w:t xml:space="preserve">Незважаючи на пп. (1), (2) та (3) статті 12, у випадках, якщо компетентний орган отримав повідомлення про дві чи більше пропозицій щодо придбання або збільшення кваліфікованої частки участі в одній і тій самій інвестиційній фірмі, компетентний органи розглядає пропонованих </w:t>
      </w:r>
      <w:r w:rsidR="00E32813" w:rsidRPr="00BE1959">
        <w:rPr>
          <w:rFonts w:ascii="Times New Roman" w:eastAsia="Times New Roman" w:hAnsi="Times New Roman" w:cs="Times New Roman"/>
          <w:sz w:val="24"/>
          <w:szCs w:val="24"/>
          <w:lang w:val="uk-UA"/>
        </w:rPr>
        <w:t>покупців</w:t>
      </w:r>
      <w:r w:rsidR="00F23FE7" w:rsidRPr="00BE1959">
        <w:rPr>
          <w:rFonts w:ascii="Times New Roman" w:eastAsia="Times New Roman" w:hAnsi="Times New Roman" w:cs="Times New Roman"/>
          <w:sz w:val="24"/>
          <w:szCs w:val="24"/>
          <w:lang w:val="uk-UA"/>
        </w:rPr>
        <w:t xml:space="preserve"> без будь-якої дискримінації.</w:t>
      </w:r>
    </w:p>
    <w:p w:rsidR="005613AB" w:rsidRPr="00BE1959" w:rsidRDefault="00162A11" w:rsidP="005613AB">
      <w:pPr>
        <w:spacing w:before="360" w:after="120" w:line="312" w:lineRule="atLeast"/>
        <w:jc w:val="center"/>
        <w:textAlignment w:val="baseline"/>
        <w:rPr>
          <w:rFonts w:ascii="Times New Roman" w:eastAsia="Times New Roman" w:hAnsi="Times New Roman" w:cs="Times New Roman"/>
          <w:i/>
          <w:iCs/>
          <w:sz w:val="24"/>
          <w:szCs w:val="24"/>
          <w:lang w:val="uk-UA"/>
        </w:rPr>
      </w:pPr>
      <w:r w:rsidRPr="00BE1959">
        <w:rPr>
          <w:rFonts w:ascii="Times New Roman" w:eastAsia="Times New Roman" w:hAnsi="Times New Roman" w:cs="Times New Roman"/>
          <w:i/>
          <w:iCs/>
          <w:sz w:val="24"/>
          <w:szCs w:val="24"/>
          <w:lang w:val="uk-UA"/>
        </w:rPr>
        <w:t>Стаття</w:t>
      </w:r>
      <w:r w:rsidR="005613AB" w:rsidRPr="00BE1959">
        <w:rPr>
          <w:rFonts w:ascii="Times New Roman" w:eastAsia="Times New Roman" w:hAnsi="Times New Roman" w:cs="Times New Roman"/>
          <w:i/>
          <w:iCs/>
          <w:sz w:val="24"/>
          <w:szCs w:val="24"/>
          <w:lang w:val="uk-UA"/>
        </w:rPr>
        <w:t xml:space="preserve"> 14</w:t>
      </w:r>
    </w:p>
    <w:p w:rsidR="005613AB" w:rsidRPr="00BE1959" w:rsidRDefault="009D74EF" w:rsidP="009D74EF">
      <w:pPr>
        <w:spacing w:before="60" w:after="120" w:line="312" w:lineRule="atLeast"/>
        <w:jc w:val="center"/>
        <w:textAlignment w:val="baseline"/>
        <w:rPr>
          <w:rFonts w:ascii="Times New Roman" w:eastAsia="Times New Roman" w:hAnsi="Times New Roman" w:cs="Times New Roman"/>
          <w:b/>
          <w:bCs/>
          <w:sz w:val="24"/>
          <w:szCs w:val="24"/>
          <w:lang w:val="uk-UA"/>
        </w:rPr>
      </w:pPr>
      <w:r w:rsidRPr="00BE1959">
        <w:rPr>
          <w:rFonts w:ascii="Times New Roman" w:eastAsia="Times New Roman" w:hAnsi="Times New Roman" w:cs="Times New Roman"/>
          <w:b/>
          <w:bCs/>
          <w:sz w:val="24"/>
          <w:szCs w:val="24"/>
          <w:lang w:val="uk-UA"/>
        </w:rPr>
        <w:t>Членство в уповноваженій схемі компенсації інвесторам</w:t>
      </w:r>
    </w:p>
    <w:p w:rsidR="005613AB" w:rsidRPr="00BE1959" w:rsidRDefault="00AF288E" w:rsidP="002B7A67">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Компетентний орган</w:t>
      </w:r>
      <w:r w:rsidR="005613AB" w:rsidRPr="00BE1959">
        <w:rPr>
          <w:rFonts w:ascii="Times New Roman" w:eastAsia="Times New Roman" w:hAnsi="Times New Roman" w:cs="Times New Roman"/>
          <w:sz w:val="24"/>
          <w:szCs w:val="24"/>
          <w:lang w:val="uk-UA"/>
        </w:rPr>
        <w:t xml:space="preserve"> </w:t>
      </w:r>
      <w:r w:rsidR="002B7A67" w:rsidRPr="00BE1959">
        <w:rPr>
          <w:rFonts w:ascii="Times New Roman" w:eastAsia="Times New Roman" w:hAnsi="Times New Roman" w:cs="Times New Roman"/>
          <w:sz w:val="24"/>
          <w:szCs w:val="24"/>
          <w:lang w:val="uk-UA"/>
        </w:rPr>
        <w:t>перевіряє, щоб будь-який суб’єкт, що звернувся за дозволом як інвестиційна фірма, на момент надання дозволу дотримувався своїх зобов’язань за Директивою</w:t>
      </w:r>
      <w:r w:rsidR="005613AB" w:rsidRPr="00BE1959">
        <w:rPr>
          <w:rFonts w:ascii="Times New Roman" w:eastAsia="Times New Roman" w:hAnsi="Times New Roman" w:cs="Times New Roman"/>
          <w:sz w:val="24"/>
          <w:szCs w:val="24"/>
          <w:lang w:val="uk-UA"/>
        </w:rPr>
        <w:t xml:space="preserve"> 97/9/EC.</w:t>
      </w:r>
    </w:p>
    <w:p w:rsidR="005613AB" w:rsidRPr="00BE1959" w:rsidRDefault="00F62696" w:rsidP="00500E78">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Зобов’язання, викладене у першому абзаці, виконується стосовно структурованих депозитів, якщо структурований депозит випущений кредитною установою, яка є членом схеми гарантування депозитів, </w:t>
      </w:r>
      <w:r w:rsidR="00500E78" w:rsidRPr="00BE1959">
        <w:rPr>
          <w:rFonts w:ascii="Times New Roman" w:eastAsia="Times New Roman" w:hAnsi="Times New Roman" w:cs="Times New Roman"/>
          <w:sz w:val="24"/>
          <w:szCs w:val="24"/>
          <w:lang w:val="uk-UA"/>
        </w:rPr>
        <w:t>визнаної відповідно до Директиви</w:t>
      </w:r>
      <w:r w:rsidR="005613AB" w:rsidRPr="00BE1959">
        <w:rPr>
          <w:rFonts w:ascii="Times New Roman" w:eastAsia="Times New Roman" w:hAnsi="Times New Roman" w:cs="Times New Roman"/>
          <w:sz w:val="24"/>
          <w:szCs w:val="24"/>
          <w:lang w:val="uk-UA"/>
        </w:rPr>
        <w:t xml:space="preserve"> 2014/49/EU.</w:t>
      </w:r>
    </w:p>
    <w:p w:rsidR="005613AB" w:rsidRPr="00BE1959" w:rsidRDefault="00162A11" w:rsidP="005613AB">
      <w:pPr>
        <w:spacing w:before="360" w:after="120" w:line="312" w:lineRule="atLeast"/>
        <w:jc w:val="center"/>
        <w:textAlignment w:val="baseline"/>
        <w:rPr>
          <w:rFonts w:ascii="Times New Roman" w:eastAsia="Times New Roman" w:hAnsi="Times New Roman" w:cs="Times New Roman"/>
          <w:i/>
          <w:iCs/>
          <w:sz w:val="24"/>
          <w:szCs w:val="24"/>
          <w:lang w:val="uk-UA"/>
        </w:rPr>
      </w:pPr>
      <w:r w:rsidRPr="00BE1959">
        <w:rPr>
          <w:rFonts w:ascii="Times New Roman" w:eastAsia="Times New Roman" w:hAnsi="Times New Roman" w:cs="Times New Roman"/>
          <w:i/>
          <w:iCs/>
          <w:sz w:val="24"/>
          <w:szCs w:val="24"/>
          <w:lang w:val="uk-UA"/>
        </w:rPr>
        <w:t>Стаття</w:t>
      </w:r>
      <w:r w:rsidR="005613AB" w:rsidRPr="00BE1959">
        <w:rPr>
          <w:rFonts w:ascii="Times New Roman" w:eastAsia="Times New Roman" w:hAnsi="Times New Roman" w:cs="Times New Roman"/>
          <w:i/>
          <w:iCs/>
          <w:sz w:val="24"/>
          <w:szCs w:val="24"/>
          <w:lang w:val="uk-UA"/>
        </w:rPr>
        <w:t xml:space="preserve"> 15</w:t>
      </w:r>
    </w:p>
    <w:p w:rsidR="005613AB" w:rsidRPr="00BE1959" w:rsidRDefault="00500E78" w:rsidP="005613AB">
      <w:pPr>
        <w:spacing w:before="60" w:after="120" w:line="312" w:lineRule="atLeast"/>
        <w:jc w:val="center"/>
        <w:textAlignment w:val="baseline"/>
        <w:rPr>
          <w:rFonts w:ascii="Times New Roman" w:eastAsia="Times New Roman" w:hAnsi="Times New Roman" w:cs="Times New Roman"/>
          <w:b/>
          <w:bCs/>
          <w:sz w:val="24"/>
          <w:szCs w:val="24"/>
          <w:lang w:val="uk-UA"/>
        </w:rPr>
      </w:pPr>
      <w:r w:rsidRPr="00BE1959">
        <w:rPr>
          <w:rFonts w:ascii="Times New Roman" w:eastAsia="Times New Roman" w:hAnsi="Times New Roman" w:cs="Times New Roman"/>
          <w:b/>
          <w:bCs/>
          <w:sz w:val="24"/>
          <w:szCs w:val="24"/>
          <w:lang w:val="uk-UA"/>
        </w:rPr>
        <w:t>Наявність початкового капіталу</w:t>
      </w:r>
    </w:p>
    <w:p w:rsidR="005613AB" w:rsidRPr="00BE1959" w:rsidRDefault="001F5C90" w:rsidP="00D84899">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Держави-члени</w:t>
      </w:r>
      <w:r w:rsidR="005613AB" w:rsidRPr="00BE1959">
        <w:rPr>
          <w:rFonts w:ascii="Times New Roman" w:eastAsia="Times New Roman" w:hAnsi="Times New Roman" w:cs="Times New Roman"/>
          <w:sz w:val="24"/>
          <w:szCs w:val="24"/>
          <w:lang w:val="uk-UA"/>
        </w:rPr>
        <w:t xml:space="preserve"> </w:t>
      </w:r>
      <w:r w:rsidR="00D84899" w:rsidRPr="00BE1959">
        <w:rPr>
          <w:rFonts w:ascii="Times New Roman" w:eastAsia="Times New Roman" w:hAnsi="Times New Roman" w:cs="Times New Roman"/>
          <w:sz w:val="24"/>
          <w:szCs w:val="24"/>
          <w:lang w:val="uk-UA"/>
        </w:rPr>
        <w:t>забезпечують, щоб компетентні органи не надавали дозвіл, якщо у інвестиційної фірми немає достатнього початкового капіталу відповідно до вимог</w:t>
      </w:r>
      <w:r w:rsidR="005613AB" w:rsidRPr="00BE1959">
        <w:rPr>
          <w:rFonts w:ascii="Times New Roman" w:eastAsia="Times New Roman" w:hAnsi="Times New Roman" w:cs="Times New Roman"/>
          <w:sz w:val="24"/>
          <w:szCs w:val="24"/>
          <w:lang w:val="uk-UA"/>
        </w:rPr>
        <w:t xml:space="preserve"> </w:t>
      </w:r>
      <w:r w:rsidR="008824AE" w:rsidRPr="00BE1959">
        <w:rPr>
          <w:rFonts w:ascii="Times New Roman" w:eastAsia="Times New Roman" w:hAnsi="Times New Roman" w:cs="Times New Roman"/>
          <w:sz w:val="24"/>
          <w:szCs w:val="24"/>
          <w:lang w:val="uk-UA"/>
        </w:rPr>
        <w:t>Регламенту</w:t>
      </w:r>
      <w:r w:rsidR="005613AB" w:rsidRPr="00BE1959">
        <w:rPr>
          <w:rFonts w:ascii="Times New Roman" w:eastAsia="Times New Roman" w:hAnsi="Times New Roman" w:cs="Times New Roman"/>
          <w:sz w:val="24"/>
          <w:szCs w:val="24"/>
          <w:lang w:val="uk-UA"/>
        </w:rPr>
        <w:t xml:space="preserve"> </w:t>
      </w:r>
      <w:r w:rsidR="00DB4825" w:rsidRPr="00BE1959">
        <w:rPr>
          <w:rFonts w:ascii="Times New Roman" w:eastAsia="Times New Roman" w:hAnsi="Times New Roman" w:cs="Times New Roman"/>
          <w:sz w:val="24"/>
          <w:szCs w:val="24"/>
          <w:lang w:val="uk-UA"/>
        </w:rPr>
        <w:t>(EU) №</w:t>
      </w:r>
      <w:r w:rsidR="005613AB" w:rsidRPr="00BE1959">
        <w:rPr>
          <w:rFonts w:ascii="Times New Roman" w:eastAsia="Times New Roman" w:hAnsi="Times New Roman" w:cs="Times New Roman"/>
          <w:sz w:val="24"/>
          <w:szCs w:val="24"/>
          <w:lang w:val="uk-UA"/>
        </w:rPr>
        <w:t> 575/2013</w:t>
      </w:r>
      <w:r w:rsidR="00D84899" w:rsidRPr="00BE1959">
        <w:rPr>
          <w:rFonts w:ascii="Times New Roman" w:eastAsia="Times New Roman" w:hAnsi="Times New Roman" w:cs="Times New Roman"/>
          <w:sz w:val="24"/>
          <w:szCs w:val="24"/>
          <w:lang w:val="uk-UA"/>
        </w:rPr>
        <w:t>, з урахуванням характеру розглядуваної інвестиційної послуги чи інвестиційної діяльності.</w:t>
      </w:r>
    </w:p>
    <w:p w:rsidR="005613AB" w:rsidRPr="00BE1959" w:rsidRDefault="00162A11" w:rsidP="005613AB">
      <w:pPr>
        <w:spacing w:before="360" w:after="120" w:line="312" w:lineRule="atLeast"/>
        <w:jc w:val="center"/>
        <w:textAlignment w:val="baseline"/>
        <w:rPr>
          <w:rFonts w:ascii="Times New Roman" w:eastAsia="Times New Roman" w:hAnsi="Times New Roman" w:cs="Times New Roman"/>
          <w:i/>
          <w:iCs/>
          <w:sz w:val="24"/>
          <w:szCs w:val="24"/>
          <w:lang w:val="uk-UA"/>
        </w:rPr>
      </w:pPr>
      <w:r w:rsidRPr="00BE1959">
        <w:rPr>
          <w:rFonts w:ascii="Times New Roman" w:eastAsia="Times New Roman" w:hAnsi="Times New Roman" w:cs="Times New Roman"/>
          <w:i/>
          <w:iCs/>
          <w:sz w:val="24"/>
          <w:szCs w:val="24"/>
          <w:lang w:val="uk-UA"/>
        </w:rPr>
        <w:t>Стаття</w:t>
      </w:r>
      <w:r w:rsidR="005613AB" w:rsidRPr="00BE1959">
        <w:rPr>
          <w:rFonts w:ascii="Times New Roman" w:eastAsia="Times New Roman" w:hAnsi="Times New Roman" w:cs="Times New Roman"/>
          <w:i/>
          <w:iCs/>
          <w:sz w:val="24"/>
          <w:szCs w:val="24"/>
          <w:lang w:val="uk-UA"/>
        </w:rPr>
        <w:t xml:space="preserve"> 16</w:t>
      </w:r>
    </w:p>
    <w:p w:rsidR="005613AB" w:rsidRPr="00BE1959" w:rsidRDefault="009D74EF" w:rsidP="005613AB">
      <w:pPr>
        <w:spacing w:before="60" w:after="120" w:line="312" w:lineRule="atLeast"/>
        <w:jc w:val="center"/>
        <w:textAlignment w:val="baseline"/>
        <w:rPr>
          <w:rFonts w:ascii="Times New Roman" w:eastAsia="Times New Roman" w:hAnsi="Times New Roman" w:cs="Times New Roman"/>
          <w:b/>
          <w:bCs/>
          <w:sz w:val="24"/>
          <w:szCs w:val="24"/>
          <w:lang w:val="uk-UA"/>
        </w:rPr>
      </w:pPr>
      <w:r w:rsidRPr="00BE1959">
        <w:rPr>
          <w:rFonts w:ascii="Times New Roman" w:eastAsia="Times New Roman" w:hAnsi="Times New Roman" w:cs="Times New Roman"/>
          <w:b/>
          <w:bCs/>
          <w:sz w:val="24"/>
          <w:szCs w:val="24"/>
          <w:lang w:val="uk-UA"/>
        </w:rPr>
        <w:t>Організаційні вимоги</w:t>
      </w:r>
    </w:p>
    <w:p w:rsidR="005613AB" w:rsidRPr="00BE1959" w:rsidRDefault="005613AB" w:rsidP="0036316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1.   </w:t>
      </w:r>
      <w:r w:rsidR="0036316B" w:rsidRPr="00BE1959">
        <w:rPr>
          <w:rFonts w:ascii="Times New Roman" w:eastAsia="Times New Roman" w:hAnsi="Times New Roman" w:cs="Times New Roman"/>
          <w:sz w:val="24"/>
          <w:szCs w:val="24"/>
          <w:lang w:val="uk-UA"/>
        </w:rPr>
        <w:t>Держава-член походження вимагає, щоб інвестиційні фірми дотримувалися організаційних вимог, викладені у пп. 2-10 цієї статті та</w:t>
      </w:r>
      <w:r w:rsidRPr="00BE1959">
        <w:rPr>
          <w:rFonts w:ascii="Times New Roman" w:eastAsia="Times New Roman" w:hAnsi="Times New Roman" w:cs="Times New Roman"/>
          <w:sz w:val="24"/>
          <w:szCs w:val="24"/>
          <w:lang w:val="uk-UA"/>
        </w:rPr>
        <w:t xml:space="preserve"> </w:t>
      </w:r>
      <w:r w:rsidR="005E1C03" w:rsidRPr="00BE1959">
        <w:rPr>
          <w:rFonts w:ascii="Times New Roman" w:eastAsia="Times New Roman" w:hAnsi="Times New Roman" w:cs="Times New Roman"/>
          <w:sz w:val="24"/>
          <w:szCs w:val="24"/>
          <w:lang w:val="uk-UA"/>
        </w:rPr>
        <w:t>у статті</w:t>
      </w:r>
      <w:r w:rsidRPr="00BE1959">
        <w:rPr>
          <w:rFonts w:ascii="Times New Roman" w:eastAsia="Times New Roman" w:hAnsi="Times New Roman" w:cs="Times New Roman"/>
          <w:sz w:val="24"/>
          <w:szCs w:val="24"/>
          <w:lang w:val="uk-UA"/>
        </w:rPr>
        <w:t xml:space="preserve"> 17.</w:t>
      </w:r>
    </w:p>
    <w:p w:rsidR="00F441AC"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lastRenderedPageBreak/>
        <w:t>2.   </w:t>
      </w:r>
      <w:r w:rsidR="0036316B" w:rsidRPr="00BE1959">
        <w:rPr>
          <w:rFonts w:ascii="Times New Roman" w:eastAsia="Times New Roman" w:hAnsi="Times New Roman" w:cs="Times New Roman"/>
          <w:sz w:val="24"/>
          <w:szCs w:val="24"/>
          <w:lang w:val="uk-UA"/>
        </w:rPr>
        <w:t>Інвестиційна фірма приймає політику та процедури, які є достатн</w:t>
      </w:r>
      <w:r w:rsidR="00F441AC" w:rsidRPr="00BE1959">
        <w:rPr>
          <w:rFonts w:ascii="Times New Roman" w:eastAsia="Times New Roman" w:hAnsi="Times New Roman" w:cs="Times New Roman"/>
          <w:sz w:val="24"/>
          <w:szCs w:val="24"/>
          <w:lang w:val="uk-UA"/>
        </w:rPr>
        <w:t>і</w:t>
      </w:r>
      <w:r w:rsidR="0036316B" w:rsidRPr="00BE1959">
        <w:rPr>
          <w:rFonts w:ascii="Times New Roman" w:eastAsia="Times New Roman" w:hAnsi="Times New Roman" w:cs="Times New Roman"/>
          <w:sz w:val="24"/>
          <w:szCs w:val="24"/>
          <w:lang w:val="uk-UA"/>
        </w:rPr>
        <w:t>ми для т</w:t>
      </w:r>
      <w:r w:rsidR="00F441AC" w:rsidRPr="00BE1959">
        <w:rPr>
          <w:rFonts w:ascii="Times New Roman" w:eastAsia="Times New Roman" w:hAnsi="Times New Roman" w:cs="Times New Roman"/>
          <w:sz w:val="24"/>
          <w:szCs w:val="24"/>
          <w:lang w:val="uk-UA"/>
        </w:rPr>
        <w:t>ого, щоб забезпечити виконання фірмою, її керівниками, працівниками та пов'язаними агентами її зобов’язань за цією директивою, а також відповідних правил, що регулюють особисті угоди таких осіб.</w:t>
      </w:r>
    </w:p>
    <w:p w:rsidR="00D148B6"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3.   </w:t>
      </w:r>
      <w:r w:rsidR="0036316B" w:rsidRPr="00BE1959">
        <w:rPr>
          <w:rFonts w:ascii="Times New Roman" w:eastAsia="Times New Roman" w:hAnsi="Times New Roman" w:cs="Times New Roman"/>
          <w:sz w:val="24"/>
          <w:szCs w:val="24"/>
          <w:lang w:val="uk-UA"/>
        </w:rPr>
        <w:t>Інвестиційна фірма</w:t>
      </w:r>
      <w:r w:rsidRPr="00BE1959">
        <w:rPr>
          <w:rFonts w:ascii="Times New Roman" w:eastAsia="Times New Roman" w:hAnsi="Times New Roman" w:cs="Times New Roman"/>
          <w:sz w:val="24"/>
          <w:szCs w:val="24"/>
          <w:lang w:val="uk-UA"/>
        </w:rPr>
        <w:t xml:space="preserve"> </w:t>
      </w:r>
      <w:r w:rsidR="00F441AC" w:rsidRPr="00BE1959">
        <w:rPr>
          <w:rFonts w:ascii="Times New Roman" w:eastAsia="Times New Roman" w:hAnsi="Times New Roman" w:cs="Times New Roman"/>
          <w:sz w:val="24"/>
          <w:szCs w:val="24"/>
          <w:lang w:val="uk-UA"/>
        </w:rPr>
        <w:t xml:space="preserve">підтримує </w:t>
      </w:r>
      <w:r w:rsidR="00D148B6" w:rsidRPr="00BE1959">
        <w:rPr>
          <w:rFonts w:ascii="Times New Roman" w:eastAsia="Times New Roman" w:hAnsi="Times New Roman" w:cs="Times New Roman"/>
          <w:sz w:val="24"/>
          <w:szCs w:val="24"/>
          <w:lang w:val="uk-UA"/>
        </w:rPr>
        <w:t xml:space="preserve">ефективні </w:t>
      </w:r>
      <w:r w:rsidR="00F441AC" w:rsidRPr="00BE1959">
        <w:rPr>
          <w:rFonts w:ascii="Times New Roman" w:eastAsia="Times New Roman" w:hAnsi="Times New Roman" w:cs="Times New Roman"/>
          <w:sz w:val="24"/>
          <w:szCs w:val="24"/>
          <w:lang w:val="uk-UA"/>
        </w:rPr>
        <w:t>організаційн</w:t>
      </w:r>
      <w:r w:rsidR="00D148B6" w:rsidRPr="00BE1959">
        <w:rPr>
          <w:rFonts w:ascii="Times New Roman" w:eastAsia="Times New Roman" w:hAnsi="Times New Roman" w:cs="Times New Roman"/>
          <w:sz w:val="24"/>
          <w:szCs w:val="24"/>
          <w:lang w:val="uk-UA"/>
        </w:rPr>
        <w:t>о-адміністративні механізми з метою вжиття всіх розумних кроків, спрямованих на те, щоб не дозволити конфліктам інтересів, визначеним у статті 23, несприятливо впливати на інтереси її клієнтів, та управляє цими механізмами.</w:t>
      </w:r>
    </w:p>
    <w:p w:rsidR="005613AB" w:rsidRPr="00BE1959" w:rsidRDefault="0036316B" w:rsidP="001741BC">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Інвестиційна фірма</w:t>
      </w:r>
      <w:r w:rsidR="001157A2" w:rsidRPr="00BE1959">
        <w:rPr>
          <w:rFonts w:ascii="Times New Roman" w:eastAsia="Times New Roman" w:hAnsi="Times New Roman" w:cs="Times New Roman"/>
          <w:sz w:val="24"/>
          <w:szCs w:val="24"/>
          <w:lang w:val="uk-UA"/>
        </w:rPr>
        <w:t xml:space="preserve">, яка випускає фінансові інструменти для продажу клієнтам, підтримує, </w:t>
      </w:r>
      <w:r w:rsidR="001741BC" w:rsidRPr="00BE1959">
        <w:rPr>
          <w:rFonts w:ascii="Times New Roman" w:eastAsia="Times New Roman" w:hAnsi="Times New Roman" w:cs="Times New Roman"/>
          <w:sz w:val="24"/>
          <w:szCs w:val="24"/>
          <w:lang w:val="uk-UA"/>
        </w:rPr>
        <w:t>здійснює та переглядає процес затвердження кожного фінансового інструмента й значних змін існуючих фінансових інструментів, перш ніж випускати їх на ринок або направляти клієнтам.</w:t>
      </w:r>
    </w:p>
    <w:p w:rsidR="001741BC" w:rsidRPr="00BE1959" w:rsidRDefault="001741BC" w:rsidP="001741BC">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Процес затвердження продуктів передбачає визначення цільового ринку кінцевих клієнтів у межах відповідної категорії клієнтів для кожного фінансового інструмента, забезпечення оцінки всіх відповідних ризиків для такого визначеного цільового ринку та узгодження планової стратегії </w:t>
      </w:r>
      <w:r w:rsidR="00D87907" w:rsidRPr="00BE1959">
        <w:rPr>
          <w:rFonts w:ascii="Times New Roman" w:eastAsia="Times New Roman" w:hAnsi="Times New Roman" w:cs="Times New Roman"/>
          <w:sz w:val="24"/>
          <w:szCs w:val="24"/>
          <w:lang w:val="uk-UA"/>
        </w:rPr>
        <w:t>розподілу</w:t>
      </w:r>
      <w:r w:rsidRPr="00BE1959">
        <w:rPr>
          <w:rFonts w:ascii="Times New Roman" w:eastAsia="Times New Roman" w:hAnsi="Times New Roman" w:cs="Times New Roman"/>
          <w:sz w:val="24"/>
          <w:szCs w:val="24"/>
          <w:lang w:val="uk-UA"/>
        </w:rPr>
        <w:t xml:space="preserve"> з визначеним цільовим ринком.</w:t>
      </w:r>
    </w:p>
    <w:p w:rsidR="00FF094A" w:rsidRPr="00BE1959" w:rsidRDefault="0036316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Інвестиційна фірма</w:t>
      </w:r>
      <w:r w:rsidR="005613AB" w:rsidRPr="00BE1959">
        <w:rPr>
          <w:rFonts w:ascii="Times New Roman" w:eastAsia="Times New Roman" w:hAnsi="Times New Roman" w:cs="Times New Roman"/>
          <w:sz w:val="24"/>
          <w:szCs w:val="24"/>
          <w:lang w:val="uk-UA"/>
        </w:rPr>
        <w:t xml:space="preserve"> </w:t>
      </w:r>
      <w:r w:rsidR="00FF094A" w:rsidRPr="00BE1959">
        <w:rPr>
          <w:rFonts w:ascii="Times New Roman" w:eastAsia="Times New Roman" w:hAnsi="Times New Roman" w:cs="Times New Roman"/>
          <w:sz w:val="24"/>
          <w:szCs w:val="24"/>
          <w:lang w:val="uk-UA"/>
        </w:rPr>
        <w:t xml:space="preserve">також регулярно переглядає фінансові інструменти, які пропонує чи продає, враховуючи будь-які події, що можуть істотно вплинути на потенційний ризик для визначеного цільового ринку, </w:t>
      </w:r>
      <w:r w:rsidR="009A4D5C" w:rsidRPr="00BE1959">
        <w:rPr>
          <w:rFonts w:ascii="Times New Roman" w:eastAsia="Times New Roman" w:hAnsi="Times New Roman" w:cs="Times New Roman"/>
          <w:sz w:val="24"/>
          <w:szCs w:val="24"/>
          <w:lang w:val="uk-UA"/>
        </w:rPr>
        <w:t xml:space="preserve">на предмет оцінки принаймні того, чи продовжує даний фінансовий інструмент відповідати потребам визначеного цільового ринку й чи залишається планова стратегія </w:t>
      </w:r>
      <w:r w:rsidR="00D87907" w:rsidRPr="00BE1959">
        <w:rPr>
          <w:rFonts w:ascii="Times New Roman" w:eastAsia="Times New Roman" w:hAnsi="Times New Roman" w:cs="Times New Roman"/>
          <w:sz w:val="24"/>
          <w:szCs w:val="24"/>
          <w:lang w:val="uk-UA"/>
        </w:rPr>
        <w:t>розподілу</w:t>
      </w:r>
      <w:r w:rsidR="009A4D5C" w:rsidRPr="00BE1959">
        <w:rPr>
          <w:rFonts w:ascii="Times New Roman" w:eastAsia="Times New Roman" w:hAnsi="Times New Roman" w:cs="Times New Roman"/>
          <w:sz w:val="24"/>
          <w:szCs w:val="24"/>
          <w:lang w:val="uk-UA"/>
        </w:rPr>
        <w:t xml:space="preserve"> доречною.</w:t>
      </w:r>
    </w:p>
    <w:p w:rsidR="00897398" w:rsidRPr="00BE1959" w:rsidRDefault="00F441AC"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Інвестиційна фірма</w:t>
      </w:r>
      <w:r w:rsidR="00897398" w:rsidRPr="00BE1959">
        <w:rPr>
          <w:rFonts w:ascii="Times New Roman" w:eastAsia="Times New Roman" w:hAnsi="Times New Roman" w:cs="Times New Roman"/>
          <w:sz w:val="24"/>
          <w:szCs w:val="24"/>
          <w:lang w:val="uk-UA"/>
        </w:rPr>
        <w:t>, яка випускає фінансові інструменти, надає будь-якому дистриб’ютору всю необхідну інформацію про фінансовий інструмент і про процес затвердження продуктів, включно з визначеним цільовим ринком даного фінансового інструмента.</w:t>
      </w:r>
    </w:p>
    <w:p w:rsidR="005613AB" w:rsidRPr="00BE1959" w:rsidRDefault="00897398" w:rsidP="0089435C">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Якщо</w:t>
      </w:r>
      <w:r w:rsidR="005613AB" w:rsidRPr="00BE1959">
        <w:rPr>
          <w:rFonts w:ascii="Times New Roman" w:eastAsia="Times New Roman" w:hAnsi="Times New Roman" w:cs="Times New Roman"/>
          <w:sz w:val="24"/>
          <w:szCs w:val="24"/>
          <w:lang w:val="uk-UA"/>
        </w:rPr>
        <w:t xml:space="preserve"> </w:t>
      </w:r>
      <w:r w:rsidR="00E7289F" w:rsidRPr="00BE1959">
        <w:rPr>
          <w:rFonts w:ascii="Times New Roman" w:eastAsia="Times New Roman" w:hAnsi="Times New Roman" w:cs="Times New Roman"/>
          <w:sz w:val="24"/>
          <w:szCs w:val="24"/>
          <w:lang w:val="uk-UA"/>
        </w:rPr>
        <w:t>і</w:t>
      </w:r>
      <w:r w:rsidR="00F441AC" w:rsidRPr="00BE1959">
        <w:rPr>
          <w:rFonts w:ascii="Times New Roman" w:eastAsia="Times New Roman" w:hAnsi="Times New Roman" w:cs="Times New Roman"/>
          <w:sz w:val="24"/>
          <w:szCs w:val="24"/>
          <w:lang w:val="uk-UA"/>
        </w:rPr>
        <w:t>нвестиційна фірма</w:t>
      </w:r>
      <w:r w:rsidR="005613AB" w:rsidRPr="00BE1959">
        <w:rPr>
          <w:rFonts w:ascii="Times New Roman" w:eastAsia="Times New Roman" w:hAnsi="Times New Roman" w:cs="Times New Roman"/>
          <w:sz w:val="24"/>
          <w:szCs w:val="24"/>
          <w:lang w:val="uk-UA"/>
        </w:rPr>
        <w:t xml:space="preserve"> </w:t>
      </w:r>
      <w:r w:rsidR="00E7289F" w:rsidRPr="00BE1959">
        <w:rPr>
          <w:rFonts w:ascii="Times New Roman" w:eastAsia="Times New Roman" w:hAnsi="Times New Roman" w:cs="Times New Roman"/>
          <w:sz w:val="24"/>
          <w:szCs w:val="24"/>
          <w:lang w:val="uk-UA"/>
        </w:rPr>
        <w:t xml:space="preserve">пропонує або рекомендує фінансові інструменти, які вона не випускає, вона повинна мати відповідні механізми </w:t>
      </w:r>
      <w:r w:rsidR="0089435C" w:rsidRPr="00BE1959">
        <w:rPr>
          <w:rFonts w:ascii="Times New Roman" w:eastAsia="Times New Roman" w:hAnsi="Times New Roman" w:cs="Times New Roman"/>
          <w:sz w:val="24"/>
          <w:szCs w:val="24"/>
          <w:lang w:val="uk-UA"/>
        </w:rPr>
        <w:t xml:space="preserve">для </w:t>
      </w:r>
      <w:r w:rsidR="00E7289F" w:rsidRPr="00BE1959">
        <w:rPr>
          <w:rFonts w:ascii="Times New Roman" w:eastAsia="Times New Roman" w:hAnsi="Times New Roman" w:cs="Times New Roman"/>
          <w:sz w:val="24"/>
          <w:szCs w:val="24"/>
          <w:lang w:val="uk-UA"/>
        </w:rPr>
        <w:t xml:space="preserve">отримання інформації, згаданої у п’ятому абзаці цього пункту, і </w:t>
      </w:r>
      <w:r w:rsidR="0089435C" w:rsidRPr="00BE1959">
        <w:rPr>
          <w:rFonts w:ascii="Times New Roman" w:eastAsia="Times New Roman" w:hAnsi="Times New Roman" w:cs="Times New Roman"/>
          <w:sz w:val="24"/>
          <w:szCs w:val="24"/>
          <w:lang w:val="uk-UA"/>
        </w:rPr>
        <w:t xml:space="preserve">для </w:t>
      </w:r>
      <w:r w:rsidR="00E7289F" w:rsidRPr="00BE1959">
        <w:rPr>
          <w:rFonts w:ascii="Times New Roman" w:eastAsia="Times New Roman" w:hAnsi="Times New Roman" w:cs="Times New Roman"/>
          <w:sz w:val="24"/>
          <w:szCs w:val="24"/>
          <w:lang w:val="uk-UA"/>
        </w:rPr>
        <w:t xml:space="preserve">розуміння характеристик та </w:t>
      </w:r>
      <w:r w:rsidR="0089435C" w:rsidRPr="00BE1959">
        <w:rPr>
          <w:rFonts w:ascii="Times New Roman" w:eastAsia="Times New Roman" w:hAnsi="Times New Roman" w:cs="Times New Roman"/>
          <w:sz w:val="24"/>
          <w:szCs w:val="24"/>
          <w:lang w:val="uk-UA"/>
        </w:rPr>
        <w:t>визначеного цільового ринку кожного фінансового інструмента.</w:t>
      </w:r>
    </w:p>
    <w:p w:rsidR="005613AB" w:rsidRPr="00BE1959" w:rsidRDefault="0089435C" w:rsidP="00E51596">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Політика, процеси та механізми, згадані у цьому пункті, не впливають на всі інші вимоги, викладені у цій директиві та у Регламенті</w:t>
      </w:r>
      <w:r w:rsidR="005613AB" w:rsidRPr="00BE1959">
        <w:rPr>
          <w:rFonts w:ascii="Times New Roman" w:eastAsia="Times New Roman" w:hAnsi="Times New Roman" w:cs="Times New Roman"/>
          <w:sz w:val="24"/>
          <w:szCs w:val="24"/>
          <w:lang w:val="uk-UA"/>
        </w:rPr>
        <w:t xml:space="preserve"> </w:t>
      </w:r>
      <w:r w:rsidR="007B0149" w:rsidRPr="00BE1959">
        <w:rPr>
          <w:rFonts w:ascii="Times New Roman" w:eastAsia="Times New Roman" w:hAnsi="Times New Roman" w:cs="Times New Roman"/>
          <w:sz w:val="24"/>
          <w:szCs w:val="24"/>
          <w:lang w:val="uk-UA"/>
        </w:rPr>
        <w:t>(EU) № 600/2014</w:t>
      </w:r>
      <w:r w:rsidR="005613AB" w:rsidRPr="00BE1959">
        <w:rPr>
          <w:rFonts w:ascii="Times New Roman" w:eastAsia="Times New Roman" w:hAnsi="Times New Roman" w:cs="Times New Roman"/>
          <w:sz w:val="24"/>
          <w:szCs w:val="24"/>
          <w:lang w:val="uk-UA"/>
        </w:rPr>
        <w:t xml:space="preserve">, </w:t>
      </w:r>
      <w:r w:rsidRPr="00BE1959">
        <w:rPr>
          <w:rFonts w:ascii="Times New Roman" w:eastAsia="Times New Roman" w:hAnsi="Times New Roman" w:cs="Times New Roman"/>
          <w:sz w:val="24"/>
          <w:szCs w:val="24"/>
          <w:lang w:val="uk-UA"/>
        </w:rPr>
        <w:t xml:space="preserve">зокрема ті, що стосуються розголошення інформації, відповідності або придатності, виявлення та усунення конфліктів інтересів та </w:t>
      </w:r>
      <w:r w:rsidR="00E51596" w:rsidRPr="00BE1959">
        <w:rPr>
          <w:rFonts w:ascii="Times New Roman" w:eastAsia="Times New Roman" w:hAnsi="Times New Roman" w:cs="Times New Roman"/>
          <w:sz w:val="24"/>
          <w:szCs w:val="24"/>
          <w:lang w:val="uk-UA"/>
        </w:rPr>
        <w:t>заохочень.</w:t>
      </w:r>
    </w:p>
    <w:p w:rsidR="005613AB" w:rsidRPr="00BE1959" w:rsidRDefault="005613AB" w:rsidP="00FB2944">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4.   </w:t>
      </w:r>
      <w:r w:rsidR="00F441AC" w:rsidRPr="00BE1959">
        <w:rPr>
          <w:rFonts w:ascii="Times New Roman" w:eastAsia="Times New Roman" w:hAnsi="Times New Roman" w:cs="Times New Roman"/>
          <w:sz w:val="24"/>
          <w:szCs w:val="24"/>
          <w:lang w:val="uk-UA"/>
        </w:rPr>
        <w:t>Інвестиційна фірма</w:t>
      </w:r>
      <w:r w:rsidRPr="00BE1959">
        <w:rPr>
          <w:rFonts w:ascii="Times New Roman" w:eastAsia="Times New Roman" w:hAnsi="Times New Roman" w:cs="Times New Roman"/>
          <w:sz w:val="24"/>
          <w:szCs w:val="24"/>
          <w:lang w:val="uk-UA"/>
        </w:rPr>
        <w:t xml:space="preserve"> </w:t>
      </w:r>
      <w:r w:rsidR="00FB2944" w:rsidRPr="00BE1959">
        <w:rPr>
          <w:rFonts w:ascii="Times New Roman" w:eastAsia="Times New Roman" w:hAnsi="Times New Roman" w:cs="Times New Roman"/>
          <w:sz w:val="24"/>
          <w:szCs w:val="24"/>
          <w:lang w:val="uk-UA"/>
        </w:rPr>
        <w:t>вживає обґрунтованих заходів для забезпечення безперервності та регулярності надання інвестиційних послуг і ведення інвестиційної діяльності. З цією метою інвестиційна фірма застосовує належні та сумірні потребам системи, ресурси та процедури.</w:t>
      </w:r>
    </w:p>
    <w:p w:rsidR="005613AB" w:rsidRPr="00BE1959" w:rsidRDefault="005613AB" w:rsidP="005B75EA">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5.   </w:t>
      </w:r>
      <w:r w:rsidR="00FB2944" w:rsidRPr="00BE1959">
        <w:rPr>
          <w:rFonts w:ascii="Times New Roman" w:eastAsia="Times New Roman" w:hAnsi="Times New Roman" w:cs="Times New Roman"/>
          <w:sz w:val="24"/>
          <w:szCs w:val="24"/>
          <w:lang w:val="uk-UA"/>
        </w:rPr>
        <w:t>Я</w:t>
      </w:r>
      <w:r w:rsidR="002E3BC7" w:rsidRPr="00BE1959">
        <w:rPr>
          <w:rFonts w:ascii="Times New Roman" w:eastAsia="Times New Roman" w:hAnsi="Times New Roman" w:cs="Times New Roman"/>
          <w:sz w:val="24"/>
          <w:szCs w:val="24"/>
          <w:lang w:val="uk-UA"/>
        </w:rPr>
        <w:t xml:space="preserve">кщо інвестиційна фірма передає третій особі для виконання оперативні функції, що є критично важливими для безперервного і задовільного надання послуг клієнтам та </w:t>
      </w:r>
      <w:r w:rsidR="002E3BC7" w:rsidRPr="00BE1959">
        <w:rPr>
          <w:rFonts w:ascii="Times New Roman" w:eastAsia="Times New Roman" w:hAnsi="Times New Roman" w:cs="Times New Roman"/>
          <w:sz w:val="24"/>
          <w:szCs w:val="24"/>
          <w:lang w:val="uk-UA"/>
        </w:rPr>
        <w:lastRenderedPageBreak/>
        <w:t>безперервного і задовільного ведення інвестиційної діяльності, то вона забезпечує вжиття необхідних заходів для уникнення неналежного додаткового операційного ризику. Аутсорсинг</w:t>
      </w:r>
      <w:r w:rsidR="005B75EA" w:rsidRPr="00BE1959">
        <w:rPr>
          <w:rFonts w:ascii="Times New Roman" w:eastAsia="Times New Roman" w:hAnsi="Times New Roman" w:cs="Times New Roman"/>
          <w:sz w:val="24"/>
          <w:szCs w:val="24"/>
          <w:lang w:val="uk-UA"/>
        </w:rPr>
        <w:t xml:space="preserve"> важливих оперативних функцій не повинен здійснювати у спосіб, який істотно шкодить якості внутрішнього контролю фірми та здатності наглядового органу контролювати виконання фірмою всіх її зобов’язань.</w:t>
      </w:r>
    </w:p>
    <w:p w:rsidR="005613AB" w:rsidRPr="00BE1959" w:rsidRDefault="00F441AC" w:rsidP="007D17FF">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Інвестиційна фірма</w:t>
      </w:r>
      <w:r w:rsidR="005613AB" w:rsidRPr="00BE1959">
        <w:rPr>
          <w:rFonts w:ascii="Times New Roman" w:eastAsia="Times New Roman" w:hAnsi="Times New Roman" w:cs="Times New Roman"/>
          <w:sz w:val="24"/>
          <w:szCs w:val="24"/>
          <w:lang w:val="uk-UA"/>
        </w:rPr>
        <w:t xml:space="preserve"> </w:t>
      </w:r>
      <w:r w:rsidR="007D17FF" w:rsidRPr="00BE1959">
        <w:rPr>
          <w:rFonts w:ascii="Times New Roman" w:eastAsia="Times New Roman" w:hAnsi="Times New Roman" w:cs="Times New Roman"/>
          <w:sz w:val="24"/>
          <w:szCs w:val="24"/>
          <w:lang w:val="uk-UA"/>
        </w:rPr>
        <w:t>має оптимальні адміністративні та облікові процедури, механізми внутрішнього контролю, ефективні процедури оцінки ризиків, а також ефективні механізму контролю і захисту систем обробки інформації.</w:t>
      </w:r>
    </w:p>
    <w:p w:rsidR="005613AB" w:rsidRPr="00BE1959" w:rsidRDefault="007D17FF" w:rsidP="00725B2E">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Без шкоди для здатності компетентних органів вимагати доступу до кореспонденції відповідно до </w:t>
      </w:r>
      <w:r w:rsidR="00DB51BE" w:rsidRPr="00BE1959">
        <w:rPr>
          <w:rFonts w:ascii="Times New Roman" w:eastAsia="Times New Roman" w:hAnsi="Times New Roman" w:cs="Times New Roman"/>
          <w:sz w:val="24"/>
          <w:szCs w:val="24"/>
          <w:lang w:val="uk-UA"/>
        </w:rPr>
        <w:t>цієї директиви та Регламенту</w:t>
      </w:r>
      <w:r w:rsidR="005613AB" w:rsidRPr="00BE1959">
        <w:rPr>
          <w:rFonts w:ascii="Times New Roman" w:eastAsia="Times New Roman" w:hAnsi="Times New Roman" w:cs="Times New Roman"/>
          <w:sz w:val="24"/>
          <w:szCs w:val="24"/>
          <w:lang w:val="uk-UA"/>
        </w:rPr>
        <w:t xml:space="preserve"> </w:t>
      </w:r>
      <w:r w:rsidR="007B0149" w:rsidRPr="00BE1959">
        <w:rPr>
          <w:rFonts w:ascii="Times New Roman" w:eastAsia="Times New Roman" w:hAnsi="Times New Roman" w:cs="Times New Roman"/>
          <w:sz w:val="24"/>
          <w:szCs w:val="24"/>
          <w:lang w:val="uk-UA"/>
        </w:rPr>
        <w:t>(EU) № 600/2014</w:t>
      </w:r>
      <w:r w:rsidR="005613AB" w:rsidRPr="00BE1959">
        <w:rPr>
          <w:rFonts w:ascii="Times New Roman" w:eastAsia="Times New Roman" w:hAnsi="Times New Roman" w:cs="Times New Roman"/>
          <w:sz w:val="24"/>
          <w:szCs w:val="24"/>
          <w:lang w:val="uk-UA"/>
        </w:rPr>
        <w:t xml:space="preserve"> </w:t>
      </w:r>
      <w:r w:rsidR="00DB51BE" w:rsidRPr="00BE1959">
        <w:rPr>
          <w:rFonts w:ascii="Times New Roman" w:eastAsia="Times New Roman" w:hAnsi="Times New Roman" w:cs="Times New Roman"/>
          <w:sz w:val="24"/>
          <w:szCs w:val="24"/>
          <w:lang w:val="uk-UA"/>
        </w:rPr>
        <w:t>і</w:t>
      </w:r>
      <w:r w:rsidR="00F441AC" w:rsidRPr="00BE1959">
        <w:rPr>
          <w:rFonts w:ascii="Times New Roman" w:eastAsia="Times New Roman" w:hAnsi="Times New Roman" w:cs="Times New Roman"/>
          <w:sz w:val="24"/>
          <w:szCs w:val="24"/>
          <w:lang w:val="uk-UA"/>
        </w:rPr>
        <w:t>нвестиційна фірма</w:t>
      </w:r>
      <w:r w:rsidR="00DB51BE" w:rsidRPr="00BE1959">
        <w:rPr>
          <w:rFonts w:ascii="Times New Roman" w:eastAsia="Times New Roman" w:hAnsi="Times New Roman" w:cs="Times New Roman"/>
          <w:sz w:val="24"/>
          <w:szCs w:val="24"/>
          <w:lang w:val="uk-UA"/>
        </w:rPr>
        <w:t xml:space="preserve"> запроваджує потужні механізми забезпечення безпеки, що гарантують безпеку і автентичність засобів передачі інформації, зводять до мінімуму ризик</w:t>
      </w:r>
      <w:r w:rsidR="00725B2E" w:rsidRPr="00BE1959">
        <w:rPr>
          <w:rFonts w:ascii="Times New Roman" w:eastAsia="Times New Roman" w:hAnsi="Times New Roman" w:cs="Times New Roman"/>
          <w:sz w:val="24"/>
          <w:szCs w:val="24"/>
          <w:lang w:val="uk-UA"/>
        </w:rPr>
        <w:t xml:space="preserve"> викривлення даних і несанкціонованого доступу та запобігають витоку інформації, постійно підтримуючи конфіденційність даних.</w:t>
      </w:r>
    </w:p>
    <w:p w:rsidR="005613AB" w:rsidRPr="00BE1959" w:rsidRDefault="005613AB" w:rsidP="00E11AC1">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6.   </w:t>
      </w:r>
      <w:r w:rsidR="00F441AC" w:rsidRPr="00BE1959">
        <w:rPr>
          <w:rFonts w:ascii="Times New Roman" w:eastAsia="Times New Roman" w:hAnsi="Times New Roman" w:cs="Times New Roman"/>
          <w:sz w:val="24"/>
          <w:szCs w:val="24"/>
          <w:lang w:val="uk-UA"/>
        </w:rPr>
        <w:t>Інвестиційна фірма</w:t>
      </w:r>
      <w:r w:rsidRPr="00BE1959">
        <w:rPr>
          <w:rFonts w:ascii="Times New Roman" w:eastAsia="Times New Roman" w:hAnsi="Times New Roman" w:cs="Times New Roman"/>
          <w:sz w:val="24"/>
          <w:szCs w:val="24"/>
          <w:lang w:val="uk-UA"/>
        </w:rPr>
        <w:t xml:space="preserve"> </w:t>
      </w:r>
      <w:r w:rsidR="00E11AC1" w:rsidRPr="00BE1959">
        <w:rPr>
          <w:rFonts w:ascii="Times New Roman" w:eastAsia="Times New Roman" w:hAnsi="Times New Roman" w:cs="Times New Roman"/>
          <w:sz w:val="24"/>
          <w:szCs w:val="24"/>
          <w:lang w:val="uk-UA"/>
        </w:rPr>
        <w:t>організує ведення документації щодо всіх послуг, видів діяльності та операцій, здійснених нею, яка є достатньою для того, щоб компетентний орган виконував свої наглядові задачі та здійснював правозастосовні заходи згідно з цією директивою, Регламентом</w:t>
      </w:r>
      <w:r w:rsidRPr="00BE1959">
        <w:rPr>
          <w:rFonts w:ascii="Times New Roman" w:eastAsia="Times New Roman" w:hAnsi="Times New Roman" w:cs="Times New Roman"/>
          <w:sz w:val="24"/>
          <w:szCs w:val="24"/>
          <w:lang w:val="uk-UA"/>
        </w:rPr>
        <w:t xml:space="preserve"> </w:t>
      </w:r>
      <w:r w:rsidR="007B0149" w:rsidRPr="00BE1959">
        <w:rPr>
          <w:rFonts w:ascii="Times New Roman" w:eastAsia="Times New Roman" w:hAnsi="Times New Roman" w:cs="Times New Roman"/>
          <w:sz w:val="24"/>
          <w:szCs w:val="24"/>
          <w:lang w:val="uk-UA"/>
        </w:rPr>
        <w:t>(EU) № 600/2014</w:t>
      </w:r>
      <w:r w:rsidRPr="00BE1959">
        <w:rPr>
          <w:rFonts w:ascii="Times New Roman" w:eastAsia="Times New Roman" w:hAnsi="Times New Roman" w:cs="Times New Roman"/>
          <w:sz w:val="24"/>
          <w:szCs w:val="24"/>
          <w:lang w:val="uk-UA"/>
        </w:rPr>
        <w:t xml:space="preserve">, </w:t>
      </w:r>
      <w:r w:rsidR="00E11AC1" w:rsidRPr="00BE1959">
        <w:rPr>
          <w:rFonts w:ascii="Times New Roman" w:eastAsia="Times New Roman" w:hAnsi="Times New Roman" w:cs="Times New Roman"/>
          <w:sz w:val="24"/>
          <w:szCs w:val="24"/>
          <w:lang w:val="uk-UA"/>
        </w:rPr>
        <w:t>Директивою</w:t>
      </w:r>
      <w:r w:rsidRPr="00BE1959">
        <w:rPr>
          <w:rFonts w:ascii="Times New Roman" w:eastAsia="Times New Roman" w:hAnsi="Times New Roman" w:cs="Times New Roman"/>
          <w:sz w:val="24"/>
          <w:szCs w:val="24"/>
          <w:lang w:val="uk-UA"/>
        </w:rPr>
        <w:t xml:space="preserve"> 2014/57/EU </w:t>
      </w:r>
      <w:r w:rsidR="00E11AC1" w:rsidRPr="00BE1959">
        <w:rPr>
          <w:rFonts w:ascii="Times New Roman" w:eastAsia="Times New Roman" w:hAnsi="Times New Roman" w:cs="Times New Roman"/>
          <w:sz w:val="24"/>
          <w:szCs w:val="24"/>
          <w:lang w:val="uk-UA"/>
        </w:rPr>
        <w:t xml:space="preserve">та Регламентом </w:t>
      </w:r>
      <w:r w:rsidR="00DB4825" w:rsidRPr="00BE1959">
        <w:rPr>
          <w:rFonts w:ascii="Times New Roman" w:eastAsia="Times New Roman" w:hAnsi="Times New Roman" w:cs="Times New Roman"/>
          <w:sz w:val="24"/>
          <w:szCs w:val="24"/>
          <w:lang w:val="uk-UA"/>
        </w:rPr>
        <w:t>(EU) №</w:t>
      </w:r>
      <w:r w:rsidRPr="00BE1959">
        <w:rPr>
          <w:rFonts w:ascii="Times New Roman" w:eastAsia="Times New Roman" w:hAnsi="Times New Roman" w:cs="Times New Roman"/>
          <w:sz w:val="24"/>
          <w:szCs w:val="24"/>
          <w:lang w:val="uk-UA"/>
        </w:rPr>
        <w:t xml:space="preserve"> 596/2014, </w:t>
      </w:r>
      <w:r w:rsidR="00E11AC1" w:rsidRPr="00BE1959">
        <w:rPr>
          <w:rFonts w:ascii="Times New Roman" w:eastAsia="Times New Roman" w:hAnsi="Times New Roman" w:cs="Times New Roman"/>
          <w:sz w:val="24"/>
          <w:szCs w:val="24"/>
          <w:lang w:val="uk-UA"/>
        </w:rPr>
        <w:t>зокрема переконувався у тому, що інвестиційна фірма виконує всі зобов’язання, включно з зобов’язаннями перед фактичними чи потенційними клієнтами та стосовно цілісності ринку.</w:t>
      </w:r>
    </w:p>
    <w:p w:rsidR="005613AB" w:rsidRPr="00BE1959" w:rsidRDefault="005613AB" w:rsidP="00E11AC1">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7.   </w:t>
      </w:r>
      <w:r w:rsidR="00E11AC1" w:rsidRPr="00BE1959">
        <w:rPr>
          <w:rFonts w:ascii="Times New Roman" w:eastAsia="Times New Roman" w:hAnsi="Times New Roman" w:cs="Times New Roman"/>
          <w:sz w:val="24"/>
          <w:szCs w:val="24"/>
          <w:lang w:val="uk-UA"/>
        </w:rPr>
        <w:t>Документація включає записи телефонних розмов і електронн</w:t>
      </w:r>
      <w:r w:rsidR="00111DF9" w:rsidRPr="00BE1959">
        <w:rPr>
          <w:rFonts w:ascii="Times New Roman" w:eastAsia="Times New Roman" w:hAnsi="Times New Roman" w:cs="Times New Roman"/>
          <w:sz w:val="24"/>
          <w:szCs w:val="24"/>
          <w:lang w:val="uk-UA"/>
        </w:rPr>
        <w:t>их повідомлень</w:t>
      </w:r>
      <w:r w:rsidR="00E11AC1" w:rsidRPr="00BE1959">
        <w:rPr>
          <w:rFonts w:ascii="Times New Roman" w:eastAsia="Times New Roman" w:hAnsi="Times New Roman" w:cs="Times New Roman"/>
          <w:sz w:val="24"/>
          <w:szCs w:val="24"/>
          <w:lang w:val="uk-UA"/>
        </w:rPr>
        <w:t xml:space="preserve"> стосовно, як мінімум, угод, укладених при здійсненні операцій за власний рахунок, і надання послуг щодо замовлень клієнтів, що стосуються приймання, передачі та виконання цих замовлень.</w:t>
      </w:r>
    </w:p>
    <w:p w:rsidR="005613AB" w:rsidRPr="00BE1959" w:rsidRDefault="00111DF9" w:rsidP="00111DF9">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Такі телефонні розмови та електронні повідомлення також включають розмови і повідомлення, що мають на меті укладання угод при здійсненні операцій за власний рахунок або при наданні послуг щодо замовлень клієнтів, що стосуються приймання, передачі та виконання цих замовлень, навіть якщо ці розмови та повідомлення не призводять до укладання таких угод або надання послуг щодо замовлень клієнтів.</w:t>
      </w:r>
    </w:p>
    <w:p w:rsidR="005613AB" w:rsidRPr="00BE1959" w:rsidRDefault="00111DF9" w:rsidP="00111DF9">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Для цих цілей інвестиційна фірма вживає всіх доречних заходів для записування відповідних телефонних розмов і електронних повідомлень, здійснених, надісланих або отриманих за допомогою обладнання, яке надано інвестиційною фірмою працівнику чи підряднику або використання якого працівником чи підрядником погоджено чи дозволено інвестиційною фірмою.</w:t>
      </w:r>
    </w:p>
    <w:p w:rsidR="005613AB" w:rsidRPr="00BE1959" w:rsidRDefault="00F441AC" w:rsidP="00DB6F7D">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Інвестиційна фірма</w:t>
      </w:r>
      <w:r w:rsidR="005613AB" w:rsidRPr="00BE1959">
        <w:rPr>
          <w:rFonts w:ascii="Times New Roman" w:eastAsia="Times New Roman" w:hAnsi="Times New Roman" w:cs="Times New Roman"/>
          <w:sz w:val="24"/>
          <w:szCs w:val="24"/>
          <w:lang w:val="uk-UA"/>
        </w:rPr>
        <w:t xml:space="preserve"> </w:t>
      </w:r>
      <w:r w:rsidR="00DB6F7D" w:rsidRPr="00BE1959">
        <w:rPr>
          <w:rFonts w:ascii="Times New Roman" w:eastAsia="Times New Roman" w:hAnsi="Times New Roman" w:cs="Times New Roman"/>
          <w:sz w:val="24"/>
          <w:szCs w:val="24"/>
          <w:lang w:val="uk-UA"/>
        </w:rPr>
        <w:t>повідомляє нових та існуючих клієнтів про те, що телефонні повідомлення чи розмови між інвестиційною фірмою та її клієнтами, що призводять або можуть призвести до угод, записуватимуться.</w:t>
      </w:r>
    </w:p>
    <w:p w:rsidR="005613AB" w:rsidRPr="00BE1959" w:rsidRDefault="00DB6F7D" w:rsidP="00DB6F7D">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lastRenderedPageBreak/>
        <w:t>Таке повідомлення може бути зроблено один раз, до надання інвестиційних послуг новим та існуючим клієнтам.</w:t>
      </w:r>
    </w:p>
    <w:p w:rsidR="005613AB" w:rsidRPr="00BE1959" w:rsidRDefault="00F441AC" w:rsidP="00A401BE">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Інвестиційна фірма</w:t>
      </w:r>
      <w:r w:rsidR="005613AB" w:rsidRPr="00BE1959">
        <w:rPr>
          <w:rFonts w:ascii="Times New Roman" w:eastAsia="Times New Roman" w:hAnsi="Times New Roman" w:cs="Times New Roman"/>
          <w:sz w:val="24"/>
          <w:szCs w:val="24"/>
          <w:lang w:val="uk-UA"/>
        </w:rPr>
        <w:t xml:space="preserve"> </w:t>
      </w:r>
      <w:r w:rsidR="00DB6F7D" w:rsidRPr="00BE1959">
        <w:rPr>
          <w:rFonts w:ascii="Times New Roman" w:eastAsia="Times New Roman" w:hAnsi="Times New Roman" w:cs="Times New Roman"/>
          <w:sz w:val="24"/>
          <w:szCs w:val="24"/>
          <w:lang w:val="uk-UA"/>
        </w:rPr>
        <w:t>не надає телефоном інвестиційні послуги і не веде інвестиційну діяльність для клієнтів, які заздалегідь не були повідомлені про записування їхніх телефонних повідомлень або розмов</w:t>
      </w:r>
      <w:r w:rsidR="00A401BE" w:rsidRPr="00BE1959">
        <w:rPr>
          <w:rFonts w:ascii="Times New Roman" w:eastAsia="Times New Roman" w:hAnsi="Times New Roman" w:cs="Times New Roman"/>
          <w:sz w:val="24"/>
          <w:szCs w:val="24"/>
          <w:lang w:val="uk-UA"/>
        </w:rPr>
        <w:t>, якщо такі інвестиційні послуги та інвестиційна діяльність стосуються приймання, передачі та виконання замовлень клієнтів.</w:t>
      </w:r>
    </w:p>
    <w:p w:rsidR="005613AB" w:rsidRPr="00BE1959" w:rsidRDefault="001073F9"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Клієнти можуть розміщувати замовлення іншими каналами, однак такі повідомлення повинні надаватися за допомогою надійного носія, як-от поштов</w:t>
      </w:r>
      <w:r w:rsidR="007B3847" w:rsidRPr="00BE1959">
        <w:rPr>
          <w:rFonts w:ascii="Times New Roman" w:eastAsia="Times New Roman" w:hAnsi="Times New Roman" w:cs="Times New Roman"/>
          <w:sz w:val="24"/>
          <w:szCs w:val="24"/>
          <w:lang w:val="uk-UA"/>
        </w:rPr>
        <w:t>а кореспонденція, факсимільні повідомлення, повідомлення електронною поштою, документація щодо замовлень клієнтів, зроблених на зустрічах. Наприклад, зміст відповідної особистої розмови з клієнтом можна зафіксувати у формі письмового протоколу чи нотаток. Такі замовлення слід вважати еквівалентними замовленням, отриманим телефоном.</w:t>
      </w:r>
    </w:p>
    <w:p w:rsidR="007B3847" w:rsidRPr="00BE1959" w:rsidRDefault="00F441AC"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Інвестиційна фірма</w:t>
      </w:r>
      <w:r w:rsidR="005613AB" w:rsidRPr="00BE1959">
        <w:rPr>
          <w:rFonts w:ascii="Times New Roman" w:eastAsia="Times New Roman" w:hAnsi="Times New Roman" w:cs="Times New Roman"/>
          <w:sz w:val="24"/>
          <w:szCs w:val="24"/>
          <w:lang w:val="uk-UA"/>
        </w:rPr>
        <w:t xml:space="preserve"> </w:t>
      </w:r>
      <w:r w:rsidR="007B3847" w:rsidRPr="00BE1959">
        <w:rPr>
          <w:rFonts w:ascii="Times New Roman" w:eastAsia="Times New Roman" w:hAnsi="Times New Roman" w:cs="Times New Roman"/>
          <w:sz w:val="24"/>
          <w:szCs w:val="24"/>
          <w:lang w:val="uk-UA"/>
        </w:rPr>
        <w:t xml:space="preserve">вживає всіх </w:t>
      </w:r>
      <w:r w:rsidR="000A6070" w:rsidRPr="00BE1959">
        <w:rPr>
          <w:rFonts w:ascii="Times New Roman" w:eastAsia="Times New Roman" w:hAnsi="Times New Roman" w:cs="Times New Roman"/>
          <w:sz w:val="24"/>
          <w:szCs w:val="24"/>
          <w:lang w:val="uk-UA"/>
        </w:rPr>
        <w:t>доречних заходів для того, щоб працівник або підрядник не вів відповідні телефонні розмови, не надсилав і не отримував відповідні електронні повідомлення за допомогою обладнання, належного приватним особам, я</w:t>
      </w:r>
      <w:r w:rsidR="00AD4E8F" w:rsidRPr="00BE1959">
        <w:rPr>
          <w:rFonts w:ascii="Times New Roman" w:eastAsia="Times New Roman" w:hAnsi="Times New Roman" w:cs="Times New Roman"/>
          <w:sz w:val="24"/>
          <w:szCs w:val="24"/>
          <w:lang w:val="uk-UA"/>
        </w:rPr>
        <w:t>кі інвестиційна фірма не може записати чи скопіювати.</w:t>
      </w:r>
    </w:p>
    <w:p w:rsidR="005613AB" w:rsidRPr="00BE1959" w:rsidRDefault="00AD4E8F" w:rsidP="00AD4E8F">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Записи, що здійснюються відповідно до цього пункту, надаються відповідному клієнту на вимогу і зберігаються протягом п’яти років, а у разі відповідної вимоги компетентного органу – протягом періоду до семи років.</w:t>
      </w:r>
    </w:p>
    <w:p w:rsidR="005613AB" w:rsidRPr="00BE1959" w:rsidRDefault="005613AB" w:rsidP="00104F75">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8.   </w:t>
      </w:r>
      <w:r w:rsidR="00104F75" w:rsidRPr="00BE1959">
        <w:rPr>
          <w:rFonts w:ascii="Times New Roman" w:eastAsia="Times New Roman" w:hAnsi="Times New Roman" w:cs="Times New Roman"/>
          <w:sz w:val="24"/>
          <w:szCs w:val="24"/>
          <w:lang w:val="uk-UA"/>
        </w:rPr>
        <w:t>Якщо у інвестиційної фірми знаходяться фінансові інструменти, що належать клієнтам, то інвестиційна фірма запроваджує належні механізми для захисту прав власності клієнтів, особливо у випадку неплатоспроможності інвестиційної фірми, а також для запобігання використання фінансових інструментів клієнтів за власний рахунок, крім як за наявності прямої згоди на це клієнта.</w:t>
      </w:r>
    </w:p>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9.   </w:t>
      </w:r>
      <w:r w:rsidR="00104F75" w:rsidRPr="00BE1959">
        <w:rPr>
          <w:rFonts w:ascii="Times New Roman" w:eastAsia="Times New Roman" w:hAnsi="Times New Roman" w:cs="Times New Roman"/>
          <w:sz w:val="24"/>
          <w:szCs w:val="24"/>
          <w:lang w:val="uk-UA"/>
        </w:rPr>
        <w:t>Якщо у інвестиційної фірми знаходяться кошти, що належать клієнтам, то інвестиційна фірма запроваджує належні механізми для захисту прав клієнтів і, за винятком випадків, коли мова йде про кредитні установи, для запобігання використання коштів клієнтів за свій власний рахунок.</w:t>
      </w:r>
    </w:p>
    <w:p w:rsidR="005613AB" w:rsidRPr="00BE1959" w:rsidRDefault="005613AB" w:rsidP="00C23F3C">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10.   </w:t>
      </w:r>
      <w:r w:rsidR="00F441AC" w:rsidRPr="00BE1959">
        <w:rPr>
          <w:rFonts w:ascii="Times New Roman" w:eastAsia="Times New Roman" w:hAnsi="Times New Roman" w:cs="Times New Roman"/>
          <w:sz w:val="24"/>
          <w:szCs w:val="24"/>
          <w:lang w:val="uk-UA"/>
        </w:rPr>
        <w:t>Інвестиційна фірма</w:t>
      </w:r>
      <w:r w:rsidRPr="00BE1959">
        <w:rPr>
          <w:rFonts w:ascii="Times New Roman" w:eastAsia="Times New Roman" w:hAnsi="Times New Roman" w:cs="Times New Roman"/>
          <w:sz w:val="24"/>
          <w:szCs w:val="24"/>
          <w:lang w:val="uk-UA"/>
        </w:rPr>
        <w:t xml:space="preserve"> </w:t>
      </w:r>
      <w:r w:rsidR="00F47FA3" w:rsidRPr="00BE1959">
        <w:rPr>
          <w:rFonts w:ascii="Times New Roman" w:eastAsia="Times New Roman" w:hAnsi="Times New Roman" w:cs="Times New Roman"/>
          <w:sz w:val="24"/>
          <w:szCs w:val="24"/>
          <w:lang w:val="uk-UA"/>
        </w:rPr>
        <w:t xml:space="preserve">не укладає з роздрібними клієнтами угоди про забезпечувальні платежі з передачею прав власності з метою забезпечення </w:t>
      </w:r>
      <w:r w:rsidR="00C23F3C" w:rsidRPr="00BE1959">
        <w:rPr>
          <w:rFonts w:ascii="Times New Roman" w:eastAsia="Times New Roman" w:hAnsi="Times New Roman" w:cs="Times New Roman"/>
          <w:sz w:val="24"/>
          <w:szCs w:val="24"/>
          <w:lang w:val="uk-UA"/>
        </w:rPr>
        <w:t>або покриття поточних або майбутніх, фактичних або умовних зобов’язань клієнтів.</w:t>
      </w:r>
    </w:p>
    <w:p w:rsidR="00C23F3C"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11.   </w:t>
      </w:r>
      <w:r w:rsidR="00C23F3C" w:rsidRPr="00BE1959">
        <w:rPr>
          <w:rFonts w:ascii="Times New Roman" w:eastAsia="Times New Roman" w:hAnsi="Times New Roman" w:cs="Times New Roman"/>
          <w:sz w:val="24"/>
          <w:szCs w:val="24"/>
          <w:lang w:val="uk-UA"/>
        </w:rPr>
        <w:t>У випадку філій інвестиційних фірм компетентний орган держави-члена, в якій розташована філія, без шкоди для можливості безпосереднього доступу компетентного органу держави-члена походження інвестиційної фірми до цих записів</w:t>
      </w:r>
      <w:r w:rsidR="0021309C" w:rsidRPr="00BE1959">
        <w:rPr>
          <w:rFonts w:ascii="Times New Roman" w:eastAsia="Times New Roman" w:hAnsi="Times New Roman" w:cs="Times New Roman"/>
          <w:sz w:val="24"/>
          <w:szCs w:val="24"/>
          <w:lang w:val="uk-UA"/>
        </w:rPr>
        <w:t>, забезпечує виконання зобов’язання, викладеного у пп. 6 і 7, щодо угод, укладених філією.</w:t>
      </w:r>
    </w:p>
    <w:p w:rsidR="0021309C" w:rsidRPr="00BE1959" w:rsidRDefault="0021309C"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Держави-члени можуть у виняткових обставинах встановлювати вимоги до інвестиційних фірм стосовно захисту активів клієнтів на додаток до положень, викладених у пп. 8, 9 і 10, та відповідних делегованих актів, згаданих у п. 12. Такі вимоги повинні бути об’єктивно </w:t>
      </w:r>
      <w:r w:rsidRPr="00BE1959">
        <w:rPr>
          <w:rFonts w:ascii="Times New Roman" w:eastAsia="Times New Roman" w:hAnsi="Times New Roman" w:cs="Times New Roman"/>
          <w:sz w:val="24"/>
          <w:szCs w:val="24"/>
          <w:lang w:val="uk-UA"/>
        </w:rPr>
        <w:lastRenderedPageBreak/>
        <w:t>обґрунтованими та сумірними з тим, щоб усувати, у випадках захисту інвестиційними фірмами активів і коштів клієнтів, конкретні ризики для захисту клієнтів або цілісності ринку, які мають особливу важливість в обставинах ринкової структури цієї держави-члена.</w:t>
      </w:r>
    </w:p>
    <w:p w:rsidR="0021309C" w:rsidRPr="00BE1959" w:rsidRDefault="001F5C90"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Держави-члени</w:t>
      </w:r>
      <w:r w:rsidR="005613AB" w:rsidRPr="00BE1959">
        <w:rPr>
          <w:rFonts w:ascii="Times New Roman" w:eastAsia="Times New Roman" w:hAnsi="Times New Roman" w:cs="Times New Roman"/>
          <w:sz w:val="24"/>
          <w:szCs w:val="24"/>
          <w:lang w:val="uk-UA"/>
        </w:rPr>
        <w:t xml:space="preserve"> </w:t>
      </w:r>
      <w:r w:rsidR="0021309C" w:rsidRPr="00BE1959">
        <w:rPr>
          <w:rFonts w:ascii="Times New Roman" w:eastAsia="Times New Roman" w:hAnsi="Times New Roman" w:cs="Times New Roman"/>
          <w:sz w:val="24"/>
          <w:szCs w:val="24"/>
          <w:lang w:val="uk-UA"/>
        </w:rPr>
        <w:t xml:space="preserve">без неналежної затримки повідомляють Комісію про всі вимоги, які вони планують установити відповідно до цього пункту, </w:t>
      </w:r>
      <w:r w:rsidR="00AD2AA6" w:rsidRPr="00BE1959">
        <w:rPr>
          <w:rFonts w:ascii="Times New Roman" w:eastAsia="Times New Roman" w:hAnsi="Times New Roman" w:cs="Times New Roman"/>
          <w:sz w:val="24"/>
          <w:szCs w:val="24"/>
          <w:lang w:val="uk-UA"/>
        </w:rPr>
        <w:t>причому як мінімум за два місяці до визначеної дати набрання чинності такою вимогою. Повідомлення містить обґрунтування такої вимоги. Усі такі додаткові вимоги не повинні обмежувати чи в інший спосіб впливати на права інвестиційних фірм за статтями 34 та 35.</w:t>
      </w:r>
    </w:p>
    <w:p w:rsidR="005613AB" w:rsidRPr="00BE1959" w:rsidRDefault="00AD2AA6" w:rsidP="00BB48DD">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У двомісячний термін пі</w:t>
      </w:r>
      <w:r w:rsidR="00BB48DD" w:rsidRPr="00BE1959">
        <w:rPr>
          <w:rFonts w:ascii="Times New Roman" w:eastAsia="Times New Roman" w:hAnsi="Times New Roman" w:cs="Times New Roman"/>
          <w:sz w:val="24"/>
          <w:szCs w:val="24"/>
          <w:lang w:val="uk-UA"/>
        </w:rPr>
        <w:t>сля повідомлення, згаданого у третьому абзаці, Комісія надає свій висновок щодо сумірності та обґрунтованості додаткових вимог.</w:t>
      </w:r>
    </w:p>
    <w:p w:rsidR="005613AB" w:rsidRPr="00BE1959" w:rsidRDefault="00BB48DD" w:rsidP="00BB48DD">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Держави-члени можуть залишити в силі додаткові вимоги за умови, що ці вимоги були повідомлені Комісії відповідно до статті</w:t>
      </w:r>
      <w:r w:rsidR="005613AB" w:rsidRPr="00BE1959">
        <w:rPr>
          <w:rFonts w:ascii="Times New Roman" w:eastAsia="Times New Roman" w:hAnsi="Times New Roman" w:cs="Times New Roman"/>
          <w:sz w:val="24"/>
          <w:szCs w:val="24"/>
          <w:lang w:val="uk-UA"/>
        </w:rPr>
        <w:t xml:space="preserve"> 4 </w:t>
      </w:r>
      <w:r w:rsidR="00016E03" w:rsidRPr="00BE1959">
        <w:rPr>
          <w:rFonts w:ascii="Times New Roman" w:eastAsia="Times New Roman" w:hAnsi="Times New Roman" w:cs="Times New Roman"/>
          <w:sz w:val="24"/>
          <w:szCs w:val="24"/>
          <w:lang w:val="uk-UA"/>
        </w:rPr>
        <w:t>Директиви</w:t>
      </w:r>
      <w:r w:rsidR="005613AB" w:rsidRPr="00BE1959">
        <w:rPr>
          <w:rFonts w:ascii="Times New Roman" w:eastAsia="Times New Roman" w:hAnsi="Times New Roman" w:cs="Times New Roman"/>
          <w:sz w:val="24"/>
          <w:szCs w:val="24"/>
          <w:lang w:val="uk-UA"/>
        </w:rPr>
        <w:t xml:space="preserve"> 2006/73/EC </w:t>
      </w:r>
      <w:r w:rsidRPr="00BE1959">
        <w:rPr>
          <w:rFonts w:ascii="Times New Roman" w:eastAsia="Times New Roman" w:hAnsi="Times New Roman" w:cs="Times New Roman"/>
          <w:sz w:val="24"/>
          <w:szCs w:val="24"/>
          <w:lang w:val="uk-UA"/>
        </w:rPr>
        <w:t>до 2 липня 2014 року, а умови, викладені у цій статті, виконані.</w:t>
      </w:r>
    </w:p>
    <w:p w:rsidR="005613AB" w:rsidRPr="00BE1959" w:rsidRDefault="00BB48DD" w:rsidP="00BB48DD">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Комісія доводить до відома держав-членів і оприлюднює на своєму веб-сайті додаткові вимоги, встановлені згідно з цим пунктом.</w:t>
      </w:r>
    </w:p>
    <w:p w:rsidR="005613AB" w:rsidRPr="00BE1959" w:rsidRDefault="005613AB" w:rsidP="0084339D">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12.   </w:t>
      </w:r>
      <w:r w:rsidR="00DA44EF" w:rsidRPr="00BE1959">
        <w:rPr>
          <w:rFonts w:ascii="Times New Roman" w:eastAsia="Times New Roman" w:hAnsi="Times New Roman" w:cs="Times New Roman"/>
          <w:sz w:val="24"/>
          <w:szCs w:val="24"/>
          <w:lang w:val="uk-UA"/>
        </w:rPr>
        <w:t xml:space="preserve">Комісії надається повноваження на прийняття </w:t>
      </w:r>
      <w:r w:rsidR="0084339D" w:rsidRPr="00BE1959">
        <w:rPr>
          <w:rFonts w:ascii="Times New Roman" w:eastAsia="Times New Roman" w:hAnsi="Times New Roman" w:cs="Times New Roman"/>
          <w:sz w:val="24"/>
          <w:szCs w:val="24"/>
          <w:lang w:val="uk-UA"/>
        </w:rPr>
        <w:t xml:space="preserve">делегованих актів відповідно до статті 89, де зазначаються конкретні організаційні вимоги, викладені у пп. 2-10 цієї статті, що мають установлюватися для інвестиційних фірм і філій фірм із третіх країн, які мають дозвіл відповідно до статті 41 на надання </w:t>
      </w:r>
      <w:r w:rsidR="00962733" w:rsidRPr="00BE1959">
        <w:rPr>
          <w:rFonts w:ascii="Times New Roman" w:eastAsia="Times New Roman" w:hAnsi="Times New Roman" w:cs="Times New Roman"/>
          <w:sz w:val="24"/>
          <w:szCs w:val="24"/>
          <w:lang w:val="uk-UA"/>
        </w:rPr>
        <w:t>інших інвестиційних послуг і (або) ведення іншої інвестиційної діяльності та надання додаткових послуг чи їхніх комбінацій.</w:t>
      </w:r>
    </w:p>
    <w:p w:rsidR="005613AB" w:rsidRPr="00BE1959" w:rsidRDefault="00162A11" w:rsidP="005613AB">
      <w:pPr>
        <w:spacing w:before="360" w:after="120" w:line="312" w:lineRule="atLeast"/>
        <w:jc w:val="center"/>
        <w:textAlignment w:val="baseline"/>
        <w:rPr>
          <w:rFonts w:ascii="Times New Roman" w:eastAsia="Times New Roman" w:hAnsi="Times New Roman" w:cs="Times New Roman"/>
          <w:i/>
          <w:iCs/>
          <w:sz w:val="24"/>
          <w:szCs w:val="24"/>
          <w:lang w:val="uk-UA"/>
        </w:rPr>
      </w:pPr>
      <w:r w:rsidRPr="00BE1959">
        <w:rPr>
          <w:rFonts w:ascii="Times New Roman" w:eastAsia="Times New Roman" w:hAnsi="Times New Roman" w:cs="Times New Roman"/>
          <w:i/>
          <w:iCs/>
          <w:sz w:val="24"/>
          <w:szCs w:val="24"/>
          <w:lang w:val="uk-UA"/>
        </w:rPr>
        <w:t>Стаття</w:t>
      </w:r>
      <w:r w:rsidR="005613AB" w:rsidRPr="00BE1959">
        <w:rPr>
          <w:rFonts w:ascii="Times New Roman" w:eastAsia="Times New Roman" w:hAnsi="Times New Roman" w:cs="Times New Roman"/>
          <w:i/>
          <w:iCs/>
          <w:sz w:val="24"/>
          <w:szCs w:val="24"/>
          <w:lang w:val="uk-UA"/>
        </w:rPr>
        <w:t xml:space="preserve"> 17</w:t>
      </w:r>
    </w:p>
    <w:p w:rsidR="005613AB" w:rsidRPr="00BE1959" w:rsidRDefault="009D74EF" w:rsidP="005613AB">
      <w:pPr>
        <w:spacing w:before="60" w:after="120" w:line="312" w:lineRule="atLeast"/>
        <w:jc w:val="center"/>
        <w:textAlignment w:val="baseline"/>
        <w:rPr>
          <w:rFonts w:ascii="Times New Roman" w:eastAsia="Times New Roman" w:hAnsi="Times New Roman" w:cs="Times New Roman"/>
          <w:b/>
          <w:bCs/>
          <w:sz w:val="24"/>
          <w:szCs w:val="24"/>
          <w:lang w:val="uk-UA"/>
        </w:rPr>
      </w:pPr>
      <w:r w:rsidRPr="00BE1959">
        <w:rPr>
          <w:rFonts w:ascii="Times New Roman" w:eastAsia="Times New Roman" w:hAnsi="Times New Roman" w:cs="Times New Roman"/>
          <w:b/>
          <w:bCs/>
          <w:sz w:val="24"/>
          <w:szCs w:val="24"/>
          <w:lang w:val="uk-UA"/>
        </w:rPr>
        <w:t>Алгоритмічна торгівля</w:t>
      </w:r>
    </w:p>
    <w:p w:rsidR="005613AB" w:rsidRPr="00BE1959" w:rsidRDefault="005613AB" w:rsidP="001B69EC">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1.   </w:t>
      </w:r>
      <w:r w:rsidR="00A73C86" w:rsidRPr="00BE1959">
        <w:rPr>
          <w:rFonts w:ascii="Times New Roman" w:eastAsia="Times New Roman" w:hAnsi="Times New Roman" w:cs="Times New Roman"/>
          <w:sz w:val="24"/>
          <w:szCs w:val="24"/>
          <w:lang w:val="uk-UA"/>
        </w:rPr>
        <w:t xml:space="preserve">Інвестиційна фірма, що займається алгоритмічною торгівлею, повинна запровадити ефективні системи та засоби контролю ризику, доречні для діяльності, яку вона веде, щоб забезпечити стійкість і достатню спроможність своїх систем торгівлі, їхню відповідність установленим торговельним </w:t>
      </w:r>
      <w:r w:rsidR="00F639C5" w:rsidRPr="00BE1959">
        <w:rPr>
          <w:rFonts w:ascii="Times New Roman" w:eastAsia="Times New Roman" w:hAnsi="Times New Roman" w:cs="Times New Roman"/>
          <w:sz w:val="24"/>
          <w:szCs w:val="24"/>
          <w:lang w:val="uk-UA"/>
        </w:rPr>
        <w:t>порогам і лімітам, запобігання відправки помилкових замовлень або попередження іншого функціонування систем у спосіб, що може створити безлад на ринку або сприяти безладу на ринку. Така фірма повинна також мати ефективні системи та засоби контролю ризику, щоб забезпечити неможливість</w:t>
      </w:r>
      <w:r w:rsidR="001B69EC" w:rsidRPr="00BE1959">
        <w:rPr>
          <w:rFonts w:ascii="Times New Roman" w:eastAsia="Times New Roman" w:hAnsi="Times New Roman" w:cs="Times New Roman"/>
          <w:sz w:val="24"/>
          <w:szCs w:val="24"/>
          <w:lang w:val="uk-UA"/>
        </w:rPr>
        <w:t xml:space="preserve"> використання систем торгівлі у будь-яких цілях, що суперечать Регламенту</w:t>
      </w:r>
      <w:r w:rsidRPr="00BE1959">
        <w:rPr>
          <w:rFonts w:ascii="Times New Roman" w:eastAsia="Times New Roman" w:hAnsi="Times New Roman" w:cs="Times New Roman"/>
          <w:sz w:val="24"/>
          <w:szCs w:val="24"/>
          <w:lang w:val="uk-UA"/>
        </w:rPr>
        <w:t xml:space="preserve"> </w:t>
      </w:r>
      <w:r w:rsidR="00DB4825" w:rsidRPr="00BE1959">
        <w:rPr>
          <w:rFonts w:ascii="Times New Roman" w:eastAsia="Times New Roman" w:hAnsi="Times New Roman" w:cs="Times New Roman"/>
          <w:sz w:val="24"/>
          <w:szCs w:val="24"/>
          <w:lang w:val="uk-UA"/>
        </w:rPr>
        <w:t>(EU) №</w:t>
      </w:r>
      <w:r w:rsidRPr="00BE1959">
        <w:rPr>
          <w:rFonts w:ascii="Times New Roman" w:eastAsia="Times New Roman" w:hAnsi="Times New Roman" w:cs="Times New Roman"/>
          <w:sz w:val="24"/>
          <w:szCs w:val="24"/>
          <w:lang w:val="uk-UA"/>
        </w:rPr>
        <w:t xml:space="preserve"> 596/2014 </w:t>
      </w:r>
      <w:r w:rsidR="001B69EC" w:rsidRPr="00BE1959">
        <w:rPr>
          <w:rFonts w:ascii="Times New Roman" w:eastAsia="Times New Roman" w:hAnsi="Times New Roman" w:cs="Times New Roman"/>
          <w:sz w:val="24"/>
          <w:szCs w:val="24"/>
          <w:lang w:val="uk-UA"/>
        </w:rPr>
        <w:t xml:space="preserve">або правилам торговельного майданчика, до якого фірма підключена. </w:t>
      </w:r>
      <w:r w:rsidR="00D248BA" w:rsidRPr="00BE1959">
        <w:rPr>
          <w:rFonts w:ascii="Times New Roman" w:eastAsia="Times New Roman" w:hAnsi="Times New Roman" w:cs="Times New Roman"/>
          <w:sz w:val="24"/>
          <w:szCs w:val="24"/>
          <w:lang w:val="uk-UA"/>
        </w:rPr>
        <w:t>Інвестиційна фірма</w:t>
      </w:r>
      <w:r w:rsidRPr="00BE1959">
        <w:rPr>
          <w:rFonts w:ascii="Times New Roman" w:eastAsia="Times New Roman" w:hAnsi="Times New Roman" w:cs="Times New Roman"/>
          <w:sz w:val="24"/>
          <w:szCs w:val="24"/>
          <w:lang w:val="uk-UA"/>
        </w:rPr>
        <w:t xml:space="preserve"> </w:t>
      </w:r>
      <w:r w:rsidR="003C4314" w:rsidRPr="00BE1959">
        <w:rPr>
          <w:rFonts w:ascii="Times New Roman" w:eastAsia="Times New Roman" w:hAnsi="Times New Roman" w:cs="Times New Roman"/>
          <w:sz w:val="24"/>
          <w:szCs w:val="24"/>
          <w:lang w:val="uk-UA"/>
        </w:rPr>
        <w:t>запроваджує ефективні механізми забезпечення безперервності діяльності на випадок відмови її систем торгівлі і забезпечує повномасштабне тестування й належний моніторинг її систем для того, щоб вони відповідали вимогам, викладеним у цьому пункті.</w:t>
      </w:r>
    </w:p>
    <w:p w:rsidR="005613AB" w:rsidRPr="00BE1959" w:rsidRDefault="005613AB" w:rsidP="003A5348">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2.   </w:t>
      </w:r>
      <w:r w:rsidR="003C4314" w:rsidRPr="00BE1959">
        <w:rPr>
          <w:rFonts w:ascii="Times New Roman" w:eastAsia="Times New Roman" w:hAnsi="Times New Roman" w:cs="Times New Roman"/>
          <w:sz w:val="24"/>
          <w:szCs w:val="24"/>
          <w:lang w:val="uk-UA"/>
        </w:rPr>
        <w:t xml:space="preserve">Інвестиційна фірма, що займається алгоритмічною торгівлею у державі-члені, повідомляє про це компетентні органи держави-члена свого походження і торговельного </w:t>
      </w:r>
      <w:r w:rsidR="003C4314" w:rsidRPr="00BE1959">
        <w:rPr>
          <w:rFonts w:ascii="Times New Roman" w:eastAsia="Times New Roman" w:hAnsi="Times New Roman" w:cs="Times New Roman"/>
          <w:sz w:val="24"/>
          <w:szCs w:val="24"/>
          <w:lang w:val="uk-UA"/>
        </w:rPr>
        <w:lastRenderedPageBreak/>
        <w:t>майданчика, на якому ця інвестиційна фірма веде алгоритмічну торгівлю як член або учасник даного торговельного майданчика.</w:t>
      </w:r>
    </w:p>
    <w:p w:rsidR="005613AB" w:rsidRPr="00BE1959" w:rsidRDefault="003A5348" w:rsidP="00240606">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Компетентний орган держави-члена походження інвестиційної фірми </w:t>
      </w:r>
      <w:r w:rsidR="00911F2C" w:rsidRPr="00BE1959">
        <w:rPr>
          <w:rFonts w:ascii="Times New Roman" w:eastAsia="Times New Roman" w:hAnsi="Times New Roman" w:cs="Times New Roman"/>
          <w:sz w:val="24"/>
          <w:szCs w:val="24"/>
          <w:lang w:val="uk-UA"/>
        </w:rPr>
        <w:t xml:space="preserve">може зажадати від інвестиційної фірми надання, на регулярній чи </w:t>
      </w:r>
      <w:r w:rsidR="009415C4" w:rsidRPr="00BE1959">
        <w:rPr>
          <w:rFonts w:ascii="Times New Roman" w:eastAsia="Times New Roman" w:hAnsi="Times New Roman" w:cs="Times New Roman"/>
          <w:sz w:val="24"/>
          <w:szCs w:val="24"/>
          <w:lang w:val="uk-UA"/>
        </w:rPr>
        <w:t>спеціальній основі</w:t>
      </w:r>
      <w:r w:rsidR="008A7B64" w:rsidRPr="00BE1959">
        <w:rPr>
          <w:rFonts w:ascii="Times New Roman" w:eastAsia="Times New Roman" w:hAnsi="Times New Roman" w:cs="Times New Roman"/>
          <w:sz w:val="24"/>
          <w:szCs w:val="24"/>
          <w:lang w:val="uk-UA"/>
        </w:rPr>
        <w:t>, опису характеру її стратегій алгоритмічної торгівлі, деталей параметрів торгівлі або лімітів, під дію яких підпадає її система, ключових засобів забезпечення дотримання і контролю ризиків, що н</w:t>
      </w:r>
      <w:r w:rsidR="00240606" w:rsidRPr="00BE1959">
        <w:rPr>
          <w:rFonts w:ascii="Times New Roman" w:eastAsia="Times New Roman" w:hAnsi="Times New Roman" w:cs="Times New Roman"/>
          <w:sz w:val="24"/>
          <w:szCs w:val="24"/>
          <w:lang w:val="uk-UA"/>
        </w:rPr>
        <w:t>аявні на фірмі для забезпечення задоволення умов, викладених у п. 1, та деталей тестування її систем.</w:t>
      </w:r>
      <w:r w:rsidR="005613AB" w:rsidRPr="00BE1959">
        <w:rPr>
          <w:rFonts w:ascii="Times New Roman" w:eastAsia="Times New Roman" w:hAnsi="Times New Roman" w:cs="Times New Roman"/>
          <w:sz w:val="24"/>
          <w:szCs w:val="24"/>
          <w:lang w:val="uk-UA"/>
        </w:rPr>
        <w:t xml:space="preserve"> </w:t>
      </w:r>
      <w:r w:rsidRPr="00BE1959">
        <w:rPr>
          <w:rFonts w:ascii="Times New Roman" w:eastAsia="Times New Roman" w:hAnsi="Times New Roman" w:cs="Times New Roman"/>
          <w:sz w:val="24"/>
          <w:szCs w:val="24"/>
          <w:lang w:val="uk-UA"/>
        </w:rPr>
        <w:t>Компетентний орган</w:t>
      </w:r>
      <w:r w:rsidR="005613AB" w:rsidRPr="00BE1959">
        <w:rPr>
          <w:rFonts w:ascii="Times New Roman" w:eastAsia="Times New Roman" w:hAnsi="Times New Roman" w:cs="Times New Roman"/>
          <w:sz w:val="24"/>
          <w:szCs w:val="24"/>
          <w:lang w:val="uk-UA"/>
        </w:rPr>
        <w:t xml:space="preserve"> </w:t>
      </w:r>
      <w:r w:rsidRPr="00BE1959">
        <w:rPr>
          <w:rFonts w:ascii="Times New Roman" w:eastAsia="Times New Roman" w:hAnsi="Times New Roman" w:cs="Times New Roman"/>
          <w:sz w:val="24"/>
          <w:szCs w:val="24"/>
          <w:lang w:val="uk-UA"/>
        </w:rPr>
        <w:t>держави-члена походження</w:t>
      </w:r>
      <w:r w:rsidR="005613AB" w:rsidRPr="00BE1959">
        <w:rPr>
          <w:rFonts w:ascii="Times New Roman" w:eastAsia="Times New Roman" w:hAnsi="Times New Roman" w:cs="Times New Roman"/>
          <w:sz w:val="24"/>
          <w:szCs w:val="24"/>
          <w:lang w:val="uk-UA"/>
        </w:rPr>
        <w:t xml:space="preserve"> </w:t>
      </w:r>
      <w:r w:rsidRPr="00BE1959">
        <w:rPr>
          <w:rFonts w:ascii="Times New Roman" w:eastAsia="Times New Roman" w:hAnsi="Times New Roman" w:cs="Times New Roman"/>
          <w:sz w:val="24"/>
          <w:szCs w:val="24"/>
          <w:lang w:val="uk-UA"/>
        </w:rPr>
        <w:t>інвестиційної фірми</w:t>
      </w:r>
      <w:r w:rsidR="005613AB" w:rsidRPr="00BE1959">
        <w:rPr>
          <w:rFonts w:ascii="Times New Roman" w:eastAsia="Times New Roman" w:hAnsi="Times New Roman" w:cs="Times New Roman"/>
          <w:sz w:val="24"/>
          <w:szCs w:val="24"/>
          <w:lang w:val="uk-UA"/>
        </w:rPr>
        <w:t xml:space="preserve"> </w:t>
      </w:r>
      <w:r w:rsidR="00240606" w:rsidRPr="00BE1959">
        <w:rPr>
          <w:rFonts w:ascii="Times New Roman" w:eastAsia="Times New Roman" w:hAnsi="Times New Roman" w:cs="Times New Roman"/>
          <w:sz w:val="24"/>
          <w:szCs w:val="24"/>
          <w:lang w:val="uk-UA"/>
        </w:rPr>
        <w:t>може у будь-який час зажадати від інвестиційної фірми додаткової інформації про її алгоритмічну торгівлю й про системи, використовувані для цієї торгівлі.</w:t>
      </w:r>
    </w:p>
    <w:p w:rsidR="00240606" w:rsidRPr="00BE1959" w:rsidRDefault="006532BA"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Н</w:t>
      </w:r>
      <w:r w:rsidR="00DE1B9C" w:rsidRPr="00BE1959">
        <w:rPr>
          <w:rFonts w:ascii="Times New Roman" w:eastAsia="Times New Roman" w:hAnsi="Times New Roman" w:cs="Times New Roman"/>
          <w:sz w:val="24"/>
          <w:szCs w:val="24"/>
          <w:lang w:val="uk-UA"/>
        </w:rPr>
        <w:t>а вимогу компетентного органу торговельного майданчика, на якому інвестиційна фірма як член або учасник цього торговельного майданчика веде алгоритмічну торгівлю</w:t>
      </w:r>
      <w:r w:rsidRPr="00BE1959">
        <w:rPr>
          <w:rFonts w:ascii="Times New Roman" w:eastAsia="Times New Roman" w:hAnsi="Times New Roman" w:cs="Times New Roman"/>
          <w:sz w:val="24"/>
          <w:szCs w:val="24"/>
          <w:lang w:val="uk-UA"/>
        </w:rPr>
        <w:t>, компетентний орган держави-члена походження інвестиційної фірми без неналежної затримки надає інформацію, згадану в другому абзаці, котру він отримує від інвестиційної фірми, що займається алгоритмічною торгівлею.</w:t>
      </w:r>
    </w:p>
    <w:p w:rsidR="005613AB" w:rsidRPr="00BE1959" w:rsidRDefault="009F4FC0" w:rsidP="006532BA">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Інвестиційна фірма організує ведення документації з питань, згаданих у цьому пункті, та забезпечує достатність цієї документації для того, щоб її компетентний орган контролював дотримання вимог цієї директиви.</w:t>
      </w:r>
    </w:p>
    <w:p w:rsidR="005613AB" w:rsidRPr="00BE1959" w:rsidRDefault="00374EC9" w:rsidP="00181800">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Інвестиційна фірма, що займається високочастотною алгоритмічною торгівлею, </w:t>
      </w:r>
      <w:r w:rsidR="006532BA" w:rsidRPr="00BE1959">
        <w:rPr>
          <w:rFonts w:ascii="Times New Roman" w:eastAsia="Times New Roman" w:hAnsi="Times New Roman" w:cs="Times New Roman"/>
          <w:sz w:val="24"/>
          <w:szCs w:val="24"/>
          <w:lang w:val="uk-UA"/>
        </w:rPr>
        <w:t>зберігає у затвердженій формі точні та впорядковані за часом записи про всі розміщені нею замовлення, включаючи</w:t>
      </w:r>
      <w:r w:rsidR="00181800" w:rsidRPr="00BE1959">
        <w:rPr>
          <w:rFonts w:ascii="Times New Roman" w:eastAsia="Times New Roman" w:hAnsi="Times New Roman" w:cs="Times New Roman"/>
          <w:sz w:val="24"/>
          <w:szCs w:val="24"/>
          <w:lang w:val="uk-UA"/>
        </w:rPr>
        <w:t xml:space="preserve"> записи про скасовані замовлення, виконані замовлення та котирування на торговельних майданчиках, і на вимогу надає їх компетентному органові.</w:t>
      </w:r>
    </w:p>
    <w:p w:rsidR="005613AB" w:rsidRPr="00BE1959" w:rsidRDefault="005613AB" w:rsidP="00C54A90">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3.   </w:t>
      </w:r>
      <w:r w:rsidR="00374EC9" w:rsidRPr="00BE1959">
        <w:rPr>
          <w:rFonts w:ascii="Times New Roman" w:eastAsia="Times New Roman" w:hAnsi="Times New Roman" w:cs="Times New Roman"/>
          <w:sz w:val="24"/>
          <w:szCs w:val="24"/>
          <w:lang w:val="uk-UA"/>
        </w:rPr>
        <w:t>Інвестиційна фірма, що займається високочастотною алгоритмічною торгівлею для реалізації ст</w:t>
      </w:r>
      <w:r w:rsidR="00C54A90" w:rsidRPr="00BE1959">
        <w:rPr>
          <w:rFonts w:ascii="Times New Roman" w:eastAsia="Times New Roman" w:hAnsi="Times New Roman" w:cs="Times New Roman"/>
          <w:sz w:val="24"/>
          <w:szCs w:val="24"/>
          <w:lang w:val="uk-UA"/>
        </w:rPr>
        <w:t>ратегії формування ринку, повинна, ураховуючи ліквідність, розмір і характер конкретного ринку й характеристики інструмента, яким здійснюється торгівля:</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9093"/>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C54A90" w:rsidP="00226B0F">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виконувати цю задачу безперервно протягом зазначеної частки часу торгівлі на торговельному майданчику, крім виняткових випадків,</w:t>
            </w:r>
            <w:r w:rsidR="00226B0F" w:rsidRPr="00BE1959">
              <w:rPr>
                <w:rFonts w:ascii="Times New Roman" w:eastAsia="Times New Roman" w:hAnsi="Times New Roman" w:cs="Times New Roman"/>
                <w:sz w:val="24"/>
                <w:szCs w:val="24"/>
                <w:lang w:val="uk-UA"/>
              </w:rPr>
              <w:t xml:space="preserve"> надаючи в результаті цього торговельному майданчику ліквідність на регулярній та прогнозованій основі;</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5613AB" w:rsidRPr="00BE1959"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226B0F" w:rsidP="00226B0F">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укласти обов’язкову письмову угоду з торговельним майданчиком, де слід викласти як мінімум зобов’язання інвестиційної фірми відповідно до пп. (а); та</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9093"/>
      </w:tblGrid>
      <w:tr w:rsidR="00DE3173" w:rsidRPr="00BE1959"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BD3E3C" w:rsidP="00BD3E3C">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запровадити ефективні системи та засоби контролю, щоб забезпечити постійне виконання своїх зобов’язань згідно з угодою, згаданою у пп. </w:t>
            </w:r>
            <w:r w:rsidR="005613AB" w:rsidRPr="00BE1959">
              <w:rPr>
                <w:rFonts w:ascii="Times New Roman" w:eastAsia="Times New Roman" w:hAnsi="Times New Roman" w:cs="Times New Roman"/>
                <w:sz w:val="24"/>
                <w:szCs w:val="24"/>
                <w:lang w:val="uk-UA"/>
              </w:rPr>
              <w:t>(b).</w:t>
            </w:r>
          </w:p>
        </w:tc>
      </w:tr>
    </w:tbl>
    <w:p w:rsidR="005613AB" w:rsidRPr="00BE1959" w:rsidRDefault="005613AB" w:rsidP="001A467E">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4.   </w:t>
      </w:r>
      <w:r w:rsidR="00BD3E3C" w:rsidRPr="00BE1959">
        <w:rPr>
          <w:rFonts w:ascii="Times New Roman" w:eastAsia="Times New Roman" w:hAnsi="Times New Roman" w:cs="Times New Roman"/>
          <w:sz w:val="24"/>
          <w:szCs w:val="24"/>
          <w:lang w:val="uk-UA"/>
        </w:rPr>
        <w:t xml:space="preserve">Для цілей цієї статті та статті 48 цієї директиви інвестиційна фірма, що займається алгоритмічною торгівлею, вважається </w:t>
      </w:r>
      <w:r w:rsidR="00056BB6" w:rsidRPr="00BE1959">
        <w:rPr>
          <w:rFonts w:ascii="Times New Roman" w:eastAsia="Times New Roman" w:hAnsi="Times New Roman" w:cs="Times New Roman"/>
          <w:sz w:val="24"/>
          <w:szCs w:val="24"/>
          <w:lang w:val="uk-UA"/>
        </w:rPr>
        <w:t xml:space="preserve">такою, що реалізує стратегію формування ринку, якщо її </w:t>
      </w:r>
      <w:r w:rsidR="001D68E3" w:rsidRPr="00BE1959">
        <w:rPr>
          <w:rFonts w:ascii="Times New Roman" w:eastAsia="Times New Roman" w:hAnsi="Times New Roman" w:cs="Times New Roman"/>
          <w:sz w:val="24"/>
          <w:szCs w:val="24"/>
          <w:lang w:val="uk-UA"/>
        </w:rPr>
        <w:t>стратегія</w:t>
      </w:r>
      <w:r w:rsidR="00056BB6" w:rsidRPr="00BE1959">
        <w:rPr>
          <w:rFonts w:ascii="Times New Roman" w:eastAsia="Times New Roman" w:hAnsi="Times New Roman" w:cs="Times New Roman"/>
          <w:sz w:val="24"/>
          <w:szCs w:val="24"/>
          <w:lang w:val="uk-UA"/>
        </w:rPr>
        <w:t xml:space="preserve"> як член</w:t>
      </w:r>
      <w:r w:rsidR="001D68E3" w:rsidRPr="00BE1959">
        <w:rPr>
          <w:rFonts w:ascii="Times New Roman" w:eastAsia="Times New Roman" w:hAnsi="Times New Roman" w:cs="Times New Roman"/>
          <w:sz w:val="24"/>
          <w:szCs w:val="24"/>
          <w:lang w:val="uk-UA"/>
        </w:rPr>
        <w:t>а</w:t>
      </w:r>
      <w:r w:rsidR="00056BB6" w:rsidRPr="00BE1959">
        <w:rPr>
          <w:rFonts w:ascii="Times New Roman" w:eastAsia="Times New Roman" w:hAnsi="Times New Roman" w:cs="Times New Roman"/>
          <w:sz w:val="24"/>
          <w:szCs w:val="24"/>
          <w:lang w:val="uk-UA"/>
        </w:rPr>
        <w:t xml:space="preserve"> або учасник</w:t>
      </w:r>
      <w:r w:rsidR="001D68E3" w:rsidRPr="00BE1959">
        <w:rPr>
          <w:rFonts w:ascii="Times New Roman" w:eastAsia="Times New Roman" w:hAnsi="Times New Roman" w:cs="Times New Roman"/>
          <w:sz w:val="24"/>
          <w:szCs w:val="24"/>
          <w:lang w:val="uk-UA"/>
        </w:rPr>
        <w:t>а</w:t>
      </w:r>
      <w:r w:rsidR="00056BB6" w:rsidRPr="00BE1959">
        <w:rPr>
          <w:rFonts w:ascii="Times New Roman" w:eastAsia="Times New Roman" w:hAnsi="Times New Roman" w:cs="Times New Roman"/>
          <w:sz w:val="24"/>
          <w:szCs w:val="24"/>
          <w:lang w:val="uk-UA"/>
        </w:rPr>
        <w:t xml:space="preserve"> одного чи декількох торговельних майданчиків</w:t>
      </w:r>
      <w:r w:rsidR="001D68E3" w:rsidRPr="00BE1959">
        <w:rPr>
          <w:rFonts w:ascii="Times New Roman" w:eastAsia="Times New Roman" w:hAnsi="Times New Roman" w:cs="Times New Roman"/>
          <w:sz w:val="24"/>
          <w:szCs w:val="24"/>
          <w:lang w:val="uk-UA"/>
        </w:rPr>
        <w:t xml:space="preserve"> передбачає при здійсненні операцій за власний рахунок оприлюднення твердих, одночасних двоканальних котирувань порівнянного розміру й за конкурентними цінами </w:t>
      </w:r>
      <w:r w:rsidR="001D68E3" w:rsidRPr="00BE1959">
        <w:rPr>
          <w:rFonts w:ascii="Times New Roman" w:eastAsia="Times New Roman" w:hAnsi="Times New Roman" w:cs="Times New Roman"/>
          <w:sz w:val="24"/>
          <w:szCs w:val="24"/>
          <w:lang w:val="uk-UA"/>
        </w:rPr>
        <w:lastRenderedPageBreak/>
        <w:t>стосовно одного чи декількох фінансових інструментів</w:t>
      </w:r>
      <w:r w:rsidR="001A467E" w:rsidRPr="00BE1959">
        <w:rPr>
          <w:rFonts w:ascii="Times New Roman" w:eastAsia="Times New Roman" w:hAnsi="Times New Roman" w:cs="Times New Roman"/>
          <w:sz w:val="24"/>
          <w:szCs w:val="24"/>
          <w:lang w:val="uk-UA"/>
        </w:rPr>
        <w:t xml:space="preserve"> на одному торговельному майданчику або на різних торговельних майданчиком, результатом чого є регулярне й часте надання ліквідності всьому ринкові.</w:t>
      </w:r>
    </w:p>
    <w:p w:rsidR="005613AB" w:rsidRPr="00BE1959" w:rsidRDefault="005613AB" w:rsidP="00324053">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5.   </w:t>
      </w:r>
      <w:r w:rsidR="00ED29BB" w:rsidRPr="00BE1959">
        <w:rPr>
          <w:rFonts w:ascii="Times New Roman" w:eastAsia="Times New Roman" w:hAnsi="Times New Roman" w:cs="Times New Roman"/>
          <w:sz w:val="24"/>
          <w:szCs w:val="24"/>
          <w:lang w:val="uk-UA"/>
        </w:rPr>
        <w:t>Інвестиційна фірма</w:t>
      </w:r>
      <w:r w:rsidR="006306B8" w:rsidRPr="00BE1959">
        <w:rPr>
          <w:rFonts w:ascii="Times New Roman" w:eastAsia="Times New Roman" w:hAnsi="Times New Roman" w:cs="Times New Roman"/>
          <w:sz w:val="24"/>
          <w:szCs w:val="24"/>
          <w:lang w:val="uk-UA"/>
        </w:rPr>
        <w:t>, що надає прямий електронний доступ</w:t>
      </w:r>
      <w:r w:rsidR="00ED29BB" w:rsidRPr="00BE1959">
        <w:rPr>
          <w:rFonts w:ascii="Times New Roman" w:eastAsia="Times New Roman" w:hAnsi="Times New Roman" w:cs="Times New Roman"/>
          <w:sz w:val="24"/>
          <w:szCs w:val="24"/>
          <w:lang w:val="uk-UA"/>
        </w:rPr>
        <w:t xml:space="preserve"> до торговельного майданчика, повинна мати ефективні системи та засоби контролю, які забезпечують належну оцінку і аналіз відповідності клієнтів, що користуються цією послугою, </w:t>
      </w:r>
      <w:r w:rsidR="00E25BBF" w:rsidRPr="00BE1959">
        <w:rPr>
          <w:rFonts w:ascii="Times New Roman" w:eastAsia="Times New Roman" w:hAnsi="Times New Roman" w:cs="Times New Roman"/>
          <w:sz w:val="24"/>
          <w:szCs w:val="24"/>
          <w:lang w:val="uk-UA"/>
        </w:rPr>
        <w:t>щоб клієнти, що користуються цією послугою, не могли перевищити відповідні встановлені пороги торгівлі та кредитування, щоб торгівля, яку клієнти здійснюють за допомогою цієї послуги, піддавалася належному контролю й щоб відповідні засоби контролю ризиків запобігали торгівлі, яка може спричинити ризики для самої інвестиційної фірми, створити безлад на ринку чи сприяти безладу на ринку або суперечити Регламенту</w:t>
      </w:r>
      <w:r w:rsidRPr="00BE1959">
        <w:rPr>
          <w:rFonts w:ascii="Times New Roman" w:eastAsia="Times New Roman" w:hAnsi="Times New Roman" w:cs="Times New Roman"/>
          <w:sz w:val="24"/>
          <w:szCs w:val="24"/>
          <w:lang w:val="uk-UA"/>
        </w:rPr>
        <w:t xml:space="preserve"> </w:t>
      </w:r>
      <w:r w:rsidR="00DB4825" w:rsidRPr="00BE1959">
        <w:rPr>
          <w:rFonts w:ascii="Times New Roman" w:eastAsia="Times New Roman" w:hAnsi="Times New Roman" w:cs="Times New Roman"/>
          <w:sz w:val="24"/>
          <w:szCs w:val="24"/>
          <w:lang w:val="uk-UA"/>
        </w:rPr>
        <w:t>(EU) №</w:t>
      </w:r>
      <w:r w:rsidRPr="00BE1959">
        <w:rPr>
          <w:rFonts w:ascii="Times New Roman" w:eastAsia="Times New Roman" w:hAnsi="Times New Roman" w:cs="Times New Roman"/>
          <w:sz w:val="24"/>
          <w:szCs w:val="24"/>
          <w:lang w:val="uk-UA"/>
        </w:rPr>
        <w:t xml:space="preserve"> 596/2014 </w:t>
      </w:r>
      <w:r w:rsidR="00324053" w:rsidRPr="00BE1959">
        <w:rPr>
          <w:rFonts w:ascii="Times New Roman" w:eastAsia="Times New Roman" w:hAnsi="Times New Roman" w:cs="Times New Roman"/>
          <w:sz w:val="24"/>
          <w:szCs w:val="24"/>
          <w:lang w:val="uk-UA"/>
        </w:rPr>
        <w:t>або правилам</w:t>
      </w:r>
      <w:r w:rsidRPr="00BE1959">
        <w:rPr>
          <w:rFonts w:ascii="Times New Roman" w:eastAsia="Times New Roman" w:hAnsi="Times New Roman" w:cs="Times New Roman"/>
          <w:sz w:val="24"/>
          <w:szCs w:val="24"/>
          <w:lang w:val="uk-UA"/>
        </w:rPr>
        <w:t xml:space="preserve"> </w:t>
      </w:r>
      <w:r w:rsidR="00DE1B9C" w:rsidRPr="00BE1959">
        <w:rPr>
          <w:rFonts w:ascii="Times New Roman" w:eastAsia="Times New Roman" w:hAnsi="Times New Roman" w:cs="Times New Roman"/>
          <w:sz w:val="24"/>
          <w:szCs w:val="24"/>
          <w:lang w:val="uk-UA"/>
        </w:rPr>
        <w:t>торговельного майданчика</w:t>
      </w:r>
      <w:r w:rsidRPr="00BE1959">
        <w:rPr>
          <w:rFonts w:ascii="Times New Roman" w:eastAsia="Times New Roman" w:hAnsi="Times New Roman" w:cs="Times New Roman"/>
          <w:sz w:val="24"/>
          <w:szCs w:val="24"/>
          <w:lang w:val="uk-UA"/>
        </w:rPr>
        <w:t>.</w:t>
      </w:r>
      <w:r w:rsidR="00324053" w:rsidRPr="00BE1959">
        <w:rPr>
          <w:rFonts w:ascii="Times New Roman" w:eastAsia="Times New Roman" w:hAnsi="Times New Roman" w:cs="Times New Roman"/>
          <w:sz w:val="24"/>
          <w:szCs w:val="24"/>
          <w:lang w:val="uk-UA"/>
        </w:rPr>
        <w:t xml:space="preserve"> Прямий електронний доступ без таких засобів контролю заборонений.</w:t>
      </w:r>
    </w:p>
    <w:p w:rsidR="00B91995" w:rsidRPr="00BE1959" w:rsidRDefault="00324053" w:rsidP="006306B8">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Інвестиційна фірма</w:t>
      </w:r>
      <w:r w:rsidR="006306B8" w:rsidRPr="00BE1959">
        <w:rPr>
          <w:rFonts w:ascii="Times New Roman" w:eastAsia="Times New Roman" w:hAnsi="Times New Roman" w:cs="Times New Roman"/>
          <w:sz w:val="24"/>
          <w:szCs w:val="24"/>
          <w:lang w:val="uk-UA"/>
        </w:rPr>
        <w:t>, що надає прямий електронний доступ,</w:t>
      </w:r>
      <w:r w:rsidR="005613AB" w:rsidRPr="00BE1959">
        <w:rPr>
          <w:rFonts w:ascii="Times New Roman" w:eastAsia="Times New Roman" w:hAnsi="Times New Roman" w:cs="Times New Roman"/>
          <w:sz w:val="24"/>
          <w:szCs w:val="24"/>
          <w:lang w:val="uk-UA"/>
        </w:rPr>
        <w:t xml:space="preserve"> </w:t>
      </w:r>
      <w:r w:rsidR="006306B8" w:rsidRPr="00BE1959">
        <w:rPr>
          <w:rFonts w:ascii="Times New Roman" w:eastAsia="Times New Roman" w:hAnsi="Times New Roman" w:cs="Times New Roman"/>
          <w:sz w:val="24"/>
          <w:szCs w:val="24"/>
          <w:lang w:val="uk-UA"/>
        </w:rPr>
        <w:t>відповідає за забезпечення дотримання клієнтами, що користуються цією послугою, вимог</w:t>
      </w:r>
      <w:r w:rsidR="005613AB" w:rsidRPr="00BE1959">
        <w:rPr>
          <w:rFonts w:ascii="Times New Roman" w:eastAsia="Times New Roman" w:hAnsi="Times New Roman" w:cs="Times New Roman"/>
          <w:sz w:val="24"/>
          <w:szCs w:val="24"/>
          <w:lang w:val="uk-UA"/>
        </w:rPr>
        <w:t xml:space="preserve"> </w:t>
      </w:r>
      <w:r w:rsidR="00432567" w:rsidRPr="00BE1959">
        <w:rPr>
          <w:rFonts w:ascii="Times New Roman" w:eastAsia="Times New Roman" w:hAnsi="Times New Roman" w:cs="Times New Roman"/>
          <w:sz w:val="24"/>
          <w:szCs w:val="24"/>
          <w:lang w:val="uk-UA"/>
        </w:rPr>
        <w:t>цієї директиви</w:t>
      </w:r>
      <w:r w:rsidR="005613AB" w:rsidRPr="00BE1959">
        <w:rPr>
          <w:rFonts w:ascii="Times New Roman" w:eastAsia="Times New Roman" w:hAnsi="Times New Roman" w:cs="Times New Roman"/>
          <w:sz w:val="24"/>
          <w:szCs w:val="24"/>
          <w:lang w:val="uk-UA"/>
        </w:rPr>
        <w:t xml:space="preserve"> </w:t>
      </w:r>
      <w:r w:rsidR="006306B8" w:rsidRPr="00BE1959">
        <w:rPr>
          <w:rFonts w:ascii="Times New Roman" w:eastAsia="Times New Roman" w:hAnsi="Times New Roman" w:cs="Times New Roman"/>
          <w:sz w:val="24"/>
          <w:szCs w:val="24"/>
          <w:lang w:val="uk-UA"/>
        </w:rPr>
        <w:t>та правил</w:t>
      </w:r>
      <w:r w:rsidR="005613AB" w:rsidRPr="00BE1959">
        <w:rPr>
          <w:rFonts w:ascii="Times New Roman" w:eastAsia="Times New Roman" w:hAnsi="Times New Roman" w:cs="Times New Roman"/>
          <w:sz w:val="24"/>
          <w:szCs w:val="24"/>
          <w:lang w:val="uk-UA"/>
        </w:rPr>
        <w:t xml:space="preserve"> </w:t>
      </w:r>
      <w:r w:rsidR="00DE1B9C" w:rsidRPr="00BE1959">
        <w:rPr>
          <w:rFonts w:ascii="Times New Roman" w:eastAsia="Times New Roman" w:hAnsi="Times New Roman" w:cs="Times New Roman"/>
          <w:sz w:val="24"/>
          <w:szCs w:val="24"/>
          <w:lang w:val="uk-UA"/>
        </w:rPr>
        <w:t>торговельного майданчика</w:t>
      </w:r>
      <w:r w:rsidR="005613AB" w:rsidRPr="00BE1959">
        <w:rPr>
          <w:rFonts w:ascii="Times New Roman" w:eastAsia="Times New Roman" w:hAnsi="Times New Roman" w:cs="Times New Roman"/>
          <w:sz w:val="24"/>
          <w:szCs w:val="24"/>
          <w:lang w:val="uk-UA"/>
        </w:rPr>
        <w:t xml:space="preserve">. </w:t>
      </w:r>
      <w:r w:rsidR="00D248BA" w:rsidRPr="00BE1959">
        <w:rPr>
          <w:rFonts w:ascii="Times New Roman" w:eastAsia="Times New Roman" w:hAnsi="Times New Roman" w:cs="Times New Roman"/>
          <w:sz w:val="24"/>
          <w:szCs w:val="24"/>
          <w:lang w:val="uk-UA"/>
        </w:rPr>
        <w:t>Інвестиційна фірма</w:t>
      </w:r>
      <w:r w:rsidR="005613AB" w:rsidRPr="00BE1959">
        <w:rPr>
          <w:rFonts w:ascii="Times New Roman" w:eastAsia="Times New Roman" w:hAnsi="Times New Roman" w:cs="Times New Roman"/>
          <w:sz w:val="24"/>
          <w:szCs w:val="24"/>
          <w:lang w:val="uk-UA"/>
        </w:rPr>
        <w:t xml:space="preserve"> </w:t>
      </w:r>
      <w:r w:rsidR="006306B8" w:rsidRPr="00BE1959">
        <w:rPr>
          <w:rFonts w:ascii="Times New Roman" w:eastAsia="Times New Roman" w:hAnsi="Times New Roman" w:cs="Times New Roman"/>
          <w:sz w:val="24"/>
          <w:szCs w:val="24"/>
          <w:lang w:val="uk-UA"/>
        </w:rPr>
        <w:t>веде моніторинг угод на предмет виявлення порушень цих правил, невпорядкованих умов торгівлі або діянь, які можуть становити зловживання на ринку й про які слід повідомити к</w:t>
      </w:r>
      <w:r w:rsidR="003A5348" w:rsidRPr="00BE1959">
        <w:rPr>
          <w:rFonts w:ascii="Times New Roman" w:eastAsia="Times New Roman" w:hAnsi="Times New Roman" w:cs="Times New Roman"/>
          <w:sz w:val="24"/>
          <w:szCs w:val="24"/>
          <w:lang w:val="uk-UA"/>
        </w:rPr>
        <w:t>омпетентний орган</w:t>
      </w:r>
      <w:r w:rsidR="005613AB" w:rsidRPr="00BE1959">
        <w:rPr>
          <w:rFonts w:ascii="Times New Roman" w:eastAsia="Times New Roman" w:hAnsi="Times New Roman" w:cs="Times New Roman"/>
          <w:sz w:val="24"/>
          <w:szCs w:val="24"/>
          <w:lang w:val="uk-UA"/>
        </w:rPr>
        <w:t xml:space="preserve">. </w:t>
      </w:r>
      <w:r w:rsidR="00D248BA" w:rsidRPr="00BE1959">
        <w:rPr>
          <w:rFonts w:ascii="Times New Roman" w:eastAsia="Times New Roman" w:hAnsi="Times New Roman" w:cs="Times New Roman"/>
          <w:sz w:val="24"/>
          <w:szCs w:val="24"/>
          <w:lang w:val="uk-UA"/>
        </w:rPr>
        <w:t>Інвестиційна фірма</w:t>
      </w:r>
      <w:r w:rsidR="005613AB" w:rsidRPr="00BE1959">
        <w:rPr>
          <w:rFonts w:ascii="Times New Roman" w:eastAsia="Times New Roman" w:hAnsi="Times New Roman" w:cs="Times New Roman"/>
          <w:sz w:val="24"/>
          <w:szCs w:val="24"/>
          <w:lang w:val="uk-UA"/>
        </w:rPr>
        <w:t xml:space="preserve"> </w:t>
      </w:r>
      <w:r w:rsidR="00B91995" w:rsidRPr="00BE1959">
        <w:rPr>
          <w:rFonts w:ascii="Times New Roman" w:eastAsia="Times New Roman" w:hAnsi="Times New Roman" w:cs="Times New Roman"/>
          <w:sz w:val="24"/>
          <w:szCs w:val="24"/>
          <w:lang w:val="uk-UA"/>
        </w:rPr>
        <w:t>забезпечує наявність обов’язкової письмової угоди між нею та клієнтом стосовно основних прав і обов’язків, що випливають із надання даної послуги, і збереження за інвестиційною фірмою згідно з даною угодою відповідальності за цією директивою.</w:t>
      </w:r>
    </w:p>
    <w:p w:rsidR="005613AB" w:rsidRPr="00BE1959" w:rsidRDefault="00324053" w:rsidP="00214416">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Інвестиційна фірма</w:t>
      </w:r>
      <w:r w:rsidR="006306B8" w:rsidRPr="00BE1959">
        <w:rPr>
          <w:rFonts w:ascii="Times New Roman" w:eastAsia="Times New Roman" w:hAnsi="Times New Roman" w:cs="Times New Roman"/>
          <w:sz w:val="24"/>
          <w:szCs w:val="24"/>
          <w:lang w:val="uk-UA"/>
        </w:rPr>
        <w:t>, що надає прямий електронний доступ</w:t>
      </w:r>
      <w:r w:rsidR="005613AB" w:rsidRPr="00BE1959">
        <w:rPr>
          <w:rFonts w:ascii="Times New Roman" w:eastAsia="Times New Roman" w:hAnsi="Times New Roman" w:cs="Times New Roman"/>
          <w:sz w:val="24"/>
          <w:szCs w:val="24"/>
          <w:lang w:val="uk-UA"/>
        </w:rPr>
        <w:t xml:space="preserve"> </w:t>
      </w:r>
      <w:r w:rsidR="00B91995" w:rsidRPr="00BE1959">
        <w:rPr>
          <w:rFonts w:ascii="Times New Roman" w:eastAsia="Times New Roman" w:hAnsi="Times New Roman" w:cs="Times New Roman"/>
          <w:sz w:val="24"/>
          <w:szCs w:val="24"/>
          <w:lang w:val="uk-UA"/>
        </w:rPr>
        <w:t xml:space="preserve">до торговельного майданчика, </w:t>
      </w:r>
      <w:r w:rsidR="00214416" w:rsidRPr="00BE1959">
        <w:rPr>
          <w:rFonts w:ascii="Times New Roman" w:eastAsia="Times New Roman" w:hAnsi="Times New Roman" w:cs="Times New Roman"/>
          <w:sz w:val="24"/>
          <w:szCs w:val="24"/>
          <w:lang w:val="uk-UA"/>
        </w:rPr>
        <w:t xml:space="preserve">відповідним чином </w:t>
      </w:r>
      <w:r w:rsidR="00B91995" w:rsidRPr="00BE1959">
        <w:rPr>
          <w:rFonts w:ascii="Times New Roman" w:eastAsia="Times New Roman" w:hAnsi="Times New Roman" w:cs="Times New Roman"/>
          <w:sz w:val="24"/>
          <w:szCs w:val="24"/>
          <w:lang w:val="uk-UA"/>
        </w:rPr>
        <w:t xml:space="preserve">повідомляє компетентні органи </w:t>
      </w:r>
      <w:r w:rsidR="00214416" w:rsidRPr="00BE1959">
        <w:rPr>
          <w:rFonts w:ascii="Times New Roman" w:eastAsia="Times New Roman" w:hAnsi="Times New Roman" w:cs="Times New Roman"/>
          <w:sz w:val="24"/>
          <w:szCs w:val="24"/>
          <w:lang w:val="uk-UA"/>
        </w:rPr>
        <w:t>держави-члена свого походження</w:t>
      </w:r>
      <w:r w:rsidR="00B91995" w:rsidRPr="00BE1959">
        <w:rPr>
          <w:rFonts w:ascii="Times New Roman" w:eastAsia="Times New Roman" w:hAnsi="Times New Roman" w:cs="Times New Roman"/>
          <w:sz w:val="24"/>
          <w:szCs w:val="24"/>
          <w:lang w:val="uk-UA"/>
        </w:rPr>
        <w:t xml:space="preserve"> </w:t>
      </w:r>
      <w:r w:rsidR="00214416" w:rsidRPr="00BE1959">
        <w:rPr>
          <w:rFonts w:ascii="Times New Roman" w:eastAsia="Times New Roman" w:hAnsi="Times New Roman" w:cs="Times New Roman"/>
          <w:sz w:val="24"/>
          <w:szCs w:val="24"/>
          <w:lang w:val="uk-UA"/>
        </w:rPr>
        <w:t>і</w:t>
      </w:r>
      <w:r w:rsidR="005613AB" w:rsidRPr="00BE1959">
        <w:rPr>
          <w:rFonts w:ascii="Times New Roman" w:eastAsia="Times New Roman" w:hAnsi="Times New Roman" w:cs="Times New Roman"/>
          <w:sz w:val="24"/>
          <w:szCs w:val="24"/>
          <w:lang w:val="uk-UA"/>
        </w:rPr>
        <w:t xml:space="preserve"> </w:t>
      </w:r>
      <w:r w:rsidR="00DE1B9C" w:rsidRPr="00BE1959">
        <w:rPr>
          <w:rFonts w:ascii="Times New Roman" w:eastAsia="Times New Roman" w:hAnsi="Times New Roman" w:cs="Times New Roman"/>
          <w:sz w:val="24"/>
          <w:szCs w:val="24"/>
          <w:lang w:val="uk-UA"/>
        </w:rPr>
        <w:t>торговельного майданчика</w:t>
      </w:r>
      <w:r w:rsidR="00214416" w:rsidRPr="00BE1959">
        <w:rPr>
          <w:rFonts w:ascii="Times New Roman" w:eastAsia="Times New Roman" w:hAnsi="Times New Roman" w:cs="Times New Roman"/>
          <w:sz w:val="24"/>
          <w:szCs w:val="24"/>
          <w:lang w:val="uk-UA"/>
        </w:rPr>
        <w:t>,</w:t>
      </w:r>
      <w:r w:rsidR="005613AB" w:rsidRPr="00BE1959">
        <w:rPr>
          <w:rFonts w:ascii="Times New Roman" w:eastAsia="Times New Roman" w:hAnsi="Times New Roman" w:cs="Times New Roman"/>
          <w:sz w:val="24"/>
          <w:szCs w:val="24"/>
          <w:lang w:val="uk-UA"/>
        </w:rPr>
        <w:t xml:space="preserve"> </w:t>
      </w:r>
      <w:r w:rsidR="00214416" w:rsidRPr="00BE1959">
        <w:rPr>
          <w:rFonts w:ascii="Times New Roman" w:eastAsia="Times New Roman" w:hAnsi="Times New Roman" w:cs="Times New Roman"/>
          <w:sz w:val="24"/>
          <w:szCs w:val="24"/>
          <w:lang w:val="uk-UA"/>
        </w:rPr>
        <w:t>на якому інвестиційна фірма надає прямий електронний доступ.</w:t>
      </w:r>
    </w:p>
    <w:p w:rsidR="005613AB" w:rsidRPr="00BE1959" w:rsidRDefault="003A5348" w:rsidP="00C05EA0">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Компетентний орган</w:t>
      </w:r>
      <w:r w:rsidR="005613AB" w:rsidRPr="00BE1959">
        <w:rPr>
          <w:rFonts w:ascii="Times New Roman" w:eastAsia="Times New Roman" w:hAnsi="Times New Roman" w:cs="Times New Roman"/>
          <w:sz w:val="24"/>
          <w:szCs w:val="24"/>
          <w:lang w:val="uk-UA"/>
        </w:rPr>
        <w:t xml:space="preserve"> </w:t>
      </w:r>
      <w:r w:rsidRPr="00BE1959">
        <w:rPr>
          <w:rFonts w:ascii="Times New Roman" w:eastAsia="Times New Roman" w:hAnsi="Times New Roman" w:cs="Times New Roman"/>
          <w:sz w:val="24"/>
          <w:szCs w:val="24"/>
          <w:lang w:val="uk-UA"/>
        </w:rPr>
        <w:t>держави-члена походження</w:t>
      </w:r>
      <w:r w:rsidR="005613AB" w:rsidRPr="00BE1959">
        <w:rPr>
          <w:rFonts w:ascii="Times New Roman" w:eastAsia="Times New Roman" w:hAnsi="Times New Roman" w:cs="Times New Roman"/>
          <w:sz w:val="24"/>
          <w:szCs w:val="24"/>
          <w:lang w:val="uk-UA"/>
        </w:rPr>
        <w:t xml:space="preserve"> </w:t>
      </w:r>
      <w:r w:rsidRPr="00BE1959">
        <w:rPr>
          <w:rFonts w:ascii="Times New Roman" w:eastAsia="Times New Roman" w:hAnsi="Times New Roman" w:cs="Times New Roman"/>
          <w:sz w:val="24"/>
          <w:szCs w:val="24"/>
          <w:lang w:val="uk-UA"/>
        </w:rPr>
        <w:t>інвестиційної фірми</w:t>
      </w:r>
      <w:r w:rsidR="005613AB" w:rsidRPr="00BE1959">
        <w:rPr>
          <w:rFonts w:ascii="Times New Roman" w:eastAsia="Times New Roman" w:hAnsi="Times New Roman" w:cs="Times New Roman"/>
          <w:sz w:val="24"/>
          <w:szCs w:val="24"/>
          <w:lang w:val="uk-UA"/>
        </w:rPr>
        <w:t xml:space="preserve"> </w:t>
      </w:r>
      <w:r w:rsidR="00C05EA0" w:rsidRPr="00BE1959">
        <w:rPr>
          <w:rFonts w:ascii="Times New Roman" w:eastAsia="Times New Roman" w:hAnsi="Times New Roman" w:cs="Times New Roman"/>
          <w:sz w:val="24"/>
          <w:szCs w:val="24"/>
          <w:lang w:val="uk-UA"/>
        </w:rPr>
        <w:t>може зажадати від інвестиційної фірми надання, на регулярній або спеціальній основі, опису систем і засобів контролю, згаданих у першому абзаці, та доказів їхнього застосування.</w:t>
      </w:r>
    </w:p>
    <w:p w:rsidR="005613AB" w:rsidRPr="00BE1959" w:rsidRDefault="003A5348" w:rsidP="009F4FC0">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Компетентний орган</w:t>
      </w:r>
      <w:r w:rsidR="005613AB" w:rsidRPr="00BE1959">
        <w:rPr>
          <w:rFonts w:ascii="Times New Roman" w:eastAsia="Times New Roman" w:hAnsi="Times New Roman" w:cs="Times New Roman"/>
          <w:sz w:val="24"/>
          <w:szCs w:val="24"/>
          <w:lang w:val="uk-UA"/>
        </w:rPr>
        <w:t xml:space="preserve"> </w:t>
      </w:r>
      <w:r w:rsidRPr="00BE1959">
        <w:rPr>
          <w:rFonts w:ascii="Times New Roman" w:eastAsia="Times New Roman" w:hAnsi="Times New Roman" w:cs="Times New Roman"/>
          <w:sz w:val="24"/>
          <w:szCs w:val="24"/>
          <w:lang w:val="uk-UA"/>
        </w:rPr>
        <w:t>держави-члена походження</w:t>
      </w:r>
      <w:r w:rsidR="005613AB" w:rsidRPr="00BE1959">
        <w:rPr>
          <w:rFonts w:ascii="Times New Roman" w:eastAsia="Times New Roman" w:hAnsi="Times New Roman" w:cs="Times New Roman"/>
          <w:sz w:val="24"/>
          <w:szCs w:val="24"/>
          <w:lang w:val="uk-UA"/>
        </w:rPr>
        <w:t xml:space="preserve"> </w:t>
      </w:r>
      <w:r w:rsidR="009415C4" w:rsidRPr="00BE1959">
        <w:rPr>
          <w:rFonts w:ascii="Times New Roman" w:eastAsia="Times New Roman" w:hAnsi="Times New Roman" w:cs="Times New Roman"/>
          <w:sz w:val="24"/>
          <w:szCs w:val="24"/>
          <w:lang w:val="uk-UA"/>
        </w:rPr>
        <w:t>інвестиційної фірми</w:t>
      </w:r>
      <w:r w:rsidR="009F4FC0" w:rsidRPr="00BE1959">
        <w:rPr>
          <w:rFonts w:ascii="Times New Roman" w:eastAsia="Times New Roman" w:hAnsi="Times New Roman" w:cs="Times New Roman"/>
          <w:sz w:val="24"/>
          <w:szCs w:val="24"/>
          <w:lang w:val="uk-UA"/>
        </w:rPr>
        <w:t xml:space="preserve"> на вимогу компетентного органу</w:t>
      </w:r>
      <w:r w:rsidR="005613AB" w:rsidRPr="00BE1959">
        <w:rPr>
          <w:rFonts w:ascii="Times New Roman" w:eastAsia="Times New Roman" w:hAnsi="Times New Roman" w:cs="Times New Roman"/>
          <w:sz w:val="24"/>
          <w:szCs w:val="24"/>
          <w:lang w:val="uk-UA"/>
        </w:rPr>
        <w:t xml:space="preserve"> </w:t>
      </w:r>
      <w:r w:rsidR="00DE1B9C" w:rsidRPr="00BE1959">
        <w:rPr>
          <w:rFonts w:ascii="Times New Roman" w:eastAsia="Times New Roman" w:hAnsi="Times New Roman" w:cs="Times New Roman"/>
          <w:sz w:val="24"/>
          <w:szCs w:val="24"/>
          <w:lang w:val="uk-UA"/>
        </w:rPr>
        <w:t>торговельного майданчика</w:t>
      </w:r>
      <w:r w:rsidR="009F4FC0" w:rsidRPr="00BE1959">
        <w:rPr>
          <w:rFonts w:ascii="Times New Roman" w:eastAsia="Times New Roman" w:hAnsi="Times New Roman" w:cs="Times New Roman"/>
          <w:sz w:val="24"/>
          <w:szCs w:val="24"/>
          <w:lang w:val="uk-UA"/>
        </w:rPr>
        <w:t>, стосовно якого інвестиційна фірма надає прямий електронний доступ, без неналежної затримки надає інформацію, згадану в четвертому абзаці, яку він отримує від інвестиційної фірми.</w:t>
      </w:r>
    </w:p>
    <w:p w:rsidR="009F4FC0" w:rsidRPr="00BE1959" w:rsidRDefault="009F4FC0"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Інвестиційна фірма організує ведення документації з питань, згаданих у цьому пункті, та забезпечує достатність цієї документації для того, щоб її компетентний орган контролював дотримання вимог цієї директиви.</w:t>
      </w:r>
    </w:p>
    <w:p w:rsidR="005613AB" w:rsidRPr="00BE1959" w:rsidRDefault="005613AB" w:rsidP="00C82A71">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6.   </w:t>
      </w:r>
      <w:r w:rsidR="00324053" w:rsidRPr="00BE1959">
        <w:rPr>
          <w:rFonts w:ascii="Times New Roman" w:eastAsia="Times New Roman" w:hAnsi="Times New Roman" w:cs="Times New Roman"/>
          <w:sz w:val="24"/>
          <w:szCs w:val="24"/>
          <w:lang w:val="uk-UA"/>
        </w:rPr>
        <w:t>Інвестиційна фірма</w:t>
      </w:r>
      <w:r w:rsidR="00BD5D05" w:rsidRPr="00BE1959">
        <w:rPr>
          <w:rFonts w:ascii="Times New Roman" w:eastAsia="Times New Roman" w:hAnsi="Times New Roman" w:cs="Times New Roman"/>
          <w:sz w:val="24"/>
          <w:szCs w:val="24"/>
          <w:lang w:val="uk-UA"/>
        </w:rPr>
        <w:t>, що діє як загальний учасник клірингу</w:t>
      </w:r>
      <w:r w:rsidR="0067261B" w:rsidRPr="00BE1959">
        <w:rPr>
          <w:rFonts w:ascii="Times New Roman" w:eastAsia="Times New Roman" w:hAnsi="Times New Roman" w:cs="Times New Roman"/>
          <w:sz w:val="24"/>
          <w:szCs w:val="24"/>
          <w:lang w:val="uk-UA"/>
        </w:rPr>
        <w:t xml:space="preserve"> для інших осіб, запроваджує ефективні системи та засоби контролю</w:t>
      </w:r>
      <w:r w:rsidR="00285214" w:rsidRPr="00BE1959">
        <w:rPr>
          <w:rFonts w:ascii="Times New Roman" w:eastAsia="Times New Roman" w:hAnsi="Times New Roman" w:cs="Times New Roman"/>
          <w:sz w:val="24"/>
          <w:szCs w:val="24"/>
          <w:lang w:val="uk-UA"/>
        </w:rPr>
        <w:t>, які забезпечують, щоб</w:t>
      </w:r>
      <w:r w:rsidR="0067261B" w:rsidRPr="00BE1959">
        <w:rPr>
          <w:rFonts w:ascii="Times New Roman" w:eastAsia="Times New Roman" w:hAnsi="Times New Roman" w:cs="Times New Roman"/>
          <w:sz w:val="24"/>
          <w:szCs w:val="24"/>
          <w:lang w:val="uk-UA"/>
        </w:rPr>
        <w:t xml:space="preserve"> клірингов</w:t>
      </w:r>
      <w:r w:rsidR="00285214" w:rsidRPr="00BE1959">
        <w:rPr>
          <w:rFonts w:ascii="Times New Roman" w:eastAsia="Times New Roman" w:hAnsi="Times New Roman" w:cs="Times New Roman"/>
          <w:sz w:val="24"/>
          <w:szCs w:val="24"/>
          <w:lang w:val="uk-UA"/>
        </w:rPr>
        <w:t>і</w:t>
      </w:r>
      <w:r w:rsidR="0067261B" w:rsidRPr="00BE1959">
        <w:rPr>
          <w:rFonts w:ascii="Times New Roman" w:eastAsia="Times New Roman" w:hAnsi="Times New Roman" w:cs="Times New Roman"/>
          <w:sz w:val="24"/>
          <w:szCs w:val="24"/>
          <w:lang w:val="uk-UA"/>
        </w:rPr>
        <w:t xml:space="preserve"> послуг</w:t>
      </w:r>
      <w:r w:rsidR="00285214" w:rsidRPr="00BE1959">
        <w:rPr>
          <w:rFonts w:ascii="Times New Roman" w:eastAsia="Times New Roman" w:hAnsi="Times New Roman" w:cs="Times New Roman"/>
          <w:sz w:val="24"/>
          <w:szCs w:val="24"/>
          <w:lang w:val="uk-UA"/>
        </w:rPr>
        <w:t xml:space="preserve">и </w:t>
      </w:r>
      <w:r w:rsidR="00285214" w:rsidRPr="00BE1959">
        <w:rPr>
          <w:rFonts w:ascii="Times New Roman" w:eastAsia="Times New Roman" w:hAnsi="Times New Roman" w:cs="Times New Roman"/>
          <w:sz w:val="24"/>
          <w:szCs w:val="24"/>
          <w:lang w:val="uk-UA"/>
        </w:rPr>
        <w:lastRenderedPageBreak/>
        <w:t>застосовувалися</w:t>
      </w:r>
      <w:r w:rsidR="0067261B" w:rsidRPr="00BE1959">
        <w:rPr>
          <w:rFonts w:ascii="Times New Roman" w:eastAsia="Times New Roman" w:hAnsi="Times New Roman" w:cs="Times New Roman"/>
          <w:sz w:val="24"/>
          <w:szCs w:val="24"/>
          <w:lang w:val="uk-UA"/>
        </w:rPr>
        <w:t xml:space="preserve"> тільки до осіб, які відповідають чітким критеріям, </w:t>
      </w:r>
      <w:r w:rsidR="004E065A" w:rsidRPr="00BE1959">
        <w:rPr>
          <w:rFonts w:ascii="Times New Roman" w:eastAsia="Times New Roman" w:hAnsi="Times New Roman" w:cs="Times New Roman"/>
          <w:sz w:val="24"/>
          <w:szCs w:val="24"/>
          <w:lang w:val="uk-UA"/>
        </w:rPr>
        <w:t>і щоб</w:t>
      </w:r>
      <w:r w:rsidR="00C82A71" w:rsidRPr="00BE1959">
        <w:rPr>
          <w:rFonts w:ascii="Times New Roman" w:eastAsia="Times New Roman" w:hAnsi="Times New Roman" w:cs="Times New Roman"/>
          <w:sz w:val="24"/>
          <w:szCs w:val="24"/>
          <w:lang w:val="uk-UA"/>
        </w:rPr>
        <w:t xml:space="preserve"> для цих осіб були встановлені відповідні вимоги щодо зменшення ризиків для інвестиційної фірми та для ринку.</w:t>
      </w:r>
      <w:r w:rsidRPr="00BE1959">
        <w:rPr>
          <w:rFonts w:ascii="Times New Roman" w:eastAsia="Times New Roman" w:hAnsi="Times New Roman" w:cs="Times New Roman"/>
          <w:sz w:val="24"/>
          <w:szCs w:val="24"/>
          <w:lang w:val="uk-UA"/>
        </w:rPr>
        <w:t xml:space="preserve"> </w:t>
      </w:r>
      <w:r w:rsidR="00D248BA" w:rsidRPr="00BE1959">
        <w:rPr>
          <w:rFonts w:ascii="Times New Roman" w:eastAsia="Times New Roman" w:hAnsi="Times New Roman" w:cs="Times New Roman"/>
          <w:sz w:val="24"/>
          <w:szCs w:val="24"/>
          <w:lang w:val="uk-UA"/>
        </w:rPr>
        <w:t>Інвестиційна фірма</w:t>
      </w:r>
      <w:r w:rsidRPr="00BE1959">
        <w:rPr>
          <w:rFonts w:ascii="Times New Roman" w:eastAsia="Times New Roman" w:hAnsi="Times New Roman" w:cs="Times New Roman"/>
          <w:sz w:val="24"/>
          <w:szCs w:val="24"/>
          <w:lang w:val="uk-UA"/>
        </w:rPr>
        <w:t xml:space="preserve"> </w:t>
      </w:r>
      <w:r w:rsidR="00C82A71" w:rsidRPr="00BE1959">
        <w:rPr>
          <w:rFonts w:ascii="Times New Roman" w:eastAsia="Times New Roman" w:hAnsi="Times New Roman" w:cs="Times New Roman"/>
          <w:sz w:val="24"/>
          <w:szCs w:val="24"/>
          <w:lang w:val="uk-UA"/>
        </w:rPr>
        <w:t>забезпечує наявність обов’язкової письмової угоди між нею та даною особою стосовно основних прав і обов’язків, що випливають із надання цієї послуги.</w:t>
      </w:r>
    </w:p>
    <w:p w:rsidR="005613AB" w:rsidRPr="00BE1959" w:rsidRDefault="005613AB" w:rsidP="00C82A71">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7.   </w:t>
      </w:r>
      <w:r w:rsidR="004A0783" w:rsidRPr="00BE1959">
        <w:rPr>
          <w:rFonts w:ascii="Times New Roman" w:eastAsia="Times New Roman" w:hAnsi="Times New Roman" w:cs="Times New Roman"/>
          <w:sz w:val="24"/>
          <w:szCs w:val="24"/>
          <w:lang w:val="uk-UA"/>
        </w:rPr>
        <w:t>ESMA розробляє проекти нормативно-технічних стандартів, у яких зазначається наступне:</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9093"/>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8A6432" w:rsidP="001718EA">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деталі організаційних вимог, викладених у пп. 1-6, що мають бути встановлені для інвестиційних фірм, які надають інші</w:t>
            </w:r>
            <w:r w:rsidR="00962733" w:rsidRPr="00BE1959">
              <w:rPr>
                <w:rFonts w:ascii="Times New Roman" w:eastAsia="Times New Roman" w:hAnsi="Times New Roman" w:cs="Times New Roman"/>
                <w:sz w:val="24"/>
                <w:szCs w:val="24"/>
                <w:lang w:val="uk-UA"/>
              </w:rPr>
              <w:t xml:space="preserve"> інвестиційні послуги і (або) ведуть іншу інвестиційну діяльність та надають додаткові послуги чи їхні комбінації</w:t>
            </w:r>
            <w:r w:rsidR="007040AD" w:rsidRPr="00BE1959">
              <w:rPr>
                <w:rFonts w:ascii="Times New Roman" w:eastAsia="Times New Roman" w:hAnsi="Times New Roman" w:cs="Times New Roman"/>
                <w:sz w:val="24"/>
                <w:szCs w:val="24"/>
                <w:lang w:val="uk-UA"/>
              </w:rPr>
              <w:t xml:space="preserve">, </w:t>
            </w:r>
            <w:r w:rsidR="001718EA" w:rsidRPr="00BE1959">
              <w:rPr>
                <w:rFonts w:ascii="Times New Roman" w:eastAsia="Times New Roman" w:hAnsi="Times New Roman" w:cs="Times New Roman"/>
                <w:sz w:val="24"/>
                <w:szCs w:val="24"/>
                <w:lang w:val="uk-UA"/>
              </w:rPr>
              <w:t>за допомогою чого у специфікаціях стосовно організаційних вимог, викладених у п. 5, установлюються конкретні вимоги до прямого доступу до ринку і для спонсорованого доступу в такий спосіб, щоб засоби контролю, застосовані до спонсорованого доступу, були як мінімум еквівалентні засобам контролю, застосованим до прямого доступу до ринку;</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F448EA" w:rsidP="00F448EA">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обставини, у яких інвестиційна фірма буде зобов’язана укласти угоду про формування ринку, згадану у пп. (b) п. 3, і зміст таких угод, зокрема частка робочого часу</w:t>
            </w:r>
            <w:r w:rsidR="005613AB" w:rsidRPr="00BE1959">
              <w:rPr>
                <w:rFonts w:ascii="Times New Roman" w:eastAsia="Times New Roman" w:hAnsi="Times New Roman" w:cs="Times New Roman"/>
                <w:sz w:val="24"/>
                <w:szCs w:val="24"/>
                <w:lang w:val="uk-UA"/>
              </w:rPr>
              <w:t xml:space="preserve"> </w:t>
            </w:r>
            <w:r w:rsidR="00DE1B9C" w:rsidRPr="00BE1959">
              <w:rPr>
                <w:rFonts w:ascii="Times New Roman" w:eastAsia="Times New Roman" w:hAnsi="Times New Roman" w:cs="Times New Roman"/>
                <w:sz w:val="24"/>
                <w:szCs w:val="24"/>
                <w:lang w:val="uk-UA"/>
              </w:rPr>
              <w:t>торговельного майданчика</w:t>
            </w:r>
            <w:r w:rsidRPr="00BE1959">
              <w:rPr>
                <w:rFonts w:ascii="Times New Roman" w:eastAsia="Times New Roman" w:hAnsi="Times New Roman" w:cs="Times New Roman"/>
                <w:sz w:val="24"/>
                <w:szCs w:val="24"/>
                <w:lang w:val="uk-UA"/>
              </w:rPr>
              <w:t>, зазначена у п. 3</w:t>
            </w:r>
            <w:r w:rsidR="005613AB" w:rsidRPr="00BE1959">
              <w:rPr>
                <w:rFonts w:ascii="Times New Roman" w:eastAsia="Times New Roman" w:hAnsi="Times New Roman" w:cs="Times New Roman"/>
                <w:sz w:val="24"/>
                <w:szCs w:val="24"/>
                <w:lang w:val="uk-UA"/>
              </w:rPr>
              <w:t>;</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9093"/>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BF2D18" w:rsidP="00BF2D18">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ситуації, що становлять виняткові випадки, згадані у п. 3, зокрема обставини надзвичайної волатильності, політичні та макроекономічні проблеми, системні та операційні питання і обставини, що суперечать спроможності інвестиційної фірми дотримуватися розумної практики управління ризиками, викладеної у п. 1;</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DE3173"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BF2D18" w:rsidP="00F36CEF">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зміст і формат затвердженої форми, згаданої у п’ятому абзаці п. 2, і тривалість періоду ч</w:t>
            </w:r>
            <w:r w:rsidR="00F36CEF" w:rsidRPr="00BE1959">
              <w:rPr>
                <w:rFonts w:ascii="Times New Roman" w:eastAsia="Times New Roman" w:hAnsi="Times New Roman" w:cs="Times New Roman"/>
                <w:sz w:val="24"/>
                <w:szCs w:val="24"/>
                <w:lang w:val="uk-UA"/>
              </w:rPr>
              <w:t>асу, протягом якого такі записи повинні зберігатися інвестиційною фірмою.</w:t>
            </w:r>
          </w:p>
        </w:tc>
      </w:tr>
    </w:tbl>
    <w:p w:rsidR="004A0783" w:rsidRPr="00BE1959" w:rsidRDefault="004A0783" w:rsidP="004A0783">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ESMA подає проекти цих нормативно-технічних стандартів Комісії до 3 липня 2015 року.</w:t>
      </w:r>
    </w:p>
    <w:p w:rsidR="00B43A38" w:rsidRPr="00BE1959" w:rsidRDefault="004A0783" w:rsidP="004A0783">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Комісії делегується повноваження на прийняття нормативно-технічних стандартів, згаданих у першому абзаці цього пункту, згідно зі статтями 10-14 Регламенту (EU) № 1095/2010.</w:t>
      </w:r>
    </w:p>
    <w:p w:rsidR="005613AB" w:rsidRPr="00BE1959" w:rsidRDefault="00162A11" w:rsidP="005613AB">
      <w:pPr>
        <w:spacing w:before="360" w:after="120" w:line="312" w:lineRule="atLeast"/>
        <w:jc w:val="center"/>
        <w:textAlignment w:val="baseline"/>
        <w:rPr>
          <w:rFonts w:ascii="Times New Roman" w:eastAsia="Times New Roman" w:hAnsi="Times New Roman" w:cs="Times New Roman"/>
          <w:i/>
          <w:iCs/>
          <w:sz w:val="24"/>
          <w:szCs w:val="24"/>
          <w:lang w:val="uk-UA"/>
        </w:rPr>
      </w:pPr>
      <w:r w:rsidRPr="00BE1959">
        <w:rPr>
          <w:rFonts w:ascii="Times New Roman" w:eastAsia="Times New Roman" w:hAnsi="Times New Roman" w:cs="Times New Roman"/>
          <w:i/>
          <w:iCs/>
          <w:sz w:val="24"/>
          <w:szCs w:val="24"/>
          <w:lang w:val="uk-UA"/>
        </w:rPr>
        <w:t>Стаття</w:t>
      </w:r>
      <w:r w:rsidR="005613AB" w:rsidRPr="00BE1959">
        <w:rPr>
          <w:rFonts w:ascii="Times New Roman" w:eastAsia="Times New Roman" w:hAnsi="Times New Roman" w:cs="Times New Roman"/>
          <w:i/>
          <w:iCs/>
          <w:sz w:val="24"/>
          <w:szCs w:val="24"/>
          <w:lang w:val="uk-UA"/>
        </w:rPr>
        <w:t xml:space="preserve"> 18</w:t>
      </w:r>
    </w:p>
    <w:p w:rsidR="005613AB" w:rsidRPr="00BE1959" w:rsidRDefault="00F36CEF" w:rsidP="005613AB">
      <w:pPr>
        <w:spacing w:before="60" w:after="120" w:line="312" w:lineRule="atLeast"/>
        <w:jc w:val="center"/>
        <w:textAlignment w:val="baseline"/>
        <w:rPr>
          <w:rFonts w:ascii="Times New Roman" w:eastAsia="Times New Roman" w:hAnsi="Times New Roman" w:cs="Times New Roman"/>
          <w:b/>
          <w:bCs/>
          <w:sz w:val="24"/>
          <w:szCs w:val="24"/>
          <w:lang w:val="uk-UA"/>
        </w:rPr>
      </w:pPr>
      <w:r w:rsidRPr="00BE1959">
        <w:rPr>
          <w:rFonts w:ascii="Times New Roman" w:eastAsia="Times New Roman" w:hAnsi="Times New Roman" w:cs="Times New Roman"/>
          <w:b/>
          <w:bCs/>
          <w:sz w:val="24"/>
          <w:szCs w:val="24"/>
          <w:lang w:val="uk-UA"/>
        </w:rPr>
        <w:t xml:space="preserve">Процес торгівлі та </w:t>
      </w:r>
      <w:r w:rsidR="00207CB4" w:rsidRPr="00BE1959">
        <w:rPr>
          <w:rFonts w:ascii="Times New Roman" w:eastAsia="Times New Roman" w:hAnsi="Times New Roman" w:cs="Times New Roman"/>
          <w:b/>
          <w:bCs/>
          <w:sz w:val="24"/>
          <w:szCs w:val="24"/>
          <w:lang w:val="uk-UA"/>
        </w:rPr>
        <w:t>завершення виконання угод на БТМ і ОТМ</w:t>
      </w:r>
    </w:p>
    <w:p w:rsidR="005613AB" w:rsidRPr="00BE1959" w:rsidRDefault="005613AB" w:rsidP="00A00178">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1.   </w:t>
      </w:r>
      <w:r w:rsidR="001F5C90" w:rsidRPr="00BE1959">
        <w:rPr>
          <w:rFonts w:ascii="Times New Roman" w:eastAsia="Times New Roman" w:hAnsi="Times New Roman" w:cs="Times New Roman"/>
          <w:sz w:val="24"/>
          <w:szCs w:val="24"/>
          <w:lang w:val="uk-UA"/>
        </w:rPr>
        <w:t>Держави-члени</w:t>
      </w:r>
      <w:r w:rsidRPr="00BE1959">
        <w:rPr>
          <w:rFonts w:ascii="Times New Roman" w:eastAsia="Times New Roman" w:hAnsi="Times New Roman" w:cs="Times New Roman"/>
          <w:sz w:val="24"/>
          <w:szCs w:val="24"/>
          <w:lang w:val="uk-UA"/>
        </w:rPr>
        <w:t xml:space="preserve"> </w:t>
      </w:r>
      <w:r w:rsidR="00640FBE" w:rsidRPr="00BE1959">
        <w:rPr>
          <w:rFonts w:ascii="Times New Roman" w:eastAsia="Times New Roman" w:hAnsi="Times New Roman" w:cs="Times New Roman"/>
          <w:sz w:val="24"/>
          <w:szCs w:val="24"/>
          <w:lang w:val="uk-UA"/>
        </w:rPr>
        <w:t xml:space="preserve">вимагають, щоб інвестиційні фірми та оператори ринку, які управляють БТМ або ОТМ, крім дотримання організаційних вимог, викладених у статті 16, встановили прозорі правила і процедури чесної та впорядкованої торгівлі й об’єктивні критерії ефективного виконання замовлень. Вони запроваджують механізми раціонального управління технічними операціями майданчика, включаючи створення </w:t>
      </w:r>
      <w:r w:rsidR="00640FBE" w:rsidRPr="00BE1959">
        <w:rPr>
          <w:rFonts w:ascii="Times New Roman" w:eastAsia="Times New Roman" w:hAnsi="Times New Roman" w:cs="Times New Roman"/>
          <w:sz w:val="24"/>
          <w:szCs w:val="24"/>
          <w:lang w:val="uk-UA"/>
        </w:rPr>
        <w:lastRenderedPageBreak/>
        <w:t>ефективних механізмів на</w:t>
      </w:r>
      <w:r w:rsidR="00A00178" w:rsidRPr="00BE1959">
        <w:rPr>
          <w:rFonts w:ascii="Times New Roman" w:eastAsia="Times New Roman" w:hAnsi="Times New Roman" w:cs="Times New Roman"/>
          <w:sz w:val="24"/>
          <w:szCs w:val="24"/>
          <w:lang w:val="uk-UA"/>
        </w:rPr>
        <w:t xml:space="preserve"> випадок непередбачених обставин для подолання ризиків збоїв систем.</w:t>
      </w:r>
    </w:p>
    <w:p w:rsidR="005613AB" w:rsidRPr="00BE1959" w:rsidRDefault="005613AB" w:rsidP="00A00178">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2.   </w:t>
      </w:r>
      <w:r w:rsidR="003073BC" w:rsidRPr="00BE1959">
        <w:rPr>
          <w:rFonts w:ascii="Times New Roman" w:eastAsia="Times New Roman" w:hAnsi="Times New Roman" w:cs="Times New Roman"/>
          <w:sz w:val="24"/>
          <w:szCs w:val="24"/>
          <w:lang w:val="uk-UA"/>
        </w:rPr>
        <w:t>Держави-члени вимагають, щоб інвестиційні фірми та оператори ринку, які управляють БТМ або ОТМ,</w:t>
      </w:r>
      <w:r w:rsidR="00A00178" w:rsidRPr="00BE1959">
        <w:rPr>
          <w:rFonts w:ascii="Times New Roman" w:eastAsia="Times New Roman" w:hAnsi="Times New Roman" w:cs="Times New Roman"/>
          <w:sz w:val="24"/>
          <w:szCs w:val="24"/>
          <w:lang w:val="uk-UA"/>
        </w:rPr>
        <w:t xml:space="preserve"> встановили прозорі правила стосовно критеріїв визначення фінансових інструментів, торгівля якими може здійснюватися в їхніх системах.</w:t>
      </w:r>
    </w:p>
    <w:p w:rsidR="005613AB" w:rsidRPr="00BE1959" w:rsidRDefault="001F5C90" w:rsidP="001534A7">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Держави-члени</w:t>
      </w:r>
      <w:r w:rsidR="005613AB" w:rsidRPr="00BE1959">
        <w:rPr>
          <w:rFonts w:ascii="Times New Roman" w:eastAsia="Times New Roman" w:hAnsi="Times New Roman" w:cs="Times New Roman"/>
          <w:sz w:val="24"/>
          <w:szCs w:val="24"/>
          <w:lang w:val="uk-UA"/>
        </w:rPr>
        <w:t xml:space="preserve"> </w:t>
      </w:r>
      <w:r w:rsidR="003073BC" w:rsidRPr="00BE1959">
        <w:rPr>
          <w:rFonts w:ascii="Times New Roman" w:eastAsia="Times New Roman" w:hAnsi="Times New Roman" w:cs="Times New Roman"/>
          <w:sz w:val="24"/>
          <w:szCs w:val="24"/>
          <w:lang w:val="uk-UA"/>
        </w:rPr>
        <w:t>вимагають, щоб у доречних випадках інвестиційні фірми та оператори ринку, які управляють БТМ або ОТМ,</w:t>
      </w:r>
      <w:r w:rsidR="0054040A" w:rsidRPr="00BE1959">
        <w:rPr>
          <w:rFonts w:ascii="Times New Roman" w:eastAsia="Times New Roman" w:hAnsi="Times New Roman" w:cs="Times New Roman"/>
          <w:sz w:val="24"/>
          <w:szCs w:val="24"/>
          <w:lang w:val="uk-UA"/>
        </w:rPr>
        <w:t xml:space="preserve"> надавали достатню загальнодоступну інформацію для того, щоб їхні користувачі могли ухвалити інвестиційне рішення з урахуванням як характеру цих користувачів, так і видів інструментів, торгівля якими здійснюється, або переконувалися в наявності доступу до такої інформації.</w:t>
      </w:r>
    </w:p>
    <w:p w:rsidR="005613AB" w:rsidRPr="00BE1959" w:rsidRDefault="005613AB" w:rsidP="008353F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3.   </w:t>
      </w:r>
      <w:r w:rsidR="003073BC" w:rsidRPr="00BE1959">
        <w:rPr>
          <w:rFonts w:ascii="Times New Roman" w:eastAsia="Times New Roman" w:hAnsi="Times New Roman" w:cs="Times New Roman"/>
          <w:sz w:val="24"/>
          <w:szCs w:val="24"/>
          <w:lang w:val="uk-UA"/>
        </w:rPr>
        <w:t>Держави-члени вимагають, щоб інвестиційні фірми та оператори ринку, які управляють БТМ або ОТМ,</w:t>
      </w:r>
      <w:r w:rsidR="001534A7" w:rsidRPr="00BE1959">
        <w:rPr>
          <w:rFonts w:ascii="Times New Roman" w:eastAsia="Times New Roman" w:hAnsi="Times New Roman" w:cs="Times New Roman"/>
          <w:sz w:val="24"/>
          <w:szCs w:val="24"/>
          <w:lang w:val="uk-UA"/>
        </w:rPr>
        <w:t xml:space="preserve"> встановили, опублікували, підтримували та виконували прозорі й недискримінаційні правила, регламентуючі доступ до їхнього майданчика, </w:t>
      </w:r>
      <w:r w:rsidR="008353FB" w:rsidRPr="00BE1959">
        <w:rPr>
          <w:rFonts w:ascii="Times New Roman" w:eastAsia="Times New Roman" w:hAnsi="Times New Roman" w:cs="Times New Roman"/>
          <w:sz w:val="24"/>
          <w:szCs w:val="24"/>
          <w:lang w:val="uk-UA"/>
        </w:rPr>
        <w:t>на основі об’єктивних критеріїв.</w:t>
      </w:r>
    </w:p>
    <w:p w:rsidR="005613AB" w:rsidRPr="00BE1959" w:rsidRDefault="005613AB" w:rsidP="00014FC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4.   </w:t>
      </w:r>
      <w:r w:rsidR="003073BC" w:rsidRPr="00BE1959">
        <w:rPr>
          <w:rFonts w:ascii="Times New Roman" w:eastAsia="Times New Roman" w:hAnsi="Times New Roman" w:cs="Times New Roman"/>
          <w:sz w:val="24"/>
          <w:szCs w:val="24"/>
          <w:lang w:val="uk-UA"/>
        </w:rPr>
        <w:t>Держави-члени вимагають, щоб інвестиційні фірми та оператори ринку, які управляють БТМ або ОТМ,</w:t>
      </w:r>
      <w:r w:rsidRPr="00BE1959">
        <w:rPr>
          <w:rFonts w:ascii="Times New Roman" w:eastAsia="Times New Roman" w:hAnsi="Times New Roman" w:cs="Times New Roman"/>
          <w:sz w:val="24"/>
          <w:szCs w:val="24"/>
          <w:lang w:val="uk-UA"/>
        </w:rPr>
        <w:t xml:space="preserve"> </w:t>
      </w:r>
      <w:r w:rsidR="008353FB" w:rsidRPr="00BE1959">
        <w:rPr>
          <w:rFonts w:ascii="Times New Roman" w:eastAsia="Times New Roman" w:hAnsi="Times New Roman" w:cs="Times New Roman"/>
          <w:sz w:val="24"/>
          <w:szCs w:val="24"/>
          <w:lang w:val="uk-UA"/>
        </w:rPr>
        <w:t xml:space="preserve">мали механізми виявлення та усунення потенційних негативних наслідків для роботи БТМ або ОТМ чи для членів або учасників і користувачів будь-якого конфлікту інтересів між БТМ, ОТМ, їхніми власниками або інвестиційною фірмою чи оператором ринку, які управляють БТМ або ОТМ, і </w:t>
      </w:r>
      <w:r w:rsidR="00014FCB" w:rsidRPr="00BE1959">
        <w:rPr>
          <w:rFonts w:ascii="Times New Roman" w:eastAsia="Times New Roman" w:hAnsi="Times New Roman" w:cs="Times New Roman"/>
          <w:sz w:val="24"/>
          <w:szCs w:val="24"/>
          <w:lang w:val="uk-UA"/>
        </w:rPr>
        <w:t>раціональним функціонуванням БТМ або ОТМ.</w:t>
      </w:r>
    </w:p>
    <w:p w:rsidR="005613AB" w:rsidRPr="00BE1959" w:rsidRDefault="005613AB" w:rsidP="00F46AE5">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5.   </w:t>
      </w:r>
      <w:r w:rsidR="003073BC" w:rsidRPr="00BE1959">
        <w:rPr>
          <w:rFonts w:ascii="Times New Roman" w:eastAsia="Times New Roman" w:hAnsi="Times New Roman" w:cs="Times New Roman"/>
          <w:sz w:val="24"/>
          <w:szCs w:val="24"/>
          <w:lang w:val="uk-UA"/>
        </w:rPr>
        <w:t>Держави-члени вимагають, щоб інвестиційні фірми та оператори ринку, які управляють БТМ або ОТМ,</w:t>
      </w:r>
      <w:r w:rsidRPr="00BE1959">
        <w:rPr>
          <w:rFonts w:ascii="Times New Roman" w:eastAsia="Times New Roman" w:hAnsi="Times New Roman" w:cs="Times New Roman"/>
          <w:sz w:val="24"/>
          <w:szCs w:val="24"/>
          <w:lang w:val="uk-UA"/>
        </w:rPr>
        <w:t xml:space="preserve"> </w:t>
      </w:r>
      <w:r w:rsidR="00F46AE5" w:rsidRPr="00BE1959">
        <w:rPr>
          <w:rFonts w:ascii="Times New Roman" w:eastAsia="Times New Roman" w:hAnsi="Times New Roman" w:cs="Times New Roman"/>
          <w:sz w:val="24"/>
          <w:szCs w:val="24"/>
          <w:lang w:val="uk-UA"/>
        </w:rPr>
        <w:t>дотримувалися статей 48 і 49 і мали всі ефективні системи, процедури та механізми, необхідні для цього.</w:t>
      </w:r>
    </w:p>
    <w:p w:rsidR="005613AB" w:rsidRPr="00BE1959" w:rsidRDefault="005613AB" w:rsidP="00396469">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6.   </w:t>
      </w:r>
      <w:r w:rsidR="003073BC" w:rsidRPr="00BE1959">
        <w:rPr>
          <w:rFonts w:ascii="Times New Roman" w:eastAsia="Times New Roman" w:hAnsi="Times New Roman" w:cs="Times New Roman"/>
          <w:sz w:val="24"/>
          <w:szCs w:val="24"/>
          <w:lang w:val="uk-UA"/>
        </w:rPr>
        <w:t>Держави-члени вимагають, щоб інвестиційні фірми та оператори ринку, які управляють БТМ або ОТМ,</w:t>
      </w:r>
      <w:r w:rsidRPr="00BE1959">
        <w:rPr>
          <w:rFonts w:ascii="Times New Roman" w:eastAsia="Times New Roman" w:hAnsi="Times New Roman" w:cs="Times New Roman"/>
          <w:sz w:val="24"/>
          <w:szCs w:val="24"/>
          <w:lang w:val="uk-UA"/>
        </w:rPr>
        <w:t xml:space="preserve"> </w:t>
      </w:r>
      <w:r w:rsidR="00396469" w:rsidRPr="00BE1959">
        <w:rPr>
          <w:rFonts w:ascii="Times New Roman" w:eastAsia="Times New Roman" w:hAnsi="Times New Roman" w:cs="Times New Roman"/>
          <w:sz w:val="24"/>
          <w:szCs w:val="24"/>
          <w:lang w:val="uk-UA"/>
        </w:rPr>
        <w:t>чітко інформували своїх членів або учасників про їхні відповідні обов’язки щодо розрахунків за угодами, виконаними на даному майданчику. Держави-члени вимагають, щоб інвестиційні фірми та оператори ринку, які управляють БТМ або ОТМ, мали необхідні механізми сприяння ефективним розрахункам за угодами, укладеними у системах цього БТМ або ОТМ.</w:t>
      </w:r>
    </w:p>
    <w:p w:rsidR="005613AB" w:rsidRPr="00BE1959" w:rsidRDefault="005613AB" w:rsidP="00115B5C">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7.   </w:t>
      </w:r>
      <w:r w:rsidR="001F5C90" w:rsidRPr="00BE1959">
        <w:rPr>
          <w:rFonts w:ascii="Times New Roman" w:eastAsia="Times New Roman" w:hAnsi="Times New Roman" w:cs="Times New Roman"/>
          <w:sz w:val="24"/>
          <w:szCs w:val="24"/>
          <w:lang w:val="uk-UA"/>
        </w:rPr>
        <w:t>Держави-члени</w:t>
      </w:r>
      <w:r w:rsidR="00396469" w:rsidRPr="00BE1959">
        <w:rPr>
          <w:rFonts w:ascii="Times New Roman" w:eastAsia="Times New Roman" w:hAnsi="Times New Roman" w:cs="Times New Roman"/>
          <w:sz w:val="24"/>
          <w:szCs w:val="24"/>
          <w:lang w:val="uk-UA"/>
        </w:rPr>
        <w:t xml:space="preserve"> вимагають, щоб БТМ і ОТМ мали принаймні трьох </w:t>
      </w:r>
      <w:r w:rsidR="00115B5C" w:rsidRPr="00BE1959">
        <w:rPr>
          <w:rFonts w:ascii="Times New Roman" w:eastAsia="Times New Roman" w:hAnsi="Times New Roman" w:cs="Times New Roman"/>
          <w:sz w:val="24"/>
          <w:szCs w:val="24"/>
          <w:lang w:val="uk-UA"/>
        </w:rPr>
        <w:t>істотно активних членів або користувачів, а у кожного з них була можливість взаємодіяти з усіма іншими стосовно ціноутворення.</w:t>
      </w:r>
    </w:p>
    <w:p w:rsidR="005613AB" w:rsidRPr="00BE1959" w:rsidRDefault="005613AB" w:rsidP="00A158D3">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8.   </w:t>
      </w:r>
      <w:r w:rsidR="00AD0DC1" w:rsidRPr="00BE1959">
        <w:rPr>
          <w:rFonts w:ascii="Times New Roman" w:eastAsia="Times New Roman" w:hAnsi="Times New Roman" w:cs="Times New Roman"/>
          <w:sz w:val="24"/>
          <w:szCs w:val="24"/>
          <w:lang w:val="uk-UA"/>
        </w:rPr>
        <w:t>Якщо оборотний цінний папір, допущений до торгівлі на регульованому ринку, також торгується на БТМ або ОТМ без згоди емітента, то на цього емітента не поширюються жодні зобов’язання</w:t>
      </w:r>
      <w:r w:rsidR="00A158D3" w:rsidRPr="00BE1959">
        <w:rPr>
          <w:rFonts w:ascii="Times New Roman" w:eastAsia="Times New Roman" w:hAnsi="Times New Roman" w:cs="Times New Roman"/>
          <w:sz w:val="24"/>
          <w:szCs w:val="24"/>
          <w:lang w:val="uk-UA"/>
        </w:rPr>
        <w:t xml:space="preserve"> щодо початкового, поточного або спеціального розкриття фінансової інформації стосовно цього БТМ або ОТМ.</w:t>
      </w:r>
    </w:p>
    <w:p w:rsidR="005613AB" w:rsidRPr="00BE1959" w:rsidRDefault="005613AB" w:rsidP="00A158D3">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9.   </w:t>
      </w:r>
      <w:r w:rsidR="001F5C90" w:rsidRPr="00BE1959">
        <w:rPr>
          <w:rFonts w:ascii="Times New Roman" w:eastAsia="Times New Roman" w:hAnsi="Times New Roman" w:cs="Times New Roman"/>
          <w:sz w:val="24"/>
          <w:szCs w:val="24"/>
          <w:lang w:val="uk-UA"/>
        </w:rPr>
        <w:t>Держави-члени</w:t>
      </w:r>
      <w:r w:rsidRPr="00BE1959">
        <w:rPr>
          <w:rFonts w:ascii="Times New Roman" w:eastAsia="Times New Roman" w:hAnsi="Times New Roman" w:cs="Times New Roman"/>
          <w:sz w:val="24"/>
          <w:szCs w:val="24"/>
          <w:lang w:val="uk-UA"/>
        </w:rPr>
        <w:t xml:space="preserve"> </w:t>
      </w:r>
      <w:r w:rsidR="00A158D3" w:rsidRPr="00BE1959">
        <w:rPr>
          <w:rFonts w:ascii="Times New Roman" w:eastAsia="Times New Roman" w:hAnsi="Times New Roman" w:cs="Times New Roman"/>
          <w:sz w:val="24"/>
          <w:szCs w:val="24"/>
          <w:lang w:val="uk-UA"/>
        </w:rPr>
        <w:t xml:space="preserve">вимагають, щоб будь-яка інвестиційна фірма і оператор ринку, які управляють БТМ або ОТМ, негайно виконували будь-які інструкції їхнього </w:t>
      </w:r>
      <w:r w:rsidR="00A158D3" w:rsidRPr="00BE1959">
        <w:rPr>
          <w:rFonts w:ascii="Times New Roman" w:eastAsia="Times New Roman" w:hAnsi="Times New Roman" w:cs="Times New Roman"/>
          <w:sz w:val="24"/>
          <w:szCs w:val="24"/>
          <w:lang w:val="uk-UA"/>
        </w:rPr>
        <w:lastRenderedPageBreak/>
        <w:t>компетентного органу згідно зі статтею 69(2) щодо призупинення торгівлі фінансовим інструментом або вилучення його з торгівлі.</w:t>
      </w:r>
    </w:p>
    <w:p w:rsidR="005613AB" w:rsidRPr="00BE1959" w:rsidRDefault="005613AB" w:rsidP="0091235C">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10.   </w:t>
      </w:r>
      <w:r w:rsidR="002F11C9" w:rsidRPr="00BE1959">
        <w:rPr>
          <w:rFonts w:ascii="Times New Roman" w:eastAsia="Times New Roman" w:hAnsi="Times New Roman" w:cs="Times New Roman"/>
          <w:sz w:val="24"/>
          <w:szCs w:val="24"/>
          <w:lang w:val="uk-UA"/>
        </w:rPr>
        <w:t>Держави-члени вимагають, щоб інвестиційні фірми та оператори ринку, які управляють БТМ або ОТМ,</w:t>
      </w:r>
      <w:r w:rsidRPr="00BE1959">
        <w:rPr>
          <w:rFonts w:ascii="Times New Roman" w:eastAsia="Times New Roman" w:hAnsi="Times New Roman" w:cs="Times New Roman"/>
          <w:sz w:val="24"/>
          <w:szCs w:val="24"/>
          <w:lang w:val="uk-UA"/>
        </w:rPr>
        <w:t xml:space="preserve"> </w:t>
      </w:r>
      <w:r w:rsidR="00E217B5" w:rsidRPr="00BE1959">
        <w:rPr>
          <w:rFonts w:ascii="Times New Roman" w:eastAsia="Times New Roman" w:hAnsi="Times New Roman" w:cs="Times New Roman"/>
          <w:sz w:val="24"/>
          <w:szCs w:val="24"/>
          <w:lang w:val="uk-UA"/>
        </w:rPr>
        <w:t>надали компетентному органові детальний опис функціонування БТМ або ОТМ, зокрема, без шкоди для статті</w:t>
      </w:r>
      <w:r w:rsidRPr="00BE1959">
        <w:rPr>
          <w:rFonts w:ascii="Times New Roman" w:eastAsia="Times New Roman" w:hAnsi="Times New Roman" w:cs="Times New Roman"/>
          <w:sz w:val="24"/>
          <w:szCs w:val="24"/>
          <w:lang w:val="uk-UA"/>
        </w:rPr>
        <w:t xml:space="preserve"> 20(1), (4) </w:t>
      </w:r>
      <w:r w:rsidR="00E217B5" w:rsidRPr="00BE1959">
        <w:rPr>
          <w:rFonts w:ascii="Times New Roman" w:eastAsia="Times New Roman" w:hAnsi="Times New Roman" w:cs="Times New Roman"/>
          <w:sz w:val="24"/>
          <w:szCs w:val="24"/>
          <w:lang w:val="uk-UA"/>
        </w:rPr>
        <w:t>і</w:t>
      </w:r>
      <w:r w:rsidRPr="00BE1959">
        <w:rPr>
          <w:rFonts w:ascii="Times New Roman" w:eastAsia="Times New Roman" w:hAnsi="Times New Roman" w:cs="Times New Roman"/>
          <w:sz w:val="24"/>
          <w:szCs w:val="24"/>
          <w:lang w:val="uk-UA"/>
        </w:rPr>
        <w:t xml:space="preserve"> (5), </w:t>
      </w:r>
      <w:r w:rsidR="00E217B5" w:rsidRPr="00BE1959">
        <w:rPr>
          <w:rFonts w:ascii="Times New Roman" w:eastAsia="Times New Roman" w:hAnsi="Times New Roman" w:cs="Times New Roman"/>
          <w:sz w:val="24"/>
          <w:szCs w:val="24"/>
          <w:lang w:val="uk-UA"/>
        </w:rPr>
        <w:t>зв'язки з регульованим ринком, БТМ, ОТМ або систематичним учасником, що належить тій самій інвестиційній фірмі або операторові ринку, або участь такого регульованого ринку тощо, а також</w:t>
      </w:r>
      <w:r w:rsidR="0091235C" w:rsidRPr="00BE1959">
        <w:rPr>
          <w:rFonts w:ascii="Times New Roman" w:eastAsia="Times New Roman" w:hAnsi="Times New Roman" w:cs="Times New Roman"/>
          <w:sz w:val="24"/>
          <w:szCs w:val="24"/>
          <w:lang w:val="uk-UA"/>
        </w:rPr>
        <w:t xml:space="preserve"> перелік їхніх членів, учасників і (або) користувачів. Компетентні органи на вимогу надають цю інформацію ESMA. Інформація про кожний дозвіл, виданий інвестиційній фірмі або операторові ринку як БТМ або ОТМ, доводиться до відома ESMA. ESMA створює перелік усіх БТМ і ОТМ у Союзі. Цей перелік містить інформацію про послуги, надавані БТМ або ОТМ, і передбачає унікальний код, яким даний БТМ або ОТМ позначається для використання у звітах відповідно до статей 6, 10 і 26 </w:t>
      </w:r>
      <w:r w:rsidR="008824AE" w:rsidRPr="00BE1959">
        <w:rPr>
          <w:rFonts w:ascii="Times New Roman" w:eastAsia="Times New Roman" w:hAnsi="Times New Roman" w:cs="Times New Roman"/>
          <w:sz w:val="24"/>
          <w:szCs w:val="24"/>
          <w:lang w:val="uk-UA"/>
        </w:rPr>
        <w:t>Регламенту</w:t>
      </w:r>
      <w:r w:rsidRPr="00BE1959">
        <w:rPr>
          <w:rFonts w:ascii="Times New Roman" w:eastAsia="Times New Roman" w:hAnsi="Times New Roman" w:cs="Times New Roman"/>
          <w:sz w:val="24"/>
          <w:szCs w:val="24"/>
          <w:lang w:val="uk-UA"/>
        </w:rPr>
        <w:t xml:space="preserve"> </w:t>
      </w:r>
      <w:r w:rsidR="007B0149" w:rsidRPr="00BE1959">
        <w:rPr>
          <w:rFonts w:ascii="Times New Roman" w:eastAsia="Times New Roman" w:hAnsi="Times New Roman" w:cs="Times New Roman"/>
          <w:sz w:val="24"/>
          <w:szCs w:val="24"/>
          <w:lang w:val="uk-UA"/>
        </w:rPr>
        <w:t>(EU) № 600/2014</w:t>
      </w:r>
      <w:r w:rsidRPr="00BE1959">
        <w:rPr>
          <w:rFonts w:ascii="Times New Roman" w:eastAsia="Times New Roman" w:hAnsi="Times New Roman" w:cs="Times New Roman"/>
          <w:sz w:val="24"/>
          <w:szCs w:val="24"/>
          <w:lang w:val="uk-UA"/>
        </w:rPr>
        <w:t xml:space="preserve">. </w:t>
      </w:r>
      <w:r w:rsidR="0091235C" w:rsidRPr="00BE1959">
        <w:rPr>
          <w:rFonts w:ascii="Times New Roman" w:eastAsia="Times New Roman" w:hAnsi="Times New Roman" w:cs="Times New Roman"/>
          <w:sz w:val="24"/>
          <w:szCs w:val="24"/>
          <w:lang w:val="uk-UA"/>
        </w:rPr>
        <w:t>Перелік регулярно оновлюється. ESMA публікує і актуалізує цей перелік на своєму веб-сайті.</w:t>
      </w:r>
    </w:p>
    <w:p w:rsidR="005613AB" w:rsidRPr="00BE1959" w:rsidRDefault="005613AB" w:rsidP="00207CB4">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11.   </w:t>
      </w:r>
      <w:r w:rsidR="004A0783" w:rsidRPr="00BE1959">
        <w:rPr>
          <w:rFonts w:ascii="Times New Roman" w:eastAsia="Times New Roman" w:hAnsi="Times New Roman" w:cs="Times New Roman"/>
          <w:sz w:val="24"/>
          <w:szCs w:val="24"/>
          <w:lang w:val="uk-UA"/>
        </w:rPr>
        <w:t xml:space="preserve">ESMA розробляє проекти </w:t>
      </w:r>
      <w:r w:rsidR="00207CB4" w:rsidRPr="00BE1959">
        <w:rPr>
          <w:rFonts w:ascii="Times New Roman" w:eastAsia="Times New Roman" w:hAnsi="Times New Roman" w:cs="Times New Roman"/>
          <w:sz w:val="24"/>
          <w:szCs w:val="24"/>
          <w:lang w:val="uk-UA"/>
        </w:rPr>
        <w:t xml:space="preserve">виконавчих </w:t>
      </w:r>
      <w:r w:rsidR="004A0783" w:rsidRPr="00BE1959">
        <w:rPr>
          <w:rFonts w:ascii="Times New Roman" w:eastAsia="Times New Roman" w:hAnsi="Times New Roman" w:cs="Times New Roman"/>
          <w:sz w:val="24"/>
          <w:szCs w:val="24"/>
          <w:lang w:val="uk-UA"/>
        </w:rPr>
        <w:t xml:space="preserve">технічних стандартів, у яких </w:t>
      </w:r>
      <w:r w:rsidR="00207CB4" w:rsidRPr="00BE1959">
        <w:rPr>
          <w:rFonts w:ascii="Times New Roman" w:eastAsia="Times New Roman" w:hAnsi="Times New Roman" w:cs="Times New Roman"/>
          <w:sz w:val="24"/>
          <w:szCs w:val="24"/>
          <w:lang w:val="uk-UA"/>
        </w:rPr>
        <w:t>визначається зміст і формат опису і повідомлення, згаданих у п. 10.</w:t>
      </w:r>
    </w:p>
    <w:p w:rsidR="004A0783" w:rsidRPr="00BE1959" w:rsidRDefault="004A0783" w:rsidP="004A0783">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ESMA подає проекти цих виконавчих технічних стандартів Комісії до 3 січня 2016 року.</w:t>
      </w:r>
    </w:p>
    <w:p w:rsidR="005613AB" w:rsidRPr="00BE1959" w:rsidRDefault="004A0783" w:rsidP="004A0783">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Комісії надається повноваження на прийняття виконавчих технічних стандартів, згаданих у першому абзаці цього пункту, згідно зі статтею 15 Регламенту (EU) № 1095/2010.</w:t>
      </w:r>
    </w:p>
    <w:p w:rsidR="005613AB" w:rsidRPr="00BE1959" w:rsidRDefault="00162A11" w:rsidP="005613AB">
      <w:pPr>
        <w:spacing w:before="360" w:after="120" w:line="312" w:lineRule="atLeast"/>
        <w:jc w:val="center"/>
        <w:textAlignment w:val="baseline"/>
        <w:rPr>
          <w:rFonts w:ascii="Times New Roman" w:eastAsia="Times New Roman" w:hAnsi="Times New Roman" w:cs="Times New Roman"/>
          <w:i/>
          <w:iCs/>
          <w:sz w:val="24"/>
          <w:szCs w:val="24"/>
          <w:lang w:val="uk-UA"/>
        </w:rPr>
      </w:pPr>
      <w:r w:rsidRPr="00BE1959">
        <w:rPr>
          <w:rFonts w:ascii="Times New Roman" w:eastAsia="Times New Roman" w:hAnsi="Times New Roman" w:cs="Times New Roman"/>
          <w:i/>
          <w:iCs/>
          <w:sz w:val="24"/>
          <w:szCs w:val="24"/>
          <w:lang w:val="uk-UA"/>
        </w:rPr>
        <w:t>Стаття</w:t>
      </w:r>
      <w:r w:rsidR="005613AB" w:rsidRPr="00BE1959">
        <w:rPr>
          <w:rFonts w:ascii="Times New Roman" w:eastAsia="Times New Roman" w:hAnsi="Times New Roman" w:cs="Times New Roman"/>
          <w:i/>
          <w:iCs/>
          <w:sz w:val="24"/>
          <w:szCs w:val="24"/>
          <w:lang w:val="uk-UA"/>
        </w:rPr>
        <w:t xml:space="preserve"> 19</w:t>
      </w:r>
    </w:p>
    <w:p w:rsidR="005613AB" w:rsidRPr="00BE1959" w:rsidRDefault="00F03496" w:rsidP="005613AB">
      <w:pPr>
        <w:spacing w:before="60" w:after="120" w:line="312" w:lineRule="atLeast"/>
        <w:jc w:val="center"/>
        <w:textAlignment w:val="baseline"/>
        <w:rPr>
          <w:rFonts w:ascii="Times New Roman" w:eastAsia="Times New Roman" w:hAnsi="Times New Roman" w:cs="Times New Roman"/>
          <w:b/>
          <w:bCs/>
          <w:sz w:val="24"/>
          <w:szCs w:val="24"/>
          <w:lang w:val="uk-UA"/>
        </w:rPr>
      </w:pPr>
      <w:r w:rsidRPr="00BE1959">
        <w:rPr>
          <w:rFonts w:ascii="Times New Roman" w:eastAsia="Times New Roman" w:hAnsi="Times New Roman" w:cs="Times New Roman"/>
          <w:b/>
          <w:bCs/>
          <w:sz w:val="24"/>
          <w:szCs w:val="24"/>
          <w:lang w:val="uk-UA"/>
        </w:rPr>
        <w:t>Особливі вимоги до БТМ</w:t>
      </w:r>
    </w:p>
    <w:p w:rsidR="005613AB" w:rsidRPr="00BE1959" w:rsidRDefault="005613AB" w:rsidP="005643CF">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1.   </w:t>
      </w:r>
      <w:r w:rsidR="002F11C9" w:rsidRPr="00BE1959">
        <w:rPr>
          <w:rFonts w:ascii="Times New Roman" w:eastAsia="Times New Roman" w:hAnsi="Times New Roman" w:cs="Times New Roman"/>
          <w:sz w:val="24"/>
          <w:szCs w:val="24"/>
          <w:lang w:val="uk-UA"/>
        </w:rPr>
        <w:t>Держави-члени вимагають, щоб інвестиційні фірми та оператори ринку, які управляють БТМ,</w:t>
      </w:r>
      <w:r w:rsidRPr="00BE1959">
        <w:rPr>
          <w:rFonts w:ascii="Times New Roman" w:eastAsia="Times New Roman" w:hAnsi="Times New Roman" w:cs="Times New Roman"/>
          <w:sz w:val="24"/>
          <w:szCs w:val="24"/>
          <w:lang w:val="uk-UA"/>
        </w:rPr>
        <w:t xml:space="preserve"> </w:t>
      </w:r>
      <w:r w:rsidR="005643CF" w:rsidRPr="00BE1959">
        <w:rPr>
          <w:rFonts w:ascii="Times New Roman" w:eastAsia="Times New Roman" w:hAnsi="Times New Roman" w:cs="Times New Roman"/>
          <w:sz w:val="24"/>
          <w:szCs w:val="24"/>
          <w:lang w:val="uk-UA"/>
        </w:rPr>
        <w:t>крім дотримання вимог, викладених у статтях 16 і 18, встановили та виконували недискреційні правила виконання замовлень у системі.</w:t>
      </w:r>
    </w:p>
    <w:p w:rsidR="005613AB" w:rsidRPr="00BE1959" w:rsidRDefault="005613AB" w:rsidP="005643CF">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2.   </w:t>
      </w:r>
      <w:r w:rsidR="002F11C9" w:rsidRPr="00BE1959">
        <w:rPr>
          <w:rFonts w:ascii="Times New Roman" w:eastAsia="Times New Roman" w:hAnsi="Times New Roman" w:cs="Times New Roman"/>
          <w:sz w:val="24"/>
          <w:szCs w:val="24"/>
          <w:lang w:val="uk-UA"/>
        </w:rPr>
        <w:t>Держави-члени вимагають, щоб інвестиційні фірми та оператори ринку, які управляють БТМ,</w:t>
      </w:r>
      <w:r w:rsidRPr="00BE1959">
        <w:rPr>
          <w:rFonts w:ascii="Times New Roman" w:eastAsia="Times New Roman" w:hAnsi="Times New Roman" w:cs="Times New Roman"/>
          <w:sz w:val="24"/>
          <w:szCs w:val="24"/>
          <w:lang w:val="uk-UA"/>
        </w:rPr>
        <w:t xml:space="preserve"> </w:t>
      </w:r>
      <w:r w:rsidR="005643CF" w:rsidRPr="00BE1959">
        <w:rPr>
          <w:rFonts w:ascii="Times New Roman" w:eastAsia="Times New Roman" w:hAnsi="Times New Roman" w:cs="Times New Roman"/>
          <w:sz w:val="24"/>
          <w:szCs w:val="24"/>
          <w:lang w:val="uk-UA"/>
        </w:rPr>
        <w:t>дотримувалися умов, установлених у статті 53(3).</w:t>
      </w:r>
    </w:p>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3.   </w:t>
      </w:r>
      <w:r w:rsidR="002F11C9" w:rsidRPr="00BE1959">
        <w:rPr>
          <w:rFonts w:ascii="Times New Roman" w:eastAsia="Times New Roman" w:hAnsi="Times New Roman" w:cs="Times New Roman"/>
          <w:sz w:val="24"/>
          <w:szCs w:val="24"/>
          <w:lang w:val="uk-UA"/>
        </w:rPr>
        <w:t>Держави-члени вимагають, щоб інвестиційні фірми та оператори ринку, які управляють БТМ,</w:t>
      </w:r>
      <w:r w:rsidRPr="00BE1959">
        <w:rPr>
          <w:rFonts w:ascii="Times New Roman" w:eastAsia="Times New Roman" w:hAnsi="Times New Roman" w:cs="Times New Roman"/>
          <w:sz w:val="24"/>
          <w:szCs w:val="24"/>
          <w:lang w:val="uk-UA"/>
        </w:rPr>
        <w:t xml:space="preserve"> </w:t>
      </w:r>
      <w:r w:rsidR="005643CF" w:rsidRPr="00BE1959">
        <w:rPr>
          <w:rFonts w:ascii="Times New Roman" w:eastAsia="Times New Roman" w:hAnsi="Times New Roman" w:cs="Times New Roman"/>
          <w:sz w:val="24"/>
          <w:szCs w:val="24"/>
          <w:lang w:val="uk-UA"/>
        </w:rPr>
        <w:t>мали механізми:</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9093"/>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8A31E0" w:rsidP="00FB7BB4">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для того, щоб бути належним чином готовими </w:t>
            </w:r>
            <w:r w:rsidR="00C716FA" w:rsidRPr="00BE1959">
              <w:rPr>
                <w:rFonts w:ascii="Times New Roman" w:eastAsia="Times New Roman" w:hAnsi="Times New Roman" w:cs="Times New Roman"/>
                <w:sz w:val="24"/>
                <w:szCs w:val="24"/>
                <w:lang w:val="uk-UA"/>
              </w:rPr>
              <w:t>до</w:t>
            </w:r>
            <w:r w:rsidRPr="00BE1959">
              <w:rPr>
                <w:rFonts w:ascii="Times New Roman" w:eastAsia="Times New Roman" w:hAnsi="Times New Roman" w:cs="Times New Roman"/>
                <w:sz w:val="24"/>
                <w:szCs w:val="24"/>
                <w:lang w:val="uk-UA"/>
              </w:rPr>
              <w:t xml:space="preserve"> управління ризиками, з якими </w:t>
            </w:r>
            <w:r w:rsidR="00FB7BB4" w:rsidRPr="00BE1959">
              <w:rPr>
                <w:rFonts w:ascii="Times New Roman" w:eastAsia="Times New Roman" w:hAnsi="Times New Roman" w:cs="Times New Roman"/>
                <w:sz w:val="24"/>
                <w:szCs w:val="24"/>
                <w:lang w:val="uk-UA"/>
              </w:rPr>
              <w:t>він</w:t>
            </w:r>
            <w:r w:rsidRPr="00BE1959">
              <w:rPr>
                <w:rFonts w:ascii="Times New Roman" w:eastAsia="Times New Roman" w:hAnsi="Times New Roman" w:cs="Times New Roman"/>
                <w:sz w:val="24"/>
                <w:szCs w:val="24"/>
                <w:lang w:val="uk-UA"/>
              </w:rPr>
              <w:t xml:space="preserve"> стика</w:t>
            </w:r>
            <w:r w:rsidR="00FB7BB4" w:rsidRPr="00BE1959">
              <w:rPr>
                <w:rFonts w:ascii="Times New Roman" w:eastAsia="Times New Roman" w:hAnsi="Times New Roman" w:cs="Times New Roman"/>
                <w:sz w:val="24"/>
                <w:szCs w:val="24"/>
                <w:lang w:val="uk-UA"/>
              </w:rPr>
              <w:t>є</w:t>
            </w:r>
            <w:r w:rsidRPr="00BE1959">
              <w:rPr>
                <w:rFonts w:ascii="Times New Roman" w:eastAsia="Times New Roman" w:hAnsi="Times New Roman" w:cs="Times New Roman"/>
                <w:sz w:val="24"/>
                <w:szCs w:val="24"/>
                <w:lang w:val="uk-UA"/>
              </w:rPr>
              <w:t xml:space="preserve">ться, запровадження належних механізмів і систем для визначення всіх значних ризиків для </w:t>
            </w:r>
            <w:r w:rsidR="00FB7BB4" w:rsidRPr="00BE1959">
              <w:rPr>
                <w:rFonts w:ascii="Times New Roman" w:eastAsia="Times New Roman" w:hAnsi="Times New Roman" w:cs="Times New Roman"/>
                <w:sz w:val="24"/>
                <w:szCs w:val="24"/>
                <w:lang w:val="uk-UA"/>
              </w:rPr>
              <w:t>його</w:t>
            </w:r>
            <w:r w:rsidRPr="00BE1959">
              <w:rPr>
                <w:rFonts w:ascii="Times New Roman" w:eastAsia="Times New Roman" w:hAnsi="Times New Roman" w:cs="Times New Roman"/>
                <w:sz w:val="24"/>
                <w:szCs w:val="24"/>
                <w:lang w:val="uk-UA"/>
              </w:rPr>
              <w:t xml:space="preserve"> роботи, а також </w:t>
            </w:r>
            <w:r w:rsidR="00262D1C" w:rsidRPr="00BE1959">
              <w:rPr>
                <w:rFonts w:ascii="Times New Roman" w:eastAsia="Times New Roman" w:hAnsi="Times New Roman" w:cs="Times New Roman"/>
                <w:sz w:val="24"/>
                <w:szCs w:val="24"/>
                <w:lang w:val="uk-UA"/>
              </w:rPr>
              <w:t>ужиття ефективних заходів для зменшення цих ризиків;</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262D1C" w:rsidP="00FB7BB4">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для ефективного сприяння чіткому і своєчасному завершенню угод, виконаних у </w:t>
            </w:r>
            <w:r w:rsidR="00FB7BB4" w:rsidRPr="00BE1959">
              <w:rPr>
                <w:rFonts w:ascii="Times New Roman" w:eastAsia="Times New Roman" w:hAnsi="Times New Roman" w:cs="Times New Roman"/>
                <w:sz w:val="24"/>
                <w:szCs w:val="24"/>
                <w:lang w:val="uk-UA"/>
              </w:rPr>
              <w:t>його</w:t>
            </w:r>
            <w:r w:rsidRPr="00BE1959">
              <w:rPr>
                <w:rFonts w:ascii="Times New Roman" w:eastAsia="Times New Roman" w:hAnsi="Times New Roman" w:cs="Times New Roman"/>
                <w:sz w:val="24"/>
                <w:szCs w:val="24"/>
                <w:lang w:val="uk-UA"/>
              </w:rPr>
              <w:t xml:space="preserve"> системах;</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9093"/>
      </w:tblGrid>
      <w:tr w:rsidR="00DE3173"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lastRenderedPageBreak/>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FA5547" w:rsidP="00FB7BB4">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для забезпечення наявності, на момент отримання дозволу й на постійній основі, достатніх фінансових ресурсів для сприяння </w:t>
            </w:r>
            <w:r w:rsidR="00FB7BB4" w:rsidRPr="00BE1959">
              <w:rPr>
                <w:rFonts w:ascii="Times New Roman" w:eastAsia="Times New Roman" w:hAnsi="Times New Roman" w:cs="Times New Roman"/>
                <w:sz w:val="24"/>
                <w:szCs w:val="24"/>
                <w:lang w:val="uk-UA"/>
              </w:rPr>
              <w:t>його</w:t>
            </w:r>
            <w:r w:rsidRPr="00BE1959">
              <w:rPr>
                <w:rFonts w:ascii="Times New Roman" w:eastAsia="Times New Roman" w:hAnsi="Times New Roman" w:cs="Times New Roman"/>
                <w:sz w:val="24"/>
                <w:szCs w:val="24"/>
                <w:lang w:val="uk-UA"/>
              </w:rPr>
              <w:t xml:space="preserve"> впорядкованому функціонуванню, з урахуванням характеру і обсягу угод, укладених на ринку, та номенклатури і ступеню ризиків, з якими </w:t>
            </w:r>
            <w:r w:rsidR="00FB7BB4" w:rsidRPr="00BE1959">
              <w:rPr>
                <w:rFonts w:ascii="Times New Roman" w:eastAsia="Times New Roman" w:hAnsi="Times New Roman" w:cs="Times New Roman"/>
                <w:sz w:val="24"/>
                <w:szCs w:val="24"/>
                <w:lang w:val="uk-UA"/>
              </w:rPr>
              <w:t>він</w:t>
            </w:r>
            <w:r w:rsidRPr="00BE1959">
              <w:rPr>
                <w:rFonts w:ascii="Times New Roman" w:eastAsia="Times New Roman" w:hAnsi="Times New Roman" w:cs="Times New Roman"/>
                <w:sz w:val="24"/>
                <w:szCs w:val="24"/>
                <w:lang w:val="uk-UA"/>
              </w:rPr>
              <w:t xml:space="preserve"> стика</w:t>
            </w:r>
            <w:r w:rsidR="00FB7BB4" w:rsidRPr="00BE1959">
              <w:rPr>
                <w:rFonts w:ascii="Times New Roman" w:eastAsia="Times New Roman" w:hAnsi="Times New Roman" w:cs="Times New Roman"/>
                <w:sz w:val="24"/>
                <w:szCs w:val="24"/>
                <w:lang w:val="uk-UA"/>
              </w:rPr>
              <w:t>є</w:t>
            </w:r>
            <w:r w:rsidRPr="00BE1959">
              <w:rPr>
                <w:rFonts w:ascii="Times New Roman" w:eastAsia="Times New Roman" w:hAnsi="Times New Roman" w:cs="Times New Roman"/>
                <w:sz w:val="24"/>
                <w:szCs w:val="24"/>
                <w:lang w:val="uk-UA"/>
              </w:rPr>
              <w:t>ться.</w:t>
            </w:r>
          </w:p>
        </w:tc>
      </w:tr>
    </w:tbl>
    <w:p w:rsidR="005613AB" w:rsidRPr="00BE1959" w:rsidRDefault="005613AB" w:rsidP="00633062">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4.   </w:t>
      </w:r>
      <w:r w:rsidR="001F5C90" w:rsidRPr="00BE1959">
        <w:rPr>
          <w:rFonts w:ascii="Times New Roman" w:eastAsia="Times New Roman" w:hAnsi="Times New Roman" w:cs="Times New Roman"/>
          <w:sz w:val="24"/>
          <w:szCs w:val="24"/>
          <w:lang w:val="uk-UA"/>
        </w:rPr>
        <w:t>Держави-члени</w:t>
      </w:r>
      <w:r w:rsidRPr="00BE1959">
        <w:rPr>
          <w:rFonts w:ascii="Times New Roman" w:eastAsia="Times New Roman" w:hAnsi="Times New Roman" w:cs="Times New Roman"/>
          <w:sz w:val="24"/>
          <w:szCs w:val="24"/>
          <w:lang w:val="uk-UA"/>
        </w:rPr>
        <w:t xml:space="preserve"> </w:t>
      </w:r>
      <w:r w:rsidR="00FA5547" w:rsidRPr="00BE1959">
        <w:rPr>
          <w:rFonts w:ascii="Times New Roman" w:eastAsia="Times New Roman" w:hAnsi="Times New Roman" w:cs="Times New Roman"/>
          <w:sz w:val="24"/>
          <w:szCs w:val="24"/>
          <w:lang w:val="uk-UA"/>
        </w:rPr>
        <w:t>забезпечують, щоб статті 24, 25, 27(1), (2) і (4)-(10) та 28</w:t>
      </w:r>
      <w:r w:rsidR="00E358B5" w:rsidRPr="00BE1959">
        <w:rPr>
          <w:rFonts w:ascii="Times New Roman" w:eastAsia="Times New Roman" w:hAnsi="Times New Roman" w:cs="Times New Roman"/>
          <w:sz w:val="24"/>
          <w:szCs w:val="24"/>
          <w:lang w:val="uk-UA"/>
        </w:rPr>
        <w:t xml:space="preserve"> не поширювалися на угоди, укладені за правилами, які регламентують діяльність БТМ, між його членами </w:t>
      </w:r>
      <w:r w:rsidR="00FB7BB4" w:rsidRPr="00BE1959">
        <w:rPr>
          <w:rFonts w:ascii="Times New Roman" w:eastAsia="Times New Roman" w:hAnsi="Times New Roman" w:cs="Times New Roman"/>
          <w:sz w:val="24"/>
          <w:szCs w:val="24"/>
          <w:lang w:val="uk-UA"/>
        </w:rPr>
        <w:t>чи</w:t>
      </w:r>
      <w:r w:rsidR="00E358B5" w:rsidRPr="00BE1959">
        <w:rPr>
          <w:rFonts w:ascii="Times New Roman" w:eastAsia="Times New Roman" w:hAnsi="Times New Roman" w:cs="Times New Roman"/>
          <w:sz w:val="24"/>
          <w:szCs w:val="24"/>
          <w:lang w:val="uk-UA"/>
        </w:rPr>
        <w:t xml:space="preserve"> уча</w:t>
      </w:r>
      <w:r w:rsidR="00FB7BB4" w:rsidRPr="00BE1959">
        <w:rPr>
          <w:rFonts w:ascii="Times New Roman" w:eastAsia="Times New Roman" w:hAnsi="Times New Roman" w:cs="Times New Roman"/>
          <w:sz w:val="24"/>
          <w:szCs w:val="24"/>
          <w:lang w:val="uk-UA"/>
        </w:rPr>
        <w:t>с</w:t>
      </w:r>
      <w:r w:rsidR="00E358B5" w:rsidRPr="00BE1959">
        <w:rPr>
          <w:rFonts w:ascii="Times New Roman" w:eastAsia="Times New Roman" w:hAnsi="Times New Roman" w:cs="Times New Roman"/>
          <w:sz w:val="24"/>
          <w:szCs w:val="24"/>
          <w:lang w:val="uk-UA"/>
        </w:rPr>
        <w:t>никами</w:t>
      </w:r>
      <w:r w:rsidR="00FB7BB4" w:rsidRPr="00BE1959">
        <w:rPr>
          <w:rFonts w:ascii="Times New Roman" w:eastAsia="Times New Roman" w:hAnsi="Times New Roman" w:cs="Times New Roman"/>
          <w:sz w:val="24"/>
          <w:szCs w:val="24"/>
          <w:lang w:val="uk-UA"/>
        </w:rPr>
        <w:t xml:space="preserve"> або між БТМ та його членами чи учасниками</w:t>
      </w:r>
      <w:r w:rsidR="00BA6600" w:rsidRPr="00BE1959">
        <w:rPr>
          <w:rFonts w:ascii="Times New Roman" w:eastAsia="Times New Roman" w:hAnsi="Times New Roman" w:cs="Times New Roman"/>
          <w:sz w:val="24"/>
          <w:szCs w:val="24"/>
          <w:lang w:val="uk-UA"/>
        </w:rPr>
        <w:t xml:space="preserve">, стосовно користування БТМ. Проте, члени або учасники БТМ дотримуються зобов’язань, передбачених у статтях </w:t>
      </w:r>
      <w:r w:rsidRPr="00BE1959">
        <w:rPr>
          <w:rFonts w:ascii="Times New Roman" w:eastAsia="Times New Roman" w:hAnsi="Times New Roman" w:cs="Times New Roman"/>
          <w:sz w:val="24"/>
          <w:szCs w:val="24"/>
          <w:lang w:val="uk-UA"/>
        </w:rPr>
        <w:t xml:space="preserve">24, 25, 27 </w:t>
      </w:r>
      <w:r w:rsidR="00BA6600" w:rsidRPr="00BE1959">
        <w:rPr>
          <w:rFonts w:ascii="Times New Roman" w:eastAsia="Times New Roman" w:hAnsi="Times New Roman" w:cs="Times New Roman"/>
          <w:sz w:val="24"/>
          <w:szCs w:val="24"/>
          <w:lang w:val="uk-UA"/>
        </w:rPr>
        <w:t>і</w:t>
      </w:r>
      <w:r w:rsidRPr="00BE1959">
        <w:rPr>
          <w:rFonts w:ascii="Times New Roman" w:eastAsia="Times New Roman" w:hAnsi="Times New Roman" w:cs="Times New Roman"/>
          <w:sz w:val="24"/>
          <w:szCs w:val="24"/>
          <w:lang w:val="uk-UA"/>
        </w:rPr>
        <w:t xml:space="preserve"> 28</w:t>
      </w:r>
      <w:r w:rsidR="00BA6600" w:rsidRPr="00BE1959">
        <w:rPr>
          <w:rFonts w:ascii="Times New Roman" w:eastAsia="Times New Roman" w:hAnsi="Times New Roman" w:cs="Times New Roman"/>
          <w:sz w:val="24"/>
          <w:szCs w:val="24"/>
          <w:lang w:val="uk-UA"/>
        </w:rPr>
        <w:t>, перед їхніми клієнтами</w:t>
      </w:r>
      <w:r w:rsidR="00E80F38" w:rsidRPr="00BE1959">
        <w:rPr>
          <w:rFonts w:ascii="Times New Roman" w:eastAsia="Times New Roman" w:hAnsi="Times New Roman" w:cs="Times New Roman"/>
          <w:sz w:val="24"/>
          <w:szCs w:val="24"/>
          <w:lang w:val="uk-UA"/>
        </w:rPr>
        <w:t xml:space="preserve">, коли, діючи від імені їхніх клієнтів, вони виконують </w:t>
      </w:r>
      <w:r w:rsidR="00633062" w:rsidRPr="00BE1959">
        <w:rPr>
          <w:rFonts w:ascii="Times New Roman" w:eastAsia="Times New Roman" w:hAnsi="Times New Roman" w:cs="Times New Roman"/>
          <w:sz w:val="24"/>
          <w:szCs w:val="24"/>
          <w:lang w:val="uk-UA"/>
        </w:rPr>
        <w:t>їхні замовлення через системи БТМ.</w:t>
      </w:r>
    </w:p>
    <w:p w:rsidR="005613AB" w:rsidRPr="00BE1959" w:rsidRDefault="005613AB" w:rsidP="00633062">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5.   </w:t>
      </w:r>
      <w:r w:rsidR="00B25A7E" w:rsidRPr="00BE1959">
        <w:rPr>
          <w:rFonts w:ascii="Times New Roman" w:eastAsia="Times New Roman" w:hAnsi="Times New Roman" w:cs="Times New Roman"/>
          <w:sz w:val="24"/>
          <w:szCs w:val="24"/>
          <w:lang w:val="uk-UA"/>
        </w:rPr>
        <w:t>Держави-члени не дозволяють інвестиційним фірмам і операторам ринку, які управляють БТМ, виконувати замовлення клієнтів за рахунок власного капіталу або займатися зустрічною торгівлею за власний рахунок.</w:t>
      </w:r>
    </w:p>
    <w:p w:rsidR="005613AB" w:rsidRPr="00BE1959" w:rsidRDefault="00162A11" w:rsidP="005613AB">
      <w:pPr>
        <w:spacing w:before="360" w:after="120" w:line="312" w:lineRule="atLeast"/>
        <w:jc w:val="center"/>
        <w:textAlignment w:val="baseline"/>
        <w:rPr>
          <w:rFonts w:ascii="Times New Roman" w:eastAsia="Times New Roman" w:hAnsi="Times New Roman" w:cs="Times New Roman"/>
          <w:i/>
          <w:iCs/>
          <w:sz w:val="24"/>
          <w:szCs w:val="24"/>
          <w:lang w:val="uk-UA"/>
        </w:rPr>
      </w:pPr>
      <w:r w:rsidRPr="00BE1959">
        <w:rPr>
          <w:rFonts w:ascii="Times New Roman" w:eastAsia="Times New Roman" w:hAnsi="Times New Roman" w:cs="Times New Roman"/>
          <w:i/>
          <w:iCs/>
          <w:sz w:val="24"/>
          <w:szCs w:val="24"/>
          <w:lang w:val="uk-UA"/>
        </w:rPr>
        <w:t>Стаття</w:t>
      </w:r>
      <w:r w:rsidR="005613AB" w:rsidRPr="00BE1959">
        <w:rPr>
          <w:rFonts w:ascii="Times New Roman" w:eastAsia="Times New Roman" w:hAnsi="Times New Roman" w:cs="Times New Roman"/>
          <w:i/>
          <w:iCs/>
          <w:sz w:val="24"/>
          <w:szCs w:val="24"/>
          <w:lang w:val="uk-UA"/>
        </w:rPr>
        <w:t xml:space="preserve"> 20</w:t>
      </w:r>
    </w:p>
    <w:p w:rsidR="005613AB" w:rsidRPr="00BE1959" w:rsidRDefault="002F11C9" w:rsidP="005613AB">
      <w:pPr>
        <w:spacing w:before="60" w:after="120" w:line="312" w:lineRule="atLeast"/>
        <w:jc w:val="center"/>
        <w:textAlignment w:val="baseline"/>
        <w:rPr>
          <w:rFonts w:ascii="Times New Roman" w:eastAsia="Times New Roman" w:hAnsi="Times New Roman" w:cs="Times New Roman"/>
          <w:b/>
          <w:bCs/>
          <w:sz w:val="24"/>
          <w:szCs w:val="24"/>
          <w:lang w:val="uk-UA"/>
        </w:rPr>
      </w:pPr>
      <w:r w:rsidRPr="00BE1959">
        <w:rPr>
          <w:rFonts w:ascii="Times New Roman" w:eastAsia="Times New Roman" w:hAnsi="Times New Roman" w:cs="Times New Roman"/>
          <w:b/>
          <w:bCs/>
          <w:sz w:val="24"/>
          <w:szCs w:val="24"/>
          <w:lang w:val="uk-UA"/>
        </w:rPr>
        <w:t>Особливі вимоги до ОТМ</w:t>
      </w:r>
    </w:p>
    <w:p w:rsidR="000D0D1E"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1.   </w:t>
      </w:r>
      <w:r w:rsidR="001F5C90" w:rsidRPr="00BE1959">
        <w:rPr>
          <w:rFonts w:ascii="Times New Roman" w:eastAsia="Times New Roman" w:hAnsi="Times New Roman" w:cs="Times New Roman"/>
          <w:sz w:val="24"/>
          <w:szCs w:val="24"/>
          <w:lang w:val="uk-UA"/>
        </w:rPr>
        <w:t>Держави-члени</w:t>
      </w:r>
      <w:r w:rsidR="000D0D1E" w:rsidRPr="00BE1959">
        <w:rPr>
          <w:rFonts w:ascii="Times New Roman" w:eastAsia="Times New Roman" w:hAnsi="Times New Roman" w:cs="Times New Roman"/>
          <w:sz w:val="24"/>
          <w:szCs w:val="24"/>
          <w:lang w:val="uk-UA"/>
        </w:rPr>
        <w:t xml:space="preserve"> вимагають, щоб інвестиційна фірма і оператор ринку, що управляють ОТМ, запровадили механізми, які запобігають виконанню замовлень клієнтів на ОТМ за рахунок власного капіталу інвестиційної фірми або оператора ринку, що управляю</w:t>
      </w:r>
      <w:r w:rsidR="00B87119" w:rsidRPr="00BE1959">
        <w:rPr>
          <w:rFonts w:ascii="Times New Roman" w:eastAsia="Times New Roman" w:hAnsi="Times New Roman" w:cs="Times New Roman"/>
          <w:sz w:val="24"/>
          <w:szCs w:val="24"/>
          <w:lang w:val="uk-UA"/>
        </w:rPr>
        <w:t>ть ОТМ, або від будь-якого суб’єкта, що входить до цієї самої групи або юридичної особи, що й інвестиційна фірма або оператор ринку.</w:t>
      </w:r>
    </w:p>
    <w:p w:rsidR="005613AB" w:rsidRPr="00BE1959" w:rsidRDefault="005613AB" w:rsidP="00B87119">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2.   </w:t>
      </w:r>
      <w:r w:rsidR="003D3B2C" w:rsidRPr="00BE1959">
        <w:rPr>
          <w:rFonts w:ascii="Times New Roman" w:eastAsia="Times New Roman" w:hAnsi="Times New Roman" w:cs="Times New Roman"/>
          <w:sz w:val="24"/>
          <w:szCs w:val="24"/>
          <w:lang w:val="uk-UA"/>
        </w:rPr>
        <w:t>Держави-члени дозволяють інвестиційній фірмі або операторові ринку, що управляє ОТМ,</w:t>
      </w:r>
      <w:r w:rsidR="00B87119" w:rsidRPr="00BE1959">
        <w:rPr>
          <w:rFonts w:ascii="Times New Roman" w:eastAsia="Times New Roman" w:hAnsi="Times New Roman" w:cs="Times New Roman"/>
          <w:sz w:val="24"/>
          <w:szCs w:val="24"/>
          <w:lang w:val="uk-UA"/>
        </w:rPr>
        <w:t xml:space="preserve"> займатися за власний рахунок зустрічною торгівлею облігаціями, структурованими фінансовими продуктами, квотами на викиди та певними деривативами тільки за умови, що клієнт погодився на цей процес.</w:t>
      </w:r>
    </w:p>
    <w:p w:rsidR="005613AB" w:rsidRPr="00BE1959" w:rsidRDefault="003D3B2C" w:rsidP="003D3B2C">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Інвестиційна фірма або оператор ринку, що управляє ОТМ, не використовує зустрічну </w:t>
      </w:r>
      <w:r w:rsidR="00B87119" w:rsidRPr="00BE1959">
        <w:rPr>
          <w:rFonts w:ascii="Times New Roman" w:eastAsia="Times New Roman" w:hAnsi="Times New Roman" w:cs="Times New Roman"/>
          <w:sz w:val="24"/>
          <w:szCs w:val="24"/>
          <w:lang w:val="uk-UA"/>
        </w:rPr>
        <w:t xml:space="preserve">торгівлю за власний рахунок для виконання на ОТМ замовлень клієнтів щодо деривативів, які відносяться до класу деривативів, який оголошено таким, що підпадає під дію </w:t>
      </w:r>
      <w:r w:rsidRPr="00BE1959">
        <w:rPr>
          <w:rFonts w:ascii="Times New Roman" w:eastAsia="Times New Roman" w:hAnsi="Times New Roman" w:cs="Times New Roman"/>
          <w:sz w:val="24"/>
          <w:szCs w:val="24"/>
          <w:lang w:val="uk-UA"/>
        </w:rPr>
        <w:t>зобов’язання щодо клірингу відповідно до статті</w:t>
      </w:r>
      <w:r w:rsidR="005613AB" w:rsidRPr="00BE1959">
        <w:rPr>
          <w:rFonts w:ascii="Times New Roman" w:eastAsia="Times New Roman" w:hAnsi="Times New Roman" w:cs="Times New Roman"/>
          <w:sz w:val="24"/>
          <w:szCs w:val="24"/>
          <w:lang w:val="uk-UA"/>
        </w:rPr>
        <w:t xml:space="preserve"> 5 </w:t>
      </w:r>
      <w:r w:rsidR="008824AE" w:rsidRPr="00BE1959">
        <w:rPr>
          <w:rFonts w:ascii="Times New Roman" w:eastAsia="Times New Roman" w:hAnsi="Times New Roman" w:cs="Times New Roman"/>
          <w:sz w:val="24"/>
          <w:szCs w:val="24"/>
          <w:lang w:val="uk-UA"/>
        </w:rPr>
        <w:t>Регламенту</w:t>
      </w:r>
      <w:r w:rsidR="005613AB" w:rsidRPr="00BE1959">
        <w:rPr>
          <w:rFonts w:ascii="Times New Roman" w:eastAsia="Times New Roman" w:hAnsi="Times New Roman" w:cs="Times New Roman"/>
          <w:sz w:val="24"/>
          <w:szCs w:val="24"/>
          <w:lang w:val="uk-UA"/>
        </w:rPr>
        <w:t xml:space="preserve"> </w:t>
      </w:r>
      <w:r w:rsidR="00DB4825" w:rsidRPr="00BE1959">
        <w:rPr>
          <w:rFonts w:ascii="Times New Roman" w:eastAsia="Times New Roman" w:hAnsi="Times New Roman" w:cs="Times New Roman"/>
          <w:sz w:val="24"/>
          <w:szCs w:val="24"/>
          <w:lang w:val="uk-UA"/>
        </w:rPr>
        <w:t>(EU) №</w:t>
      </w:r>
      <w:r w:rsidR="005613AB" w:rsidRPr="00BE1959">
        <w:rPr>
          <w:rFonts w:ascii="Times New Roman" w:eastAsia="Times New Roman" w:hAnsi="Times New Roman" w:cs="Times New Roman"/>
          <w:sz w:val="24"/>
          <w:szCs w:val="24"/>
          <w:lang w:val="uk-UA"/>
        </w:rPr>
        <w:t> 648/2012.</w:t>
      </w:r>
    </w:p>
    <w:p w:rsidR="003D3B2C" w:rsidRPr="00BE1959" w:rsidRDefault="003D3B2C"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Інвестиційна фірма або оператор ринку, що управляє ОТМ, запроваджує механізми, що забезпечують відповідність визначенню зустрічної торгівлі за власний рахунок, наведеному у пп. (38) статті 4(1).</w:t>
      </w:r>
    </w:p>
    <w:p w:rsidR="005613AB" w:rsidRPr="00BE1959" w:rsidRDefault="005613AB" w:rsidP="00473025">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3.   </w:t>
      </w:r>
      <w:r w:rsidR="0001783F" w:rsidRPr="00BE1959">
        <w:rPr>
          <w:rFonts w:ascii="Times New Roman" w:eastAsia="Times New Roman" w:hAnsi="Times New Roman" w:cs="Times New Roman"/>
          <w:sz w:val="24"/>
          <w:szCs w:val="24"/>
          <w:lang w:val="uk-UA"/>
        </w:rPr>
        <w:t>Держави-члени дозволяють інвестиційній фірмі або операторові ринку, що управляє ОТМ,</w:t>
      </w:r>
      <w:r w:rsidR="003D3B2C" w:rsidRPr="00BE1959">
        <w:rPr>
          <w:rFonts w:ascii="Times New Roman" w:eastAsia="Times New Roman" w:hAnsi="Times New Roman" w:cs="Times New Roman"/>
          <w:sz w:val="24"/>
          <w:szCs w:val="24"/>
          <w:lang w:val="uk-UA"/>
        </w:rPr>
        <w:t xml:space="preserve"> здійснювати інші операції за власний рахунок, ніж зустрічна торгівля, тільки по відношенню до с</w:t>
      </w:r>
      <w:r w:rsidR="00473025" w:rsidRPr="00BE1959">
        <w:rPr>
          <w:rFonts w:ascii="Times New Roman" w:eastAsia="Times New Roman" w:hAnsi="Times New Roman" w:cs="Times New Roman"/>
          <w:sz w:val="24"/>
          <w:szCs w:val="24"/>
          <w:lang w:val="uk-UA"/>
        </w:rPr>
        <w:t>уверенних боргових інструментів, для яких немає ліквідного ринку.</w:t>
      </w:r>
    </w:p>
    <w:p w:rsidR="005613AB" w:rsidRPr="00BE1959" w:rsidRDefault="005613AB" w:rsidP="00806AF5">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4.   </w:t>
      </w:r>
      <w:r w:rsidR="001F5C90" w:rsidRPr="00BE1959">
        <w:rPr>
          <w:rFonts w:ascii="Times New Roman" w:eastAsia="Times New Roman" w:hAnsi="Times New Roman" w:cs="Times New Roman"/>
          <w:sz w:val="24"/>
          <w:szCs w:val="24"/>
          <w:lang w:val="uk-UA"/>
        </w:rPr>
        <w:t>Держави-члени</w:t>
      </w:r>
      <w:r w:rsidRPr="00BE1959">
        <w:rPr>
          <w:rFonts w:ascii="Times New Roman" w:eastAsia="Times New Roman" w:hAnsi="Times New Roman" w:cs="Times New Roman"/>
          <w:sz w:val="24"/>
          <w:szCs w:val="24"/>
          <w:lang w:val="uk-UA"/>
        </w:rPr>
        <w:t xml:space="preserve"> </w:t>
      </w:r>
      <w:r w:rsidR="00473025" w:rsidRPr="00BE1959">
        <w:rPr>
          <w:rFonts w:ascii="Times New Roman" w:eastAsia="Times New Roman" w:hAnsi="Times New Roman" w:cs="Times New Roman"/>
          <w:sz w:val="24"/>
          <w:szCs w:val="24"/>
          <w:lang w:val="uk-UA"/>
        </w:rPr>
        <w:t xml:space="preserve">не дозволяють роботу ОТМ і систематичного учасника в одній і тій самій юридичній особі. ОТМ не повинен бути зв'язаним із систематичним учасником у </w:t>
      </w:r>
      <w:r w:rsidR="00473025" w:rsidRPr="00BE1959">
        <w:rPr>
          <w:rFonts w:ascii="Times New Roman" w:eastAsia="Times New Roman" w:hAnsi="Times New Roman" w:cs="Times New Roman"/>
          <w:sz w:val="24"/>
          <w:szCs w:val="24"/>
          <w:lang w:val="uk-UA"/>
        </w:rPr>
        <w:lastRenderedPageBreak/>
        <w:t>спосіб, що дозволяє взаємодіяти замовленням на ОТМ і замовленням або квотам у систематичного учасника.</w:t>
      </w:r>
      <w:r w:rsidR="00806AF5" w:rsidRPr="00BE1959">
        <w:rPr>
          <w:rFonts w:ascii="Times New Roman" w:eastAsia="Times New Roman" w:hAnsi="Times New Roman" w:cs="Times New Roman"/>
          <w:sz w:val="24"/>
          <w:szCs w:val="24"/>
          <w:lang w:val="uk-UA"/>
        </w:rPr>
        <w:t xml:space="preserve"> ОТМ не повинен бути зв'язаним з іншим ОТМ у спосіб, який дозволяє взаємодіяти замовленням на інших ОТМ.</w:t>
      </w:r>
    </w:p>
    <w:p w:rsidR="0001783F"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5.   </w:t>
      </w:r>
      <w:r w:rsidR="0001783F" w:rsidRPr="00BE1959">
        <w:rPr>
          <w:rFonts w:ascii="Times New Roman" w:eastAsia="Times New Roman" w:hAnsi="Times New Roman" w:cs="Times New Roman"/>
          <w:sz w:val="24"/>
          <w:szCs w:val="24"/>
          <w:lang w:val="uk-UA"/>
        </w:rPr>
        <w:t>Держави-члени не перешкоджають інвестиційній фірмі або операторові ринку, що управляє ОТМ, залучати іншу інвестиційну фірму для формування ринку на цьому ОТМ на незалежних засадах.</w:t>
      </w:r>
    </w:p>
    <w:p w:rsidR="0001783F" w:rsidRPr="00BE1959" w:rsidRDefault="0001783F"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Для цілей цієї статті інвестиційна фірма не вважається такою, що здійснює формування ринку на ОТМ на незалежних засадах, якщо вона має тісні зв'язки з інвестиційною фірмою або оператором ринка, що управляє даним ОТМ.</w:t>
      </w:r>
    </w:p>
    <w:p w:rsidR="005613AB" w:rsidRPr="00BE1959" w:rsidRDefault="005613AB" w:rsidP="0027408C">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6.   </w:t>
      </w:r>
      <w:r w:rsidR="001F5C90" w:rsidRPr="00BE1959">
        <w:rPr>
          <w:rFonts w:ascii="Times New Roman" w:eastAsia="Times New Roman" w:hAnsi="Times New Roman" w:cs="Times New Roman"/>
          <w:sz w:val="24"/>
          <w:szCs w:val="24"/>
          <w:lang w:val="uk-UA"/>
        </w:rPr>
        <w:t>Держави-члени</w:t>
      </w:r>
      <w:r w:rsidRPr="00BE1959">
        <w:rPr>
          <w:rFonts w:ascii="Times New Roman" w:eastAsia="Times New Roman" w:hAnsi="Times New Roman" w:cs="Times New Roman"/>
          <w:sz w:val="24"/>
          <w:szCs w:val="24"/>
          <w:lang w:val="uk-UA"/>
        </w:rPr>
        <w:t xml:space="preserve"> </w:t>
      </w:r>
      <w:r w:rsidR="0027408C" w:rsidRPr="00BE1959">
        <w:rPr>
          <w:rFonts w:ascii="Times New Roman" w:eastAsia="Times New Roman" w:hAnsi="Times New Roman" w:cs="Times New Roman"/>
          <w:sz w:val="24"/>
          <w:szCs w:val="24"/>
          <w:lang w:val="uk-UA"/>
        </w:rPr>
        <w:t>вимагають, щоб виконання замовлень на ОТМ здійснювалося на дискреційній основі.</w:t>
      </w:r>
    </w:p>
    <w:p w:rsidR="005613AB" w:rsidRPr="00BE1959" w:rsidRDefault="00324053" w:rsidP="00797C85">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Інвестиційна фірма</w:t>
      </w:r>
      <w:r w:rsidR="005613AB" w:rsidRPr="00BE1959">
        <w:rPr>
          <w:rFonts w:ascii="Times New Roman" w:eastAsia="Times New Roman" w:hAnsi="Times New Roman" w:cs="Times New Roman"/>
          <w:sz w:val="24"/>
          <w:szCs w:val="24"/>
          <w:lang w:val="uk-UA"/>
        </w:rPr>
        <w:t xml:space="preserve"> </w:t>
      </w:r>
      <w:r w:rsidR="0027408C" w:rsidRPr="00BE1959">
        <w:rPr>
          <w:rFonts w:ascii="Times New Roman" w:eastAsia="Times New Roman" w:hAnsi="Times New Roman" w:cs="Times New Roman"/>
          <w:sz w:val="24"/>
          <w:szCs w:val="24"/>
          <w:lang w:val="uk-UA"/>
        </w:rPr>
        <w:t xml:space="preserve">або оператор ринку, що управляє ОТМ, </w:t>
      </w:r>
      <w:r w:rsidR="00797C85" w:rsidRPr="00BE1959">
        <w:rPr>
          <w:rFonts w:ascii="Times New Roman" w:eastAsia="Times New Roman" w:hAnsi="Times New Roman" w:cs="Times New Roman"/>
          <w:sz w:val="24"/>
          <w:szCs w:val="24"/>
          <w:lang w:val="uk-UA"/>
        </w:rPr>
        <w:t>діє на власний розсуд тільки в одній чи обох нижченаведених ситуаціях:</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9093"/>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797C85" w:rsidP="00C57702">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ухвалюючи рішення про розміщення або cкасування замовлення на ОТМ, яким вони управляють;</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DE3173" w:rsidRPr="00BE1959"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C57702" w:rsidP="00C57702">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ухвалюючи рішення не зіставляти конкретне замовлення клієнта з іншими замовленнями, наявними у системах на даний момент, за умови дотримання конкретних інструкцій, одержаних від клієнта, та зобов’язань згідно зі статтею 27.</w:t>
            </w:r>
          </w:p>
        </w:tc>
      </w:tr>
    </w:tbl>
    <w:p w:rsidR="005613AB" w:rsidRPr="00BE1959" w:rsidRDefault="00086116" w:rsidP="004F2F5F">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Для системи, що здійснює перехресну обробку замовлень клієнтів, інвестиційна фірма або оператор ринку, що управляє ОТМ, може вирішити, чи хоче вона або він зіставити два чи більше замовлень</w:t>
      </w:r>
      <w:r w:rsidR="003136A1" w:rsidRPr="00BE1959">
        <w:rPr>
          <w:rFonts w:ascii="Times New Roman" w:eastAsia="Times New Roman" w:hAnsi="Times New Roman" w:cs="Times New Roman"/>
          <w:sz w:val="24"/>
          <w:szCs w:val="24"/>
          <w:lang w:val="uk-UA"/>
        </w:rPr>
        <w:t xml:space="preserve"> у системі, коли саме і скільки точно. Відповідно до пунктів 1, 2, 4 та 5 і </w:t>
      </w:r>
      <w:r w:rsidR="004F2F5F" w:rsidRPr="00BE1959">
        <w:rPr>
          <w:rFonts w:ascii="Times New Roman" w:eastAsia="Times New Roman" w:hAnsi="Times New Roman" w:cs="Times New Roman"/>
          <w:sz w:val="24"/>
          <w:szCs w:val="24"/>
          <w:lang w:val="uk-UA"/>
        </w:rPr>
        <w:t>без впливу на виконання</w:t>
      </w:r>
      <w:r w:rsidR="003136A1" w:rsidRPr="00BE1959">
        <w:rPr>
          <w:rFonts w:ascii="Times New Roman" w:eastAsia="Times New Roman" w:hAnsi="Times New Roman" w:cs="Times New Roman"/>
          <w:sz w:val="24"/>
          <w:szCs w:val="24"/>
          <w:lang w:val="uk-UA"/>
        </w:rPr>
        <w:t xml:space="preserve"> пункту 3, стосовно системи, яка організує угоди неакціонерними інструментами</w:t>
      </w:r>
      <w:r w:rsidR="002B7BA8" w:rsidRPr="00BE1959">
        <w:rPr>
          <w:rFonts w:ascii="Times New Roman" w:eastAsia="Times New Roman" w:hAnsi="Times New Roman" w:cs="Times New Roman"/>
          <w:sz w:val="24"/>
          <w:szCs w:val="24"/>
          <w:lang w:val="uk-UA"/>
        </w:rPr>
        <w:t xml:space="preserve">, інвестиційна фірма або оператор ринку, що управляє ОТМ, може сприяти переговорам між клієнтами з тим, щоб звести два чи більше потенційно </w:t>
      </w:r>
      <w:r w:rsidR="004F2F5F" w:rsidRPr="00BE1959">
        <w:rPr>
          <w:rFonts w:ascii="Times New Roman" w:eastAsia="Times New Roman" w:hAnsi="Times New Roman" w:cs="Times New Roman"/>
          <w:sz w:val="24"/>
          <w:szCs w:val="24"/>
          <w:lang w:val="uk-UA"/>
        </w:rPr>
        <w:t>сумісних торгових інтересів в угоді.</w:t>
      </w:r>
    </w:p>
    <w:p w:rsidR="005613AB" w:rsidRPr="00BE1959" w:rsidRDefault="004F2F5F" w:rsidP="004F2F5F">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Цей обов’язок не впливає на застосування статей 18 і 27.</w:t>
      </w:r>
    </w:p>
    <w:p w:rsidR="005C0D10"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7.   </w:t>
      </w:r>
      <w:r w:rsidR="001E74E1" w:rsidRPr="00BE1959">
        <w:rPr>
          <w:rFonts w:ascii="Times New Roman" w:eastAsia="Times New Roman" w:hAnsi="Times New Roman" w:cs="Times New Roman"/>
          <w:sz w:val="24"/>
          <w:szCs w:val="24"/>
          <w:lang w:val="uk-UA"/>
        </w:rPr>
        <w:t>Компетентний орган може</w:t>
      </w:r>
      <w:r w:rsidR="005C0D10" w:rsidRPr="00BE1959">
        <w:rPr>
          <w:rFonts w:ascii="Times New Roman" w:eastAsia="Times New Roman" w:hAnsi="Times New Roman" w:cs="Times New Roman"/>
          <w:sz w:val="24"/>
          <w:szCs w:val="24"/>
          <w:lang w:val="uk-UA"/>
        </w:rPr>
        <w:t xml:space="preserve">, або коли інвестиційна фірма чи оператор ринку вимагає дозволу на управління ОТМ, або </w:t>
      </w:r>
      <w:r w:rsidR="00972EC1" w:rsidRPr="00BE1959">
        <w:rPr>
          <w:rFonts w:ascii="Times New Roman" w:eastAsia="Times New Roman" w:hAnsi="Times New Roman" w:cs="Times New Roman"/>
          <w:sz w:val="24"/>
          <w:szCs w:val="24"/>
          <w:lang w:val="uk-UA"/>
        </w:rPr>
        <w:t>у спеціальному порядку, зажадати детального пояснення того, чому система не відповідає регульованому ринку, БМТ або систематичному учаснику і не може працювати у такій якості, детального опису порядку застосування свободи дій</w:t>
      </w:r>
      <w:r w:rsidR="00525668" w:rsidRPr="00BE1959">
        <w:rPr>
          <w:rFonts w:ascii="Times New Roman" w:eastAsia="Times New Roman" w:hAnsi="Times New Roman" w:cs="Times New Roman"/>
          <w:sz w:val="24"/>
          <w:szCs w:val="24"/>
          <w:lang w:val="uk-UA"/>
        </w:rPr>
        <w:t xml:space="preserve">, зокрема коли замовлення на ОТМ може бути скасовано і коли й як саме два чи більше замовлень клієнтів будуть зіставлятися на ОТМ. Крім того, інвестиційна фірма або оператор ринку, що управляє ОТМ, надає компетентному органові інформацію щодо застосування зустрічної торгівлі за власний рахунок. Компетентний орган контролює здійснення інвестиційною фірмою чи оператором ринку зустрічної торгівлі за власний рахунок з метою забезпечити, щоб вона продовжувала підпадати під визначення такої </w:t>
      </w:r>
      <w:r w:rsidR="00525668" w:rsidRPr="00BE1959">
        <w:rPr>
          <w:rFonts w:ascii="Times New Roman" w:eastAsia="Times New Roman" w:hAnsi="Times New Roman" w:cs="Times New Roman"/>
          <w:sz w:val="24"/>
          <w:szCs w:val="24"/>
          <w:lang w:val="uk-UA"/>
        </w:rPr>
        <w:lastRenderedPageBreak/>
        <w:t xml:space="preserve">торгівлі, а залучення </w:t>
      </w:r>
      <w:r w:rsidR="003642D1" w:rsidRPr="00BE1959">
        <w:rPr>
          <w:rFonts w:ascii="Times New Roman" w:eastAsia="Times New Roman" w:hAnsi="Times New Roman" w:cs="Times New Roman"/>
          <w:sz w:val="24"/>
          <w:szCs w:val="24"/>
          <w:lang w:val="uk-UA"/>
        </w:rPr>
        <w:t xml:space="preserve">інвестиційної </w:t>
      </w:r>
      <w:r w:rsidR="00525668" w:rsidRPr="00BE1959">
        <w:rPr>
          <w:rFonts w:ascii="Times New Roman" w:eastAsia="Times New Roman" w:hAnsi="Times New Roman" w:cs="Times New Roman"/>
          <w:sz w:val="24"/>
          <w:szCs w:val="24"/>
          <w:lang w:val="uk-UA"/>
        </w:rPr>
        <w:t xml:space="preserve">фірми чи оператора </w:t>
      </w:r>
      <w:r w:rsidR="003642D1" w:rsidRPr="00BE1959">
        <w:rPr>
          <w:rFonts w:ascii="Times New Roman" w:eastAsia="Times New Roman" w:hAnsi="Times New Roman" w:cs="Times New Roman"/>
          <w:sz w:val="24"/>
          <w:szCs w:val="24"/>
          <w:lang w:val="uk-UA"/>
        </w:rPr>
        <w:t xml:space="preserve">ринку </w:t>
      </w:r>
      <w:r w:rsidR="00525668" w:rsidRPr="00BE1959">
        <w:rPr>
          <w:rFonts w:ascii="Times New Roman" w:eastAsia="Times New Roman" w:hAnsi="Times New Roman" w:cs="Times New Roman"/>
          <w:sz w:val="24"/>
          <w:szCs w:val="24"/>
          <w:lang w:val="uk-UA"/>
        </w:rPr>
        <w:t>до такої торгівлі</w:t>
      </w:r>
      <w:r w:rsidR="003642D1" w:rsidRPr="00BE1959">
        <w:rPr>
          <w:rFonts w:ascii="Times New Roman" w:eastAsia="Times New Roman" w:hAnsi="Times New Roman" w:cs="Times New Roman"/>
          <w:sz w:val="24"/>
          <w:szCs w:val="24"/>
          <w:lang w:val="uk-UA"/>
        </w:rPr>
        <w:t xml:space="preserve"> не спричиняло конфлікти інтересів між фірмою чи оператором та їхніми клієнтами.</w:t>
      </w:r>
    </w:p>
    <w:p w:rsidR="005613AB" w:rsidRPr="00BE1959" w:rsidRDefault="005613AB" w:rsidP="003642D1">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8.   </w:t>
      </w:r>
      <w:r w:rsidR="001F5C90" w:rsidRPr="00BE1959">
        <w:rPr>
          <w:rFonts w:ascii="Times New Roman" w:eastAsia="Times New Roman" w:hAnsi="Times New Roman" w:cs="Times New Roman"/>
          <w:sz w:val="24"/>
          <w:szCs w:val="24"/>
          <w:lang w:val="uk-UA"/>
        </w:rPr>
        <w:t>Держави-члени</w:t>
      </w:r>
      <w:r w:rsidRPr="00BE1959">
        <w:rPr>
          <w:rFonts w:ascii="Times New Roman" w:eastAsia="Times New Roman" w:hAnsi="Times New Roman" w:cs="Times New Roman"/>
          <w:sz w:val="24"/>
          <w:szCs w:val="24"/>
          <w:lang w:val="uk-UA"/>
        </w:rPr>
        <w:t xml:space="preserve"> </w:t>
      </w:r>
      <w:r w:rsidR="003642D1" w:rsidRPr="00BE1959">
        <w:rPr>
          <w:rFonts w:ascii="Times New Roman" w:eastAsia="Times New Roman" w:hAnsi="Times New Roman" w:cs="Times New Roman"/>
          <w:sz w:val="24"/>
          <w:szCs w:val="24"/>
          <w:lang w:val="uk-UA"/>
        </w:rPr>
        <w:t xml:space="preserve">забезпечують застосування статей </w:t>
      </w:r>
      <w:r w:rsidRPr="00BE1959">
        <w:rPr>
          <w:rFonts w:ascii="Times New Roman" w:eastAsia="Times New Roman" w:hAnsi="Times New Roman" w:cs="Times New Roman"/>
          <w:sz w:val="24"/>
          <w:szCs w:val="24"/>
          <w:lang w:val="uk-UA"/>
        </w:rPr>
        <w:t xml:space="preserve">24, 25, 27 </w:t>
      </w:r>
      <w:r w:rsidR="003642D1" w:rsidRPr="00BE1959">
        <w:rPr>
          <w:rFonts w:ascii="Times New Roman" w:eastAsia="Times New Roman" w:hAnsi="Times New Roman" w:cs="Times New Roman"/>
          <w:sz w:val="24"/>
          <w:szCs w:val="24"/>
          <w:lang w:val="uk-UA"/>
        </w:rPr>
        <w:t>і</w:t>
      </w:r>
      <w:r w:rsidRPr="00BE1959">
        <w:rPr>
          <w:rFonts w:ascii="Times New Roman" w:eastAsia="Times New Roman" w:hAnsi="Times New Roman" w:cs="Times New Roman"/>
          <w:sz w:val="24"/>
          <w:szCs w:val="24"/>
          <w:lang w:val="uk-UA"/>
        </w:rPr>
        <w:t xml:space="preserve"> 28 </w:t>
      </w:r>
      <w:r w:rsidR="003642D1" w:rsidRPr="00BE1959">
        <w:rPr>
          <w:rFonts w:ascii="Times New Roman" w:eastAsia="Times New Roman" w:hAnsi="Times New Roman" w:cs="Times New Roman"/>
          <w:sz w:val="24"/>
          <w:szCs w:val="24"/>
          <w:lang w:val="uk-UA"/>
        </w:rPr>
        <w:t>до угод, які укладаються на ОТМ.</w:t>
      </w:r>
    </w:p>
    <w:p w:rsidR="002F11C9" w:rsidRPr="00BE1959" w:rsidRDefault="002F11C9" w:rsidP="005613AB">
      <w:pPr>
        <w:spacing w:after="0" w:line="312" w:lineRule="atLeast"/>
        <w:jc w:val="center"/>
        <w:textAlignment w:val="baseline"/>
        <w:rPr>
          <w:rFonts w:ascii="Times New Roman" w:eastAsia="Times New Roman" w:hAnsi="Times New Roman" w:cs="Times New Roman"/>
          <w:b/>
          <w:bCs/>
          <w:i/>
          <w:iCs/>
          <w:sz w:val="24"/>
          <w:szCs w:val="24"/>
          <w:bdr w:val="none" w:sz="0" w:space="0" w:color="auto" w:frame="1"/>
          <w:lang w:val="uk-UA"/>
        </w:rPr>
      </w:pPr>
    </w:p>
    <w:p w:rsidR="005613AB" w:rsidRPr="00BE1959" w:rsidRDefault="002F11C9" w:rsidP="005613AB">
      <w:pPr>
        <w:spacing w:after="0" w:line="312" w:lineRule="atLeast"/>
        <w:jc w:val="center"/>
        <w:textAlignment w:val="baseline"/>
        <w:rPr>
          <w:rFonts w:ascii="Times New Roman" w:eastAsia="Times New Roman" w:hAnsi="Times New Roman" w:cs="Times New Roman"/>
          <w:b/>
          <w:bCs/>
          <w:sz w:val="24"/>
          <w:szCs w:val="24"/>
          <w:lang w:val="uk-UA"/>
        </w:rPr>
      </w:pPr>
      <w:r w:rsidRPr="00BE1959">
        <w:rPr>
          <w:rFonts w:ascii="Times New Roman" w:eastAsia="Times New Roman" w:hAnsi="Times New Roman" w:cs="Times New Roman"/>
          <w:b/>
          <w:bCs/>
          <w:i/>
          <w:iCs/>
          <w:sz w:val="24"/>
          <w:szCs w:val="24"/>
          <w:bdr w:val="none" w:sz="0" w:space="0" w:color="auto" w:frame="1"/>
          <w:lang w:val="uk-UA"/>
        </w:rPr>
        <w:t>ГЛАВА</w:t>
      </w:r>
      <w:r w:rsidR="005613AB" w:rsidRPr="00BE1959">
        <w:rPr>
          <w:rFonts w:ascii="Times New Roman" w:eastAsia="Times New Roman" w:hAnsi="Times New Roman" w:cs="Times New Roman"/>
          <w:b/>
          <w:bCs/>
          <w:i/>
          <w:iCs/>
          <w:sz w:val="24"/>
          <w:szCs w:val="24"/>
          <w:bdr w:val="none" w:sz="0" w:space="0" w:color="auto" w:frame="1"/>
          <w:lang w:val="uk-UA"/>
        </w:rPr>
        <w:t xml:space="preserve"> II</w:t>
      </w:r>
    </w:p>
    <w:p w:rsidR="005613AB" w:rsidRPr="00BE1959" w:rsidRDefault="002F11C9" w:rsidP="005613AB">
      <w:pPr>
        <w:spacing w:after="0" w:line="312" w:lineRule="atLeast"/>
        <w:jc w:val="center"/>
        <w:textAlignment w:val="baseline"/>
        <w:rPr>
          <w:rFonts w:ascii="Times New Roman" w:eastAsia="Times New Roman" w:hAnsi="Times New Roman" w:cs="Times New Roman"/>
          <w:b/>
          <w:bCs/>
          <w:sz w:val="24"/>
          <w:szCs w:val="24"/>
          <w:lang w:val="uk-UA"/>
        </w:rPr>
      </w:pPr>
      <w:r w:rsidRPr="00BE1959">
        <w:rPr>
          <w:rFonts w:ascii="Times New Roman" w:eastAsia="Times New Roman" w:hAnsi="Times New Roman" w:cs="Times New Roman"/>
          <w:b/>
          <w:bCs/>
          <w:i/>
          <w:iCs/>
          <w:sz w:val="24"/>
          <w:szCs w:val="24"/>
          <w:bdr w:val="none" w:sz="0" w:space="0" w:color="auto" w:frame="1"/>
          <w:lang w:val="uk-UA"/>
        </w:rPr>
        <w:t>Умови діяльності інвестиційних фірм</w:t>
      </w:r>
    </w:p>
    <w:p w:rsidR="005613AB" w:rsidRPr="00BE1959" w:rsidRDefault="002F11C9" w:rsidP="005613AB">
      <w:pPr>
        <w:spacing w:after="0" w:line="312" w:lineRule="atLeast"/>
        <w:jc w:val="center"/>
        <w:textAlignment w:val="baseline"/>
        <w:rPr>
          <w:rFonts w:ascii="Times New Roman" w:eastAsia="Times New Roman" w:hAnsi="Times New Roman" w:cs="Times New Roman"/>
          <w:b/>
          <w:bCs/>
          <w:sz w:val="24"/>
          <w:szCs w:val="24"/>
          <w:lang w:val="uk-UA"/>
        </w:rPr>
      </w:pPr>
      <w:r w:rsidRPr="00BE1959">
        <w:rPr>
          <w:rFonts w:ascii="Times New Roman" w:eastAsia="Times New Roman" w:hAnsi="Times New Roman" w:cs="Times New Roman"/>
          <w:b/>
          <w:bCs/>
          <w:sz w:val="24"/>
          <w:szCs w:val="24"/>
          <w:bdr w:val="none" w:sz="0" w:space="0" w:color="auto" w:frame="1"/>
          <w:lang w:val="uk-UA"/>
        </w:rPr>
        <w:t>Підрозділ</w:t>
      </w:r>
      <w:r w:rsidR="005613AB" w:rsidRPr="00BE1959">
        <w:rPr>
          <w:rFonts w:ascii="Times New Roman" w:eastAsia="Times New Roman" w:hAnsi="Times New Roman" w:cs="Times New Roman"/>
          <w:b/>
          <w:bCs/>
          <w:sz w:val="24"/>
          <w:szCs w:val="24"/>
          <w:bdr w:val="none" w:sz="0" w:space="0" w:color="auto" w:frame="1"/>
          <w:lang w:val="uk-UA"/>
        </w:rPr>
        <w:t xml:space="preserve"> 1</w:t>
      </w:r>
    </w:p>
    <w:p w:rsidR="005613AB" w:rsidRPr="00BE1959" w:rsidRDefault="0002661A" w:rsidP="005613AB">
      <w:pPr>
        <w:spacing w:after="0" w:line="312" w:lineRule="atLeast"/>
        <w:jc w:val="center"/>
        <w:textAlignment w:val="baseline"/>
        <w:rPr>
          <w:rFonts w:ascii="Times New Roman" w:eastAsia="Times New Roman" w:hAnsi="Times New Roman" w:cs="Times New Roman"/>
          <w:b/>
          <w:bCs/>
          <w:sz w:val="24"/>
          <w:szCs w:val="24"/>
          <w:lang w:val="uk-UA"/>
        </w:rPr>
      </w:pPr>
      <w:r w:rsidRPr="00BE1959">
        <w:rPr>
          <w:rFonts w:ascii="Times New Roman" w:eastAsia="Times New Roman" w:hAnsi="Times New Roman" w:cs="Times New Roman"/>
          <w:b/>
          <w:bCs/>
          <w:sz w:val="24"/>
          <w:szCs w:val="24"/>
          <w:bdr w:val="none" w:sz="0" w:space="0" w:color="auto" w:frame="1"/>
          <w:lang w:val="uk-UA"/>
        </w:rPr>
        <w:t>Загальні положення</w:t>
      </w:r>
    </w:p>
    <w:p w:rsidR="005613AB" w:rsidRPr="00BE1959" w:rsidRDefault="00162A11" w:rsidP="005613AB">
      <w:pPr>
        <w:spacing w:before="360" w:after="120" w:line="312" w:lineRule="atLeast"/>
        <w:jc w:val="center"/>
        <w:textAlignment w:val="baseline"/>
        <w:rPr>
          <w:rFonts w:ascii="Times New Roman" w:eastAsia="Times New Roman" w:hAnsi="Times New Roman" w:cs="Times New Roman"/>
          <w:i/>
          <w:iCs/>
          <w:sz w:val="24"/>
          <w:szCs w:val="24"/>
          <w:lang w:val="uk-UA"/>
        </w:rPr>
      </w:pPr>
      <w:r w:rsidRPr="00BE1959">
        <w:rPr>
          <w:rFonts w:ascii="Times New Roman" w:eastAsia="Times New Roman" w:hAnsi="Times New Roman" w:cs="Times New Roman"/>
          <w:i/>
          <w:iCs/>
          <w:sz w:val="24"/>
          <w:szCs w:val="24"/>
          <w:lang w:val="uk-UA"/>
        </w:rPr>
        <w:t>Стаття</w:t>
      </w:r>
      <w:r w:rsidR="005613AB" w:rsidRPr="00BE1959">
        <w:rPr>
          <w:rFonts w:ascii="Times New Roman" w:eastAsia="Times New Roman" w:hAnsi="Times New Roman" w:cs="Times New Roman"/>
          <w:i/>
          <w:iCs/>
          <w:sz w:val="24"/>
          <w:szCs w:val="24"/>
          <w:lang w:val="uk-UA"/>
        </w:rPr>
        <w:t xml:space="preserve"> 21</w:t>
      </w:r>
    </w:p>
    <w:p w:rsidR="005613AB" w:rsidRPr="00BE1959" w:rsidRDefault="00146CFD" w:rsidP="005613AB">
      <w:pPr>
        <w:spacing w:before="60" w:after="120" w:line="312" w:lineRule="atLeast"/>
        <w:jc w:val="center"/>
        <w:textAlignment w:val="baseline"/>
        <w:rPr>
          <w:rFonts w:ascii="Times New Roman" w:eastAsia="Times New Roman" w:hAnsi="Times New Roman" w:cs="Times New Roman"/>
          <w:b/>
          <w:bCs/>
          <w:sz w:val="24"/>
          <w:szCs w:val="24"/>
          <w:lang w:val="uk-UA"/>
        </w:rPr>
      </w:pPr>
      <w:r w:rsidRPr="00BE1959">
        <w:rPr>
          <w:rFonts w:ascii="Times New Roman" w:eastAsia="Times New Roman" w:hAnsi="Times New Roman" w:cs="Times New Roman"/>
          <w:b/>
          <w:bCs/>
          <w:sz w:val="24"/>
          <w:szCs w:val="24"/>
          <w:lang w:val="uk-UA"/>
        </w:rPr>
        <w:t>Регулярний перегляд умов для видачі первинного дозволу</w:t>
      </w:r>
    </w:p>
    <w:p w:rsidR="005613AB" w:rsidRPr="00BE1959" w:rsidRDefault="005613AB" w:rsidP="00CF7B21">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1.   </w:t>
      </w:r>
      <w:r w:rsidR="001F5C90" w:rsidRPr="00BE1959">
        <w:rPr>
          <w:rFonts w:ascii="Times New Roman" w:eastAsia="Times New Roman" w:hAnsi="Times New Roman" w:cs="Times New Roman"/>
          <w:sz w:val="24"/>
          <w:szCs w:val="24"/>
          <w:lang w:val="uk-UA"/>
        </w:rPr>
        <w:t>Держави-члени</w:t>
      </w:r>
      <w:r w:rsidRPr="00BE1959">
        <w:rPr>
          <w:rFonts w:ascii="Times New Roman" w:eastAsia="Times New Roman" w:hAnsi="Times New Roman" w:cs="Times New Roman"/>
          <w:sz w:val="24"/>
          <w:szCs w:val="24"/>
          <w:lang w:val="uk-UA"/>
        </w:rPr>
        <w:t xml:space="preserve"> </w:t>
      </w:r>
      <w:r w:rsidR="00146CFD" w:rsidRPr="00BE1959">
        <w:rPr>
          <w:rFonts w:ascii="Times New Roman" w:eastAsia="Times New Roman" w:hAnsi="Times New Roman" w:cs="Times New Roman"/>
          <w:sz w:val="24"/>
          <w:szCs w:val="24"/>
          <w:lang w:val="uk-UA"/>
        </w:rPr>
        <w:t>вимагають, щоб інвестиційна фірма, яка отримала дозвіл на їхній території, постійно дотримувалася умов</w:t>
      </w:r>
      <w:r w:rsidR="00CF7B21" w:rsidRPr="00BE1959">
        <w:rPr>
          <w:rFonts w:ascii="Times New Roman" w:eastAsia="Times New Roman" w:hAnsi="Times New Roman" w:cs="Times New Roman"/>
          <w:sz w:val="24"/>
          <w:szCs w:val="24"/>
          <w:lang w:val="uk-UA"/>
        </w:rPr>
        <w:t xml:space="preserve"> видачі первинного дозволу, встановлених у главі І.</w:t>
      </w:r>
    </w:p>
    <w:p w:rsidR="005613AB" w:rsidRPr="00BE1959" w:rsidRDefault="005613AB" w:rsidP="00CF7B21">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2.   </w:t>
      </w:r>
      <w:r w:rsidR="001F5C90" w:rsidRPr="00BE1959">
        <w:rPr>
          <w:rFonts w:ascii="Times New Roman" w:eastAsia="Times New Roman" w:hAnsi="Times New Roman" w:cs="Times New Roman"/>
          <w:sz w:val="24"/>
          <w:szCs w:val="24"/>
          <w:lang w:val="uk-UA"/>
        </w:rPr>
        <w:t>Держави-члени</w:t>
      </w:r>
      <w:r w:rsidRPr="00BE1959">
        <w:rPr>
          <w:rFonts w:ascii="Times New Roman" w:eastAsia="Times New Roman" w:hAnsi="Times New Roman" w:cs="Times New Roman"/>
          <w:sz w:val="24"/>
          <w:szCs w:val="24"/>
          <w:lang w:val="uk-UA"/>
        </w:rPr>
        <w:t xml:space="preserve"> </w:t>
      </w:r>
      <w:r w:rsidR="00CF7B21" w:rsidRPr="00BE1959">
        <w:rPr>
          <w:rFonts w:ascii="Times New Roman" w:eastAsia="Times New Roman" w:hAnsi="Times New Roman" w:cs="Times New Roman"/>
          <w:sz w:val="24"/>
          <w:szCs w:val="24"/>
          <w:lang w:val="uk-UA"/>
        </w:rPr>
        <w:t>вимагають, що компетентні органи запровадили належні методи контролю виконання інвестиційними фірмами свого обов’язку за пунктом 1. Вони вимагають, щоб інвестиційні фірми повідомляли компетентні органи про будь-які істотні зміни в умовах видачі первинного дозволу.</w:t>
      </w:r>
    </w:p>
    <w:p w:rsidR="005613AB" w:rsidRPr="00BE1959" w:rsidRDefault="005613AB" w:rsidP="00CF7B21">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ESMA </w:t>
      </w:r>
      <w:r w:rsidR="00CF7B21" w:rsidRPr="00BE1959">
        <w:rPr>
          <w:rFonts w:ascii="Times New Roman" w:eastAsia="Times New Roman" w:hAnsi="Times New Roman" w:cs="Times New Roman"/>
          <w:sz w:val="24"/>
          <w:szCs w:val="24"/>
          <w:lang w:val="uk-UA"/>
        </w:rPr>
        <w:t>може розробити керівні принципи щодо методів контролю, згаданих у цьому пункті.</w:t>
      </w:r>
    </w:p>
    <w:p w:rsidR="005613AB" w:rsidRPr="00BE1959" w:rsidRDefault="00162A11" w:rsidP="005613AB">
      <w:pPr>
        <w:spacing w:before="360" w:after="120" w:line="312" w:lineRule="atLeast"/>
        <w:jc w:val="center"/>
        <w:textAlignment w:val="baseline"/>
        <w:rPr>
          <w:rFonts w:ascii="Times New Roman" w:eastAsia="Times New Roman" w:hAnsi="Times New Roman" w:cs="Times New Roman"/>
          <w:i/>
          <w:iCs/>
          <w:sz w:val="24"/>
          <w:szCs w:val="24"/>
          <w:lang w:val="uk-UA"/>
        </w:rPr>
      </w:pPr>
      <w:r w:rsidRPr="00BE1959">
        <w:rPr>
          <w:rFonts w:ascii="Times New Roman" w:eastAsia="Times New Roman" w:hAnsi="Times New Roman" w:cs="Times New Roman"/>
          <w:i/>
          <w:iCs/>
          <w:sz w:val="24"/>
          <w:szCs w:val="24"/>
          <w:lang w:val="uk-UA"/>
        </w:rPr>
        <w:t>Стаття</w:t>
      </w:r>
      <w:r w:rsidR="005613AB" w:rsidRPr="00BE1959">
        <w:rPr>
          <w:rFonts w:ascii="Times New Roman" w:eastAsia="Times New Roman" w:hAnsi="Times New Roman" w:cs="Times New Roman"/>
          <w:i/>
          <w:iCs/>
          <w:sz w:val="24"/>
          <w:szCs w:val="24"/>
          <w:lang w:val="uk-UA"/>
        </w:rPr>
        <w:t xml:space="preserve"> 22</w:t>
      </w:r>
    </w:p>
    <w:p w:rsidR="005613AB" w:rsidRPr="00BE1959" w:rsidRDefault="00146CFD" w:rsidP="005613AB">
      <w:pPr>
        <w:spacing w:before="60" w:after="120" w:line="312" w:lineRule="atLeast"/>
        <w:jc w:val="center"/>
        <w:textAlignment w:val="baseline"/>
        <w:rPr>
          <w:rFonts w:ascii="Times New Roman" w:eastAsia="Times New Roman" w:hAnsi="Times New Roman" w:cs="Times New Roman"/>
          <w:b/>
          <w:bCs/>
          <w:sz w:val="24"/>
          <w:szCs w:val="24"/>
          <w:lang w:val="uk-UA"/>
        </w:rPr>
      </w:pPr>
      <w:r w:rsidRPr="00BE1959">
        <w:rPr>
          <w:rFonts w:ascii="Times New Roman" w:eastAsia="Times New Roman" w:hAnsi="Times New Roman" w:cs="Times New Roman"/>
          <w:b/>
          <w:bCs/>
          <w:sz w:val="24"/>
          <w:szCs w:val="24"/>
          <w:lang w:val="uk-UA"/>
        </w:rPr>
        <w:t>Загальне зобов’язання щодо поточного нагляду</w:t>
      </w:r>
    </w:p>
    <w:p w:rsidR="005613AB" w:rsidRPr="00BE1959" w:rsidRDefault="001F5C90" w:rsidP="003F08F3">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Держави-члени</w:t>
      </w:r>
      <w:r w:rsidR="005613AB" w:rsidRPr="00BE1959">
        <w:rPr>
          <w:rFonts w:ascii="Times New Roman" w:eastAsia="Times New Roman" w:hAnsi="Times New Roman" w:cs="Times New Roman"/>
          <w:sz w:val="24"/>
          <w:szCs w:val="24"/>
          <w:lang w:val="uk-UA"/>
        </w:rPr>
        <w:t xml:space="preserve"> </w:t>
      </w:r>
      <w:r w:rsidR="003F08F3" w:rsidRPr="00BE1959">
        <w:rPr>
          <w:rFonts w:ascii="Times New Roman" w:eastAsia="Times New Roman" w:hAnsi="Times New Roman" w:cs="Times New Roman"/>
          <w:sz w:val="24"/>
          <w:szCs w:val="24"/>
          <w:lang w:val="uk-UA"/>
        </w:rPr>
        <w:t>забезпечують, щоб компетентні органи контролювали діяльність інвестиційних фірм на предмет оцінки відповідності умовам діяльності, передбаченим у цій директиві. Держави-члени забезпечують вжиття належних заходів для того, щоб компетентні органи отримували інформацію, необхідну для оцінки виконання інвестиційними фірмами цих зобов’язань.</w:t>
      </w:r>
    </w:p>
    <w:p w:rsidR="005613AB" w:rsidRPr="00BE1959" w:rsidRDefault="00162A11" w:rsidP="005613AB">
      <w:pPr>
        <w:spacing w:before="360" w:after="120" w:line="312" w:lineRule="atLeast"/>
        <w:jc w:val="center"/>
        <w:textAlignment w:val="baseline"/>
        <w:rPr>
          <w:rFonts w:ascii="Times New Roman" w:eastAsia="Times New Roman" w:hAnsi="Times New Roman" w:cs="Times New Roman"/>
          <w:i/>
          <w:iCs/>
          <w:sz w:val="24"/>
          <w:szCs w:val="24"/>
          <w:lang w:val="uk-UA"/>
        </w:rPr>
      </w:pPr>
      <w:r w:rsidRPr="00BE1959">
        <w:rPr>
          <w:rFonts w:ascii="Times New Roman" w:eastAsia="Times New Roman" w:hAnsi="Times New Roman" w:cs="Times New Roman"/>
          <w:i/>
          <w:iCs/>
          <w:sz w:val="24"/>
          <w:szCs w:val="24"/>
          <w:lang w:val="uk-UA"/>
        </w:rPr>
        <w:t>Стаття</w:t>
      </w:r>
      <w:r w:rsidR="005613AB" w:rsidRPr="00BE1959">
        <w:rPr>
          <w:rFonts w:ascii="Times New Roman" w:eastAsia="Times New Roman" w:hAnsi="Times New Roman" w:cs="Times New Roman"/>
          <w:i/>
          <w:iCs/>
          <w:sz w:val="24"/>
          <w:szCs w:val="24"/>
          <w:lang w:val="uk-UA"/>
        </w:rPr>
        <w:t xml:space="preserve"> 23</w:t>
      </w:r>
    </w:p>
    <w:p w:rsidR="005613AB" w:rsidRPr="00BE1959" w:rsidRDefault="00BA3D2E" w:rsidP="005613AB">
      <w:pPr>
        <w:spacing w:before="60" w:after="120" w:line="312" w:lineRule="atLeast"/>
        <w:jc w:val="center"/>
        <w:textAlignment w:val="baseline"/>
        <w:rPr>
          <w:rFonts w:ascii="Times New Roman" w:eastAsia="Times New Roman" w:hAnsi="Times New Roman" w:cs="Times New Roman"/>
          <w:b/>
          <w:bCs/>
          <w:sz w:val="24"/>
          <w:szCs w:val="24"/>
          <w:lang w:val="uk-UA"/>
        </w:rPr>
      </w:pPr>
      <w:r w:rsidRPr="00BE1959">
        <w:rPr>
          <w:rFonts w:ascii="Times New Roman" w:eastAsia="Times New Roman" w:hAnsi="Times New Roman" w:cs="Times New Roman"/>
          <w:b/>
          <w:bCs/>
          <w:sz w:val="24"/>
          <w:szCs w:val="24"/>
          <w:lang w:val="uk-UA"/>
        </w:rPr>
        <w:t>Конфлікти інтересів</w:t>
      </w:r>
    </w:p>
    <w:p w:rsidR="00F06557" w:rsidRPr="00BE1959" w:rsidRDefault="005613AB" w:rsidP="00BA3D2E">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1.   </w:t>
      </w:r>
      <w:r w:rsidR="001F5C90" w:rsidRPr="00BE1959">
        <w:rPr>
          <w:rFonts w:ascii="Times New Roman" w:eastAsia="Times New Roman" w:hAnsi="Times New Roman" w:cs="Times New Roman"/>
          <w:sz w:val="24"/>
          <w:szCs w:val="24"/>
          <w:lang w:val="uk-UA"/>
        </w:rPr>
        <w:t>Держави-члени</w:t>
      </w:r>
      <w:r w:rsidRPr="00BE1959">
        <w:rPr>
          <w:rFonts w:ascii="Times New Roman" w:eastAsia="Times New Roman" w:hAnsi="Times New Roman" w:cs="Times New Roman"/>
          <w:sz w:val="24"/>
          <w:szCs w:val="24"/>
          <w:lang w:val="uk-UA"/>
        </w:rPr>
        <w:t xml:space="preserve"> </w:t>
      </w:r>
      <w:r w:rsidR="00BA3D2E" w:rsidRPr="00BE1959">
        <w:rPr>
          <w:rFonts w:ascii="Times New Roman" w:eastAsia="Times New Roman" w:hAnsi="Times New Roman" w:cs="Times New Roman"/>
          <w:sz w:val="24"/>
          <w:szCs w:val="24"/>
          <w:lang w:val="uk-UA"/>
        </w:rPr>
        <w:t xml:space="preserve">вимагають від інвестиційних фірм уживати всіх доречних заходів для виявлення і запобігання чи усунення конфліктів інтересів між собою, зокрема їхніми керівниками, працівниками або пов'язаними агентами чи </w:t>
      </w:r>
      <w:r w:rsidR="00F06557" w:rsidRPr="00BE1959">
        <w:rPr>
          <w:rFonts w:ascii="Times New Roman" w:eastAsia="Times New Roman" w:hAnsi="Times New Roman" w:cs="Times New Roman"/>
          <w:sz w:val="24"/>
          <w:szCs w:val="24"/>
          <w:lang w:val="uk-UA"/>
        </w:rPr>
        <w:t xml:space="preserve">будь-якою особою, прямо чи непрямо пов'язану з ними через контроль, та їхніми клієнтами або між двома клієнтами, що виникають у процесі надання інвестиційних і додаткових послуг або їхніх комбінацій, </w:t>
      </w:r>
      <w:r w:rsidR="00F06557" w:rsidRPr="00BE1959">
        <w:rPr>
          <w:rFonts w:ascii="Times New Roman" w:eastAsia="Times New Roman" w:hAnsi="Times New Roman" w:cs="Times New Roman"/>
          <w:sz w:val="24"/>
          <w:szCs w:val="24"/>
          <w:lang w:val="uk-UA"/>
        </w:rPr>
        <w:lastRenderedPageBreak/>
        <w:t>зокрема конфліктів, спричинених отриманням заохочень від третіх осіб або власною системою оп</w:t>
      </w:r>
      <w:r w:rsidR="00895CA6" w:rsidRPr="00BE1959">
        <w:rPr>
          <w:rFonts w:ascii="Times New Roman" w:eastAsia="Times New Roman" w:hAnsi="Times New Roman" w:cs="Times New Roman"/>
          <w:sz w:val="24"/>
          <w:szCs w:val="24"/>
          <w:lang w:val="uk-UA"/>
        </w:rPr>
        <w:t>лати праці чи іншими структурами стимулювання інвестиційної фірми.</w:t>
      </w:r>
    </w:p>
    <w:p w:rsidR="00215827" w:rsidRPr="00BE1959" w:rsidRDefault="005613AB" w:rsidP="00215827">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2.   </w:t>
      </w:r>
      <w:r w:rsidR="00942466" w:rsidRPr="00BE1959">
        <w:rPr>
          <w:rFonts w:ascii="Times New Roman" w:eastAsia="Times New Roman" w:hAnsi="Times New Roman" w:cs="Times New Roman"/>
          <w:sz w:val="24"/>
          <w:szCs w:val="24"/>
          <w:lang w:val="uk-UA"/>
        </w:rPr>
        <w:t>Якщо організаційні або адміністративн</w:t>
      </w:r>
      <w:r w:rsidR="00895CA6" w:rsidRPr="00BE1959">
        <w:rPr>
          <w:rFonts w:ascii="Times New Roman" w:eastAsia="Times New Roman" w:hAnsi="Times New Roman" w:cs="Times New Roman"/>
          <w:sz w:val="24"/>
          <w:szCs w:val="24"/>
          <w:lang w:val="uk-UA"/>
        </w:rPr>
        <w:t>і механізми, запроваджені інвестиційною фірмою відповідно до статті 16(3) для</w:t>
      </w:r>
      <w:r w:rsidR="00215827" w:rsidRPr="00BE1959">
        <w:rPr>
          <w:rFonts w:ascii="Times New Roman" w:eastAsia="Times New Roman" w:hAnsi="Times New Roman" w:cs="Times New Roman"/>
          <w:sz w:val="24"/>
          <w:szCs w:val="24"/>
          <w:lang w:val="uk-UA"/>
        </w:rPr>
        <w:t xml:space="preserve"> запобігання негативного впливу конфліктів інтересів на інтереси її клієнта, не достатні для того, щоб заб</w:t>
      </w:r>
      <w:r w:rsidR="00942466" w:rsidRPr="00BE1959">
        <w:rPr>
          <w:rFonts w:ascii="Times New Roman" w:eastAsia="Times New Roman" w:hAnsi="Times New Roman" w:cs="Times New Roman"/>
          <w:sz w:val="24"/>
          <w:szCs w:val="24"/>
          <w:lang w:val="uk-UA"/>
        </w:rPr>
        <w:t xml:space="preserve">езпечити, з прийнятною впевненістю, попередження ризиків завдання шкоди інтересам клієнта, то </w:t>
      </w:r>
      <w:r w:rsidR="00215827" w:rsidRPr="00BE1959">
        <w:rPr>
          <w:rFonts w:ascii="Times New Roman" w:eastAsia="Times New Roman" w:hAnsi="Times New Roman" w:cs="Times New Roman"/>
          <w:sz w:val="24"/>
          <w:szCs w:val="24"/>
          <w:lang w:val="uk-UA"/>
        </w:rPr>
        <w:t xml:space="preserve">інвестиційна фірма </w:t>
      </w:r>
      <w:r w:rsidR="00942466" w:rsidRPr="00BE1959">
        <w:rPr>
          <w:rFonts w:ascii="Times New Roman" w:eastAsia="Times New Roman" w:hAnsi="Times New Roman" w:cs="Times New Roman"/>
          <w:sz w:val="24"/>
          <w:szCs w:val="24"/>
          <w:lang w:val="uk-UA"/>
        </w:rPr>
        <w:t xml:space="preserve">чітко розкриває </w:t>
      </w:r>
      <w:r w:rsidR="00215827" w:rsidRPr="00BE1959">
        <w:rPr>
          <w:rFonts w:ascii="Times New Roman" w:eastAsia="Times New Roman" w:hAnsi="Times New Roman" w:cs="Times New Roman"/>
          <w:sz w:val="24"/>
          <w:szCs w:val="24"/>
          <w:lang w:val="uk-UA"/>
        </w:rPr>
        <w:t xml:space="preserve">клієнтові </w:t>
      </w:r>
      <w:r w:rsidR="00942466" w:rsidRPr="00BE1959">
        <w:rPr>
          <w:rFonts w:ascii="Times New Roman" w:eastAsia="Times New Roman" w:hAnsi="Times New Roman" w:cs="Times New Roman"/>
          <w:sz w:val="24"/>
          <w:szCs w:val="24"/>
          <w:lang w:val="uk-UA"/>
        </w:rPr>
        <w:t xml:space="preserve">загальний характер </w:t>
      </w:r>
      <w:r w:rsidR="00215827" w:rsidRPr="00BE1959">
        <w:rPr>
          <w:rFonts w:ascii="Times New Roman" w:eastAsia="Times New Roman" w:hAnsi="Times New Roman" w:cs="Times New Roman"/>
          <w:sz w:val="24"/>
          <w:szCs w:val="24"/>
          <w:lang w:val="uk-UA"/>
        </w:rPr>
        <w:t>і (</w:t>
      </w:r>
      <w:r w:rsidR="00942466" w:rsidRPr="00BE1959">
        <w:rPr>
          <w:rFonts w:ascii="Times New Roman" w:eastAsia="Times New Roman" w:hAnsi="Times New Roman" w:cs="Times New Roman"/>
          <w:sz w:val="24"/>
          <w:szCs w:val="24"/>
          <w:lang w:val="uk-UA"/>
        </w:rPr>
        <w:t>або</w:t>
      </w:r>
      <w:r w:rsidR="00215827" w:rsidRPr="00BE1959">
        <w:rPr>
          <w:rFonts w:ascii="Times New Roman" w:eastAsia="Times New Roman" w:hAnsi="Times New Roman" w:cs="Times New Roman"/>
          <w:sz w:val="24"/>
          <w:szCs w:val="24"/>
          <w:lang w:val="uk-UA"/>
        </w:rPr>
        <w:t>)</w:t>
      </w:r>
      <w:r w:rsidR="00942466" w:rsidRPr="00BE1959">
        <w:rPr>
          <w:rFonts w:ascii="Times New Roman" w:eastAsia="Times New Roman" w:hAnsi="Times New Roman" w:cs="Times New Roman"/>
          <w:sz w:val="24"/>
          <w:szCs w:val="24"/>
          <w:lang w:val="uk-UA"/>
        </w:rPr>
        <w:t xml:space="preserve"> джерела конфліктів інтересів </w:t>
      </w:r>
      <w:r w:rsidR="00215827" w:rsidRPr="00BE1959">
        <w:rPr>
          <w:rFonts w:ascii="Times New Roman" w:eastAsia="Times New Roman" w:hAnsi="Times New Roman" w:cs="Times New Roman"/>
          <w:sz w:val="24"/>
          <w:szCs w:val="24"/>
          <w:lang w:val="uk-UA"/>
        </w:rPr>
        <w:t>та повідомляє кроки, вжиті для зменшення цих ризиків, перш ніж здійснювати операції за власний рахунок.</w:t>
      </w:r>
    </w:p>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3.   </w:t>
      </w:r>
      <w:r w:rsidR="00EB6D6E" w:rsidRPr="00BE1959">
        <w:rPr>
          <w:rFonts w:ascii="Times New Roman" w:eastAsia="Times New Roman" w:hAnsi="Times New Roman" w:cs="Times New Roman"/>
          <w:sz w:val="24"/>
          <w:szCs w:val="24"/>
          <w:lang w:val="uk-UA"/>
        </w:rPr>
        <w:t>Інформація, що розкривається згідно з пунктом 2:</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2"/>
        <w:gridCol w:w="8963"/>
      </w:tblGrid>
      <w:tr w:rsidR="005613AB" w:rsidRPr="00BE1959" w:rsidTr="00EB6D6E">
        <w:tc>
          <w:tcPr>
            <w:tcW w:w="265"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(a)</w:t>
            </w:r>
          </w:p>
        </w:tc>
        <w:tc>
          <w:tcPr>
            <w:tcW w:w="4735"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EB6D6E" w:rsidP="00EB6D6E">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подається на надійному носї;</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DE3173"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EB6D6E" w:rsidP="00EB6D6E">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містить достатні деталі, з урахуванням характеру клієнта, для того, щоб клієнт міг прийняти свідоме рішення стосовно даної послуги в тому контексті, в якому виникає конфлікт інтересів.</w:t>
            </w:r>
          </w:p>
        </w:tc>
      </w:tr>
    </w:tbl>
    <w:p w:rsidR="005613AB" w:rsidRPr="00BE1959" w:rsidRDefault="005613AB" w:rsidP="00DC7C47">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4.   </w:t>
      </w:r>
      <w:r w:rsidR="00DC7C47" w:rsidRPr="00BE1959">
        <w:rPr>
          <w:rFonts w:ascii="Times New Roman" w:eastAsia="Times New Roman" w:hAnsi="Times New Roman" w:cs="Times New Roman"/>
          <w:sz w:val="24"/>
          <w:szCs w:val="24"/>
          <w:lang w:val="uk-UA"/>
        </w:rPr>
        <w:t>Комісія надається повноваження на прийняття делегованих актів відповідно до статті 89 для:</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9093"/>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DC7C47" w:rsidP="00DC7C47">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визначення кроків, яких можна обґрунтовано вимагати від інвестиційних фірм для виявлення, запобігання, усунення і розкриття конфліктів інтересів при наданні різних інвестиційних і додаткових послуг та їхніх комбінацій;</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DE3173"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DC7C47" w:rsidP="00DC7C47">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встановлення відповідних критеріїв для визначення типів конфліктів інтересів, існування котрих може шкодити інтересам фактичних або потенційних клієнтів</w:t>
            </w:r>
            <w:r w:rsidR="005613AB" w:rsidRPr="00BE1959">
              <w:rPr>
                <w:rFonts w:ascii="Times New Roman" w:eastAsia="Times New Roman" w:hAnsi="Times New Roman" w:cs="Times New Roman"/>
                <w:sz w:val="24"/>
                <w:szCs w:val="24"/>
                <w:lang w:val="uk-UA"/>
              </w:rPr>
              <w:t xml:space="preserve"> </w:t>
            </w:r>
            <w:r w:rsidR="003A5348" w:rsidRPr="00BE1959">
              <w:rPr>
                <w:rFonts w:ascii="Times New Roman" w:eastAsia="Times New Roman" w:hAnsi="Times New Roman" w:cs="Times New Roman"/>
                <w:sz w:val="24"/>
                <w:szCs w:val="24"/>
                <w:lang w:val="uk-UA"/>
              </w:rPr>
              <w:t>інвестиційної фірми</w:t>
            </w:r>
            <w:r w:rsidR="005613AB" w:rsidRPr="00BE1959">
              <w:rPr>
                <w:rFonts w:ascii="Times New Roman" w:eastAsia="Times New Roman" w:hAnsi="Times New Roman" w:cs="Times New Roman"/>
                <w:sz w:val="24"/>
                <w:szCs w:val="24"/>
                <w:lang w:val="uk-UA"/>
              </w:rPr>
              <w:t>.</w:t>
            </w:r>
          </w:p>
        </w:tc>
      </w:tr>
    </w:tbl>
    <w:p w:rsidR="0002661A" w:rsidRPr="00BE1959" w:rsidRDefault="0002661A" w:rsidP="005613AB">
      <w:pPr>
        <w:spacing w:after="0" w:line="312" w:lineRule="atLeast"/>
        <w:jc w:val="center"/>
        <w:textAlignment w:val="baseline"/>
        <w:rPr>
          <w:rFonts w:ascii="Times New Roman" w:eastAsia="Times New Roman" w:hAnsi="Times New Roman" w:cs="Times New Roman"/>
          <w:b/>
          <w:bCs/>
          <w:sz w:val="24"/>
          <w:szCs w:val="24"/>
          <w:bdr w:val="none" w:sz="0" w:space="0" w:color="auto" w:frame="1"/>
          <w:lang w:val="uk-UA"/>
        </w:rPr>
      </w:pPr>
    </w:p>
    <w:p w:rsidR="005613AB" w:rsidRPr="00BE1959" w:rsidRDefault="0002661A" w:rsidP="005613AB">
      <w:pPr>
        <w:spacing w:after="0" w:line="312" w:lineRule="atLeast"/>
        <w:jc w:val="center"/>
        <w:textAlignment w:val="baseline"/>
        <w:rPr>
          <w:rFonts w:ascii="Times New Roman" w:eastAsia="Times New Roman" w:hAnsi="Times New Roman" w:cs="Times New Roman"/>
          <w:b/>
          <w:bCs/>
          <w:sz w:val="24"/>
          <w:szCs w:val="24"/>
          <w:lang w:val="uk-UA"/>
        </w:rPr>
      </w:pPr>
      <w:r w:rsidRPr="00BE1959">
        <w:rPr>
          <w:rFonts w:ascii="Times New Roman" w:eastAsia="Times New Roman" w:hAnsi="Times New Roman" w:cs="Times New Roman"/>
          <w:b/>
          <w:bCs/>
          <w:sz w:val="24"/>
          <w:szCs w:val="24"/>
          <w:bdr w:val="none" w:sz="0" w:space="0" w:color="auto" w:frame="1"/>
          <w:lang w:val="uk-UA"/>
        </w:rPr>
        <w:t>Підрозділ</w:t>
      </w:r>
      <w:r w:rsidR="005613AB" w:rsidRPr="00BE1959">
        <w:rPr>
          <w:rFonts w:ascii="Times New Roman" w:eastAsia="Times New Roman" w:hAnsi="Times New Roman" w:cs="Times New Roman"/>
          <w:b/>
          <w:bCs/>
          <w:sz w:val="24"/>
          <w:szCs w:val="24"/>
          <w:bdr w:val="none" w:sz="0" w:space="0" w:color="auto" w:frame="1"/>
          <w:lang w:val="uk-UA"/>
        </w:rPr>
        <w:t xml:space="preserve"> 2</w:t>
      </w:r>
    </w:p>
    <w:p w:rsidR="005613AB" w:rsidRPr="00BE1959" w:rsidRDefault="00DC7C47" w:rsidP="005613AB">
      <w:pPr>
        <w:spacing w:after="0" w:line="312" w:lineRule="atLeast"/>
        <w:jc w:val="center"/>
        <w:textAlignment w:val="baseline"/>
        <w:rPr>
          <w:rFonts w:ascii="Times New Roman" w:eastAsia="Times New Roman" w:hAnsi="Times New Roman" w:cs="Times New Roman"/>
          <w:b/>
          <w:bCs/>
          <w:sz w:val="24"/>
          <w:szCs w:val="24"/>
          <w:lang w:val="uk-UA"/>
        </w:rPr>
      </w:pPr>
      <w:r w:rsidRPr="00BE1959">
        <w:rPr>
          <w:rFonts w:ascii="Times New Roman" w:eastAsia="Times New Roman" w:hAnsi="Times New Roman" w:cs="Times New Roman"/>
          <w:b/>
          <w:bCs/>
          <w:sz w:val="24"/>
          <w:szCs w:val="24"/>
          <w:bdr w:val="none" w:sz="0" w:space="0" w:color="auto" w:frame="1"/>
          <w:lang w:val="uk-UA"/>
        </w:rPr>
        <w:t>Положення щодо забезпечення захисту інвесторів</w:t>
      </w:r>
    </w:p>
    <w:p w:rsidR="005613AB" w:rsidRPr="00BE1959" w:rsidRDefault="00162A11" w:rsidP="005613AB">
      <w:pPr>
        <w:spacing w:before="360" w:after="120" w:line="312" w:lineRule="atLeast"/>
        <w:jc w:val="center"/>
        <w:textAlignment w:val="baseline"/>
        <w:rPr>
          <w:rFonts w:ascii="Times New Roman" w:eastAsia="Times New Roman" w:hAnsi="Times New Roman" w:cs="Times New Roman"/>
          <w:i/>
          <w:iCs/>
          <w:sz w:val="24"/>
          <w:szCs w:val="24"/>
          <w:lang w:val="uk-UA"/>
        </w:rPr>
      </w:pPr>
      <w:r w:rsidRPr="00BE1959">
        <w:rPr>
          <w:rFonts w:ascii="Times New Roman" w:eastAsia="Times New Roman" w:hAnsi="Times New Roman" w:cs="Times New Roman"/>
          <w:i/>
          <w:iCs/>
          <w:sz w:val="24"/>
          <w:szCs w:val="24"/>
          <w:lang w:val="uk-UA"/>
        </w:rPr>
        <w:t>Стаття</w:t>
      </w:r>
      <w:r w:rsidR="005613AB" w:rsidRPr="00BE1959">
        <w:rPr>
          <w:rFonts w:ascii="Times New Roman" w:eastAsia="Times New Roman" w:hAnsi="Times New Roman" w:cs="Times New Roman"/>
          <w:i/>
          <w:iCs/>
          <w:sz w:val="24"/>
          <w:szCs w:val="24"/>
          <w:lang w:val="uk-UA"/>
        </w:rPr>
        <w:t xml:space="preserve"> 24</w:t>
      </w:r>
    </w:p>
    <w:p w:rsidR="005613AB" w:rsidRPr="00BE1959" w:rsidRDefault="0022417C" w:rsidP="005613AB">
      <w:pPr>
        <w:spacing w:before="60" w:after="120" w:line="312" w:lineRule="atLeast"/>
        <w:jc w:val="center"/>
        <w:textAlignment w:val="baseline"/>
        <w:rPr>
          <w:rFonts w:ascii="Times New Roman" w:eastAsia="Times New Roman" w:hAnsi="Times New Roman" w:cs="Times New Roman"/>
          <w:b/>
          <w:bCs/>
          <w:sz w:val="24"/>
          <w:szCs w:val="24"/>
          <w:lang w:val="uk-UA"/>
        </w:rPr>
      </w:pPr>
      <w:r w:rsidRPr="00BE1959">
        <w:rPr>
          <w:rFonts w:ascii="Times New Roman" w:eastAsia="Times New Roman" w:hAnsi="Times New Roman" w:cs="Times New Roman"/>
          <w:b/>
          <w:bCs/>
          <w:sz w:val="24"/>
          <w:szCs w:val="24"/>
          <w:lang w:val="uk-UA"/>
        </w:rPr>
        <w:t>Загальні принципи та надання інформації клієнтам</w:t>
      </w:r>
    </w:p>
    <w:p w:rsidR="005613AB" w:rsidRPr="00BE1959" w:rsidRDefault="005613AB" w:rsidP="004A6F9E">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1.   </w:t>
      </w:r>
      <w:r w:rsidR="001F5C90" w:rsidRPr="00BE1959">
        <w:rPr>
          <w:rFonts w:ascii="Times New Roman" w:eastAsia="Times New Roman" w:hAnsi="Times New Roman" w:cs="Times New Roman"/>
          <w:sz w:val="24"/>
          <w:szCs w:val="24"/>
          <w:lang w:val="uk-UA"/>
        </w:rPr>
        <w:t>Держави-члени</w:t>
      </w:r>
      <w:r w:rsidRPr="00BE1959">
        <w:rPr>
          <w:rFonts w:ascii="Times New Roman" w:eastAsia="Times New Roman" w:hAnsi="Times New Roman" w:cs="Times New Roman"/>
          <w:sz w:val="24"/>
          <w:szCs w:val="24"/>
          <w:lang w:val="uk-UA"/>
        </w:rPr>
        <w:t xml:space="preserve"> </w:t>
      </w:r>
      <w:r w:rsidR="004A6F9E" w:rsidRPr="00BE1959">
        <w:rPr>
          <w:rFonts w:ascii="Times New Roman" w:eastAsia="Times New Roman" w:hAnsi="Times New Roman" w:cs="Times New Roman"/>
          <w:sz w:val="24"/>
          <w:szCs w:val="24"/>
          <w:lang w:val="uk-UA"/>
        </w:rPr>
        <w:t>вимагають, щоб при наданні інвестиційних послуг або, де доречно, додаткових послуг клієнтам інвестиційна фірма діяла чесно справедливо та професійно відповідно до якнайкращих інтересів її клієнтів і, зокрема, додержувалася принципів, викладених у цій статті та</w:t>
      </w:r>
      <w:r w:rsidRPr="00BE1959">
        <w:rPr>
          <w:rFonts w:ascii="Times New Roman" w:eastAsia="Times New Roman" w:hAnsi="Times New Roman" w:cs="Times New Roman"/>
          <w:sz w:val="24"/>
          <w:szCs w:val="24"/>
          <w:lang w:val="uk-UA"/>
        </w:rPr>
        <w:t xml:space="preserve"> </w:t>
      </w:r>
      <w:r w:rsidR="005E1C03" w:rsidRPr="00BE1959">
        <w:rPr>
          <w:rFonts w:ascii="Times New Roman" w:eastAsia="Times New Roman" w:hAnsi="Times New Roman" w:cs="Times New Roman"/>
          <w:sz w:val="24"/>
          <w:szCs w:val="24"/>
          <w:lang w:val="uk-UA"/>
        </w:rPr>
        <w:t>у статті</w:t>
      </w:r>
      <w:r w:rsidRPr="00BE1959">
        <w:rPr>
          <w:rFonts w:ascii="Times New Roman" w:eastAsia="Times New Roman" w:hAnsi="Times New Roman" w:cs="Times New Roman"/>
          <w:sz w:val="24"/>
          <w:szCs w:val="24"/>
          <w:lang w:val="uk-UA"/>
        </w:rPr>
        <w:t xml:space="preserve"> 25.</w:t>
      </w:r>
    </w:p>
    <w:p w:rsidR="005613AB" w:rsidRPr="00BE1959" w:rsidRDefault="005613AB" w:rsidP="00E0423E">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2.   </w:t>
      </w:r>
      <w:r w:rsidR="004A6F9E" w:rsidRPr="00BE1959">
        <w:rPr>
          <w:rFonts w:ascii="Times New Roman" w:eastAsia="Times New Roman" w:hAnsi="Times New Roman" w:cs="Times New Roman"/>
          <w:sz w:val="24"/>
          <w:szCs w:val="24"/>
          <w:lang w:val="uk-UA"/>
        </w:rPr>
        <w:t xml:space="preserve">Інвестиційні фірми, які випускають фінансові інструменти для продажу клієнтам, забезпечують, щоб ці фінансові інструменти були розраховані </w:t>
      </w:r>
      <w:r w:rsidR="00E0423E" w:rsidRPr="00BE1959">
        <w:rPr>
          <w:rFonts w:ascii="Times New Roman" w:eastAsia="Times New Roman" w:hAnsi="Times New Roman" w:cs="Times New Roman"/>
          <w:sz w:val="24"/>
          <w:szCs w:val="24"/>
          <w:lang w:val="uk-UA"/>
        </w:rPr>
        <w:t xml:space="preserve">на задоволення потреб визначеного цільового ринку кінцевих клієнтів у межах відповідної категорії клієнтів, стратегія розподілу фінансових інструментів була сумісною з визначеним цільовим </w:t>
      </w:r>
      <w:r w:rsidR="00E0423E" w:rsidRPr="00BE1959">
        <w:rPr>
          <w:rFonts w:ascii="Times New Roman" w:eastAsia="Times New Roman" w:hAnsi="Times New Roman" w:cs="Times New Roman"/>
          <w:sz w:val="24"/>
          <w:szCs w:val="24"/>
          <w:lang w:val="uk-UA"/>
        </w:rPr>
        <w:lastRenderedPageBreak/>
        <w:t>ринком, а інвестиційна фірма вжила розумних заходів для забезпечення збуту фінансового інструмента на визначеному цільовому ринку.</w:t>
      </w:r>
    </w:p>
    <w:p w:rsidR="005613AB" w:rsidRPr="00BE1959" w:rsidRDefault="00324053" w:rsidP="00E138C0">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Інвестиційна фірма</w:t>
      </w:r>
      <w:r w:rsidR="00E0423E" w:rsidRPr="00BE1959">
        <w:rPr>
          <w:rFonts w:ascii="Times New Roman" w:eastAsia="Times New Roman" w:hAnsi="Times New Roman" w:cs="Times New Roman"/>
          <w:sz w:val="24"/>
          <w:szCs w:val="24"/>
          <w:lang w:val="uk-UA"/>
        </w:rPr>
        <w:t xml:space="preserve"> повинна розуміти </w:t>
      </w:r>
      <w:r w:rsidR="00E138C0" w:rsidRPr="00BE1959">
        <w:rPr>
          <w:rFonts w:ascii="Times New Roman" w:eastAsia="Times New Roman" w:hAnsi="Times New Roman" w:cs="Times New Roman"/>
          <w:sz w:val="24"/>
          <w:szCs w:val="24"/>
          <w:lang w:val="uk-UA"/>
        </w:rPr>
        <w:t>фінансові інструменти, які вона пропонує чи рекомендує, оцінити сумісність цих фінансових інструментів із потребами клієнтів, яким вона надає інвестиційні послуги, з урахуванням при цьому визначеного цільового ринку кінцевих клієнтів, згаданого у статті 16(3), та забезпечити, щоб фінансові інструменти пропонувалися чи рекомендувалися тільки за умови, що це – в інтересах клієнта.</w:t>
      </w:r>
    </w:p>
    <w:p w:rsidR="005613AB" w:rsidRPr="00BE1959" w:rsidRDefault="005613AB" w:rsidP="00333B4E">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3.   </w:t>
      </w:r>
      <w:r w:rsidR="00E138C0" w:rsidRPr="00BE1959">
        <w:rPr>
          <w:rFonts w:ascii="Times New Roman" w:eastAsia="Times New Roman" w:hAnsi="Times New Roman" w:cs="Times New Roman"/>
          <w:sz w:val="24"/>
          <w:szCs w:val="24"/>
          <w:lang w:val="uk-UA"/>
        </w:rPr>
        <w:t xml:space="preserve">Уся інформація, </w:t>
      </w:r>
      <w:r w:rsidR="0020011F" w:rsidRPr="00BE1959">
        <w:rPr>
          <w:rFonts w:ascii="Times New Roman" w:eastAsia="Times New Roman" w:hAnsi="Times New Roman" w:cs="Times New Roman"/>
          <w:sz w:val="24"/>
          <w:szCs w:val="24"/>
          <w:lang w:val="uk-UA"/>
        </w:rPr>
        <w:t xml:space="preserve">включаючи маркетингові комунікації, що адресується інвестиційною фірмою фактичним або потенційним клієнтам, повинна бути об’єктивною, зрозумілою і не вводити в оману. Маркетингові комунікації чітко </w:t>
      </w:r>
      <w:r w:rsidR="00333B4E" w:rsidRPr="00BE1959">
        <w:rPr>
          <w:rFonts w:ascii="Times New Roman" w:eastAsia="Times New Roman" w:hAnsi="Times New Roman" w:cs="Times New Roman"/>
          <w:sz w:val="24"/>
          <w:szCs w:val="24"/>
          <w:lang w:val="uk-UA"/>
        </w:rPr>
        <w:t>визначаються як такі.</w:t>
      </w:r>
    </w:p>
    <w:p w:rsidR="005613AB" w:rsidRPr="00BE1959" w:rsidRDefault="005613AB" w:rsidP="00EC21DF">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4.   </w:t>
      </w:r>
      <w:r w:rsidR="00333B4E" w:rsidRPr="00BE1959">
        <w:rPr>
          <w:rFonts w:ascii="Times New Roman" w:eastAsia="Times New Roman" w:hAnsi="Times New Roman" w:cs="Times New Roman"/>
          <w:sz w:val="24"/>
          <w:szCs w:val="24"/>
          <w:lang w:val="uk-UA"/>
        </w:rPr>
        <w:t xml:space="preserve">Фактичним або потенційним клієнтам завчасно надається необхідна інформація стосовно інвестиційної фірми та її послуг, фінансових інструментів та пропонованих інвестиційних стратегій, місць виконання угод і всіх витрат та супутніх </w:t>
      </w:r>
      <w:r w:rsidR="00F37B1B" w:rsidRPr="00BE1959">
        <w:rPr>
          <w:rFonts w:ascii="Times New Roman" w:eastAsia="Times New Roman" w:hAnsi="Times New Roman" w:cs="Times New Roman"/>
          <w:sz w:val="24"/>
          <w:szCs w:val="24"/>
          <w:lang w:val="uk-UA"/>
        </w:rPr>
        <w:t>зборів</w:t>
      </w:r>
      <w:r w:rsidR="00333B4E" w:rsidRPr="00BE1959">
        <w:rPr>
          <w:rFonts w:ascii="Times New Roman" w:eastAsia="Times New Roman" w:hAnsi="Times New Roman" w:cs="Times New Roman"/>
          <w:sz w:val="24"/>
          <w:szCs w:val="24"/>
          <w:lang w:val="uk-UA"/>
        </w:rPr>
        <w:t>.</w:t>
      </w:r>
      <w:r w:rsidR="00EC21DF" w:rsidRPr="00BE1959">
        <w:rPr>
          <w:rFonts w:ascii="Times New Roman" w:eastAsia="Times New Roman" w:hAnsi="Times New Roman" w:cs="Times New Roman"/>
          <w:sz w:val="24"/>
          <w:szCs w:val="24"/>
          <w:lang w:val="uk-UA"/>
        </w:rPr>
        <w:t xml:space="preserve"> Ця інформація включає наступне:</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9093"/>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B1B1B" w:rsidP="00643A96">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к</w:t>
            </w:r>
            <w:r w:rsidR="00EC21DF" w:rsidRPr="00BE1959">
              <w:rPr>
                <w:rFonts w:ascii="Times New Roman" w:eastAsia="Times New Roman" w:hAnsi="Times New Roman" w:cs="Times New Roman"/>
                <w:sz w:val="24"/>
                <w:szCs w:val="24"/>
                <w:lang w:val="uk-UA"/>
              </w:rPr>
              <w:t>ол</w:t>
            </w:r>
            <w:r w:rsidRPr="00BE1959">
              <w:rPr>
                <w:rFonts w:ascii="Times New Roman" w:eastAsia="Times New Roman" w:hAnsi="Times New Roman" w:cs="Times New Roman"/>
                <w:sz w:val="24"/>
                <w:szCs w:val="24"/>
                <w:lang w:val="uk-UA"/>
              </w:rPr>
              <w:t>и надається інвестиційна порада, інвестиційна фірма повинна, завчасно до надання інвестиційної поради, повідомити клієнта</w:t>
            </w:r>
            <w:r w:rsidR="00643A96" w:rsidRPr="00BE1959">
              <w:rPr>
                <w:rFonts w:ascii="Times New Roman" w:eastAsia="Times New Roman" w:hAnsi="Times New Roman" w:cs="Times New Roman"/>
                <w:sz w:val="24"/>
                <w:szCs w:val="24"/>
                <w:lang w:val="uk-UA"/>
              </w:rPr>
              <w:t xml:space="preserve"> про наступне:</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21"/>
              <w:gridCol w:w="8351"/>
            </w:tblGrid>
            <w:tr w:rsidR="00DE3173" w:rsidRPr="0043174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643A96" w:rsidP="00643A96">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чи надається порада на незалежній основі;</w:t>
                  </w:r>
                </w:p>
              </w:tc>
            </w:tr>
          </w:tbl>
          <w:p w:rsidR="005613AB" w:rsidRPr="00BE1959" w:rsidRDefault="005613AB" w:rsidP="005613AB">
            <w:pPr>
              <w:spacing w:after="0" w:line="240" w:lineRule="auto"/>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99"/>
              <w:gridCol w:w="8573"/>
            </w:tblGrid>
            <w:tr w:rsidR="00DE3173" w:rsidRPr="0043174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643A96" w:rsidP="00B1288D">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чи основана порада на широкому або на більш обмеженому аналізі різних видів фінансових інструментів, і, зокрема, </w:t>
                  </w:r>
                  <w:r w:rsidR="00F84F11" w:rsidRPr="00BE1959">
                    <w:rPr>
                      <w:rFonts w:ascii="Times New Roman" w:eastAsia="Times New Roman" w:hAnsi="Times New Roman" w:cs="Times New Roman"/>
                      <w:sz w:val="24"/>
                      <w:szCs w:val="24"/>
                      <w:lang w:val="uk-UA"/>
                    </w:rPr>
                    <w:t>чи обмежена ця номенклатура фінансовими інструментами, випущеними або наданими суб’єктами, маючими тісні зв'язки з інвестиційною фірмою або інші юридичні чи економічні відносини, наприклад, договірні, настільки тісні, щоб спричиняти ризик завдання шкоди незалежній основі наданої поради;</w:t>
                  </w:r>
                </w:p>
              </w:tc>
            </w:tr>
          </w:tbl>
          <w:p w:rsidR="005613AB" w:rsidRPr="00BE1959" w:rsidRDefault="005613AB" w:rsidP="005613AB">
            <w:pPr>
              <w:spacing w:after="0" w:line="240" w:lineRule="auto"/>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65"/>
              <w:gridCol w:w="8507"/>
            </w:tblGrid>
            <w:tr w:rsidR="00DE3173" w:rsidRPr="0043174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(iii)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B1288D" w:rsidP="00B1288D">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чи проводитиме інвестиційна фірма для клієнта періодичну оцінку відповідності фінансових інструментів, рекомендованих цьому клієнтові;</w:t>
                  </w:r>
                </w:p>
              </w:tc>
            </w:tr>
          </w:tbl>
          <w:p w:rsidR="005613AB" w:rsidRPr="00BE1959" w:rsidRDefault="005613AB" w:rsidP="005613AB">
            <w:pPr>
              <w:spacing w:after="0" w:line="240" w:lineRule="auto"/>
              <w:rPr>
                <w:rFonts w:ascii="Times New Roman" w:eastAsia="Times New Roman" w:hAnsi="Times New Roman" w:cs="Times New Roman"/>
                <w:sz w:val="24"/>
                <w:szCs w:val="24"/>
                <w:lang w:val="uk-UA"/>
              </w:rPr>
            </w:pP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B1288D" w:rsidP="001C017F">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інформація про фінансові інструменти та пропоновані інвестиційні страте</w:t>
            </w:r>
            <w:r w:rsidR="001C017F" w:rsidRPr="00BE1959">
              <w:rPr>
                <w:rFonts w:ascii="Times New Roman" w:eastAsia="Times New Roman" w:hAnsi="Times New Roman" w:cs="Times New Roman"/>
                <w:sz w:val="24"/>
                <w:szCs w:val="24"/>
                <w:lang w:val="uk-UA"/>
              </w:rPr>
              <w:t>гії повинна включати відповідні настанови та попередження щодо ризиків, пов'язаних з інвестиціями в ці інструменти, та стосовно конкретних інвестиційних стратегій, а також щодо того, чи розрахований даний фінансовий інструмент на роздрібних або професійних клієнтів, ураховуючи визначений цільовий ринок відповідно до пункту 2;</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9093"/>
      </w:tblGrid>
      <w:tr w:rsidR="00DE3173"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F37B1B" w:rsidP="009D72AE">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і</w:t>
            </w:r>
            <w:r w:rsidR="001C017F" w:rsidRPr="00BE1959">
              <w:rPr>
                <w:rFonts w:ascii="Times New Roman" w:eastAsia="Times New Roman" w:hAnsi="Times New Roman" w:cs="Times New Roman"/>
                <w:sz w:val="24"/>
                <w:szCs w:val="24"/>
                <w:lang w:val="uk-UA"/>
              </w:rPr>
              <w:t>нформація про всі витрати та супутні збори</w:t>
            </w:r>
            <w:r w:rsidRPr="00BE1959">
              <w:rPr>
                <w:rFonts w:ascii="Times New Roman" w:eastAsia="Times New Roman" w:hAnsi="Times New Roman" w:cs="Times New Roman"/>
                <w:sz w:val="24"/>
                <w:szCs w:val="24"/>
                <w:lang w:val="uk-UA"/>
              </w:rPr>
              <w:t xml:space="preserve"> повинна включати інформацію стосовно як інвестиційних, так і додаткових послуг, зокрема вартості порад, де доречно, вартості фінансового інструмента, рекомендованого чи проданого клієнтові</w:t>
            </w:r>
            <w:r w:rsidR="009D72AE" w:rsidRPr="00BE1959">
              <w:rPr>
                <w:rFonts w:ascii="Times New Roman" w:eastAsia="Times New Roman" w:hAnsi="Times New Roman" w:cs="Times New Roman"/>
                <w:sz w:val="24"/>
                <w:szCs w:val="24"/>
                <w:lang w:val="uk-UA"/>
              </w:rPr>
              <w:t>, і можливого способу оплати з боку клієнта, причому з урахуванням можливих платежів третім особам.</w:t>
            </w:r>
          </w:p>
        </w:tc>
      </w:tr>
    </w:tbl>
    <w:p w:rsidR="005613AB" w:rsidRPr="00BE1959" w:rsidRDefault="009D72AE" w:rsidP="00FE554D">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lastRenderedPageBreak/>
        <w:t xml:space="preserve">Інформація про всі витрати та збори, зокрема витрати та збори у зв'язку з інвестиційною послугою та фінансовим інструментом, які не спричинені виникненням </w:t>
      </w:r>
      <w:r w:rsidR="00DC722B" w:rsidRPr="00BE1959">
        <w:rPr>
          <w:rFonts w:ascii="Times New Roman" w:eastAsia="Times New Roman" w:hAnsi="Times New Roman" w:cs="Times New Roman"/>
          <w:sz w:val="24"/>
          <w:szCs w:val="24"/>
          <w:lang w:val="uk-UA"/>
        </w:rPr>
        <w:t xml:space="preserve">відповідного ринкового ринку, узагальнюється, щоб клієнт міг побачити загальну вартість, а також сукупний вплив на дохідність інвестицій, причому за бажання клієнта надається розбивка по статтях витрат. У доречних випадках така інформація надається клієнтові регулярно, як мінімум щорічно, протягом </w:t>
      </w:r>
      <w:r w:rsidR="00FE554D" w:rsidRPr="00BE1959">
        <w:rPr>
          <w:rFonts w:ascii="Times New Roman" w:eastAsia="Times New Roman" w:hAnsi="Times New Roman" w:cs="Times New Roman"/>
          <w:sz w:val="24"/>
          <w:szCs w:val="24"/>
          <w:lang w:val="uk-UA"/>
        </w:rPr>
        <w:t>усього терміну життя інвестиції.</w:t>
      </w:r>
    </w:p>
    <w:p w:rsidR="00A80DA8"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5.   </w:t>
      </w:r>
      <w:r w:rsidR="003C4BCD" w:rsidRPr="00BE1959">
        <w:rPr>
          <w:rFonts w:ascii="Times New Roman" w:eastAsia="Times New Roman" w:hAnsi="Times New Roman" w:cs="Times New Roman"/>
          <w:sz w:val="24"/>
          <w:szCs w:val="24"/>
          <w:lang w:val="uk-UA"/>
        </w:rPr>
        <w:t xml:space="preserve">Інформація, згадана у пунктах 4 та 9, надається у зрозумілій формі так, щоб, фактичні або потенційні клієнти могли належним чином розуміти характер і ризики даної інвестиційної послуги та конкретного типу фінансового інструмента, що пропонується, </w:t>
      </w:r>
      <w:r w:rsidR="00423FFD" w:rsidRPr="00BE1959">
        <w:rPr>
          <w:rFonts w:ascii="Times New Roman" w:eastAsia="Times New Roman" w:hAnsi="Times New Roman" w:cs="Times New Roman"/>
          <w:sz w:val="24"/>
          <w:szCs w:val="24"/>
          <w:lang w:val="uk-UA"/>
        </w:rPr>
        <w:t>і, отже, приймати</w:t>
      </w:r>
      <w:r w:rsidR="0081678A" w:rsidRPr="00BE1959">
        <w:rPr>
          <w:rFonts w:ascii="Times New Roman" w:eastAsia="Times New Roman" w:hAnsi="Times New Roman" w:cs="Times New Roman"/>
          <w:sz w:val="24"/>
          <w:szCs w:val="24"/>
          <w:lang w:val="uk-UA"/>
        </w:rPr>
        <w:t xml:space="preserve"> обґрунтовані</w:t>
      </w:r>
      <w:r w:rsidR="00423FFD" w:rsidRPr="00BE1959">
        <w:rPr>
          <w:rFonts w:ascii="Times New Roman" w:eastAsia="Times New Roman" w:hAnsi="Times New Roman" w:cs="Times New Roman"/>
          <w:sz w:val="24"/>
          <w:szCs w:val="24"/>
          <w:lang w:val="uk-UA"/>
        </w:rPr>
        <w:t xml:space="preserve"> інвестиційні рішення</w:t>
      </w:r>
      <w:r w:rsidR="0081678A" w:rsidRPr="00BE1959">
        <w:rPr>
          <w:rFonts w:ascii="Times New Roman" w:eastAsia="Times New Roman" w:hAnsi="Times New Roman" w:cs="Times New Roman"/>
          <w:sz w:val="24"/>
          <w:szCs w:val="24"/>
          <w:lang w:val="uk-UA"/>
        </w:rPr>
        <w:t>. Держави-члени можуть дозволяти надавати інформацію в стандартному форматі.</w:t>
      </w:r>
    </w:p>
    <w:p w:rsidR="005613AB" w:rsidRPr="00BE1959" w:rsidRDefault="005613AB" w:rsidP="00D66402">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6.   </w:t>
      </w:r>
      <w:r w:rsidR="001D185E" w:rsidRPr="00BE1959">
        <w:rPr>
          <w:rFonts w:ascii="Times New Roman" w:eastAsia="Times New Roman" w:hAnsi="Times New Roman" w:cs="Times New Roman"/>
          <w:sz w:val="24"/>
          <w:szCs w:val="24"/>
          <w:lang w:val="uk-UA"/>
        </w:rPr>
        <w:t>Якщо інвестиційна послуга пропонується в складі фінансового продукту, який вже підпадає під дію інших положень законодавства Союзу стосовно кредитних установ і споживчих кредитів</w:t>
      </w:r>
      <w:r w:rsidR="00D66402" w:rsidRPr="00BE1959">
        <w:rPr>
          <w:rFonts w:ascii="Times New Roman" w:eastAsia="Times New Roman" w:hAnsi="Times New Roman" w:cs="Times New Roman"/>
          <w:sz w:val="24"/>
          <w:szCs w:val="24"/>
          <w:lang w:val="uk-UA"/>
        </w:rPr>
        <w:t xml:space="preserve"> щодо вимог до інформації, то ця послуга не підпадає додатково під дію зобов’язань, викладених у пунктах 3, 4 та 5.</w:t>
      </w:r>
    </w:p>
    <w:p w:rsidR="005613AB" w:rsidRPr="00BE1959" w:rsidRDefault="005613AB" w:rsidP="00D66402">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7.   </w:t>
      </w:r>
      <w:r w:rsidR="00D66402" w:rsidRPr="00BE1959">
        <w:rPr>
          <w:rFonts w:ascii="Times New Roman" w:eastAsia="Times New Roman" w:hAnsi="Times New Roman" w:cs="Times New Roman"/>
          <w:sz w:val="24"/>
          <w:szCs w:val="24"/>
          <w:lang w:val="uk-UA"/>
        </w:rPr>
        <w:t>Якщо інвестиційна фірма інформує клієнта про те, що інвестиційна порада надається на незалежній основі, то ця інвестиційна фірма:</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9093"/>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2411FF" w:rsidP="00DF20AC">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оцінює достатню номенклатуру фінансових інструментів, наявних на ринку, що має бути достатньо різноманітною </w:t>
            </w:r>
            <w:r w:rsidR="00DF20AC" w:rsidRPr="00BE1959">
              <w:rPr>
                <w:rFonts w:ascii="Times New Roman" w:eastAsia="Times New Roman" w:hAnsi="Times New Roman" w:cs="Times New Roman"/>
                <w:sz w:val="24"/>
                <w:szCs w:val="24"/>
                <w:lang w:val="uk-UA"/>
              </w:rPr>
              <w:t>за типом інструментів та емітентами або надавачами продуктів для того, щоб інвестиційні цілі клієнта можна було належним чином задовольнити, та не повинна бути обмежена фінансовими інструментами, випущеними або наданими:</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32"/>
              <w:gridCol w:w="8640"/>
            </w:tblGrid>
            <w:tr w:rsidR="00DE3173" w:rsidRPr="0043174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DF20AC" w:rsidP="00DF20AC">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самою інвестиційною фірмою або суб’єктами, маючими тісні зв'язки з цією інвестиційною фірмою; або</w:t>
                  </w:r>
                </w:p>
              </w:tc>
            </w:tr>
          </w:tbl>
          <w:p w:rsidR="005613AB" w:rsidRPr="00BE1959" w:rsidRDefault="005613AB" w:rsidP="005613AB">
            <w:pPr>
              <w:spacing w:after="0" w:line="240" w:lineRule="auto"/>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99"/>
              <w:gridCol w:w="8573"/>
            </w:tblGrid>
            <w:tr w:rsidR="00DE3173" w:rsidRPr="0043174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DF20AC" w:rsidP="001D6DEC">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іншими суб’єктами, з якими інвестиційна фірма має юридичні або економічні відносини, як-от договірні відносини, настільки тісні</w:t>
                  </w:r>
                  <w:r w:rsidR="001D6DEC" w:rsidRPr="00BE1959">
                    <w:rPr>
                      <w:rFonts w:ascii="Times New Roman" w:eastAsia="Times New Roman" w:hAnsi="Times New Roman" w:cs="Times New Roman"/>
                      <w:sz w:val="24"/>
                      <w:szCs w:val="24"/>
                      <w:lang w:val="uk-UA"/>
                    </w:rPr>
                    <w:t>, що вони можуть спричинити ризик завдання шкоди незалежній основі наданої поради;</w:t>
                  </w:r>
                </w:p>
              </w:tc>
            </w:tr>
          </w:tbl>
          <w:p w:rsidR="005613AB" w:rsidRPr="00BE1959" w:rsidRDefault="005613AB" w:rsidP="005613AB">
            <w:pPr>
              <w:spacing w:after="0" w:line="240" w:lineRule="auto"/>
              <w:rPr>
                <w:rFonts w:ascii="Times New Roman" w:eastAsia="Times New Roman" w:hAnsi="Times New Roman" w:cs="Times New Roman"/>
                <w:sz w:val="24"/>
                <w:szCs w:val="24"/>
                <w:lang w:val="uk-UA"/>
              </w:rPr>
            </w:pP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DE3173"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0F1110" w:rsidP="004121E0">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не приймає і не утримує гонорари, комісійні чи будь-які грошові або негрошові вигоди, сплачені чи надані третьою особою чи особою, діючою від імені третьої особи, стосовно надання даної послуги клієнтам. Незначні негрошові вигоди, здатні підвищити якість послуги, надаваної клієнтові, обсяг і характер яких не дозволяє вважати, що вони можуть зашкодити виконанню інвестиційною фірмою </w:t>
            </w:r>
            <w:r w:rsidR="004121E0" w:rsidRPr="00BE1959">
              <w:rPr>
                <w:rFonts w:ascii="Times New Roman" w:eastAsia="Times New Roman" w:hAnsi="Times New Roman" w:cs="Times New Roman"/>
                <w:sz w:val="24"/>
                <w:szCs w:val="24"/>
                <w:lang w:val="uk-UA"/>
              </w:rPr>
              <w:t>обов’язку якнайкраще задовольняти інтереси клієнта, повинні бути чітко розкриті та в</w:t>
            </w:r>
            <w:r w:rsidRPr="00BE1959">
              <w:rPr>
                <w:rFonts w:ascii="Times New Roman" w:eastAsia="Times New Roman" w:hAnsi="Times New Roman" w:cs="Times New Roman"/>
                <w:sz w:val="24"/>
                <w:szCs w:val="24"/>
                <w:lang w:val="uk-UA"/>
              </w:rPr>
              <w:t>иключені з цього пункту.</w:t>
            </w:r>
          </w:p>
        </w:tc>
      </w:tr>
    </w:tbl>
    <w:p w:rsidR="005613AB" w:rsidRPr="00BE1959" w:rsidRDefault="005613AB" w:rsidP="00445498">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8.   </w:t>
      </w:r>
      <w:r w:rsidR="00D93DDD" w:rsidRPr="00BE1959">
        <w:rPr>
          <w:rFonts w:ascii="Times New Roman" w:eastAsia="Times New Roman" w:hAnsi="Times New Roman" w:cs="Times New Roman"/>
          <w:sz w:val="24"/>
          <w:szCs w:val="24"/>
          <w:lang w:val="uk-UA"/>
        </w:rPr>
        <w:t xml:space="preserve">При здійсненні управління портфелями інвестиційна фірма </w:t>
      </w:r>
      <w:r w:rsidR="000F1110" w:rsidRPr="00BE1959">
        <w:rPr>
          <w:rFonts w:ascii="Times New Roman" w:eastAsia="Times New Roman" w:hAnsi="Times New Roman" w:cs="Times New Roman"/>
          <w:sz w:val="24"/>
          <w:szCs w:val="24"/>
          <w:lang w:val="uk-UA"/>
        </w:rPr>
        <w:t xml:space="preserve">не приймає і не утримує гонорари, комісійні чи будь-які грошові або негрошові вигоди, сплачені чи надані третьою особою чи особою, діючою від імені третьої особи, стосовно надання даної послуги </w:t>
      </w:r>
      <w:r w:rsidR="000F1110" w:rsidRPr="00BE1959">
        <w:rPr>
          <w:rFonts w:ascii="Times New Roman" w:eastAsia="Times New Roman" w:hAnsi="Times New Roman" w:cs="Times New Roman"/>
          <w:sz w:val="24"/>
          <w:szCs w:val="24"/>
          <w:lang w:val="uk-UA"/>
        </w:rPr>
        <w:lastRenderedPageBreak/>
        <w:t>клієнтам. Незначні негрошові вигоди, здатні підвищити якість послуги, надаваної клієнтові, обсяг і характер яких не дозволяє вважати, що вони можуть зашкодити виконанню інвестиційною фірмою обов’язку якнайкраще задовольняти інтереси клієнта, повинні бути чітко розкриті та виключені з цього пункту.</w:t>
      </w:r>
    </w:p>
    <w:p w:rsidR="00445498"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9.   </w:t>
      </w:r>
      <w:r w:rsidR="001F5C90" w:rsidRPr="00BE1959">
        <w:rPr>
          <w:rFonts w:ascii="Times New Roman" w:eastAsia="Times New Roman" w:hAnsi="Times New Roman" w:cs="Times New Roman"/>
          <w:sz w:val="24"/>
          <w:szCs w:val="24"/>
          <w:lang w:val="uk-UA"/>
        </w:rPr>
        <w:t>Держави-члени</w:t>
      </w:r>
      <w:r w:rsidRPr="00BE1959">
        <w:rPr>
          <w:rFonts w:ascii="Times New Roman" w:eastAsia="Times New Roman" w:hAnsi="Times New Roman" w:cs="Times New Roman"/>
          <w:sz w:val="24"/>
          <w:szCs w:val="24"/>
          <w:lang w:val="uk-UA"/>
        </w:rPr>
        <w:t xml:space="preserve"> </w:t>
      </w:r>
      <w:r w:rsidR="005A13EF" w:rsidRPr="00BE1959">
        <w:rPr>
          <w:rFonts w:ascii="Times New Roman" w:eastAsia="Times New Roman" w:hAnsi="Times New Roman" w:cs="Times New Roman"/>
          <w:sz w:val="24"/>
          <w:szCs w:val="24"/>
          <w:lang w:val="uk-UA"/>
        </w:rPr>
        <w:t>забезпечують, щоб інвестиційні фірми вважалися такими, що не виконують свої зобов’язання за статтею 23 або за пунктом 1 цієї статті, якщо вони сплачують будь-які гонорари чи комісійні або надають будь-які негрошові вигоди у зв'язку з наданням інвестиційної послуги чи додаткової послуги</w:t>
      </w:r>
      <w:r w:rsidR="00DB0787" w:rsidRPr="00BE1959">
        <w:rPr>
          <w:rFonts w:ascii="Times New Roman" w:eastAsia="Times New Roman" w:hAnsi="Times New Roman" w:cs="Times New Roman"/>
          <w:sz w:val="24"/>
          <w:szCs w:val="24"/>
          <w:lang w:val="uk-UA"/>
        </w:rPr>
        <w:t xml:space="preserve"> будь-якій особі, крім клієнта чи особи від імені клієнта, або якщо якась особа, крім клієнта чи особи від імені клієнта, сплачує їм такі гонорари чи комісійні або надає будь-які такі негрошові вигоди, за винятком випадків, коли така виплата або вигода</w:t>
      </w:r>
      <w:r w:rsidR="00A36FDA" w:rsidRPr="00BE1959">
        <w:rPr>
          <w:rFonts w:ascii="Times New Roman" w:eastAsia="Times New Roman" w:hAnsi="Times New Roman" w:cs="Times New Roman"/>
          <w:sz w:val="24"/>
          <w:szCs w:val="24"/>
          <w:lang w:val="uk-UA"/>
        </w:rP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45"/>
        <w:gridCol w:w="902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A36FDA" w:rsidP="00A36FDA">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призначена для підвищення якості надання відповідної послуги клієнту;</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DE3173"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A36FDA" w:rsidP="001E71D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не шкодить </w:t>
            </w:r>
            <w:r w:rsidR="004121E0" w:rsidRPr="00BE1959">
              <w:rPr>
                <w:rFonts w:ascii="Times New Roman" w:eastAsia="Times New Roman" w:hAnsi="Times New Roman" w:cs="Times New Roman"/>
                <w:sz w:val="24"/>
                <w:szCs w:val="24"/>
                <w:lang w:val="uk-UA"/>
              </w:rPr>
              <w:t xml:space="preserve">виконанню інвестиційною фірмою обов’язку діяти чесно, справедливо і професійно </w:t>
            </w:r>
            <w:r w:rsidR="001E71DB" w:rsidRPr="00BE1959">
              <w:rPr>
                <w:rFonts w:ascii="Times New Roman" w:eastAsia="Times New Roman" w:hAnsi="Times New Roman" w:cs="Times New Roman"/>
                <w:sz w:val="24"/>
                <w:szCs w:val="24"/>
                <w:lang w:val="uk-UA"/>
              </w:rPr>
              <w:t>згідно</w:t>
            </w:r>
            <w:r w:rsidR="004121E0" w:rsidRPr="00BE1959">
              <w:rPr>
                <w:rFonts w:ascii="Times New Roman" w:eastAsia="Times New Roman" w:hAnsi="Times New Roman" w:cs="Times New Roman"/>
                <w:sz w:val="24"/>
                <w:szCs w:val="24"/>
                <w:lang w:val="uk-UA"/>
              </w:rPr>
              <w:t xml:space="preserve"> з якнайкращими інтересами її клієнтів.</w:t>
            </w:r>
          </w:p>
        </w:tc>
      </w:tr>
    </w:tbl>
    <w:p w:rsidR="00CE0572" w:rsidRPr="00BE1959" w:rsidRDefault="00CE0572"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Існування, характер і сума виплати або вигоди, згаданої у першому абзаці</w:t>
      </w:r>
      <w:r w:rsidR="00CD4A15" w:rsidRPr="00BE1959">
        <w:rPr>
          <w:rFonts w:ascii="Times New Roman" w:eastAsia="Times New Roman" w:hAnsi="Times New Roman" w:cs="Times New Roman"/>
          <w:sz w:val="24"/>
          <w:szCs w:val="24"/>
          <w:lang w:val="uk-UA"/>
        </w:rPr>
        <w:t xml:space="preserve">, або, де суму неможливо встановити, метод розрахунку цієї суми, повинні </w:t>
      </w:r>
      <w:r w:rsidR="007840A0" w:rsidRPr="00BE1959">
        <w:rPr>
          <w:rFonts w:ascii="Times New Roman" w:eastAsia="Times New Roman" w:hAnsi="Times New Roman" w:cs="Times New Roman"/>
          <w:sz w:val="24"/>
          <w:szCs w:val="24"/>
          <w:lang w:val="uk-UA"/>
        </w:rPr>
        <w:t>чітко повідомлятися клієнтові у вичерпний, точний та зрозумілий спосіб, до надання відповідної інвестиційної або додаткової послуги. Де доречно, інвестиційна фірма також інформує клієнта про механізми передачі клієнтові гонорару, комісійних, грошової чи негрошової вигоди, отриманих у зв'язку з наданням цієї інвестиційної чи додаткової послуги.</w:t>
      </w:r>
    </w:p>
    <w:p w:rsidR="005613AB" w:rsidRPr="00BE1959" w:rsidRDefault="007840A0" w:rsidP="001E71D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Виплата або вигода, яка забезпечує надання інвестиційних послуг або є необхідною для надання інвестиційних послуг, як-от </w:t>
      </w:r>
      <w:r w:rsidR="00444FB9" w:rsidRPr="00BE1959">
        <w:rPr>
          <w:rFonts w:ascii="Times New Roman" w:eastAsia="Times New Roman" w:hAnsi="Times New Roman" w:cs="Times New Roman"/>
          <w:sz w:val="24"/>
          <w:szCs w:val="24"/>
          <w:lang w:val="uk-UA"/>
        </w:rPr>
        <w:t xml:space="preserve">витрати на зберігання, комісія за розрахункове обслуговування та збір за обмін валюти, регуляторні збори та </w:t>
      </w:r>
      <w:r w:rsidR="00DD2683" w:rsidRPr="00BE1959">
        <w:rPr>
          <w:rFonts w:ascii="Times New Roman" w:eastAsia="Times New Roman" w:hAnsi="Times New Roman" w:cs="Times New Roman"/>
          <w:sz w:val="24"/>
          <w:szCs w:val="24"/>
          <w:lang w:val="uk-UA"/>
        </w:rPr>
        <w:t>витрати на юридичний супровід, і яка за своїм характером не може викликати конфлікт з обов’язк</w:t>
      </w:r>
      <w:r w:rsidR="001E71DB" w:rsidRPr="00BE1959">
        <w:rPr>
          <w:rFonts w:ascii="Times New Roman" w:eastAsia="Times New Roman" w:hAnsi="Times New Roman" w:cs="Times New Roman"/>
          <w:sz w:val="24"/>
          <w:szCs w:val="24"/>
          <w:lang w:val="uk-UA"/>
        </w:rPr>
        <w:t>ом</w:t>
      </w:r>
      <w:r w:rsidR="00DD2683" w:rsidRPr="00BE1959">
        <w:rPr>
          <w:rFonts w:ascii="Times New Roman" w:eastAsia="Times New Roman" w:hAnsi="Times New Roman" w:cs="Times New Roman"/>
          <w:sz w:val="24"/>
          <w:szCs w:val="24"/>
          <w:lang w:val="uk-UA"/>
        </w:rPr>
        <w:t xml:space="preserve"> інвестиційної фірми</w:t>
      </w:r>
      <w:r w:rsidR="00CB49B9" w:rsidRPr="00BE1959">
        <w:rPr>
          <w:rFonts w:ascii="Times New Roman" w:eastAsia="Times New Roman" w:hAnsi="Times New Roman" w:cs="Times New Roman"/>
          <w:sz w:val="24"/>
          <w:szCs w:val="24"/>
          <w:lang w:val="uk-UA"/>
        </w:rPr>
        <w:t xml:space="preserve"> діяти чесно, справедливо та професійно згідно з якнайкращими інтересами її клієнтів</w:t>
      </w:r>
      <w:r w:rsidR="001E71DB" w:rsidRPr="00BE1959">
        <w:rPr>
          <w:rFonts w:ascii="Times New Roman" w:eastAsia="Times New Roman" w:hAnsi="Times New Roman" w:cs="Times New Roman"/>
          <w:sz w:val="24"/>
          <w:szCs w:val="24"/>
          <w:lang w:val="uk-UA"/>
        </w:rPr>
        <w:t>, не підпадає під дію вимог, викладених у першому абзаці.</w:t>
      </w:r>
    </w:p>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10.   </w:t>
      </w:r>
      <w:r w:rsidR="00324053" w:rsidRPr="00BE1959">
        <w:rPr>
          <w:rFonts w:ascii="Times New Roman" w:eastAsia="Times New Roman" w:hAnsi="Times New Roman" w:cs="Times New Roman"/>
          <w:sz w:val="24"/>
          <w:szCs w:val="24"/>
          <w:lang w:val="uk-UA"/>
        </w:rPr>
        <w:t>Інвестиційна фірма</w:t>
      </w:r>
      <w:r w:rsidR="00E40E76" w:rsidRPr="00BE1959">
        <w:rPr>
          <w:rFonts w:ascii="Times New Roman" w:eastAsia="Times New Roman" w:hAnsi="Times New Roman" w:cs="Times New Roman"/>
          <w:sz w:val="24"/>
          <w:szCs w:val="24"/>
          <w:lang w:val="uk-UA"/>
        </w:rPr>
        <w:t>, яка надає інвестиційн</w:t>
      </w:r>
      <w:r w:rsidR="00D039C7" w:rsidRPr="00BE1959">
        <w:rPr>
          <w:rFonts w:ascii="Times New Roman" w:eastAsia="Times New Roman" w:hAnsi="Times New Roman" w:cs="Times New Roman"/>
          <w:sz w:val="24"/>
          <w:szCs w:val="24"/>
          <w:lang w:val="uk-UA"/>
        </w:rPr>
        <w:t xml:space="preserve">і послуги клієнтам, не оплачує і не оцінює результати праці свого персоналу </w:t>
      </w:r>
      <w:r w:rsidR="001873E5" w:rsidRPr="00BE1959">
        <w:rPr>
          <w:rFonts w:ascii="Times New Roman" w:eastAsia="Times New Roman" w:hAnsi="Times New Roman" w:cs="Times New Roman"/>
          <w:sz w:val="24"/>
          <w:szCs w:val="24"/>
          <w:lang w:val="uk-UA"/>
        </w:rPr>
        <w:t xml:space="preserve">у спосіб, що суперечить обов’язку фірми якнайкраще задовольняти інтереси своїх клієнтів. Зокрема, вона не запроваджує жодних </w:t>
      </w:r>
      <w:r w:rsidR="00297A64" w:rsidRPr="00BE1959">
        <w:rPr>
          <w:rFonts w:ascii="Times New Roman" w:eastAsia="Times New Roman" w:hAnsi="Times New Roman" w:cs="Times New Roman"/>
          <w:sz w:val="24"/>
          <w:szCs w:val="24"/>
          <w:lang w:val="uk-UA"/>
        </w:rPr>
        <w:t>систем на основі</w:t>
      </w:r>
      <w:r w:rsidR="001873E5" w:rsidRPr="00BE1959">
        <w:rPr>
          <w:rFonts w:ascii="Times New Roman" w:eastAsia="Times New Roman" w:hAnsi="Times New Roman" w:cs="Times New Roman"/>
          <w:sz w:val="24"/>
          <w:szCs w:val="24"/>
          <w:lang w:val="uk-UA"/>
        </w:rPr>
        <w:t xml:space="preserve"> виплати винагороди, постановки завдань із реалізації продуктів </w:t>
      </w:r>
      <w:r w:rsidR="00297A64" w:rsidRPr="00BE1959">
        <w:rPr>
          <w:rFonts w:ascii="Times New Roman" w:eastAsia="Times New Roman" w:hAnsi="Times New Roman" w:cs="Times New Roman"/>
          <w:sz w:val="24"/>
          <w:szCs w:val="24"/>
          <w:lang w:val="uk-UA"/>
        </w:rPr>
        <w:t>тощо</w:t>
      </w:r>
      <w:r w:rsidR="001873E5" w:rsidRPr="00BE1959">
        <w:rPr>
          <w:rFonts w:ascii="Times New Roman" w:eastAsia="Times New Roman" w:hAnsi="Times New Roman" w:cs="Times New Roman"/>
          <w:sz w:val="24"/>
          <w:szCs w:val="24"/>
          <w:lang w:val="uk-UA"/>
        </w:rPr>
        <w:t xml:space="preserve">, </w:t>
      </w:r>
      <w:r w:rsidR="00297A64" w:rsidRPr="00BE1959">
        <w:rPr>
          <w:rFonts w:ascii="Times New Roman" w:eastAsia="Times New Roman" w:hAnsi="Times New Roman" w:cs="Times New Roman"/>
          <w:sz w:val="24"/>
          <w:szCs w:val="24"/>
          <w:lang w:val="uk-UA"/>
        </w:rPr>
        <w:t>які могли б створити</w:t>
      </w:r>
      <w:r w:rsidR="001873E5" w:rsidRPr="00BE1959">
        <w:rPr>
          <w:rFonts w:ascii="Times New Roman" w:eastAsia="Times New Roman" w:hAnsi="Times New Roman" w:cs="Times New Roman"/>
          <w:sz w:val="24"/>
          <w:szCs w:val="24"/>
          <w:lang w:val="uk-UA"/>
        </w:rPr>
        <w:t xml:space="preserve"> </w:t>
      </w:r>
      <w:r w:rsidR="00297A64" w:rsidRPr="00BE1959">
        <w:rPr>
          <w:rFonts w:ascii="Times New Roman" w:eastAsia="Times New Roman" w:hAnsi="Times New Roman" w:cs="Times New Roman"/>
          <w:sz w:val="24"/>
          <w:szCs w:val="24"/>
          <w:lang w:val="uk-UA"/>
        </w:rPr>
        <w:t xml:space="preserve">для персоналу </w:t>
      </w:r>
      <w:r w:rsidR="001873E5" w:rsidRPr="00BE1959">
        <w:rPr>
          <w:rFonts w:ascii="Times New Roman" w:eastAsia="Times New Roman" w:hAnsi="Times New Roman" w:cs="Times New Roman"/>
          <w:sz w:val="24"/>
          <w:szCs w:val="24"/>
          <w:lang w:val="uk-UA"/>
        </w:rPr>
        <w:t>стимул для рекомендування</w:t>
      </w:r>
      <w:r w:rsidR="00297A64" w:rsidRPr="00BE1959">
        <w:rPr>
          <w:rFonts w:ascii="Times New Roman" w:eastAsia="Times New Roman" w:hAnsi="Times New Roman" w:cs="Times New Roman"/>
          <w:sz w:val="24"/>
          <w:szCs w:val="24"/>
          <w:lang w:val="uk-UA"/>
        </w:rPr>
        <w:t xml:space="preserve"> </w:t>
      </w:r>
      <w:r w:rsidR="001873E5" w:rsidRPr="00BE1959">
        <w:rPr>
          <w:rFonts w:ascii="Times New Roman" w:eastAsia="Times New Roman" w:hAnsi="Times New Roman" w:cs="Times New Roman"/>
          <w:sz w:val="24"/>
          <w:szCs w:val="24"/>
          <w:lang w:val="uk-UA"/>
        </w:rPr>
        <w:t>конкретного фінансового інструменту</w:t>
      </w:r>
      <w:r w:rsidR="00297A64" w:rsidRPr="00BE1959">
        <w:rPr>
          <w:rFonts w:ascii="Times New Roman" w:eastAsia="Times New Roman" w:hAnsi="Times New Roman" w:cs="Times New Roman"/>
          <w:sz w:val="24"/>
          <w:szCs w:val="24"/>
          <w:lang w:val="uk-UA"/>
        </w:rPr>
        <w:t xml:space="preserve"> роздрібному клієнтові</w:t>
      </w:r>
      <w:r w:rsidR="001873E5" w:rsidRPr="00BE1959">
        <w:rPr>
          <w:rFonts w:ascii="Times New Roman" w:eastAsia="Times New Roman" w:hAnsi="Times New Roman" w:cs="Times New Roman"/>
          <w:sz w:val="24"/>
          <w:szCs w:val="24"/>
          <w:lang w:val="uk-UA"/>
        </w:rPr>
        <w:t xml:space="preserve">, у той час як </w:t>
      </w:r>
      <w:r w:rsidR="00C00A63" w:rsidRPr="00BE1959">
        <w:rPr>
          <w:rFonts w:ascii="Times New Roman" w:eastAsia="Times New Roman" w:hAnsi="Times New Roman" w:cs="Times New Roman"/>
          <w:sz w:val="24"/>
          <w:szCs w:val="24"/>
          <w:lang w:val="uk-UA"/>
        </w:rPr>
        <w:t>інвестиційна фірма може запропонувати інший фінансовий інструмент, який краще задовольнив би потреби клієнта</w:t>
      </w:r>
      <w:r w:rsidRPr="00BE1959">
        <w:rPr>
          <w:rFonts w:ascii="Times New Roman" w:eastAsia="Times New Roman" w:hAnsi="Times New Roman" w:cs="Times New Roman"/>
          <w:sz w:val="24"/>
          <w:szCs w:val="24"/>
          <w:lang w:val="uk-UA"/>
        </w:rPr>
        <w:t>.</w:t>
      </w:r>
    </w:p>
    <w:p w:rsidR="005613AB" w:rsidRPr="00BE1959" w:rsidRDefault="005613AB" w:rsidP="00CF718D">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11.   </w:t>
      </w:r>
      <w:r w:rsidR="003A086F" w:rsidRPr="00BE1959">
        <w:rPr>
          <w:rFonts w:ascii="Times New Roman" w:eastAsia="Times New Roman" w:hAnsi="Times New Roman" w:cs="Times New Roman"/>
          <w:sz w:val="24"/>
          <w:szCs w:val="24"/>
          <w:lang w:val="uk-UA"/>
        </w:rPr>
        <w:t xml:space="preserve">Якщо інвестиційна послуга пропонується разом з іншою </w:t>
      </w:r>
      <w:r w:rsidR="00CF718D" w:rsidRPr="00BE1959">
        <w:rPr>
          <w:rFonts w:ascii="Times New Roman" w:eastAsia="Times New Roman" w:hAnsi="Times New Roman" w:cs="Times New Roman"/>
          <w:sz w:val="24"/>
          <w:szCs w:val="24"/>
          <w:lang w:val="uk-UA"/>
        </w:rPr>
        <w:t>послугою чи продуктом у складі пакету або як умова для придбання цієї ж угоди чи пакету, то інвестиційна фірма інформує клієнта про те, чи можливо купити різні компоненти окремо, і надає окреме підтвердження витрат і зборів щодо кожного компонента.</w:t>
      </w:r>
    </w:p>
    <w:p w:rsidR="005613AB" w:rsidRPr="00BE1959" w:rsidRDefault="00CF718D" w:rsidP="00EA3B7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lastRenderedPageBreak/>
        <w:t xml:space="preserve">Якщо ризики, що виникають у результаті такої угоди чи пакету, пропонованих роздрібному клієнтові, можуть відрізнятися від ризиків, пов'язаних із компонентами, взятими окремо, то інвестиційна фірма надає належний опис різних компонентів угоди чи пакету і способу, в який </w:t>
      </w:r>
      <w:r w:rsidR="00EA3B7B" w:rsidRPr="00BE1959">
        <w:rPr>
          <w:rFonts w:ascii="Times New Roman" w:eastAsia="Times New Roman" w:hAnsi="Times New Roman" w:cs="Times New Roman"/>
          <w:sz w:val="24"/>
          <w:szCs w:val="24"/>
          <w:lang w:val="uk-UA"/>
        </w:rPr>
        <w:t>їхня взаємодія змінює вищезазначені ризики.</w:t>
      </w:r>
    </w:p>
    <w:p w:rsidR="005613AB" w:rsidRPr="00BE1959" w:rsidRDefault="005613AB" w:rsidP="00C560D4">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ESMA</w:t>
      </w:r>
      <w:r w:rsidR="00EA3B7B" w:rsidRPr="00BE1959">
        <w:rPr>
          <w:rFonts w:ascii="Times New Roman" w:eastAsia="Times New Roman" w:hAnsi="Times New Roman" w:cs="Times New Roman"/>
          <w:sz w:val="24"/>
          <w:szCs w:val="24"/>
          <w:lang w:val="uk-UA"/>
        </w:rPr>
        <w:t xml:space="preserve"> спільно з </w:t>
      </w:r>
      <w:r w:rsidRPr="00BE1959">
        <w:rPr>
          <w:rFonts w:ascii="Times New Roman" w:eastAsia="Times New Roman" w:hAnsi="Times New Roman" w:cs="Times New Roman"/>
          <w:sz w:val="24"/>
          <w:szCs w:val="24"/>
          <w:lang w:val="uk-UA"/>
        </w:rPr>
        <w:t xml:space="preserve">EBA </w:t>
      </w:r>
      <w:r w:rsidR="00EA3B7B" w:rsidRPr="00BE1959">
        <w:rPr>
          <w:rFonts w:ascii="Times New Roman" w:eastAsia="Times New Roman" w:hAnsi="Times New Roman" w:cs="Times New Roman"/>
          <w:sz w:val="24"/>
          <w:szCs w:val="24"/>
          <w:lang w:val="uk-UA"/>
        </w:rPr>
        <w:t>та</w:t>
      </w:r>
      <w:r w:rsidRPr="00BE1959">
        <w:rPr>
          <w:rFonts w:ascii="Times New Roman" w:eastAsia="Times New Roman" w:hAnsi="Times New Roman" w:cs="Times New Roman"/>
          <w:sz w:val="24"/>
          <w:szCs w:val="24"/>
          <w:lang w:val="uk-UA"/>
        </w:rPr>
        <w:t xml:space="preserve"> EIOPA</w:t>
      </w:r>
      <w:r w:rsidR="00EA3B7B" w:rsidRPr="00BE1959">
        <w:rPr>
          <w:rFonts w:ascii="Times New Roman" w:eastAsia="Times New Roman" w:hAnsi="Times New Roman" w:cs="Times New Roman"/>
          <w:sz w:val="24"/>
          <w:szCs w:val="24"/>
          <w:lang w:val="uk-UA"/>
        </w:rPr>
        <w:t xml:space="preserve"> до </w:t>
      </w:r>
      <w:r w:rsidR="00F94F96" w:rsidRPr="00BE1959">
        <w:rPr>
          <w:rFonts w:ascii="Times New Roman" w:eastAsia="Times New Roman" w:hAnsi="Times New Roman" w:cs="Times New Roman"/>
          <w:sz w:val="24"/>
          <w:szCs w:val="24"/>
          <w:lang w:val="uk-UA"/>
        </w:rPr>
        <w:t>3 січня 2016 року розробляє, а потім періодично переглядає настанови з оцінювання та нагляду за практикою перехресних продажів,</w:t>
      </w:r>
      <w:r w:rsidR="00EA3B7B" w:rsidRPr="00BE1959">
        <w:rPr>
          <w:rFonts w:ascii="Times New Roman" w:eastAsia="Times New Roman" w:hAnsi="Times New Roman" w:cs="Times New Roman"/>
          <w:sz w:val="24"/>
          <w:szCs w:val="24"/>
          <w:lang w:val="uk-UA"/>
        </w:rPr>
        <w:t xml:space="preserve"> зазначаючи, зокрема </w:t>
      </w:r>
      <w:r w:rsidR="00C560D4" w:rsidRPr="00BE1959">
        <w:rPr>
          <w:rFonts w:ascii="Times New Roman" w:eastAsia="Times New Roman" w:hAnsi="Times New Roman" w:cs="Times New Roman"/>
          <w:sz w:val="24"/>
          <w:szCs w:val="24"/>
          <w:lang w:val="uk-UA"/>
        </w:rPr>
        <w:t>ситуації, в яких практика перехресних продажів не відповідає зобов’язанням, викладеним у пункті 1.</w:t>
      </w:r>
    </w:p>
    <w:p w:rsidR="005613AB" w:rsidRPr="00BE1959" w:rsidRDefault="005613AB" w:rsidP="00C87244">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12.   </w:t>
      </w:r>
      <w:r w:rsidR="00C87244" w:rsidRPr="00BE1959">
        <w:rPr>
          <w:rFonts w:ascii="Times New Roman" w:eastAsia="Times New Roman" w:hAnsi="Times New Roman" w:cs="Times New Roman"/>
          <w:sz w:val="24"/>
          <w:szCs w:val="24"/>
          <w:lang w:val="uk-UA"/>
        </w:rPr>
        <w:t>Держави-члени можуть у виняткових випадках установлювати додаткові вимоги до інвестиційних стосовно питань, охоплених цією статтею. Такі вимоги повинні бути об’єктивно виправдані та сумірні з тим, щоб усувати конкретні ризики для захисту інвесторів або для цілісності ринку, що мають особливу важливість в обставинах ринкової структури даної держави-члена.</w:t>
      </w:r>
    </w:p>
    <w:p w:rsidR="00190966" w:rsidRPr="00BE1959" w:rsidRDefault="00190966" w:rsidP="00190966">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Держави-члени без неналежної затримки повідомляють Комісію про всі вимоги, які вони планують установити відповідно до цього пункту, причому як мінімум за два місяці до визначеної дати набрання чинності такою вимогою. Повідомлення містить обґрунтування такої вимоги. Усі такі додаткові вимоги не повинні обмежувати чи в інший спосіб впливати на права інвестиційних фірм за статтями 34 та 35.</w:t>
      </w:r>
    </w:p>
    <w:p w:rsidR="00190966" w:rsidRPr="00BE1959" w:rsidRDefault="00190966" w:rsidP="00190966">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У двомісячний термін після повідомлення, згаданого у другому абзаці, Комісія надає свій висновок щодо сумірності та обґрунтованості додаткових вимог.</w:t>
      </w:r>
    </w:p>
    <w:p w:rsidR="00190966" w:rsidRPr="00BE1959" w:rsidRDefault="00190966" w:rsidP="00190966">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Держави-члени можуть залишити в силі додаткові вимоги за умови, що ці вимоги були повідомлені Комісії відповідно до статті 4 Директиви 2006/73/EC до 2 липня 2014 року, а умови, викладені у цій статті, виконані.</w:t>
      </w:r>
    </w:p>
    <w:p w:rsidR="00190966" w:rsidRPr="00BE1959" w:rsidRDefault="00190966" w:rsidP="00190966">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Комісія доводить до відома держав-членів і оприлюднює на своєму веб-сайті додаткові вимоги, встановлені згідно з цим пунктом.</w:t>
      </w:r>
    </w:p>
    <w:p w:rsidR="00190966" w:rsidRPr="00BE1959" w:rsidRDefault="00190966"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Держави-члени можуть залишити в силі додаткові вимоги за умови, що ці вимоги були повідомлені Комісії відповідно до статті 4 Директиви 2006/73/EC до 2 липня 2014 року, а умови, викладені у цій статті, виконані.</w:t>
      </w:r>
    </w:p>
    <w:p w:rsidR="005613AB" w:rsidRPr="00BE1959" w:rsidRDefault="005613AB" w:rsidP="00BB10CE">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13.   </w:t>
      </w:r>
      <w:r w:rsidR="00BB10CE" w:rsidRPr="00BE1959">
        <w:rPr>
          <w:rFonts w:ascii="Times New Roman" w:eastAsia="Times New Roman" w:hAnsi="Times New Roman" w:cs="Times New Roman"/>
          <w:sz w:val="24"/>
          <w:szCs w:val="24"/>
          <w:lang w:val="uk-UA"/>
        </w:rPr>
        <w:t>Комісії надається повноваження на прийняття делегованих актів відповідно до статті 89, які повинні забезпечити дотримання інвестиційними фірмами принципів, викладених у цій статті, при наданні інвестиційних або додаткових послуг своїм клієнтам, зокрема:</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9093"/>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BB10CE" w:rsidP="004C77F9">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умов, </w:t>
            </w:r>
            <w:r w:rsidR="004C77F9" w:rsidRPr="00BE1959">
              <w:rPr>
                <w:rFonts w:ascii="Times New Roman" w:eastAsia="Times New Roman" w:hAnsi="Times New Roman" w:cs="Times New Roman"/>
                <w:sz w:val="24"/>
                <w:szCs w:val="24"/>
                <w:lang w:val="uk-UA"/>
              </w:rPr>
              <w:t>яким повинна відповідати інформація, щоб вважатися об’єктивною, зрозумілою й не такою, що не вводить в оману;</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4C77F9" w:rsidP="00D83FB6">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деталей щодо змісту та формату інформації, надаваної клієнтам стосовно класифікації клієнтів, інвестиційних фірм та їхніх послуг, фінансових інструментів, витрат і </w:t>
            </w:r>
            <w:r w:rsidR="00D83FB6" w:rsidRPr="00BE1959">
              <w:rPr>
                <w:rFonts w:ascii="Times New Roman" w:eastAsia="Times New Roman" w:hAnsi="Times New Roman" w:cs="Times New Roman"/>
                <w:sz w:val="24"/>
                <w:szCs w:val="24"/>
                <w:lang w:val="uk-UA"/>
              </w:rPr>
              <w:t>зборів;</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25"/>
        <w:gridCol w:w="904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D83FB6" w:rsidP="00D83FB6">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критеріїв оцінки номенклатури фінансових інструментів, наявних на ринку;</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DE3173"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lastRenderedPageBreak/>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D83FB6" w:rsidP="00CB49B9">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критеріїв оцінки дотримання фірмами, що отримують зао</w:t>
            </w:r>
            <w:r w:rsidR="00CB49B9" w:rsidRPr="00BE1959">
              <w:rPr>
                <w:rFonts w:ascii="Times New Roman" w:eastAsia="Times New Roman" w:hAnsi="Times New Roman" w:cs="Times New Roman"/>
                <w:sz w:val="24"/>
                <w:szCs w:val="24"/>
                <w:lang w:val="uk-UA"/>
              </w:rPr>
              <w:t>хочення, обов’язку діяти чесно, справедливо та професійно згідно з якнайкращими інтересами її клієнтів.</w:t>
            </w:r>
          </w:p>
        </w:tc>
      </w:tr>
    </w:tbl>
    <w:p w:rsidR="005613AB" w:rsidRPr="00BE1959" w:rsidRDefault="00CB49B9" w:rsidP="00677D94">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Формулюючи вимоги до інформації щодо фінансових інструментів у зв'язку з пп. b пункту 4</w:t>
      </w:r>
      <w:r w:rsidR="00677D94" w:rsidRPr="00BE1959">
        <w:rPr>
          <w:rFonts w:ascii="Times New Roman" w:eastAsia="Times New Roman" w:hAnsi="Times New Roman" w:cs="Times New Roman"/>
          <w:sz w:val="24"/>
          <w:szCs w:val="24"/>
          <w:lang w:val="uk-UA"/>
        </w:rPr>
        <w:t>, необхідно охоплювати інформацію про структуру продукту, де це доречно, враховуючи всю актуальну стандартну інформацію, потрібну згідно з законодавством Союзу</w:t>
      </w:r>
      <w:r w:rsidR="005613AB" w:rsidRPr="00BE1959">
        <w:rPr>
          <w:rFonts w:ascii="Times New Roman" w:eastAsia="Times New Roman" w:hAnsi="Times New Roman" w:cs="Times New Roman"/>
          <w:sz w:val="24"/>
          <w:szCs w:val="24"/>
          <w:lang w:val="uk-UA"/>
        </w:rPr>
        <w:t>.</w:t>
      </w:r>
    </w:p>
    <w:p w:rsidR="005613AB" w:rsidRPr="00BE1959" w:rsidRDefault="005613AB" w:rsidP="00677D94">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14.   </w:t>
      </w:r>
      <w:r w:rsidR="00677D94" w:rsidRPr="00BE1959">
        <w:rPr>
          <w:rFonts w:ascii="Times New Roman" w:eastAsia="Times New Roman" w:hAnsi="Times New Roman" w:cs="Times New Roman"/>
          <w:sz w:val="24"/>
          <w:szCs w:val="24"/>
          <w:lang w:val="uk-UA"/>
        </w:rPr>
        <w:t>Делеговані акти, згадані у п. 13, ураховують:</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9093"/>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476A0C" w:rsidP="008E04C0">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характер послуги або послуг, що пропонуються чи надаються фактичному чи потенційному клієнту, з урахуванням типу, </w:t>
            </w:r>
            <w:r w:rsidR="008E04C0" w:rsidRPr="00BE1959">
              <w:rPr>
                <w:rFonts w:ascii="Times New Roman" w:eastAsia="Times New Roman" w:hAnsi="Times New Roman" w:cs="Times New Roman"/>
                <w:sz w:val="24"/>
                <w:szCs w:val="24"/>
                <w:lang w:val="uk-UA"/>
              </w:rPr>
              <w:t>предме</w:t>
            </w:r>
            <w:r w:rsidRPr="00BE1959">
              <w:rPr>
                <w:rFonts w:ascii="Times New Roman" w:eastAsia="Times New Roman" w:hAnsi="Times New Roman" w:cs="Times New Roman"/>
                <w:sz w:val="24"/>
                <w:szCs w:val="24"/>
                <w:lang w:val="uk-UA"/>
              </w:rPr>
              <w:t>ту, розміру та частоти угод;</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476A0C" w:rsidP="002005AD">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характер і номенклатуру продуктів, що пропонуються або розглядаються, зокрема різні типи фінансових інструментів;</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9093"/>
      </w:tblGrid>
      <w:tr w:rsidR="00DE3173"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476A0C" w:rsidP="002005AD">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роздрібний чи професійний характер фактичних чи потенційних клієнтів або, у випадку пунктів 4 та 5, їхню класифікацію як правомочних контрагентів.</w:t>
            </w:r>
          </w:p>
        </w:tc>
      </w:tr>
    </w:tbl>
    <w:p w:rsidR="005613AB" w:rsidRPr="00BE1959" w:rsidRDefault="00162A11" w:rsidP="005613AB">
      <w:pPr>
        <w:spacing w:before="360" w:after="120" w:line="312" w:lineRule="atLeast"/>
        <w:jc w:val="center"/>
        <w:textAlignment w:val="baseline"/>
        <w:rPr>
          <w:rFonts w:ascii="Times New Roman" w:eastAsia="Times New Roman" w:hAnsi="Times New Roman" w:cs="Times New Roman"/>
          <w:i/>
          <w:iCs/>
          <w:sz w:val="24"/>
          <w:szCs w:val="24"/>
          <w:lang w:val="uk-UA"/>
        </w:rPr>
      </w:pPr>
      <w:r w:rsidRPr="00BE1959">
        <w:rPr>
          <w:rFonts w:ascii="Times New Roman" w:eastAsia="Times New Roman" w:hAnsi="Times New Roman" w:cs="Times New Roman"/>
          <w:i/>
          <w:iCs/>
          <w:sz w:val="24"/>
          <w:szCs w:val="24"/>
          <w:lang w:val="uk-UA"/>
        </w:rPr>
        <w:t>Стаття</w:t>
      </w:r>
      <w:r w:rsidR="005613AB" w:rsidRPr="00BE1959">
        <w:rPr>
          <w:rFonts w:ascii="Times New Roman" w:eastAsia="Times New Roman" w:hAnsi="Times New Roman" w:cs="Times New Roman"/>
          <w:i/>
          <w:iCs/>
          <w:sz w:val="24"/>
          <w:szCs w:val="24"/>
          <w:lang w:val="uk-UA"/>
        </w:rPr>
        <w:t xml:space="preserve"> 25</w:t>
      </w:r>
    </w:p>
    <w:p w:rsidR="005613AB" w:rsidRPr="00BE1959" w:rsidRDefault="00415CBF" w:rsidP="00415CBF">
      <w:pPr>
        <w:spacing w:before="60" w:after="120" w:line="312" w:lineRule="atLeast"/>
        <w:jc w:val="center"/>
        <w:textAlignment w:val="baseline"/>
        <w:rPr>
          <w:rFonts w:ascii="Times New Roman" w:eastAsia="Times New Roman" w:hAnsi="Times New Roman" w:cs="Times New Roman"/>
          <w:b/>
          <w:bCs/>
          <w:sz w:val="24"/>
          <w:szCs w:val="24"/>
          <w:lang w:val="uk-UA"/>
        </w:rPr>
      </w:pPr>
      <w:r w:rsidRPr="00BE1959">
        <w:rPr>
          <w:rFonts w:ascii="Times New Roman" w:eastAsia="Times New Roman" w:hAnsi="Times New Roman" w:cs="Times New Roman"/>
          <w:b/>
          <w:bCs/>
          <w:sz w:val="24"/>
          <w:szCs w:val="24"/>
          <w:lang w:val="uk-UA"/>
        </w:rPr>
        <w:t>Оцінка відповідності й доречності та звітування перед клієнтами</w:t>
      </w:r>
    </w:p>
    <w:p w:rsidR="005613AB" w:rsidRPr="00BE1959" w:rsidRDefault="005613AB" w:rsidP="00986966">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1.   </w:t>
      </w:r>
      <w:r w:rsidR="001F5C90" w:rsidRPr="00BE1959">
        <w:rPr>
          <w:rFonts w:ascii="Times New Roman" w:eastAsia="Times New Roman" w:hAnsi="Times New Roman" w:cs="Times New Roman"/>
          <w:sz w:val="24"/>
          <w:szCs w:val="24"/>
          <w:lang w:val="uk-UA"/>
        </w:rPr>
        <w:t>Держави-члени</w:t>
      </w:r>
      <w:r w:rsidRPr="00BE1959">
        <w:rPr>
          <w:rFonts w:ascii="Times New Roman" w:eastAsia="Times New Roman" w:hAnsi="Times New Roman" w:cs="Times New Roman"/>
          <w:sz w:val="24"/>
          <w:szCs w:val="24"/>
          <w:lang w:val="uk-UA"/>
        </w:rPr>
        <w:t xml:space="preserve"> </w:t>
      </w:r>
      <w:r w:rsidR="00415CBF" w:rsidRPr="00BE1959">
        <w:rPr>
          <w:rFonts w:ascii="Times New Roman" w:eastAsia="Times New Roman" w:hAnsi="Times New Roman" w:cs="Times New Roman"/>
          <w:sz w:val="24"/>
          <w:szCs w:val="24"/>
          <w:lang w:val="uk-UA"/>
        </w:rPr>
        <w:t>вимагають, що інвестиційні фірми забезпечили</w:t>
      </w:r>
      <w:r w:rsidR="008268A9" w:rsidRPr="00BE1959">
        <w:rPr>
          <w:rFonts w:ascii="Times New Roman" w:eastAsia="Times New Roman" w:hAnsi="Times New Roman" w:cs="Times New Roman"/>
          <w:sz w:val="24"/>
          <w:szCs w:val="24"/>
          <w:lang w:val="uk-UA"/>
        </w:rPr>
        <w:t xml:space="preserve"> та на вимогу компетентних органів продемонстрували їм, що фізичні особи</w:t>
      </w:r>
      <w:r w:rsidR="00986966" w:rsidRPr="00BE1959">
        <w:rPr>
          <w:rFonts w:ascii="Times New Roman" w:eastAsia="Times New Roman" w:hAnsi="Times New Roman" w:cs="Times New Roman"/>
          <w:sz w:val="24"/>
          <w:szCs w:val="24"/>
          <w:lang w:val="uk-UA"/>
        </w:rPr>
        <w:t>, які надають інвестиційні поради або інформацію про фінансові інструменти, інвестиційні послуги або додаткові послуги клієнтам від імені інвестиційної фірми, володіють необхідними знаннями та компетентністю для виконання своїх обов’язків за статтею 24 і цією статтею</w:t>
      </w:r>
      <w:r w:rsidRPr="00BE1959">
        <w:rPr>
          <w:rFonts w:ascii="Times New Roman" w:eastAsia="Times New Roman" w:hAnsi="Times New Roman" w:cs="Times New Roman"/>
          <w:sz w:val="24"/>
          <w:szCs w:val="24"/>
          <w:lang w:val="uk-UA"/>
        </w:rPr>
        <w:t xml:space="preserve">. </w:t>
      </w:r>
      <w:r w:rsidR="001F5C90" w:rsidRPr="00BE1959">
        <w:rPr>
          <w:rFonts w:ascii="Times New Roman" w:eastAsia="Times New Roman" w:hAnsi="Times New Roman" w:cs="Times New Roman"/>
          <w:sz w:val="24"/>
          <w:szCs w:val="24"/>
          <w:lang w:val="uk-UA"/>
        </w:rPr>
        <w:t>Держави-члени</w:t>
      </w:r>
      <w:r w:rsidRPr="00BE1959">
        <w:rPr>
          <w:rFonts w:ascii="Times New Roman" w:eastAsia="Times New Roman" w:hAnsi="Times New Roman" w:cs="Times New Roman"/>
          <w:sz w:val="24"/>
          <w:szCs w:val="24"/>
          <w:lang w:val="uk-UA"/>
        </w:rPr>
        <w:t xml:space="preserve"> </w:t>
      </w:r>
      <w:r w:rsidR="00986966" w:rsidRPr="00BE1959">
        <w:rPr>
          <w:rFonts w:ascii="Times New Roman" w:eastAsia="Times New Roman" w:hAnsi="Times New Roman" w:cs="Times New Roman"/>
          <w:sz w:val="24"/>
          <w:szCs w:val="24"/>
          <w:lang w:val="uk-UA"/>
        </w:rPr>
        <w:t>оприлюднюють критерії, що мають застосовуватися для оцінки таких знань і компетентності.</w:t>
      </w:r>
    </w:p>
    <w:p w:rsidR="005613AB" w:rsidRPr="00BE1959" w:rsidRDefault="005613AB" w:rsidP="000C57A8">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2.   </w:t>
      </w:r>
      <w:r w:rsidR="00986966" w:rsidRPr="00BE1959">
        <w:rPr>
          <w:rFonts w:ascii="Times New Roman" w:eastAsia="Times New Roman" w:hAnsi="Times New Roman" w:cs="Times New Roman"/>
          <w:sz w:val="24"/>
          <w:szCs w:val="24"/>
          <w:lang w:val="uk-UA"/>
        </w:rPr>
        <w:t xml:space="preserve">Надаючи інвестиційні поради або здійснюючи управління портфелем, інвестиційна фірма отримує необхідну інформацію щодо знань і досвіду фактичного чи потенційного клієнта в сфері інвестицій, </w:t>
      </w:r>
      <w:r w:rsidR="009956A8" w:rsidRPr="00BE1959">
        <w:rPr>
          <w:rFonts w:ascii="Times New Roman" w:eastAsia="Times New Roman" w:hAnsi="Times New Roman" w:cs="Times New Roman"/>
          <w:sz w:val="24"/>
          <w:szCs w:val="24"/>
          <w:lang w:val="uk-UA"/>
        </w:rPr>
        <w:t xml:space="preserve">доречних для конкретного виду продукту чи послуг, фінансового стану цієї особи, </w:t>
      </w:r>
      <w:r w:rsidR="004E6217" w:rsidRPr="00BE1959">
        <w:rPr>
          <w:rFonts w:ascii="Times New Roman" w:eastAsia="Times New Roman" w:hAnsi="Times New Roman" w:cs="Times New Roman"/>
          <w:sz w:val="24"/>
          <w:szCs w:val="24"/>
          <w:lang w:val="uk-UA"/>
        </w:rPr>
        <w:t>зокрема її здатн</w:t>
      </w:r>
      <w:r w:rsidR="00FF0E41" w:rsidRPr="00BE1959">
        <w:rPr>
          <w:rFonts w:ascii="Times New Roman" w:eastAsia="Times New Roman" w:hAnsi="Times New Roman" w:cs="Times New Roman"/>
          <w:sz w:val="24"/>
          <w:szCs w:val="24"/>
          <w:lang w:val="uk-UA"/>
        </w:rPr>
        <w:t>ості</w:t>
      </w:r>
      <w:r w:rsidR="004E6217" w:rsidRPr="00BE1959">
        <w:rPr>
          <w:rFonts w:ascii="Times New Roman" w:eastAsia="Times New Roman" w:hAnsi="Times New Roman" w:cs="Times New Roman"/>
          <w:sz w:val="24"/>
          <w:szCs w:val="24"/>
          <w:lang w:val="uk-UA"/>
        </w:rPr>
        <w:t xml:space="preserve"> нести збитки</w:t>
      </w:r>
      <w:r w:rsidR="00FF0E41" w:rsidRPr="00BE1959">
        <w:rPr>
          <w:rFonts w:ascii="Times New Roman" w:eastAsia="Times New Roman" w:hAnsi="Times New Roman" w:cs="Times New Roman"/>
          <w:sz w:val="24"/>
          <w:szCs w:val="24"/>
          <w:lang w:val="uk-UA"/>
        </w:rPr>
        <w:t xml:space="preserve">, її інвестиційних цілей, зокрема її стійкості до ризиків, з тим, щоб інвестиційна фірма могла рекомендувати фактичному чи потенційному клієнтові інвестиційні послуги та фінансові інструменти, які </w:t>
      </w:r>
      <w:r w:rsidR="005951F2" w:rsidRPr="00BE1959">
        <w:rPr>
          <w:rFonts w:ascii="Times New Roman" w:eastAsia="Times New Roman" w:hAnsi="Times New Roman" w:cs="Times New Roman"/>
          <w:sz w:val="24"/>
          <w:szCs w:val="24"/>
          <w:lang w:val="uk-UA"/>
        </w:rPr>
        <w:t>відповідають потребам</w:t>
      </w:r>
      <w:r w:rsidR="00FF0E41" w:rsidRPr="00BE1959">
        <w:rPr>
          <w:rFonts w:ascii="Times New Roman" w:eastAsia="Times New Roman" w:hAnsi="Times New Roman" w:cs="Times New Roman"/>
          <w:sz w:val="24"/>
          <w:szCs w:val="24"/>
          <w:lang w:val="uk-UA"/>
        </w:rPr>
        <w:t xml:space="preserve"> цій особі й, зокрема, відповідають її </w:t>
      </w:r>
      <w:r w:rsidR="000C57A8" w:rsidRPr="00BE1959">
        <w:rPr>
          <w:rFonts w:ascii="Times New Roman" w:eastAsia="Times New Roman" w:hAnsi="Times New Roman" w:cs="Times New Roman"/>
          <w:sz w:val="24"/>
          <w:szCs w:val="24"/>
          <w:lang w:val="uk-UA"/>
        </w:rPr>
        <w:t>стійкості до ризиків і здатності нести збитки.</w:t>
      </w:r>
    </w:p>
    <w:p w:rsidR="005613AB" w:rsidRPr="00BE1959" w:rsidRDefault="001F5C90" w:rsidP="005951F2">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Держави-члени</w:t>
      </w:r>
      <w:r w:rsidR="005613AB" w:rsidRPr="00BE1959">
        <w:rPr>
          <w:rFonts w:ascii="Times New Roman" w:eastAsia="Times New Roman" w:hAnsi="Times New Roman" w:cs="Times New Roman"/>
          <w:sz w:val="24"/>
          <w:szCs w:val="24"/>
          <w:lang w:val="uk-UA"/>
        </w:rPr>
        <w:t xml:space="preserve"> </w:t>
      </w:r>
      <w:r w:rsidR="000C57A8" w:rsidRPr="00BE1959">
        <w:rPr>
          <w:rFonts w:ascii="Times New Roman" w:eastAsia="Times New Roman" w:hAnsi="Times New Roman" w:cs="Times New Roman"/>
          <w:sz w:val="24"/>
          <w:szCs w:val="24"/>
          <w:lang w:val="uk-UA"/>
        </w:rPr>
        <w:t xml:space="preserve">забезпечують, щоб </w:t>
      </w:r>
      <w:r w:rsidR="00D7349F" w:rsidRPr="00BE1959">
        <w:rPr>
          <w:rFonts w:ascii="Times New Roman" w:eastAsia="Times New Roman" w:hAnsi="Times New Roman" w:cs="Times New Roman"/>
          <w:sz w:val="24"/>
          <w:szCs w:val="24"/>
          <w:lang w:val="uk-UA"/>
        </w:rPr>
        <w:t>у випадку, коли інвестиційна фірма надає інвестиційні поради, рекомендуючи пакет послуг або продуктів, сформований згідно зі статтею 24(11), весь комплектний пакет відповідав потребам клієнта.</w:t>
      </w:r>
    </w:p>
    <w:p w:rsidR="00D7349F"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3.   </w:t>
      </w:r>
      <w:r w:rsidR="001F5C90" w:rsidRPr="00BE1959">
        <w:rPr>
          <w:rFonts w:ascii="Times New Roman" w:eastAsia="Times New Roman" w:hAnsi="Times New Roman" w:cs="Times New Roman"/>
          <w:sz w:val="24"/>
          <w:szCs w:val="24"/>
          <w:lang w:val="uk-UA"/>
        </w:rPr>
        <w:t>Держави-члени</w:t>
      </w:r>
      <w:r w:rsidRPr="00BE1959">
        <w:rPr>
          <w:rFonts w:ascii="Times New Roman" w:eastAsia="Times New Roman" w:hAnsi="Times New Roman" w:cs="Times New Roman"/>
          <w:sz w:val="24"/>
          <w:szCs w:val="24"/>
          <w:lang w:val="uk-UA"/>
        </w:rPr>
        <w:t xml:space="preserve"> </w:t>
      </w:r>
      <w:r w:rsidR="00C74679" w:rsidRPr="00BE1959">
        <w:rPr>
          <w:rFonts w:ascii="Times New Roman" w:eastAsia="Times New Roman" w:hAnsi="Times New Roman" w:cs="Times New Roman"/>
          <w:sz w:val="24"/>
          <w:szCs w:val="24"/>
          <w:lang w:val="uk-UA"/>
        </w:rPr>
        <w:t>забезпечують, щоб інвестиційні фірми, надаючи інші інвестиційні послуги, ніж ті, що згадані у пункті 2,</w:t>
      </w:r>
      <w:r w:rsidR="009956A8" w:rsidRPr="00BE1959">
        <w:rPr>
          <w:rFonts w:ascii="Times New Roman" w:eastAsia="Times New Roman" w:hAnsi="Times New Roman" w:cs="Times New Roman"/>
          <w:sz w:val="24"/>
          <w:szCs w:val="24"/>
          <w:lang w:val="uk-UA"/>
        </w:rPr>
        <w:t xml:space="preserve"> просили</w:t>
      </w:r>
      <w:r w:rsidR="00E01063" w:rsidRPr="00BE1959">
        <w:rPr>
          <w:rFonts w:ascii="Times New Roman" w:eastAsia="Times New Roman" w:hAnsi="Times New Roman" w:cs="Times New Roman"/>
          <w:sz w:val="24"/>
          <w:szCs w:val="24"/>
          <w:lang w:val="uk-UA"/>
        </w:rPr>
        <w:t xml:space="preserve"> фактичного чи потенційного клієнта </w:t>
      </w:r>
      <w:r w:rsidR="009956A8" w:rsidRPr="00BE1959">
        <w:rPr>
          <w:rFonts w:ascii="Times New Roman" w:eastAsia="Times New Roman" w:hAnsi="Times New Roman" w:cs="Times New Roman"/>
          <w:sz w:val="24"/>
          <w:szCs w:val="24"/>
          <w:lang w:val="uk-UA"/>
        </w:rPr>
        <w:lastRenderedPageBreak/>
        <w:t xml:space="preserve">надати інформацію стосовно знань і досвіду вищезгаданої особи в сфері інвестицій, доречних для конкретного виду продукту чи послуг, що пропонуються або вимагаються, з тим, щоб інвестиційна фірма могла оцінити, чи є передбачена інвестиційна послуга або продукт </w:t>
      </w:r>
      <w:r w:rsidR="00D7349F" w:rsidRPr="00BE1959">
        <w:rPr>
          <w:rFonts w:ascii="Times New Roman" w:eastAsia="Times New Roman" w:hAnsi="Times New Roman" w:cs="Times New Roman"/>
          <w:sz w:val="24"/>
          <w:szCs w:val="24"/>
          <w:lang w:val="uk-UA"/>
        </w:rPr>
        <w:t>доречними для цього клієнта. У випадку, коли передбачено пакет послуг або продуктів згідно зі статтею 24(11), при оцінюванні слід розглянути питання про те, чи є загальний комплектний пакет доречним.</w:t>
      </w:r>
    </w:p>
    <w:p w:rsidR="005613AB" w:rsidRPr="00BE1959" w:rsidRDefault="00D7349F" w:rsidP="00D7349F">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Якщо на основі інформації, отриманої згідно з першим абзацом, інвестиційна фірма вважає, що продукт або послуга не доречні для фактичного чи потенційного клієнта, то інвестиційна фірма попереджає цього фактичного чи потенційного клієнта. Це попередження може бути надано у стандартній формі.</w:t>
      </w:r>
    </w:p>
    <w:p w:rsidR="005613AB" w:rsidRPr="00BE1959" w:rsidRDefault="00D7349F" w:rsidP="00F80795">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Якщо фактичні чи потенційні клієнти не надають інформацію, згадану в першому абзаці, або якщо вони надають недостатню інформацію стосовно їхніх знань і досвіду, то інвестиційна фірма попереджає їх, що вона не в змозі </w:t>
      </w:r>
      <w:r w:rsidR="00F80795" w:rsidRPr="00BE1959">
        <w:rPr>
          <w:rFonts w:ascii="Times New Roman" w:eastAsia="Times New Roman" w:hAnsi="Times New Roman" w:cs="Times New Roman"/>
          <w:sz w:val="24"/>
          <w:szCs w:val="24"/>
          <w:lang w:val="uk-UA"/>
        </w:rPr>
        <w:t>визначити, чи є передбачена послуга чи передбачений продукт доречними для них. Це попередження може бути надано у стандартній формі.</w:t>
      </w:r>
    </w:p>
    <w:p w:rsidR="005613AB" w:rsidRPr="00BE1959" w:rsidRDefault="005613AB" w:rsidP="009D4E6E">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4.   </w:t>
      </w:r>
      <w:r w:rsidR="001F5C90" w:rsidRPr="00BE1959">
        <w:rPr>
          <w:rFonts w:ascii="Times New Roman" w:eastAsia="Times New Roman" w:hAnsi="Times New Roman" w:cs="Times New Roman"/>
          <w:sz w:val="24"/>
          <w:szCs w:val="24"/>
          <w:lang w:val="uk-UA"/>
        </w:rPr>
        <w:t>Держави-члени</w:t>
      </w:r>
      <w:r w:rsidRPr="00BE1959">
        <w:rPr>
          <w:rFonts w:ascii="Times New Roman" w:eastAsia="Times New Roman" w:hAnsi="Times New Roman" w:cs="Times New Roman"/>
          <w:sz w:val="24"/>
          <w:szCs w:val="24"/>
          <w:lang w:val="uk-UA"/>
        </w:rPr>
        <w:t xml:space="preserve"> </w:t>
      </w:r>
      <w:r w:rsidR="00F80795" w:rsidRPr="00BE1959">
        <w:rPr>
          <w:rFonts w:ascii="Times New Roman" w:eastAsia="Times New Roman" w:hAnsi="Times New Roman" w:cs="Times New Roman"/>
          <w:sz w:val="24"/>
          <w:szCs w:val="24"/>
          <w:lang w:val="uk-UA"/>
        </w:rPr>
        <w:t>дозволяють інвестиційним фірмам при наданні інвестиційних послуг, які складаються тільки з виконання або приймання та передачі замовлень клієнтів із додатковими послугами чи без них</w:t>
      </w:r>
      <w:r w:rsidR="00CB0567" w:rsidRPr="00BE1959">
        <w:rPr>
          <w:rFonts w:ascii="Times New Roman" w:eastAsia="Times New Roman" w:hAnsi="Times New Roman" w:cs="Times New Roman"/>
          <w:sz w:val="24"/>
          <w:szCs w:val="24"/>
          <w:lang w:val="uk-UA"/>
        </w:rPr>
        <w:t xml:space="preserve">, крім надання кредитів або позик, зазначених у розділі В.1 Додатку І, що не складаються з існуючих кредитних лімітів позик, </w:t>
      </w:r>
      <w:r w:rsidR="007476D7" w:rsidRPr="00BE1959">
        <w:rPr>
          <w:rFonts w:ascii="Times New Roman" w:eastAsia="Times New Roman" w:hAnsi="Times New Roman" w:cs="Times New Roman"/>
          <w:sz w:val="24"/>
          <w:szCs w:val="24"/>
          <w:lang w:val="uk-UA"/>
        </w:rPr>
        <w:t>поточних рахунків овердрафтів клієнтів, надавати ці інвестиційні послуги</w:t>
      </w:r>
      <w:r w:rsidR="009D4E6E" w:rsidRPr="00BE1959">
        <w:rPr>
          <w:rFonts w:ascii="Times New Roman" w:eastAsia="Times New Roman" w:hAnsi="Times New Roman" w:cs="Times New Roman"/>
          <w:sz w:val="24"/>
          <w:szCs w:val="24"/>
          <w:lang w:val="uk-UA"/>
        </w:rPr>
        <w:t xml:space="preserve"> їхнім клієнтам без необхідності отримання інформації або прийняття рішень, передбачених у пункті 3, якщо виконані всі нижченаведені </w:t>
      </w:r>
      <w:r w:rsidR="00825D26" w:rsidRPr="00BE1959">
        <w:rPr>
          <w:rFonts w:ascii="Times New Roman" w:eastAsia="Times New Roman" w:hAnsi="Times New Roman" w:cs="Times New Roman"/>
          <w:sz w:val="24"/>
          <w:szCs w:val="24"/>
          <w:lang w:val="uk-UA"/>
        </w:rPr>
        <w:t>умови</w:t>
      </w:r>
      <w:r w:rsidR="009D4E6E" w:rsidRPr="00BE1959">
        <w:rPr>
          <w:rFonts w:ascii="Times New Roman" w:eastAsia="Times New Roman" w:hAnsi="Times New Roman" w:cs="Times New Roman"/>
          <w:sz w:val="24"/>
          <w:szCs w:val="24"/>
          <w:lang w:val="uk-UA"/>
        </w:rP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9093"/>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F253F1" w:rsidP="00F253F1">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послуги стосуються будь-якого з наступних фінансових інструментів:</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32"/>
              <w:gridCol w:w="8640"/>
            </w:tblGrid>
            <w:tr w:rsidR="00DE3173" w:rsidRPr="0043174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F253F1" w:rsidP="00626D21">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акції, допущені до торгівлі </w:t>
                  </w:r>
                  <w:r w:rsidR="00626D21" w:rsidRPr="00BE1959">
                    <w:rPr>
                      <w:rFonts w:ascii="Times New Roman" w:eastAsia="Times New Roman" w:hAnsi="Times New Roman" w:cs="Times New Roman"/>
                      <w:sz w:val="24"/>
                      <w:szCs w:val="24"/>
                      <w:lang w:val="uk-UA"/>
                    </w:rPr>
                    <w:t>на регульованому ринку або на еквівалентному ринку третьої країни чи на БТМ, якщо вони є акціями компаній, за винятком акцій підприємств, які не є підприємствами колективного інвестування в оборотні цінні папери (UCITS) (не-UCITS), і акцій, у які включений дериватив;</w:t>
                  </w:r>
                </w:p>
              </w:tc>
            </w:tr>
          </w:tbl>
          <w:p w:rsidR="005613AB" w:rsidRPr="00BE1959" w:rsidRDefault="005613AB" w:rsidP="005613AB">
            <w:pPr>
              <w:spacing w:after="0" w:line="240" w:lineRule="auto"/>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99"/>
              <w:gridCol w:w="8573"/>
            </w:tblGrid>
            <w:tr w:rsidR="00DE3173" w:rsidRPr="0043174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F81F29" w:rsidP="00626D21">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облігації або інші форми сек’юрит</w:t>
                  </w:r>
                  <w:r w:rsidR="00626D21" w:rsidRPr="00BE1959">
                    <w:rPr>
                      <w:rFonts w:ascii="Times New Roman" w:eastAsia="Times New Roman" w:hAnsi="Times New Roman" w:cs="Times New Roman"/>
                      <w:sz w:val="24"/>
                      <w:szCs w:val="24"/>
                      <w:lang w:val="uk-UA"/>
                    </w:rPr>
                    <w:t>и</w:t>
                  </w:r>
                  <w:r w:rsidRPr="00BE1959">
                    <w:rPr>
                      <w:rFonts w:ascii="Times New Roman" w:eastAsia="Times New Roman" w:hAnsi="Times New Roman" w:cs="Times New Roman"/>
                      <w:sz w:val="24"/>
                      <w:szCs w:val="24"/>
                      <w:lang w:val="uk-UA"/>
                    </w:rPr>
                    <w:t>зованого боргу</w:t>
                  </w:r>
                  <w:r w:rsidR="00626D21" w:rsidRPr="00BE1959">
                    <w:rPr>
                      <w:rFonts w:ascii="Times New Roman" w:eastAsia="Times New Roman" w:hAnsi="Times New Roman" w:cs="Times New Roman"/>
                      <w:sz w:val="24"/>
                      <w:szCs w:val="24"/>
                      <w:lang w:val="uk-UA"/>
                    </w:rPr>
                    <w:t>, допущені до торгівлі на регульованому ринку або на еквівалентному ринку третьої країни чи на БТМ, за винятком облігацій, у які включений дериватив або які мають структуру, яка ускладнює розуміння клієнтом пов'язаного з ними ризику;</w:t>
                  </w:r>
                </w:p>
              </w:tc>
            </w:tr>
          </w:tbl>
          <w:p w:rsidR="005613AB" w:rsidRPr="00BE1959" w:rsidRDefault="005613AB" w:rsidP="005613AB">
            <w:pPr>
              <w:spacing w:after="0" w:line="240" w:lineRule="auto"/>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65"/>
              <w:gridCol w:w="8507"/>
            </w:tblGrid>
            <w:tr w:rsidR="00DE3173" w:rsidRPr="0043174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(iii)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626D21" w:rsidP="000F3E24">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інструменти грошового ринку, за винятком тих, у які включений дериватив або </w:t>
                  </w:r>
                  <w:r w:rsidR="000F3E24" w:rsidRPr="00BE1959">
                    <w:rPr>
                      <w:rFonts w:ascii="Times New Roman" w:eastAsia="Times New Roman" w:hAnsi="Times New Roman" w:cs="Times New Roman"/>
                      <w:sz w:val="24"/>
                      <w:szCs w:val="24"/>
                      <w:lang w:val="uk-UA"/>
                    </w:rPr>
                    <w:t>які мають структуру, яка ускладнює розуміння клієнтом пов'язаного з ними ризику;</w:t>
                  </w:r>
                </w:p>
              </w:tc>
            </w:tr>
          </w:tbl>
          <w:p w:rsidR="005613AB" w:rsidRPr="00BE1959" w:rsidRDefault="005613AB" w:rsidP="005613AB">
            <w:pPr>
              <w:spacing w:after="0" w:line="240" w:lineRule="auto"/>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52"/>
              <w:gridCol w:w="8520"/>
            </w:tblGrid>
            <w:tr w:rsidR="00DE3173" w:rsidRPr="0043174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(iv)</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626D21" w:rsidP="00626D21">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акції або паї у </w:t>
                  </w:r>
                  <w:r w:rsidR="005613AB" w:rsidRPr="00BE1959">
                    <w:rPr>
                      <w:rFonts w:ascii="Times New Roman" w:eastAsia="Times New Roman" w:hAnsi="Times New Roman" w:cs="Times New Roman"/>
                      <w:sz w:val="24"/>
                      <w:szCs w:val="24"/>
                      <w:lang w:val="uk-UA"/>
                    </w:rPr>
                    <w:t xml:space="preserve">UCITS, </w:t>
                  </w:r>
                  <w:r w:rsidRPr="00BE1959">
                    <w:rPr>
                      <w:rFonts w:ascii="Times New Roman" w:eastAsia="Times New Roman" w:hAnsi="Times New Roman" w:cs="Times New Roman"/>
                      <w:sz w:val="24"/>
                      <w:szCs w:val="24"/>
                      <w:lang w:val="uk-UA"/>
                    </w:rPr>
                    <w:t>за винятком структурованих UCITS, згаданих у другому абзаці статті</w:t>
                  </w:r>
                  <w:r w:rsidR="005613AB" w:rsidRPr="00BE1959">
                    <w:rPr>
                      <w:rFonts w:ascii="Times New Roman" w:eastAsia="Times New Roman" w:hAnsi="Times New Roman" w:cs="Times New Roman"/>
                      <w:sz w:val="24"/>
                      <w:szCs w:val="24"/>
                      <w:lang w:val="uk-UA"/>
                    </w:rPr>
                    <w:t xml:space="preserve"> 36(1) </w:t>
                  </w:r>
                  <w:r w:rsidR="008824AE" w:rsidRPr="00BE1959">
                    <w:rPr>
                      <w:rFonts w:ascii="Times New Roman" w:eastAsia="Times New Roman" w:hAnsi="Times New Roman" w:cs="Times New Roman"/>
                      <w:sz w:val="24"/>
                      <w:szCs w:val="24"/>
                      <w:lang w:val="uk-UA"/>
                    </w:rPr>
                    <w:t>Регламенту</w:t>
                  </w:r>
                  <w:r w:rsidR="005613AB" w:rsidRPr="00BE1959">
                    <w:rPr>
                      <w:rFonts w:ascii="Times New Roman" w:eastAsia="Times New Roman" w:hAnsi="Times New Roman" w:cs="Times New Roman"/>
                      <w:sz w:val="24"/>
                      <w:szCs w:val="24"/>
                      <w:lang w:val="uk-UA"/>
                    </w:rPr>
                    <w:t xml:space="preserve"> </w:t>
                  </w:r>
                  <w:r w:rsidR="00DB4825" w:rsidRPr="00BE1959">
                    <w:rPr>
                      <w:rFonts w:ascii="Times New Roman" w:eastAsia="Times New Roman" w:hAnsi="Times New Roman" w:cs="Times New Roman"/>
                      <w:sz w:val="24"/>
                      <w:szCs w:val="24"/>
                      <w:lang w:val="uk-UA"/>
                    </w:rPr>
                    <w:t>(EU) №</w:t>
                  </w:r>
                  <w:r w:rsidR="005613AB" w:rsidRPr="00BE1959">
                    <w:rPr>
                      <w:rFonts w:ascii="Times New Roman" w:eastAsia="Times New Roman" w:hAnsi="Times New Roman" w:cs="Times New Roman"/>
                      <w:sz w:val="24"/>
                      <w:szCs w:val="24"/>
                      <w:lang w:val="uk-UA"/>
                    </w:rPr>
                    <w:t> 583/2010;</w:t>
                  </w:r>
                </w:p>
              </w:tc>
            </w:tr>
          </w:tbl>
          <w:p w:rsidR="005613AB" w:rsidRPr="00BE1959" w:rsidRDefault="005613AB" w:rsidP="005613AB">
            <w:pPr>
              <w:spacing w:after="0" w:line="240" w:lineRule="auto"/>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587"/>
            </w:tblGrid>
            <w:tr w:rsidR="00DE3173" w:rsidRPr="0043174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lastRenderedPageBreak/>
                    <w:t>(v)</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626D21" w:rsidP="000F3E24">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структуровані депозити, за винятком тих, </w:t>
                  </w:r>
                  <w:r w:rsidR="000F3E24" w:rsidRPr="00BE1959">
                    <w:rPr>
                      <w:rFonts w:ascii="Times New Roman" w:eastAsia="Times New Roman" w:hAnsi="Times New Roman" w:cs="Times New Roman"/>
                      <w:sz w:val="24"/>
                      <w:szCs w:val="24"/>
                      <w:lang w:val="uk-UA"/>
                    </w:rPr>
                    <w:t>структура яких ускладнює розуміння клієнтом ризику повернення або витрат на дострокове припинення з ними;</w:t>
                  </w:r>
                </w:p>
              </w:tc>
            </w:tr>
          </w:tbl>
          <w:p w:rsidR="005613AB" w:rsidRPr="00BE1959" w:rsidRDefault="005613AB" w:rsidP="005613AB">
            <w:pPr>
              <w:spacing w:after="0" w:line="240" w:lineRule="auto"/>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72"/>
              <w:gridCol w:w="8400"/>
            </w:tblGrid>
            <w:tr w:rsidR="00DE3173" w:rsidRPr="0043174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(vi)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7E4994" w:rsidP="007E4994">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інші некомплексні фінансові інструменти в цілях цього пункту.</w:t>
                  </w:r>
                </w:p>
              </w:tc>
            </w:tr>
          </w:tbl>
          <w:p w:rsidR="005613AB" w:rsidRPr="00BE1959" w:rsidRDefault="007E4994" w:rsidP="00825D26">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У цілях цього пункту, якщо </w:t>
            </w:r>
            <w:r w:rsidR="00825D26" w:rsidRPr="00BE1959">
              <w:rPr>
                <w:rFonts w:ascii="Times New Roman" w:eastAsia="Times New Roman" w:hAnsi="Times New Roman" w:cs="Times New Roman"/>
                <w:sz w:val="24"/>
                <w:szCs w:val="24"/>
                <w:lang w:val="uk-UA"/>
              </w:rPr>
              <w:t xml:space="preserve">виконуються </w:t>
            </w:r>
            <w:r w:rsidRPr="00BE1959">
              <w:rPr>
                <w:rFonts w:ascii="Times New Roman" w:eastAsia="Times New Roman" w:hAnsi="Times New Roman" w:cs="Times New Roman"/>
                <w:sz w:val="24"/>
                <w:szCs w:val="24"/>
                <w:lang w:val="uk-UA"/>
              </w:rPr>
              <w:t xml:space="preserve">вимоги та порядок, викладені у третьому та четвертому абзацах </w:t>
            </w:r>
            <w:r w:rsidR="0065313E" w:rsidRPr="00BE1959">
              <w:rPr>
                <w:rFonts w:ascii="Times New Roman" w:eastAsia="Times New Roman" w:hAnsi="Times New Roman" w:cs="Times New Roman"/>
                <w:sz w:val="24"/>
                <w:szCs w:val="24"/>
                <w:lang w:val="uk-UA"/>
              </w:rPr>
              <w:t>статті</w:t>
            </w:r>
            <w:r w:rsidR="005613AB" w:rsidRPr="00BE1959">
              <w:rPr>
                <w:rFonts w:ascii="Times New Roman" w:eastAsia="Times New Roman" w:hAnsi="Times New Roman" w:cs="Times New Roman"/>
                <w:sz w:val="24"/>
                <w:szCs w:val="24"/>
                <w:lang w:val="uk-UA"/>
              </w:rPr>
              <w:t xml:space="preserve"> 4(1) </w:t>
            </w:r>
            <w:r w:rsidR="00016E03" w:rsidRPr="00BE1959">
              <w:rPr>
                <w:rFonts w:ascii="Times New Roman" w:eastAsia="Times New Roman" w:hAnsi="Times New Roman" w:cs="Times New Roman"/>
                <w:sz w:val="24"/>
                <w:szCs w:val="24"/>
                <w:lang w:val="uk-UA"/>
              </w:rPr>
              <w:t>Директиви</w:t>
            </w:r>
            <w:r w:rsidR="005613AB" w:rsidRPr="00BE1959">
              <w:rPr>
                <w:rFonts w:ascii="Times New Roman" w:eastAsia="Times New Roman" w:hAnsi="Times New Roman" w:cs="Times New Roman"/>
                <w:sz w:val="24"/>
                <w:szCs w:val="24"/>
                <w:lang w:val="uk-UA"/>
              </w:rPr>
              <w:t xml:space="preserve"> 2003/71/EC</w:t>
            </w:r>
            <w:r w:rsidR="00825D26" w:rsidRPr="00BE1959">
              <w:rPr>
                <w:rFonts w:ascii="Times New Roman" w:eastAsia="Times New Roman" w:hAnsi="Times New Roman" w:cs="Times New Roman"/>
                <w:sz w:val="24"/>
                <w:szCs w:val="24"/>
                <w:lang w:val="uk-UA"/>
              </w:rPr>
              <w:t>, ринок третьої країни вважається еквівалентним регульованому ринку.</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70"/>
        <w:gridCol w:w="8995"/>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825D26" w:rsidP="00825D26">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послуга надається за ініціативою фактичного чи потенційного клієнта;</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9093"/>
      </w:tblGrid>
      <w:tr w:rsidR="005613AB" w:rsidRPr="00BE1959"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825D26" w:rsidP="00520DB0">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фактичний або потенційний клієнт чітко поінформований про те, що при наданні цієї послуги інвестиційна фірма не зобов’язана оцінювати доречність фінансового інструмента чи послуги, що н</w:t>
            </w:r>
            <w:r w:rsidR="00520DB0" w:rsidRPr="00BE1959">
              <w:rPr>
                <w:rFonts w:ascii="Times New Roman" w:eastAsia="Times New Roman" w:hAnsi="Times New Roman" w:cs="Times New Roman"/>
                <w:sz w:val="24"/>
                <w:szCs w:val="24"/>
                <w:lang w:val="uk-UA"/>
              </w:rPr>
              <w:t>адається або пропонується, і, отже, клієнт не користується відповідним захистом установлених правил ведення діяльності. Таке попередження може бути надано у стандартній формі;</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71"/>
        <w:gridCol w:w="8894"/>
      </w:tblGrid>
      <w:tr w:rsidR="00DE3173" w:rsidRPr="00BE1959"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EB4D83" w:rsidP="00EB4D83">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і</w:t>
            </w:r>
            <w:r w:rsidR="00520DB0" w:rsidRPr="00BE1959">
              <w:rPr>
                <w:rFonts w:ascii="Times New Roman" w:eastAsia="Times New Roman" w:hAnsi="Times New Roman" w:cs="Times New Roman"/>
                <w:sz w:val="24"/>
                <w:szCs w:val="24"/>
                <w:lang w:val="uk-UA"/>
              </w:rPr>
              <w:t>н</w:t>
            </w:r>
            <w:r w:rsidRPr="00BE1959">
              <w:rPr>
                <w:rFonts w:ascii="Times New Roman" w:eastAsia="Times New Roman" w:hAnsi="Times New Roman" w:cs="Times New Roman"/>
                <w:sz w:val="24"/>
                <w:szCs w:val="24"/>
                <w:lang w:val="uk-UA"/>
              </w:rPr>
              <w:t>вестиційна фірма виконує свої обов’язки за статтею 23.</w:t>
            </w:r>
          </w:p>
        </w:tc>
      </w:tr>
    </w:tbl>
    <w:p w:rsidR="005613AB" w:rsidRPr="00BE1959" w:rsidRDefault="005613AB" w:rsidP="00AF007A">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5.   </w:t>
      </w:r>
      <w:r w:rsidR="00D248BA" w:rsidRPr="00BE1959">
        <w:rPr>
          <w:rFonts w:ascii="Times New Roman" w:eastAsia="Times New Roman" w:hAnsi="Times New Roman" w:cs="Times New Roman"/>
          <w:sz w:val="24"/>
          <w:szCs w:val="24"/>
          <w:lang w:val="uk-UA"/>
        </w:rPr>
        <w:t>Інвестиційна фірма</w:t>
      </w:r>
      <w:r w:rsidRPr="00BE1959">
        <w:rPr>
          <w:rFonts w:ascii="Times New Roman" w:eastAsia="Times New Roman" w:hAnsi="Times New Roman" w:cs="Times New Roman"/>
          <w:sz w:val="24"/>
          <w:szCs w:val="24"/>
          <w:lang w:val="uk-UA"/>
        </w:rPr>
        <w:t xml:space="preserve"> </w:t>
      </w:r>
      <w:r w:rsidR="00956617" w:rsidRPr="00BE1959">
        <w:rPr>
          <w:rFonts w:ascii="Times New Roman" w:eastAsia="Times New Roman" w:hAnsi="Times New Roman" w:cs="Times New Roman"/>
          <w:sz w:val="24"/>
          <w:szCs w:val="24"/>
          <w:lang w:val="uk-UA"/>
        </w:rPr>
        <w:t>створює реєстр, що включає документ або документи, погоджені між інвестиційною фірмою та клієнтом, у яких установлено права і обов’язки сторін</w:t>
      </w:r>
      <w:r w:rsidR="006B28E2" w:rsidRPr="00BE1959">
        <w:rPr>
          <w:rFonts w:ascii="Times New Roman" w:eastAsia="Times New Roman" w:hAnsi="Times New Roman" w:cs="Times New Roman"/>
          <w:sz w:val="24"/>
          <w:szCs w:val="24"/>
          <w:lang w:val="uk-UA"/>
        </w:rPr>
        <w:t xml:space="preserve"> та інші умови, на яких інвестиційна фірма надаватиме послуги клієнтові. Права і обов’язки сторін контракту можуть бути включені за посиланн</w:t>
      </w:r>
      <w:r w:rsidR="00AF007A" w:rsidRPr="00BE1959">
        <w:rPr>
          <w:rFonts w:ascii="Times New Roman" w:eastAsia="Times New Roman" w:hAnsi="Times New Roman" w:cs="Times New Roman"/>
          <w:sz w:val="24"/>
          <w:szCs w:val="24"/>
          <w:lang w:val="uk-UA"/>
        </w:rPr>
        <w:t>ям в інші документи, зокрема юридичні.</w:t>
      </w:r>
    </w:p>
    <w:p w:rsidR="00E800A6"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6.   </w:t>
      </w:r>
      <w:r w:rsidR="00D248BA" w:rsidRPr="00BE1959">
        <w:rPr>
          <w:rFonts w:ascii="Times New Roman" w:eastAsia="Times New Roman" w:hAnsi="Times New Roman" w:cs="Times New Roman"/>
          <w:sz w:val="24"/>
          <w:szCs w:val="24"/>
          <w:lang w:val="uk-UA"/>
        </w:rPr>
        <w:t>Інвестиційна фірма</w:t>
      </w:r>
      <w:r w:rsidRPr="00BE1959">
        <w:rPr>
          <w:rFonts w:ascii="Times New Roman" w:eastAsia="Times New Roman" w:hAnsi="Times New Roman" w:cs="Times New Roman"/>
          <w:sz w:val="24"/>
          <w:szCs w:val="24"/>
          <w:lang w:val="uk-UA"/>
        </w:rPr>
        <w:t xml:space="preserve"> </w:t>
      </w:r>
      <w:r w:rsidR="00E800A6" w:rsidRPr="00BE1959">
        <w:rPr>
          <w:rFonts w:ascii="Times New Roman" w:eastAsia="Times New Roman" w:hAnsi="Times New Roman" w:cs="Times New Roman"/>
          <w:sz w:val="24"/>
          <w:szCs w:val="24"/>
          <w:lang w:val="uk-UA"/>
        </w:rPr>
        <w:t>надає клієнтові належні звіти про надану послугу на надійному носії. Ці звіти містять періодичні повідомлення клієнтам, з урахуванням виду і складності відповідних фінансових інструментів та характеру послуги, наданої клієнтові, а у доречних випадках – інформацію про витрати, пов'яз</w:t>
      </w:r>
      <w:r w:rsidR="00E941FD" w:rsidRPr="00BE1959">
        <w:rPr>
          <w:rFonts w:ascii="Times New Roman" w:eastAsia="Times New Roman" w:hAnsi="Times New Roman" w:cs="Times New Roman"/>
          <w:sz w:val="24"/>
          <w:szCs w:val="24"/>
          <w:lang w:val="uk-UA"/>
        </w:rPr>
        <w:t>ані з операціями та послугами, здійсненими та наданими від імені клієнта.</w:t>
      </w:r>
    </w:p>
    <w:p w:rsidR="00E941FD" w:rsidRPr="00BE1959" w:rsidRDefault="00E941FD"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При наданні інвестиційної поради інвестиційна фірма, перш ніж виконується угода, подає клієнтові на надійному носії заяву про відповідність, де викладається надана порада і зазначається, як вона відповідає пріоритетам, цілям та іншим характеристикам роздрібного клієнта.</w:t>
      </w:r>
    </w:p>
    <w:p w:rsidR="005613AB" w:rsidRPr="00BE1959" w:rsidRDefault="00E941FD" w:rsidP="004976C9">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Якщо угода купівлі чи продажу фінансового інструмента укладається за допомогою засоб</w:t>
      </w:r>
      <w:r w:rsidR="008B5918" w:rsidRPr="00BE1959">
        <w:rPr>
          <w:rFonts w:ascii="Times New Roman" w:eastAsia="Times New Roman" w:hAnsi="Times New Roman" w:cs="Times New Roman"/>
          <w:sz w:val="24"/>
          <w:szCs w:val="24"/>
          <w:lang w:val="uk-UA"/>
        </w:rPr>
        <w:t>у</w:t>
      </w:r>
      <w:r w:rsidRPr="00BE1959">
        <w:rPr>
          <w:rFonts w:ascii="Times New Roman" w:eastAsia="Times New Roman" w:hAnsi="Times New Roman" w:cs="Times New Roman"/>
          <w:sz w:val="24"/>
          <w:szCs w:val="24"/>
          <w:lang w:val="uk-UA"/>
        </w:rPr>
        <w:t xml:space="preserve"> дистанційного зв'язку, </w:t>
      </w:r>
      <w:r w:rsidR="008B5918" w:rsidRPr="00BE1959">
        <w:rPr>
          <w:rFonts w:ascii="Times New Roman" w:eastAsia="Times New Roman" w:hAnsi="Times New Roman" w:cs="Times New Roman"/>
          <w:sz w:val="24"/>
          <w:szCs w:val="24"/>
          <w:lang w:val="uk-UA"/>
        </w:rPr>
        <w:t>що не дозволяє завчано доставити заяву про відповідність, то інвестиційна фірма може подати письмову заяву про відповідність на надійному носії відразу після того, як клієнт стане зв'язаним угодою</w:t>
      </w:r>
      <w:r w:rsidR="004976C9" w:rsidRPr="00BE1959">
        <w:rPr>
          <w:rFonts w:ascii="Times New Roman" w:eastAsia="Times New Roman" w:hAnsi="Times New Roman" w:cs="Times New Roman"/>
          <w:sz w:val="24"/>
          <w:szCs w:val="24"/>
          <w:lang w:val="uk-UA"/>
        </w:rPr>
        <w:t xml:space="preserve">, </w:t>
      </w:r>
      <w:r w:rsidR="00C363C1" w:rsidRPr="00BE1959">
        <w:rPr>
          <w:rFonts w:ascii="Times New Roman" w:eastAsia="Times New Roman" w:hAnsi="Times New Roman" w:cs="Times New Roman"/>
          <w:sz w:val="24"/>
          <w:szCs w:val="24"/>
          <w:lang w:val="uk-UA"/>
        </w:rPr>
        <w:t>якщо</w:t>
      </w:r>
      <w:r w:rsidR="004976C9" w:rsidRPr="00BE1959">
        <w:rPr>
          <w:rFonts w:ascii="Times New Roman" w:eastAsia="Times New Roman" w:hAnsi="Times New Roman" w:cs="Times New Roman"/>
          <w:sz w:val="24"/>
          <w:szCs w:val="24"/>
          <w:lang w:val="uk-UA"/>
        </w:rPr>
        <w:t xml:space="preserve"> виконані обидві нижченаведені умови:</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9093"/>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C363C1" w:rsidP="00C363C1">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клієнт погодився отримати заяву про відповідність без неналежної затримки після укладення угоди;</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DE3173"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lastRenderedPageBreak/>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C363C1" w:rsidP="00C363C1">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інвестиційна фірма надала клієнтові можливість відкласти угоду з метою завчасного отримання заяви про відповідність.</w:t>
            </w:r>
          </w:p>
        </w:tc>
      </w:tr>
    </w:tbl>
    <w:p w:rsidR="005613AB" w:rsidRPr="00BE1959" w:rsidRDefault="00C363C1" w:rsidP="007240E1">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Якщо інвестиційна фірма здійснює управління портфелем і поінформувала клієнта про те, що вона проводитиме періодичну оцінку відповідності, то у періодичному звіті зазначається оновлена заява про те, як саме дана інвестиція відповідає пріоритетам, цілям та іншим </w:t>
      </w:r>
      <w:r w:rsidR="007240E1" w:rsidRPr="00BE1959">
        <w:rPr>
          <w:rFonts w:ascii="Times New Roman" w:eastAsia="Times New Roman" w:hAnsi="Times New Roman" w:cs="Times New Roman"/>
          <w:sz w:val="24"/>
          <w:szCs w:val="24"/>
          <w:lang w:val="uk-UA"/>
        </w:rPr>
        <w:t>характеристикам роздрібного клієнта.</w:t>
      </w:r>
    </w:p>
    <w:p w:rsidR="005613AB" w:rsidRPr="00BE1959" w:rsidRDefault="005613AB" w:rsidP="002A5E3C">
      <w:pPr>
        <w:spacing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7.   </w:t>
      </w:r>
      <w:r w:rsidR="00C526BF" w:rsidRPr="00BE1959">
        <w:rPr>
          <w:rFonts w:ascii="Times New Roman" w:eastAsia="Times New Roman" w:hAnsi="Times New Roman" w:cs="Times New Roman"/>
          <w:sz w:val="24"/>
          <w:szCs w:val="24"/>
          <w:lang w:val="uk-UA"/>
        </w:rPr>
        <w:t xml:space="preserve">Якщо у кредитній угоді стосовно жилого нерухомого майна, що підпадає під дію положень стосовно оцінки кредитоспроможності </w:t>
      </w:r>
      <w:r w:rsidR="007C744D" w:rsidRPr="00BE1959">
        <w:rPr>
          <w:rFonts w:ascii="Times New Roman" w:eastAsia="Times New Roman" w:hAnsi="Times New Roman" w:cs="Times New Roman"/>
          <w:sz w:val="24"/>
          <w:szCs w:val="24"/>
          <w:lang w:val="uk-UA"/>
        </w:rPr>
        <w:t>споживачів</w:t>
      </w:r>
      <w:r w:rsidR="00C526BF" w:rsidRPr="00BE1959">
        <w:rPr>
          <w:rFonts w:ascii="Times New Roman" w:eastAsia="Times New Roman" w:hAnsi="Times New Roman" w:cs="Times New Roman"/>
          <w:sz w:val="24"/>
          <w:szCs w:val="24"/>
          <w:lang w:val="uk-UA"/>
        </w:rPr>
        <w:t xml:space="preserve">, викладених у </w:t>
      </w:r>
      <w:r w:rsidR="0042329D" w:rsidRPr="00BE1959">
        <w:rPr>
          <w:rFonts w:ascii="Times New Roman" w:eastAsia="Times New Roman" w:hAnsi="Times New Roman" w:cs="Times New Roman"/>
          <w:sz w:val="24"/>
          <w:szCs w:val="24"/>
          <w:lang w:val="uk-UA"/>
        </w:rPr>
        <w:t>Директиві</w:t>
      </w:r>
      <w:r w:rsidRPr="00BE1959">
        <w:rPr>
          <w:rFonts w:ascii="Times New Roman" w:eastAsia="Times New Roman" w:hAnsi="Times New Roman" w:cs="Times New Roman"/>
          <w:sz w:val="24"/>
          <w:szCs w:val="24"/>
          <w:lang w:val="uk-UA"/>
        </w:rPr>
        <w:t xml:space="preserve"> 2014/17/EU </w:t>
      </w:r>
      <w:r w:rsidR="00D359EF" w:rsidRPr="00BE1959">
        <w:rPr>
          <w:rFonts w:ascii="Times New Roman" w:eastAsia="Times New Roman" w:hAnsi="Times New Roman" w:cs="Times New Roman"/>
          <w:sz w:val="24"/>
          <w:szCs w:val="24"/>
          <w:lang w:val="uk-UA"/>
        </w:rPr>
        <w:t>Європейського Парламенту та Ради</w:t>
      </w:r>
      <w:hyperlink r:id="rId53" w:anchor="ntr48-L_2014173EN.01034901-E0048" w:history="1">
        <w:r w:rsidRPr="00BE1959">
          <w:rPr>
            <w:rFonts w:ascii="Times New Roman" w:eastAsia="Times New Roman" w:hAnsi="Times New Roman" w:cs="Times New Roman"/>
            <w:sz w:val="24"/>
            <w:szCs w:val="24"/>
            <w:bdr w:val="none" w:sz="0" w:space="0" w:color="auto" w:frame="1"/>
            <w:lang w:val="uk-UA"/>
          </w:rPr>
          <w:t> (</w:t>
        </w:r>
        <w:r w:rsidRPr="00BE1959">
          <w:rPr>
            <w:rFonts w:ascii="Times New Roman" w:eastAsia="Times New Roman" w:hAnsi="Times New Roman" w:cs="Times New Roman"/>
            <w:sz w:val="24"/>
            <w:szCs w:val="24"/>
            <w:bdr w:val="none" w:sz="0" w:space="0" w:color="auto" w:frame="1"/>
            <w:vertAlign w:val="superscript"/>
            <w:lang w:val="uk-UA"/>
          </w:rPr>
          <w:t>48</w:t>
        </w:r>
        <w:r w:rsidRPr="00BE1959">
          <w:rPr>
            <w:rFonts w:ascii="Times New Roman" w:eastAsia="Times New Roman" w:hAnsi="Times New Roman" w:cs="Times New Roman"/>
            <w:sz w:val="24"/>
            <w:szCs w:val="24"/>
            <w:bdr w:val="none" w:sz="0" w:space="0" w:color="auto" w:frame="1"/>
            <w:lang w:val="uk-UA"/>
          </w:rPr>
          <w:t>)</w:t>
        </w:r>
      </w:hyperlink>
      <w:r w:rsidRPr="00BE1959">
        <w:rPr>
          <w:rFonts w:ascii="Times New Roman" w:eastAsia="Times New Roman" w:hAnsi="Times New Roman" w:cs="Times New Roman"/>
          <w:sz w:val="24"/>
          <w:szCs w:val="24"/>
          <w:lang w:val="uk-UA"/>
        </w:rPr>
        <w:t xml:space="preserve">, </w:t>
      </w:r>
      <w:r w:rsidR="002F67A8" w:rsidRPr="00BE1959">
        <w:rPr>
          <w:rFonts w:ascii="Times New Roman" w:eastAsia="Times New Roman" w:hAnsi="Times New Roman" w:cs="Times New Roman"/>
          <w:sz w:val="24"/>
          <w:szCs w:val="24"/>
          <w:lang w:val="uk-UA"/>
        </w:rPr>
        <w:t xml:space="preserve">в якості попередньої умови </w:t>
      </w:r>
      <w:r w:rsidR="007C744D" w:rsidRPr="00BE1959">
        <w:rPr>
          <w:rFonts w:ascii="Times New Roman" w:eastAsia="Times New Roman" w:hAnsi="Times New Roman" w:cs="Times New Roman"/>
          <w:sz w:val="24"/>
          <w:szCs w:val="24"/>
          <w:lang w:val="uk-UA"/>
        </w:rPr>
        <w:t>передбачено надання тому ж споживачеві інвестиційної послуги стосовно іпотечних о</w:t>
      </w:r>
      <w:r w:rsidR="00983E23" w:rsidRPr="00BE1959">
        <w:rPr>
          <w:rFonts w:ascii="Times New Roman" w:eastAsia="Times New Roman" w:hAnsi="Times New Roman" w:cs="Times New Roman"/>
          <w:sz w:val="24"/>
          <w:szCs w:val="24"/>
          <w:lang w:val="uk-UA"/>
        </w:rPr>
        <w:t xml:space="preserve">блігацій, спеціально випущених для забезпечення фінансування кредитної угоди та маючих ідентичні </w:t>
      </w:r>
      <w:r w:rsidR="0095766A" w:rsidRPr="00BE1959">
        <w:rPr>
          <w:rFonts w:ascii="Times New Roman" w:eastAsia="Times New Roman" w:hAnsi="Times New Roman" w:cs="Times New Roman"/>
          <w:sz w:val="24"/>
          <w:szCs w:val="24"/>
          <w:lang w:val="uk-UA"/>
        </w:rPr>
        <w:t xml:space="preserve">умови з кредитною угодою стосовно жилого нерухомого майна, для того, щоб забезпечити </w:t>
      </w:r>
      <w:r w:rsidR="00F16108" w:rsidRPr="00BE1959">
        <w:rPr>
          <w:rFonts w:ascii="Times New Roman" w:eastAsia="Times New Roman" w:hAnsi="Times New Roman" w:cs="Times New Roman"/>
          <w:sz w:val="24"/>
          <w:szCs w:val="24"/>
          <w:lang w:val="uk-UA"/>
        </w:rPr>
        <w:t>належність позики до сплати, рефінансування або викуп</w:t>
      </w:r>
      <w:r w:rsidR="002A5E3C" w:rsidRPr="00BE1959">
        <w:rPr>
          <w:rFonts w:ascii="Times New Roman" w:eastAsia="Times New Roman" w:hAnsi="Times New Roman" w:cs="Times New Roman"/>
          <w:sz w:val="24"/>
          <w:szCs w:val="24"/>
          <w:lang w:val="uk-UA"/>
        </w:rPr>
        <w:t>, ця послуга не підпадає під дію зобов’язань, викладених у цій статті.</w:t>
      </w:r>
    </w:p>
    <w:p w:rsidR="005613AB" w:rsidRPr="00BE1959" w:rsidRDefault="005613AB" w:rsidP="00476A0C">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8.   </w:t>
      </w:r>
      <w:r w:rsidR="002A5E3C" w:rsidRPr="00BE1959">
        <w:rPr>
          <w:rFonts w:ascii="Times New Roman" w:eastAsia="Times New Roman" w:hAnsi="Times New Roman" w:cs="Times New Roman"/>
          <w:sz w:val="24"/>
          <w:szCs w:val="24"/>
          <w:lang w:val="uk-UA"/>
        </w:rPr>
        <w:t>Комісії надається повноваження на прийняття делегованих актів відповідно до статті 89 з метою забезпечити, щоб інвестиційні фірми дотримувалися принципів, викладених у пунктах 2-6 цієї статті, при наданні клієнтам інвестиційн</w:t>
      </w:r>
      <w:r w:rsidR="00A5249A" w:rsidRPr="00BE1959">
        <w:rPr>
          <w:rFonts w:ascii="Times New Roman" w:eastAsia="Times New Roman" w:hAnsi="Times New Roman" w:cs="Times New Roman"/>
          <w:sz w:val="24"/>
          <w:szCs w:val="24"/>
          <w:lang w:val="uk-UA"/>
        </w:rPr>
        <w:t>их або додаткових послуг, включаючи інформацію, що має отримуватися при оцінюванні відповідності чи доречності послуг і фінансових інструментів для їхніх клієнтів, критерії оцінки некомплексних фінансових інструментів для цілей пп.</w:t>
      </w:r>
      <w:r w:rsidRPr="00BE1959">
        <w:rPr>
          <w:rFonts w:ascii="Times New Roman" w:eastAsia="Times New Roman" w:hAnsi="Times New Roman" w:cs="Times New Roman"/>
          <w:sz w:val="24"/>
          <w:szCs w:val="24"/>
          <w:lang w:val="uk-UA"/>
        </w:rPr>
        <w:t xml:space="preserve"> (a)(vi) </w:t>
      </w:r>
      <w:r w:rsidR="00A5249A" w:rsidRPr="00BE1959">
        <w:rPr>
          <w:rFonts w:ascii="Times New Roman" w:eastAsia="Times New Roman" w:hAnsi="Times New Roman" w:cs="Times New Roman"/>
          <w:sz w:val="24"/>
          <w:szCs w:val="24"/>
          <w:lang w:val="uk-UA"/>
        </w:rPr>
        <w:t xml:space="preserve">пункту 4 цієї статті, зміст і формат записів і угод щодо надання послуг клієнтам і періодичних звітів клієнтам про надані послуги. </w:t>
      </w:r>
      <w:r w:rsidR="00476A0C" w:rsidRPr="00BE1959">
        <w:rPr>
          <w:rFonts w:ascii="Times New Roman" w:eastAsia="Times New Roman" w:hAnsi="Times New Roman" w:cs="Times New Roman"/>
          <w:sz w:val="24"/>
          <w:szCs w:val="24"/>
          <w:lang w:val="uk-UA"/>
        </w:rPr>
        <w:t>Ці делеговані акти враховують:</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9093"/>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476A0C" w:rsidP="008E04C0">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характер послуги або послуг, що пропонуються чи надаються фактичному чи потенційному клієнту, з урахуванням типу, </w:t>
            </w:r>
            <w:r w:rsidR="008E04C0" w:rsidRPr="00BE1959">
              <w:rPr>
                <w:rFonts w:ascii="Times New Roman" w:eastAsia="Times New Roman" w:hAnsi="Times New Roman" w:cs="Times New Roman"/>
                <w:sz w:val="24"/>
                <w:szCs w:val="24"/>
                <w:lang w:val="uk-UA"/>
              </w:rPr>
              <w:t>предме</w:t>
            </w:r>
            <w:r w:rsidRPr="00BE1959">
              <w:rPr>
                <w:rFonts w:ascii="Times New Roman" w:eastAsia="Times New Roman" w:hAnsi="Times New Roman" w:cs="Times New Roman"/>
                <w:sz w:val="24"/>
                <w:szCs w:val="24"/>
                <w:lang w:val="uk-UA"/>
              </w:rPr>
              <w:t>ту, розміру та частоти угод;</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476A0C" w:rsidP="008E04C0">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характер продуктів, що пропонуються або розглядаються, зокрема різні типи фінансових інструментів;</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9093"/>
      </w:tblGrid>
      <w:tr w:rsidR="00DE3173"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476A0C" w:rsidP="0005502E">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роздрібний чи професійний характер фактичних чи потенційних клієнтів або, у випадку пункт</w:t>
            </w:r>
            <w:r w:rsidR="008E04C0" w:rsidRPr="00BE1959">
              <w:rPr>
                <w:rFonts w:ascii="Times New Roman" w:eastAsia="Times New Roman" w:hAnsi="Times New Roman" w:cs="Times New Roman"/>
                <w:sz w:val="24"/>
                <w:szCs w:val="24"/>
                <w:lang w:val="uk-UA"/>
              </w:rPr>
              <w:t>у 6</w:t>
            </w:r>
            <w:r w:rsidRPr="00BE1959">
              <w:rPr>
                <w:rFonts w:ascii="Times New Roman" w:eastAsia="Times New Roman" w:hAnsi="Times New Roman" w:cs="Times New Roman"/>
                <w:sz w:val="24"/>
                <w:szCs w:val="24"/>
                <w:lang w:val="uk-UA"/>
              </w:rPr>
              <w:t>, їхню класифікацію як правомочних контрагентів.</w:t>
            </w:r>
          </w:p>
        </w:tc>
      </w:tr>
    </w:tbl>
    <w:p w:rsidR="0005502E"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9.   ESMA </w:t>
      </w:r>
      <w:r w:rsidR="0005502E" w:rsidRPr="00BE1959">
        <w:rPr>
          <w:rFonts w:ascii="Times New Roman" w:eastAsia="Times New Roman" w:hAnsi="Times New Roman" w:cs="Times New Roman"/>
          <w:sz w:val="24"/>
          <w:szCs w:val="24"/>
          <w:lang w:val="uk-UA"/>
        </w:rPr>
        <w:t>до 3 січня 2016 року розробляє</w:t>
      </w:r>
      <w:r w:rsidR="00F94F96" w:rsidRPr="00BE1959">
        <w:rPr>
          <w:rFonts w:ascii="Times New Roman" w:eastAsia="Times New Roman" w:hAnsi="Times New Roman" w:cs="Times New Roman"/>
          <w:sz w:val="24"/>
          <w:szCs w:val="24"/>
          <w:lang w:val="uk-UA"/>
        </w:rPr>
        <w:t xml:space="preserve"> </w:t>
      </w:r>
      <w:r w:rsidR="0005502E" w:rsidRPr="00BE1959">
        <w:rPr>
          <w:rFonts w:ascii="Times New Roman" w:eastAsia="Times New Roman" w:hAnsi="Times New Roman" w:cs="Times New Roman"/>
          <w:sz w:val="24"/>
          <w:szCs w:val="24"/>
          <w:lang w:val="uk-UA"/>
        </w:rPr>
        <w:t xml:space="preserve"> настанови з </w:t>
      </w:r>
      <w:r w:rsidR="00F94F96" w:rsidRPr="00BE1959">
        <w:rPr>
          <w:rFonts w:ascii="Times New Roman" w:eastAsia="Times New Roman" w:hAnsi="Times New Roman" w:cs="Times New Roman"/>
          <w:sz w:val="24"/>
          <w:szCs w:val="24"/>
          <w:lang w:val="uk-UA"/>
        </w:rPr>
        <w:t>оцінювання знань і компетентності, потрібних згідно з пунктом 1.</w:t>
      </w:r>
    </w:p>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10.   </w:t>
      </w:r>
      <w:r w:rsidR="000B3C04" w:rsidRPr="00BE1959">
        <w:rPr>
          <w:rFonts w:ascii="Times New Roman" w:eastAsia="Times New Roman" w:hAnsi="Times New Roman" w:cs="Times New Roman"/>
          <w:sz w:val="24"/>
          <w:szCs w:val="24"/>
          <w:lang w:val="uk-UA"/>
        </w:rPr>
        <w:t>ESMA до 3 січня 2016 року розробляє, а потім періодично переглядає настанови з оцінювання:</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9093"/>
      </w:tblGrid>
      <w:tr w:rsidR="005613AB" w:rsidRPr="00BE1959"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0F3E24" w:rsidP="000F3E24">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фінансових інструментів, структура яких ускладнює розуміння клієнтом пов'язаного з ними ризику, відповідно до пп. (a)(ii) і (a)(iii) пункту 4;</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DE3173" w:rsidRPr="00BE1959"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0F3E24" w:rsidP="000B3C04">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структурованих депозитів, </w:t>
            </w:r>
            <w:r w:rsidR="000B3C04" w:rsidRPr="00BE1959">
              <w:rPr>
                <w:rFonts w:ascii="Times New Roman" w:eastAsia="Times New Roman" w:hAnsi="Times New Roman" w:cs="Times New Roman"/>
                <w:sz w:val="24"/>
                <w:szCs w:val="24"/>
                <w:lang w:val="uk-UA"/>
              </w:rPr>
              <w:t xml:space="preserve">структура яких ускладнює розуміння клієнтом ризику </w:t>
            </w:r>
            <w:r w:rsidR="000B3C04" w:rsidRPr="00BE1959">
              <w:rPr>
                <w:rFonts w:ascii="Times New Roman" w:eastAsia="Times New Roman" w:hAnsi="Times New Roman" w:cs="Times New Roman"/>
                <w:sz w:val="24"/>
                <w:szCs w:val="24"/>
                <w:lang w:val="uk-UA"/>
              </w:rPr>
              <w:lastRenderedPageBreak/>
              <w:t>повернення або витрат на дострокове припинення з ними</w:t>
            </w:r>
            <w:r w:rsidRPr="00BE1959">
              <w:rPr>
                <w:rFonts w:ascii="Times New Roman" w:eastAsia="Times New Roman" w:hAnsi="Times New Roman" w:cs="Times New Roman"/>
                <w:sz w:val="24"/>
                <w:szCs w:val="24"/>
                <w:lang w:val="uk-UA"/>
              </w:rPr>
              <w:t>, відповідно до пп. (a)</w:t>
            </w:r>
            <w:r w:rsidR="005613AB" w:rsidRPr="00BE1959">
              <w:rPr>
                <w:rFonts w:ascii="Times New Roman" w:eastAsia="Times New Roman" w:hAnsi="Times New Roman" w:cs="Times New Roman"/>
                <w:sz w:val="24"/>
                <w:szCs w:val="24"/>
                <w:lang w:val="uk-UA"/>
              </w:rPr>
              <w:t xml:space="preserve">(v) </w:t>
            </w:r>
            <w:r w:rsidR="000B3C04" w:rsidRPr="00BE1959">
              <w:rPr>
                <w:rFonts w:ascii="Times New Roman" w:eastAsia="Times New Roman" w:hAnsi="Times New Roman" w:cs="Times New Roman"/>
                <w:sz w:val="24"/>
                <w:szCs w:val="24"/>
                <w:lang w:val="uk-UA"/>
              </w:rPr>
              <w:t>пункту 4.</w:t>
            </w:r>
          </w:p>
        </w:tc>
      </w:tr>
    </w:tbl>
    <w:p w:rsidR="005613AB" w:rsidRPr="00BE1959" w:rsidRDefault="005613AB" w:rsidP="000B3C04">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lastRenderedPageBreak/>
        <w:t>11.   </w:t>
      </w:r>
      <w:r w:rsidR="000B3C04" w:rsidRPr="00BE1959">
        <w:rPr>
          <w:rFonts w:ascii="Times New Roman" w:eastAsia="Times New Roman" w:hAnsi="Times New Roman" w:cs="Times New Roman"/>
          <w:sz w:val="24"/>
          <w:szCs w:val="24"/>
          <w:lang w:val="uk-UA"/>
        </w:rPr>
        <w:t>ESMA може розробити, а потім періодично переглядати настанови з оцінювання фінансових інструментів, класифікованих як некомплексні в цілях пп.</w:t>
      </w:r>
      <w:r w:rsidRPr="00BE1959">
        <w:rPr>
          <w:rFonts w:ascii="Times New Roman" w:eastAsia="Times New Roman" w:hAnsi="Times New Roman" w:cs="Times New Roman"/>
          <w:sz w:val="24"/>
          <w:szCs w:val="24"/>
          <w:lang w:val="uk-UA"/>
        </w:rPr>
        <w:t xml:space="preserve"> (a)(vi) </w:t>
      </w:r>
      <w:r w:rsidR="000B3C04" w:rsidRPr="00BE1959">
        <w:rPr>
          <w:rFonts w:ascii="Times New Roman" w:eastAsia="Times New Roman" w:hAnsi="Times New Roman" w:cs="Times New Roman"/>
          <w:sz w:val="24"/>
          <w:szCs w:val="24"/>
          <w:lang w:val="uk-UA"/>
        </w:rPr>
        <w:t>пункту 4, ураховуючи при цьому делеговані акти, прийняті згідно з пунктом 8.</w:t>
      </w:r>
    </w:p>
    <w:p w:rsidR="005613AB" w:rsidRPr="00BE1959" w:rsidRDefault="00162A11" w:rsidP="005613AB">
      <w:pPr>
        <w:spacing w:before="360" w:after="120" w:line="312" w:lineRule="atLeast"/>
        <w:jc w:val="center"/>
        <w:textAlignment w:val="baseline"/>
        <w:rPr>
          <w:rFonts w:ascii="Times New Roman" w:eastAsia="Times New Roman" w:hAnsi="Times New Roman" w:cs="Times New Roman"/>
          <w:i/>
          <w:iCs/>
          <w:sz w:val="24"/>
          <w:szCs w:val="24"/>
          <w:lang w:val="uk-UA"/>
        </w:rPr>
      </w:pPr>
      <w:r w:rsidRPr="00BE1959">
        <w:rPr>
          <w:rFonts w:ascii="Times New Roman" w:eastAsia="Times New Roman" w:hAnsi="Times New Roman" w:cs="Times New Roman"/>
          <w:i/>
          <w:iCs/>
          <w:sz w:val="24"/>
          <w:szCs w:val="24"/>
          <w:lang w:val="uk-UA"/>
        </w:rPr>
        <w:t>Стаття</w:t>
      </w:r>
      <w:r w:rsidR="005613AB" w:rsidRPr="00BE1959">
        <w:rPr>
          <w:rFonts w:ascii="Times New Roman" w:eastAsia="Times New Roman" w:hAnsi="Times New Roman" w:cs="Times New Roman"/>
          <w:i/>
          <w:iCs/>
          <w:sz w:val="24"/>
          <w:szCs w:val="24"/>
          <w:lang w:val="uk-UA"/>
        </w:rPr>
        <w:t xml:space="preserve"> 26</w:t>
      </w:r>
    </w:p>
    <w:p w:rsidR="005613AB" w:rsidRPr="00BE1959" w:rsidRDefault="007A3D33" w:rsidP="007A3D33">
      <w:pPr>
        <w:spacing w:before="60" w:after="120" w:line="312" w:lineRule="atLeast"/>
        <w:jc w:val="center"/>
        <w:textAlignment w:val="baseline"/>
        <w:rPr>
          <w:rFonts w:ascii="Times New Roman" w:eastAsia="Times New Roman" w:hAnsi="Times New Roman" w:cs="Times New Roman"/>
          <w:b/>
          <w:bCs/>
          <w:sz w:val="24"/>
          <w:szCs w:val="24"/>
          <w:lang w:val="uk-UA"/>
        </w:rPr>
      </w:pPr>
      <w:r w:rsidRPr="00BE1959">
        <w:rPr>
          <w:rFonts w:ascii="Times New Roman" w:eastAsia="Times New Roman" w:hAnsi="Times New Roman" w:cs="Times New Roman"/>
          <w:b/>
          <w:bCs/>
          <w:sz w:val="24"/>
          <w:szCs w:val="24"/>
          <w:lang w:val="uk-UA"/>
        </w:rPr>
        <w:t>Надання послуг за посередництвом іншої інвестиційної фірми</w:t>
      </w:r>
    </w:p>
    <w:p w:rsidR="005613AB" w:rsidRPr="00BE1959" w:rsidRDefault="001F5C90" w:rsidP="003E1238">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Держави-члени</w:t>
      </w:r>
      <w:r w:rsidR="002F74A7" w:rsidRPr="00BE1959">
        <w:rPr>
          <w:rFonts w:ascii="Times New Roman" w:eastAsia="Times New Roman" w:hAnsi="Times New Roman" w:cs="Times New Roman"/>
          <w:sz w:val="24"/>
          <w:szCs w:val="24"/>
          <w:lang w:val="uk-UA"/>
        </w:rPr>
        <w:t xml:space="preserve"> дозволяють інвестиційній фірмі, яка отримала вказівку надавати інвестиційні або додаткові послуги від імені клієнта за посередництвом іншої інвестиційної фірми, користуватися інформацією про клієнта, переданою останньою інвестиційною фірмою. </w:t>
      </w:r>
      <w:r w:rsidR="003E1238" w:rsidRPr="00BE1959">
        <w:rPr>
          <w:rFonts w:ascii="Times New Roman" w:eastAsia="Times New Roman" w:hAnsi="Times New Roman" w:cs="Times New Roman"/>
          <w:sz w:val="24"/>
          <w:szCs w:val="24"/>
          <w:lang w:val="uk-UA"/>
        </w:rPr>
        <w:t>Інвестиційна фірма, яка передає вищезгадані вказівки, залишається відповідальною за повноту та точність переданої інформації.</w:t>
      </w:r>
    </w:p>
    <w:p w:rsidR="005613AB" w:rsidRPr="00BE1959" w:rsidRDefault="003E1238" w:rsidP="003E1238">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Інвестиційна фірма, яка отримує вказівку надавати послуги від імені клієнта у такий спосіб, також може користуватися будь-яким рекомендаціями щодо послуги або угоди, наданими клієнтові іншою інвестиційною фірмою. Інвестиційна фірма, яка передає вказівки, залишається відповідальною за відповідність наданих рекомендацій або порад потребам клієнта.</w:t>
      </w:r>
    </w:p>
    <w:p w:rsidR="005613AB" w:rsidRPr="00BE1959" w:rsidRDefault="003E1238" w:rsidP="003E1238">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Інвестиційна фірма, яка отримує вказівки чи замовлення клієнта за посередництвом іншої інвестиційної фірми, залишається відповідальною за надання послуги або виконання угоди, основуючись на будь-якій такій інформації чи рекомендаціях, згідно з відповідними положеннями цього розділу директиви.</w:t>
      </w:r>
    </w:p>
    <w:p w:rsidR="005613AB" w:rsidRPr="00BE1959" w:rsidRDefault="00162A11" w:rsidP="005613AB">
      <w:pPr>
        <w:spacing w:before="360" w:after="120" w:line="312" w:lineRule="atLeast"/>
        <w:jc w:val="center"/>
        <w:textAlignment w:val="baseline"/>
        <w:rPr>
          <w:rFonts w:ascii="Times New Roman" w:eastAsia="Times New Roman" w:hAnsi="Times New Roman" w:cs="Times New Roman"/>
          <w:i/>
          <w:iCs/>
          <w:sz w:val="24"/>
          <w:szCs w:val="24"/>
          <w:lang w:val="uk-UA"/>
        </w:rPr>
      </w:pPr>
      <w:r w:rsidRPr="00BE1959">
        <w:rPr>
          <w:rFonts w:ascii="Times New Roman" w:eastAsia="Times New Roman" w:hAnsi="Times New Roman" w:cs="Times New Roman"/>
          <w:i/>
          <w:iCs/>
          <w:sz w:val="24"/>
          <w:szCs w:val="24"/>
          <w:lang w:val="uk-UA"/>
        </w:rPr>
        <w:t>Стаття</w:t>
      </w:r>
      <w:r w:rsidR="005613AB" w:rsidRPr="00BE1959">
        <w:rPr>
          <w:rFonts w:ascii="Times New Roman" w:eastAsia="Times New Roman" w:hAnsi="Times New Roman" w:cs="Times New Roman"/>
          <w:i/>
          <w:iCs/>
          <w:sz w:val="24"/>
          <w:szCs w:val="24"/>
          <w:lang w:val="uk-UA"/>
        </w:rPr>
        <w:t xml:space="preserve"> 27</w:t>
      </w:r>
    </w:p>
    <w:p w:rsidR="005613AB" w:rsidRPr="00BE1959" w:rsidRDefault="00665300" w:rsidP="00665300">
      <w:pPr>
        <w:spacing w:before="60" w:after="120" w:line="312" w:lineRule="atLeast"/>
        <w:jc w:val="center"/>
        <w:textAlignment w:val="baseline"/>
        <w:rPr>
          <w:rFonts w:ascii="Times New Roman" w:eastAsia="Times New Roman" w:hAnsi="Times New Roman" w:cs="Times New Roman"/>
          <w:b/>
          <w:bCs/>
          <w:sz w:val="24"/>
          <w:szCs w:val="24"/>
          <w:lang w:val="uk-UA"/>
        </w:rPr>
      </w:pPr>
      <w:r w:rsidRPr="00BE1959">
        <w:rPr>
          <w:rFonts w:ascii="Times New Roman" w:eastAsia="Times New Roman" w:hAnsi="Times New Roman" w:cs="Times New Roman"/>
          <w:b/>
          <w:bCs/>
          <w:sz w:val="24"/>
          <w:szCs w:val="24"/>
          <w:lang w:val="uk-UA"/>
        </w:rPr>
        <w:t>Обов’язок виконувати замовлення на умовах, найбільш сприятливих для клієнта</w:t>
      </w:r>
    </w:p>
    <w:p w:rsidR="005613AB" w:rsidRPr="00BE1959" w:rsidRDefault="005613AB" w:rsidP="00665300">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1.   </w:t>
      </w:r>
      <w:r w:rsidR="001F5C90" w:rsidRPr="00BE1959">
        <w:rPr>
          <w:rFonts w:ascii="Times New Roman" w:eastAsia="Times New Roman" w:hAnsi="Times New Roman" w:cs="Times New Roman"/>
          <w:sz w:val="24"/>
          <w:szCs w:val="24"/>
          <w:lang w:val="uk-UA"/>
        </w:rPr>
        <w:t>Держави-члени</w:t>
      </w:r>
      <w:r w:rsidRPr="00BE1959">
        <w:rPr>
          <w:rFonts w:ascii="Times New Roman" w:eastAsia="Times New Roman" w:hAnsi="Times New Roman" w:cs="Times New Roman"/>
          <w:sz w:val="24"/>
          <w:szCs w:val="24"/>
          <w:lang w:val="uk-UA"/>
        </w:rPr>
        <w:t xml:space="preserve"> </w:t>
      </w:r>
      <w:r w:rsidR="00665300" w:rsidRPr="00BE1959">
        <w:rPr>
          <w:rFonts w:ascii="Times New Roman" w:eastAsia="Times New Roman" w:hAnsi="Times New Roman" w:cs="Times New Roman"/>
          <w:sz w:val="24"/>
          <w:szCs w:val="24"/>
          <w:lang w:val="uk-UA"/>
        </w:rPr>
        <w:t>вимагають, щоб інвестиційні фірми вживали всіх достатніх заходів для отримання при виконанні замовлень найкращого можливого результату для своїх клієнтів з урахуванням ціни, витрат, швидкості, ймовірності виконання та розрахунку, розміру, характеру чи будь-якого іншого чинника, доречного для виконання замовлення. Тим не менш, за наявності конкретної вказівки від клієнта інвестиційна фірма виконує замовлення, керуючись цією конкретною вказівкою.</w:t>
      </w:r>
    </w:p>
    <w:p w:rsidR="005613AB" w:rsidRPr="00BE1959" w:rsidRDefault="00665300" w:rsidP="008555E9">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Якщо інвестиційна фірма виконує замовлення від імені роздрібного клієнта, </w:t>
      </w:r>
      <w:r w:rsidR="00FF353F" w:rsidRPr="00BE1959">
        <w:rPr>
          <w:rFonts w:ascii="Times New Roman" w:eastAsia="Times New Roman" w:hAnsi="Times New Roman" w:cs="Times New Roman"/>
          <w:sz w:val="24"/>
          <w:szCs w:val="24"/>
          <w:lang w:val="uk-UA"/>
        </w:rPr>
        <w:t xml:space="preserve">то найкращий можливий результат визначається з точки зору </w:t>
      </w:r>
      <w:r w:rsidR="008555E9" w:rsidRPr="00BE1959">
        <w:rPr>
          <w:rFonts w:ascii="Times New Roman" w:eastAsia="Times New Roman" w:hAnsi="Times New Roman" w:cs="Times New Roman"/>
          <w:sz w:val="24"/>
          <w:szCs w:val="24"/>
          <w:lang w:val="uk-UA"/>
        </w:rPr>
        <w:t>повної винагороди, що відображає ціну фінансового інструмента й витрат у зв'язку з виконанням, які включають всі видатки, понесені клієнтом, що прямо пов'язані з виконанням замовлення, включаючи оплату місця виконання, комісію за клірингово-розрахункове обслуговування та всі інші комісійні, виплачені третім особам, задіяним у виконанні замовлення.</w:t>
      </w:r>
    </w:p>
    <w:p w:rsidR="008555E9" w:rsidRPr="00BE1959" w:rsidRDefault="008555E9"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lastRenderedPageBreak/>
        <w:t xml:space="preserve">З метою досягнення найкращого можливого </w:t>
      </w:r>
      <w:r w:rsidR="00E05B12" w:rsidRPr="00BE1959">
        <w:rPr>
          <w:rFonts w:ascii="Times New Roman" w:eastAsia="Times New Roman" w:hAnsi="Times New Roman" w:cs="Times New Roman"/>
          <w:sz w:val="24"/>
          <w:szCs w:val="24"/>
          <w:lang w:val="uk-UA"/>
        </w:rPr>
        <w:t>результату відповідно до першого абзацу у випадках, де для виконання замовлення на фінансовий інструмент є декілька конкуруючих місць виконання, з метою оцінки та порівняння результатів для клієнта, які були б досягнуті шляхом виконання замовлення у кожному з можливих місць виконання</w:t>
      </w:r>
      <w:r w:rsidR="00E36021" w:rsidRPr="00BE1959">
        <w:rPr>
          <w:rFonts w:ascii="Times New Roman" w:eastAsia="Times New Roman" w:hAnsi="Times New Roman" w:cs="Times New Roman"/>
          <w:sz w:val="24"/>
          <w:szCs w:val="24"/>
          <w:lang w:val="uk-UA"/>
        </w:rPr>
        <w:t xml:space="preserve">, зазначених у правилах інвестиційної фірми щодо виконання замовлень, </w:t>
      </w:r>
      <w:r w:rsidR="002F0768" w:rsidRPr="00BE1959">
        <w:rPr>
          <w:rFonts w:ascii="Times New Roman" w:eastAsia="Times New Roman" w:hAnsi="Times New Roman" w:cs="Times New Roman"/>
          <w:sz w:val="24"/>
          <w:szCs w:val="24"/>
          <w:lang w:val="uk-UA"/>
        </w:rPr>
        <w:t>котрі</w:t>
      </w:r>
      <w:r w:rsidR="00E36021" w:rsidRPr="00BE1959">
        <w:rPr>
          <w:rFonts w:ascii="Times New Roman" w:eastAsia="Times New Roman" w:hAnsi="Times New Roman" w:cs="Times New Roman"/>
          <w:sz w:val="24"/>
          <w:szCs w:val="24"/>
          <w:lang w:val="uk-UA"/>
        </w:rPr>
        <w:t xml:space="preserve"> здатні виконати дане замовлення, у цій оцінці враховуються власні комісійні інвестиційної фірми</w:t>
      </w:r>
      <w:r w:rsidR="002F0768" w:rsidRPr="00BE1959">
        <w:rPr>
          <w:rFonts w:ascii="Times New Roman" w:eastAsia="Times New Roman" w:hAnsi="Times New Roman" w:cs="Times New Roman"/>
          <w:sz w:val="24"/>
          <w:szCs w:val="24"/>
          <w:lang w:val="uk-UA"/>
        </w:rPr>
        <w:t xml:space="preserve"> та витрати на виконання замовлення у кожному з місць виконання, що відповідають критеріям.</w:t>
      </w:r>
    </w:p>
    <w:p w:rsidR="005613AB" w:rsidRPr="00BE1959" w:rsidRDefault="005613AB" w:rsidP="00906EAC">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2.   </w:t>
      </w:r>
      <w:r w:rsidR="00324053" w:rsidRPr="00BE1959">
        <w:rPr>
          <w:rFonts w:ascii="Times New Roman" w:eastAsia="Times New Roman" w:hAnsi="Times New Roman" w:cs="Times New Roman"/>
          <w:sz w:val="24"/>
          <w:szCs w:val="24"/>
          <w:lang w:val="uk-UA"/>
        </w:rPr>
        <w:t>Інвестиційна фірма</w:t>
      </w:r>
      <w:r w:rsidRPr="00BE1959">
        <w:rPr>
          <w:rFonts w:ascii="Times New Roman" w:eastAsia="Times New Roman" w:hAnsi="Times New Roman" w:cs="Times New Roman"/>
          <w:sz w:val="24"/>
          <w:szCs w:val="24"/>
          <w:lang w:val="uk-UA"/>
        </w:rPr>
        <w:t xml:space="preserve"> </w:t>
      </w:r>
      <w:r w:rsidR="002F0768" w:rsidRPr="00BE1959">
        <w:rPr>
          <w:rFonts w:ascii="Times New Roman" w:eastAsia="Times New Roman" w:hAnsi="Times New Roman" w:cs="Times New Roman"/>
          <w:sz w:val="24"/>
          <w:szCs w:val="24"/>
          <w:lang w:val="uk-UA"/>
        </w:rPr>
        <w:t>не отримує жодної винагороди, знижки або негрошової в</w:t>
      </w:r>
      <w:r w:rsidR="00906EAC" w:rsidRPr="00BE1959">
        <w:rPr>
          <w:rFonts w:ascii="Times New Roman" w:eastAsia="Times New Roman" w:hAnsi="Times New Roman" w:cs="Times New Roman"/>
          <w:sz w:val="24"/>
          <w:szCs w:val="24"/>
          <w:lang w:val="uk-UA"/>
        </w:rPr>
        <w:t>игоди за направлення замовлень клієнтів на конкретний торговельний майданчик або місце виконання, що порушило б вимоги щодо конфліктів інтересів або заохочень, установлені у пункті 1 цієї статті та у статтях 16(3), 23 та 24.</w:t>
      </w:r>
    </w:p>
    <w:p w:rsidR="005613AB" w:rsidRPr="00BE1959" w:rsidRDefault="005613AB" w:rsidP="00511D52">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3.   </w:t>
      </w:r>
      <w:r w:rsidR="001F5C90" w:rsidRPr="00BE1959">
        <w:rPr>
          <w:rFonts w:ascii="Times New Roman" w:eastAsia="Times New Roman" w:hAnsi="Times New Roman" w:cs="Times New Roman"/>
          <w:sz w:val="24"/>
          <w:szCs w:val="24"/>
          <w:lang w:val="uk-UA"/>
        </w:rPr>
        <w:t>Держави-члени</w:t>
      </w:r>
      <w:r w:rsidRPr="00BE1959">
        <w:rPr>
          <w:rFonts w:ascii="Times New Roman" w:eastAsia="Times New Roman" w:hAnsi="Times New Roman" w:cs="Times New Roman"/>
          <w:sz w:val="24"/>
          <w:szCs w:val="24"/>
          <w:lang w:val="uk-UA"/>
        </w:rPr>
        <w:t xml:space="preserve"> </w:t>
      </w:r>
      <w:r w:rsidR="00EC263D" w:rsidRPr="00BE1959">
        <w:rPr>
          <w:rFonts w:ascii="Times New Roman" w:eastAsia="Times New Roman" w:hAnsi="Times New Roman" w:cs="Times New Roman"/>
          <w:sz w:val="24"/>
          <w:szCs w:val="24"/>
          <w:lang w:val="uk-UA"/>
        </w:rPr>
        <w:t>вимагають, щоб для фінансових інструментів, які підпадають під дію зобов’язання щодо торгівлі, викладеного у статтях 23 та 28 Регламенту</w:t>
      </w:r>
      <w:r w:rsidRPr="00BE1959">
        <w:rPr>
          <w:rFonts w:ascii="Times New Roman" w:eastAsia="Times New Roman" w:hAnsi="Times New Roman" w:cs="Times New Roman"/>
          <w:sz w:val="24"/>
          <w:szCs w:val="24"/>
          <w:lang w:val="uk-UA"/>
        </w:rPr>
        <w:t xml:space="preserve"> </w:t>
      </w:r>
      <w:r w:rsidR="007B0149" w:rsidRPr="00BE1959">
        <w:rPr>
          <w:rFonts w:ascii="Times New Roman" w:eastAsia="Times New Roman" w:hAnsi="Times New Roman" w:cs="Times New Roman"/>
          <w:sz w:val="24"/>
          <w:szCs w:val="24"/>
          <w:lang w:val="uk-UA"/>
        </w:rPr>
        <w:t>(EU) № 600/2014</w:t>
      </w:r>
      <w:r w:rsidR="00EC263D" w:rsidRPr="00BE1959">
        <w:rPr>
          <w:rFonts w:ascii="Times New Roman" w:eastAsia="Times New Roman" w:hAnsi="Times New Roman" w:cs="Times New Roman"/>
          <w:sz w:val="24"/>
          <w:szCs w:val="24"/>
          <w:lang w:val="uk-UA"/>
        </w:rPr>
        <w:t>, кожний торговельний майданчик і систематичний учасник, а для інших фінансових інструментів – кожне місце виконання – оприлюднювали</w:t>
      </w:r>
      <w:r w:rsidR="007C51DE" w:rsidRPr="00BE1959">
        <w:rPr>
          <w:rFonts w:ascii="Times New Roman" w:eastAsia="Times New Roman" w:hAnsi="Times New Roman" w:cs="Times New Roman"/>
          <w:sz w:val="24"/>
          <w:szCs w:val="24"/>
          <w:lang w:val="uk-UA"/>
        </w:rPr>
        <w:t>, без будь-якої плати, дані стосовно якості виконання угод у цьому місці принаймні щорічно, а після виконання угоди від імені клієнта інвестиційна фірма інформувала його про те, де саме було виконано його замовлення. Періодичні звіти включають детальні дані про ціну, ви</w:t>
      </w:r>
      <w:r w:rsidR="00511D52" w:rsidRPr="00BE1959">
        <w:rPr>
          <w:rFonts w:ascii="Times New Roman" w:eastAsia="Times New Roman" w:hAnsi="Times New Roman" w:cs="Times New Roman"/>
          <w:sz w:val="24"/>
          <w:szCs w:val="24"/>
          <w:lang w:val="uk-UA"/>
        </w:rPr>
        <w:t>трати, швидкість та ймовірність виконання окремих фінансових інструментів.</w:t>
      </w:r>
    </w:p>
    <w:p w:rsidR="005613AB" w:rsidRPr="00BE1959" w:rsidRDefault="005613AB" w:rsidP="00AB2194">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4.   </w:t>
      </w:r>
      <w:r w:rsidR="001F5C90" w:rsidRPr="00BE1959">
        <w:rPr>
          <w:rFonts w:ascii="Times New Roman" w:eastAsia="Times New Roman" w:hAnsi="Times New Roman" w:cs="Times New Roman"/>
          <w:sz w:val="24"/>
          <w:szCs w:val="24"/>
          <w:lang w:val="uk-UA"/>
        </w:rPr>
        <w:t>Держави-члени</w:t>
      </w:r>
      <w:r w:rsidRPr="00BE1959">
        <w:rPr>
          <w:rFonts w:ascii="Times New Roman" w:eastAsia="Times New Roman" w:hAnsi="Times New Roman" w:cs="Times New Roman"/>
          <w:sz w:val="24"/>
          <w:szCs w:val="24"/>
          <w:lang w:val="uk-UA"/>
        </w:rPr>
        <w:t xml:space="preserve"> </w:t>
      </w:r>
      <w:r w:rsidR="00511D52" w:rsidRPr="00BE1959">
        <w:rPr>
          <w:rFonts w:ascii="Times New Roman" w:eastAsia="Times New Roman" w:hAnsi="Times New Roman" w:cs="Times New Roman"/>
          <w:sz w:val="24"/>
          <w:szCs w:val="24"/>
          <w:lang w:val="uk-UA"/>
        </w:rPr>
        <w:t>вимагають, щоб інвестиційні фірми створили та запровадили ефективні механізми дотримання вимог пункту 1. Зокрема, держави</w:t>
      </w:r>
      <w:r w:rsidR="00AB2194" w:rsidRPr="00BE1959">
        <w:rPr>
          <w:rFonts w:ascii="Times New Roman" w:eastAsia="Times New Roman" w:hAnsi="Times New Roman" w:cs="Times New Roman"/>
          <w:sz w:val="24"/>
          <w:szCs w:val="24"/>
          <w:lang w:val="uk-UA"/>
        </w:rPr>
        <w:t>-</w:t>
      </w:r>
      <w:r w:rsidR="00511D52" w:rsidRPr="00BE1959">
        <w:rPr>
          <w:rFonts w:ascii="Times New Roman" w:eastAsia="Times New Roman" w:hAnsi="Times New Roman" w:cs="Times New Roman"/>
          <w:sz w:val="24"/>
          <w:szCs w:val="24"/>
          <w:lang w:val="uk-UA"/>
        </w:rPr>
        <w:t>члени</w:t>
      </w:r>
      <w:r w:rsidR="00AB2194" w:rsidRPr="00BE1959">
        <w:rPr>
          <w:rFonts w:ascii="Times New Roman" w:eastAsia="Times New Roman" w:hAnsi="Times New Roman" w:cs="Times New Roman"/>
          <w:sz w:val="24"/>
          <w:szCs w:val="24"/>
          <w:lang w:val="uk-UA"/>
        </w:rPr>
        <w:t xml:space="preserve"> вимагають, що інвестиційні фірми розробили та запровадили правила виконання замовлень, які б дозволили їм отримувати найкращий можливий результат при виконанні умов клієнтів відповідно до пункту 1 цієї статті.</w:t>
      </w:r>
    </w:p>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5.   </w:t>
      </w:r>
      <w:r w:rsidR="00AB2194" w:rsidRPr="00BE1959">
        <w:rPr>
          <w:rFonts w:ascii="Times New Roman" w:eastAsia="Times New Roman" w:hAnsi="Times New Roman" w:cs="Times New Roman"/>
          <w:sz w:val="24"/>
          <w:szCs w:val="24"/>
          <w:lang w:val="uk-UA"/>
        </w:rPr>
        <w:t>П</w:t>
      </w:r>
      <w:r w:rsidR="000F56AB" w:rsidRPr="00BE1959">
        <w:rPr>
          <w:rFonts w:ascii="Times New Roman" w:eastAsia="Times New Roman" w:hAnsi="Times New Roman" w:cs="Times New Roman"/>
          <w:sz w:val="24"/>
          <w:szCs w:val="24"/>
          <w:lang w:val="uk-UA"/>
        </w:rPr>
        <w:t xml:space="preserve">равила виконання замовлень включають для кожного класу фінансових інструментів інформацію про різні місця, в яких інвестиційна фірма виконує замовлення своїх клієнтів, та про фактори, що впливають на вибір місця виконання замовлень. </w:t>
      </w:r>
      <w:r w:rsidR="002D58E7" w:rsidRPr="00BE1959">
        <w:rPr>
          <w:rFonts w:ascii="Times New Roman" w:eastAsia="Times New Roman" w:hAnsi="Times New Roman" w:cs="Times New Roman"/>
          <w:sz w:val="24"/>
          <w:szCs w:val="24"/>
          <w:lang w:val="uk-UA"/>
        </w:rPr>
        <w:t>Правила включають як мінімум ті місця, які дозволяють інвестиційній фірмі незмінно отримувати при виконанні замовлень клієнтів найкращий можливий результат</w:t>
      </w:r>
      <w:r w:rsidRPr="00BE1959">
        <w:rPr>
          <w:rFonts w:ascii="Times New Roman" w:eastAsia="Times New Roman" w:hAnsi="Times New Roman" w:cs="Times New Roman"/>
          <w:sz w:val="24"/>
          <w:szCs w:val="24"/>
          <w:lang w:val="uk-UA"/>
        </w:rPr>
        <w:t>.</w:t>
      </w:r>
    </w:p>
    <w:p w:rsidR="005613AB" w:rsidRPr="00BE1959" w:rsidRDefault="00511D52" w:rsidP="002D58E7">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Держави-члени вимагають, щоб </w:t>
      </w:r>
      <w:r w:rsidR="002D58E7" w:rsidRPr="00BE1959">
        <w:rPr>
          <w:rFonts w:ascii="Times New Roman" w:eastAsia="Times New Roman" w:hAnsi="Times New Roman" w:cs="Times New Roman"/>
          <w:sz w:val="24"/>
          <w:szCs w:val="24"/>
          <w:lang w:val="uk-UA"/>
        </w:rPr>
        <w:t xml:space="preserve">інвестиційні фірми надавали своїм клієнтам відповідну інформацію про свої правила виконання замовлень. У цій інформації слід чітко, достатньо детально та у спосіб, легкозрозумілий для клієнтів, роз’яснити, як саме замовлення клієнта виконуватимуться інвестиційною фірмою. </w:t>
      </w:r>
      <w:r w:rsidRPr="00BE1959">
        <w:rPr>
          <w:rFonts w:ascii="Times New Roman" w:eastAsia="Times New Roman" w:hAnsi="Times New Roman" w:cs="Times New Roman"/>
          <w:sz w:val="24"/>
          <w:szCs w:val="24"/>
          <w:lang w:val="uk-UA"/>
        </w:rPr>
        <w:t xml:space="preserve">Держави-члени вимагають, </w:t>
      </w:r>
      <w:r w:rsidR="002D58E7" w:rsidRPr="00BE1959">
        <w:rPr>
          <w:rFonts w:ascii="Times New Roman" w:eastAsia="Times New Roman" w:hAnsi="Times New Roman" w:cs="Times New Roman"/>
          <w:sz w:val="24"/>
          <w:szCs w:val="24"/>
          <w:lang w:val="uk-UA"/>
        </w:rPr>
        <w:t>щоб інвестиційні фірми отримували попередню згоду клієнтів на правила виконання замовлень.</w:t>
      </w:r>
    </w:p>
    <w:p w:rsidR="005613AB" w:rsidRPr="00BE1959" w:rsidRDefault="00511D52" w:rsidP="006E69F5">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Держави-члени вимагають, щоб</w:t>
      </w:r>
      <w:r w:rsidR="002D58E7" w:rsidRPr="00BE1959">
        <w:rPr>
          <w:rFonts w:ascii="Times New Roman" w:eastAsia="Times New Roman" w:hAnsi="Times New Roman" w:cs="Times New Roman"/>
          <w:sz w:val="24"/>
          <w:szCs w:val="24"/>
          <w:lang w:val="uk-UA"/>
        </w:rPr>
        <w:t xml:space="preserve"> у випадках, де правила виконання замовлень передбачають можливість виконання замовлень клієнтів поза межами торговельного майданчика, інвестиційна фірма, зокрема, інформувала своїх клієнтів про цю можливість.</w:t>
      </w:r>
      <w:r w:rsidR="005613AB" w:rsidRPr="00BE1959">
        <w:rPr>
          <w:rFonts w:ascii="Times New Roman" w:eastAsia="Times New Roman" w:hAnsi="Times New Roman" w:cs="Times New Roman"/>
          <w:sz w:val="24"/>
          <w:szCs w:val="24"/>
          <w:lang w:val="uk-UA"/>
        </w:rPr>
        <w:t xml:space="preserve"> </w:t>
      </w:r>
      <w:r w:rsidRPr="00BE1959">
        <w:rPr>
          <w:rFonts w:ascii="Times New Roman" w:eastAsia="Times New Roman" w:hAnsi="Times New Roman" w:cs="Times New Roman"/>
          <w:sz w:val="24"/>
          <w:szCs w:val="24"/>
          <w:lang w:val="uk-UA"/>
        </w:rPr>
        <w:lastRenderedPageBreak/>
        <w:t xml:space="preserve">Держави-члени вимагають, </w:t>
      </w:r>
      <w:r w:rsidR="002D58E7" w:rsidRPr="00BE1959">
        <w:rPr>
          <w:rFonts w:ascii="Times New Roman" w:eastAsia="Times New Roman" w:hAnsi="Times New Roman" w:cs="Times New Roman"/>
          <w:sz w:val="24"/>
          <w:szCs w:val="24"/>
          <w:lang w:val="uk-UA"/>
        </w:rPr>
        <w:t>щоб інвестиційні фірми</w:t>
      </w:r>
      <w:r w:rsidR="005613AB" w:rsidRPr="00BE1959">
        <w:rPr>
          <w:rFonts w:ascii="Times New Roman" w:eastAsia="Times New Roman" w:hAnsi="Times New Roman" w:cs="Times New Roman"/>
          <w:sz w:val="24"/>
          <w:szCs w:val="24"/>
          <w:lang w:val="uk-UA"/>
        </w:rPr>
        <w:t xml:space="preserve"> </w:t>
      </w:r>
      <w:r w:rsidR="002D58E7" w:rsidRPr="00BE1959">
        <w:rPr>
          <w:rFonts w:ascii="Times New Roman" w:eastAsia="Times New Roman" w:hAnsi="Times New Roman" w:cs="Times New Roman"/>
          <w:sz w:val="24"/>
          <w:szCs w:val="24"/>
          <w:lang w:val="uk-UA"/>
        </w:rPr>
        <w:t xml:space="preserve">отримували попередню пряму згоду своїх клієнтів, перш ніж починати виконання їхніх замовлень поза межами торговельного майданчика. Інвестиційні фірми можуть отримувати таку згоду або у формі загальної </w:t>
      </w:r>
      <w:r w:rsidR="006E69F5" w:rsidRPr="00BE1959">
        <w:rPr>
          <w:rFonts w:ascii="Times New Roman" w:eastAsia="Times New Roman" w:hAnsi="Times New Roman" w:cs="Times New Roman"/>
          <w:sz w:val="24"/>
          <w:szCs w:val="24"/>
          <w:lang w:val="uk-UA"/>
        </w:rPr>
        <w:t>домовленості, або для кожної угоди окремо.</w:t>
      </w:r>
    </w:p>
    <w:p w:rsidR="005613AB" w:rsidRPr="00BE1959" w:rsidRDefault="005613AB" w:rsidP="00A3214C">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6.   </w:t>
      </w:r>
      <w:r w:rsidR="001F5C90" w:rsidRPr="00BE1959">
        <w:rPr>
          <w:rFonts w:ascii="Times New Roman" w:eastAsia="Times New Roman" w:hAnsi="Times New Roman" w:cs="Times New Roman"/>
          <w:sz w:val="24"/>
          <w:szCs w:val="24"/>
          <w:lang w:val="uk-UA"/>
        </w:rPr>
        <w:t>Держави-члени</w:t>
      </w:r>
      <w:r w:rsidRPr="00BE1959">
        <w:rPr>
          <w:rFonts w:ascii="Times New Roman" w:eastAsia="Times New Roman" w:hAnsi="Times New Roman" w:cs="Times New Roman"/>
          <w:sz w:val="24"/>
          <w:szCs w:val="24"/>
          <w:lang w:val="uk-UA"/>
        </w:rPr>
        <w:t xml:space="preserve"> </w:t>
      </w:r>
      <w:r w:rsidR="006E69F5" w:rsidRPr="00BE1959">
        <w:rPr>
          <w:rFonts w:ascii="Times New Roman" w:eastAsia="Times New Roman" w:hAnsi="Times New Roman" w:cs="Times New Roman"/>
          <w:sz w:val="24"/>
          <w:szCs w:val="24"/>
          <w:lang w:val="uk-UA"/>
        </w:rPr>
        <w:t xml:space="preserve">вимагають, щоб інвестиційні фірми, які виконують замовлення клієнтів, узагальнювали та щорічно оприлюднювали по кожному класу фінансових інструментів </w:t>
      </w:r>
      <w:r w:rsidR="00CF2F8E" w:rsidRPr="00BE1959">
        <w:rPr>
          <w:rFonts w:ascii="Times New Roman" w:eastAsia="Times New Roman" w:hAnsi="Times New Roman" w:cs="Times New Roman"/>
          <w:sz w:val="24"/>
          <w:szCs w:val="24"/>
          <w:lang w:val="uk-UA"/>
        </w:rPr>
        <w:t>перелік п’яти провідних</w:t>
      </w:r>
      <w:r w:rsidR="00C67B29" w:rsidRPr="00BE1959">
        <w:rPr>
          <w:rFonts w:ascii="Times New Roman" w:eastAsia="Times New Roman" w:hAnsi="Times New Roman" w:cs="Times New Roman"/>
          <w:sz w:val="24"/>
          <w:szCs w:val="24"/>
          <w:lang w:val="uk-UA"/>
        </w:rPr>
        <w:t>, за обсягами торгівлі,</w:t>
      </w:r>
      <w:r w:rsidR="00CF2F8E" w:rsidRPr="00BE1959">
        <w:rPr>
          <w:rFonts w:ascii="Times New Roman" w:eastAsia="Times New Roman" w:hAnsi="Times New Roman" w:cs="Times New Roman"/>
          <w:sz w:val="24"/>
          <w:szCs w:val="24"/>
          <w:lang w:val="uk-UA"/>
        </w:rPr>
        <w:t xml:space="preserve"> місць виконання замовлень, де вони в минулому році виконували замовлення, та інформацію щодо якості виконання.</w:t>
      </w:r>
    </w:p>
    <w:p w:rsidR="005613AB" w:rsidRPr="00BE1959" w:rsidRDefault="005613AB" w:rsidP="003B0444">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7.   </w:t>
      </w:r>
      <w:r w:rsidR="001F5C90" w:rsidRPr="00BE1959">
        <w:rPr>
          <w:rFonts w:ascii="Times New Roman" w:eastAsia="Times New Roman" w:hAnsi="Times New Roman" w:cs="Times New Roman"/>
          <w:sz w:val="24"/>
          <w:szCs w:val="24"/>
          <w:lang w:val="uk-UA"/>
        </w:rPr>
        <w:t>Держави-члени</w:t>
      </w:r>
      <w:r w:rsidRPr="00BE1959">
        <w:rPr>
          <w:rFonts w:ascii="Times New Roman" w:eastAsia="Times New Roman" w:hAnsi="Times New Roman" w:cs="Times New Roman"/>
          <w:sz w:val="24"/>
          <w:szCs w:val="24"/>
          <w:lang w:val="uk-UA"/>
        </w:rPr>
        <w:t xml:space="preserve"> </w:t>
      </w:r>
      <w:r w:rsidR="006E69F5" w:rsidRPr="00BE1959">
        <w:rPr>
          <w:rFonts w:ascii="Times New Roman" w:eastAsia="Times New Roman" w:hAnsi="Times New Roman" w:cs="Times New Roman"/>
          <w:sz w:val="24"/>
          <w:szCs w:val="24"/>
          <w:lang w:val="uk-UA"/>
        </w:rPr>
        <w:t>вимагають, щоб інвестиційні фірми</w:t>
      </w:r>
      <w:r w:rsidR="003B0444" w:rsidRPr="00BE1959">
        <w:rPr>
          <w:rFonts w:ascii="Times New Roman" w:eastAsia="Times New Roman" w:hAnsi="Times New Roman" w:cs="Times New Roman"/>
          <w:sz w:val="24"/>
          <w:szCs w:val="24"/>
          <w:lang w:val="uk-UA"/>
        </w:rPr>
        <w:t xml:space="preserve">, які виконують замовлення клієнтів, контролювали ефективність своїх механізмів виконання замовлень і правил виконання замовлень на предмет виявлення і, де доречно, усунення недоліків. Зокрема, вони повинні регулярно оцінювати, чи забезпечують місця виконання замовлень, включені у правила виконання замовлень, найкращий можливий результат для клієнта або чи необхідно їм внести зміни у свої механізми виконання, враховуючи, серед іншого, інформацію, оприлюднену згідно з пунктами 3 та 6. </w:t>
      </w:r>
      <w:r w:rsidR="001F5C90" w:rsidRPr="00BE1959">
        <w:rPr>
          <w:rFonts w:ascii="Times New Roman" w:eastAsia="Times New Roman" w:hAnsi="Times New Roman" w:cs="Times New Roman"/>
          <w:sz w:val="24"/>
          <w:szCs w:val="24"/>
          <w:lang w:val="uk-UA"/>
        </w:rPr>
        <w:t>Держави-члени</w:t>
      </w:r>
      <w:r w:rsidRPr="00BE1959">
        <w:rPr>
          <w:rFonts w:ascii="Times New Roman" w:eastAsia="Times New Roman" w:hAnsi="Times New Roman" w:cs="Times New Roman"/>
          <w:sz w:val="24"/>
          <w:szCs w:val="24"/>
          <w:lang w:val="uk-UA"/>
        </w:rPr>
        <w:t xml:space="preserve"> </w:t>
      </w:r>
      <w:r w:rsidR="006E69F5" w:rsidRPr="00BE1959">
        <w:rPr>
          <w:rFonts w:ascii="Times New Roman" w:eastAsia="Times New Roman" w:hAnsi="Times New Roman" w:cs="Times New Roman"/>
          <w:sz w:val="24"/>
          <w:szCs w:val="24"/>
          <w:lang w:val="uk-UA"/>
        </w:rPr>
        <w:t>вимагають, щоб інвестиційні фірми</w:t>
      </w:r>
      <w:r w:rsidRPr="00BE1959">
        <w:rPr>
          <w:rFonts w:ascii="Times New Roman" w:eastAsia="Times New Roman" w:hAnsi="Times New Roman" w:cs="Times New Roman"/>
          <w:sz w:val="24"/>
          <w:szCs w:val="24"/>
          <w:lang w:val="uk-UA"/>
        </w:rPr>
        <w:t xml:space="preserve"> </w:t>
      </w:r>
      <w:r w:rsidR="003B0444" w:rsidRPr="00BE1959">
        <w:rPr>
          <w:rFonts w:ascii="Times New Roman" w:eastAsia="Times New Roman" w:hAnsi="Times New Roman" w:cs="Times New Roman"/>
          <w:sz w:val="24"/>
          <w:szCs w:val="24"/>
          <w:lang w:val="uk-UA"/>
        </w:rPr>
        <w:t>повідомляли клієнтів, з якими вони підтримують поточні клієнтські відносини, про всі істотні зміни у своїх механізмах або правилах виконання замовлень.</w:t>
      </w:r>
    </w:p>
    <w:p w:rsidR="005613AB" w:rsidRPr="00BE1959" w:rsidRDefault="005613AB" w:rsidP="00FE6316">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8.   </w:t>
      </w:r>
      <w:r w:rsidR="001F5C90" w:rsidRPr="00BE1959">
        <w:rPr>
          <w:rFonts w:ascii="Times New Roman" w:eastAsia="Times New Roman" w:hAnsi="Times New Roman" w:cs="Times New Roman"/>
          <w:sz w:val="24"/>
          <w:szCs w:val="24"/>
          <w:lang w:val="uk-UA"/>
        </w:rPr>
        <w:t>Держави-члени</w:t>
      </w:r>
      <w:r w:rsidRPr="00BE1959">
        <w:rPr>
          <w:rFonts w:ascii="Times New Roman" w:eastAsia="Times New Roman" w:hAnsi="Times New Roman" w:cs="Times New Roman"/>
          <w:sz w:val="24"/>
          <w:szCs w:val="24"/>
          <w:lang w:val="uk-UA"/>
        </w:rPr>
        <w:t xml:space="preserve"> </w:t>
      </w:r>
      <w:r w:rsidR="006E69F5" w:rsidRPr="00BE1959">
        <w:rPr>
          <w:rFonts w:ascii="Times New Roman" w:eastAsia="Times New Roman" w:hAnsi="Times New Roman" w:cs="Times New Roman"/>
          <w:sz w:val="24"/>
          <w:szCs w:val="24"/>
          <w:lang w:val="uk-UA"/>
        </w:rPr>
        <w:t>вимагають, щоб інвестиційні фірми</w:t>
      </w:r>
      <w:r w:rsidRPr="00BE1959">
        <w:rPr>
          <w:rFonts w:ascii="Times New Roman" w:eastAsia="Times New Roman" w:hAnsi="Times New Roman" w:cs="Times New Roman"/>
          <w:sz w:val="24"/>
          <w:szCs w:val="24"/>
          <w:lang w:val="uk-UA"/>
        </w:rPr>
        <w:t xml:space="preserve"> </w:t>
      </w:r>
      <w:r w:rsidR="00FE6316" w:rsidRPr="00BE1959">
        <w:rPr>
          <w:rFonts w:ascii="Times New Roman" w:eastAsia="Times New Roman" w:hAnsi="Times New Roman" w:cs="Times New Roman"/>
          <w:sz w:val="24"/>
          <w:szCs w:val="24"/>
          <w:lang w:val="uk-UA"/>
        </w:rPr>
        <w:t>могли продемонструвати своїм клієнтам на вимогу останніх, що вони виконали їхні замовлення відповідно до правил виконання замовлень, установлених у них, і продемонструвати компетентному органові на його вимогу дотримання ними цієї статті.</w:t>
      </w:r>
    </w:p>
    <w:p w:rsidR="005613AB" w:rsidRPr="00BE1959" w:rsidRDefault="005613AB" w:rsidP="004E345F">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9.   </w:t>
      </w:r>
      <w:r w:rsidR="004E345F" w:rsidRPr="00BE1959">
        <w:rPr>
          <w:rFonts w:ascii="Times New Roman" w:eastAsia="Times New Roman" w:hAnsi="Times New Roman" w:cs="Times New Roman"/>
          <w:sz w:val="24"/>
          <w:szCs w:val="24"/>
          <w:lang w:val="uk-UA"/>
        </w:rPr>
        <w:t>Комісії надається повноваження на прийняття делегованих актів відповідно до статті 89 стосовно:</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9093"/>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4E345F" w:rsidP="00327F62">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критеріїв визначення відносної важливості різних факторів, які, відповідно до пункту 1, можуть ураховуватися для визначення найкращого можливого результату з урахуванням обсяг</w:t>
            </w:r>
            <w:r w:rsidR="00327F62" w:rsidRPr="00BE1959">
              <w:rPr>
                <w:rFonts w:ascii="Times New Roman" w:eastAsia="Times New Roman" w:hAnsi="Times New Roman" w:cs="Times New Roman"/>
                <w:sz w:val="24"/>
                <w:szCs w:val="24"/>
                <w:lang w:val="uk-UA"/>
              </w:rPr>
              <w:t>у та типу замовлення і роздрібного чи професійного характеру клієнта;</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327F62" w:rsidP="00CB23E5">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факторів, які можуть ураховуватися інвестиційною фірмою при перегляді її механізмів виконання замовлень і обставин, за яких можуть бути доречними змі</w:t>
            </w:r>
            <w:r w:rsidR="00CB23E5" w:rsidRPr="00BE1959">
              <w:rPr>
                <w:rFonts w:ascii="Times New Roman" w:eastAsia="Times New Roman" w:hAnsi="Times New Roman" w:cs="Times New Roman"/>
                <w:sz w:val="24"/>
                <w:szCs w:val="24"/>
                <w:lang w:val="uk-UA"/>
              </w:rPr>
              <w:t>ни у таких механізмах, зокрема, факторів, що визначають, які місця виконання замовлень дозволяють інвестиційним фірмам незмінно отримувати при виконанні замовлень клієнтів найкращий можливий результат;</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9093"/>
      </w:tblGrid>
      <w:tr w:rsidR="00DE3173"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CB23E5" w:rsidP="00CB23E5">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характеру і обсягу інформації, що має надаватися клієнтам щодо правил виконання замовлень відповідно до пункту 5.</w:t>
            </w:r>
          </w:p>
        </w:tc>
      </w:tr>
    </w:tbl>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10.   ESMA </w:t>
      </w:r>
      <w:r w:rsidR="00CB23E5" w:rsidRPr="00BE1959">
        <w:rPr>
          <w:rFonts w:ascii="Times New Roman" w:eastAsia="Times New Roman" w:hAnsi="Times New Roman" w:cs="Times New Roman"/>
          <w:sz w:val="24"/>
          <w:szCs w:val="24"/>
          <w:lang w:val="uk-UA"/>
        </w:rPr>
        <w:t>розробляє проекти нормативно-технічних стандартів, де визначає:</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9093"/>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CB23E5" w:rsidP="00CB23E5">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конкретний зміст, формат і періодичність даних стосовно якості виконання замовлень, </w:t>
            </w:r>
            <w:r w:rsidRPr="00BE1959">
              <w:rPr>
                <w:rFonts w:ascii="Times New Roman" w:eastAsia="Times New Roman" w:hAnsi="Times New Roman" w:cs="Times New Roman"/>
                <w:sz w:val="24"/>
                <w:szCs w:val="24"/>
                <w:lang w:val="uk-UA"/>
              </w:rPr>
              <w:lastRenderedPageBreak/>
              <w:t>які мають публікуватися відповідно до пункту 3, ураховуючи тип місця виконання замовлень і тип відповідного фінансового інструмента;</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DE3173"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CB23E5" w:rsidP="00CB23E5">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зміст і формат інформації, яка має оприлюднюватися інвестиційними фірмами згідно з пунктом 6.</w:t>
            </w:r>
          </w:p>
        </w:tc>
      </w:tr>
    </w:tbl>
    <w:p w:rsidR="002018AD" w:rsidRPr="00BE1959" w:rsidRDefault="002018AD" w:rsidP="002018AD">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ESMA подає проекти цих нормативно-технічних стандартів Комісії до 3 липня 2015 року.</w:t>
      </w:r>
    </w:p>
    <w:p w:rsidR="005613AB" w:rsidRPr="00BE1959" w:rsidRDefault="002018AD" w:rsidP="002018AD">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Комісії делегується повноваження на прийняття нормативно-технічних стандартів, згаданих у першому абзаці цього пункту, згідно зі статтями 10-14 Регламенту (EU) № 1095/2010.</w:t>
      </w:r>
    </w:p>
    <w:p w:rsidR="005613AB" w:rsidRPr="00BE1959" w:rsidRDefault="00162A11" w:rsidP="005613AB">
      <w:pPr>
        <w:spacing w:before="360" w:after="120" w:line="312" w:lineRule="atLeast"/>
        <w:jc w:val="center"/>
        <w:textAlignment w:val="baseline"/>
        <w:rPr>
          <w:rFonts w:ascii="Times New Roman" w:eastAsia="Times New Roman" w:hAnsi="Times New Roman" w:cs="Times New Roman"/>
          <w:i/>
          <w:iCs/>
          <w:sz w:val="24"/>
          <w:szCs w:val="24"/>
          <w:lang w:val="uk-UA"/>
        </w:rPr>
      </w:pPr>
      <w:r w:rsidRPr="00BE1959">
        <w:rPr>
          <w:rFonts w:ascii="Times New Roman" w:eastAsia="Times New Roman" w:hAnsi="Times New Roman" w:cs="Times New Roman"/>
          <w:i/>
          <w:iCs/>
          <w:sz w:val="24"/>
          <w:szCs w:val="24"/>
          <w:lang w:val="uk-UA"/>
        </w:rPr>
        <w:t>Стаття</w:t>
      </w:r>
      <w:r w:rsidR="005613AB" w:rsidRPr="00BE1959">
        <w:rPr>
          <w:rFonts w:ascii="Times New Roman" w:eastAsia="Times New Roman" w:hAnsi="Times New Roman" w:cs="Times New Roman"/>
          <w:i/>
          <w:iCs/>
          <w:sz w:val="24"/>
          <w:szCs w:val="24"/>
          <w:lang w:val="uk-UA"/>
        </w:rPr>
        <w:t xml:space="preserve"> 28</w:t>
      </w:r>
    </w:p>
    <w:p w:rsidR="005613AB" w:rsidRPr="00BE1959" w:rsidRDefault="00737F77" w:rsidP="005613AB">
      <w:pPr>
        <w:spacing w:before="60" w:after="120" w:line="312" w:lineRule="atLeast"/>
        <w:jc w:val="center"/>
        <w:textAlignment w:val="baseline"/>
        <w:rPr>
          <w:rFonts w:ascii="Times New Roman" w:eastAsia="Times New Roman" w:hAnsi="Times New Roman" w:cs="Times New Roman"/>
          <w:b/>
          <w:bCs/>
          <w:sz w:val="24"/>
          <w:szCs w:val="24"/>
          <w:lang w:val="uk-UA"/>
        </w:rPr>
      </w:pPr>
      <w:r w:rsidRPr="00BE1959">
        <w:rPr>
          <w:rFonts w:ascii="Times New Roman" w:eastAsia="Times New Roman" w:hAnsi="Times New Roman" w:cs="Times New Roman"/>
          <w:b/>
          <w:bCs/>
          <w:sz w:val="24"/>
          <w:szCs w:val="24"/>
          <w:lang w:val="uk-UA"/>
        </w:rPr>
        <w:t>Правила оброблення замовлень клієнтів</w:t>
      </w:r>
    </w:p>
    <w:p w:rsidR="005613AB" w:rsidRPr="00BE1959" w:rsidRDefault="005613AB" w:rsidP="00BA29E8">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1.   </w:t>
      </w:r>
      <w:r w:rsidR="00511D52" w:rsidRPr="00BE1959">
        <w:rPr>
          <w:rFonts w:ascii="Times New Roman" w:eastAsia="Times New Roman" w:hAnsi="Times New Roman" w:cs="Times New Roman"/>
          <w:sz w:val="24"/>
          <w:szCs w:val="24"/>
          <w:lang w:val="uk-UA"/>
        </w:rPr>
        <w:t xml:space="preserve">Держави-члени вимагають, </w:t>
      </w:r>
      <w:r w:rsidR="002D58E7" w:rsidRPr="00BE1959">
        <w:rPr>
          <w:rFonts w:ascii="Times New Roman" w:eastAsia="Times New Roman" w:hAnsi="Times New Roman" w:cs="Times New Roman"/>
          <w:sz w:val="24"/>
          <w:szCs w:val="24"/>
          <w:lang w:val="uk-UA"/>
        </w:rPr>
        <w:t>щоб інвестиційні фірми</w:t>
      </w:r>
      <w:r w:rsidR="00B80C46" w:rsidRPr="00BE1959">
        <w:rPr>
          <w:rFonts w:ascii="Times New Roman" w:eastAsia="Times New Roman" w:hAnsi="Times New Roman" w:cs="Times New Roman"/>
          <w:sz w:val="24"/>
          <w:szCs w:val="24"/>
          <w:lang w:val="uk-UA"/>
        </w:rPr>
        <w:t xml:space="preserve">, які мають дозвіл на виконання замовлень від імені клієнтів, запровадили процедури та механізми, що передбачають негайне, чесне і </w:t>
      </w:r>
      <w:r w:rsidR="0024471D" w:rsidRPr="00BE1959">
        <w:rPr>
          <w:rFonts w:ascii="Times New Roman" w:eastAsia="Times New Roman" w:hAnsi="Times New Roman" w:cs="Times New Roman"/>
          <w:sz w:val="24"/>
          <w:szCs w:val="24"/>
          <w:lang w:val="uk-UA"/>
        </w:rPr>
        <w:t>оперативне виконання замовлень клієнтів</w:t>
      </w:r>
      <w:r w:rsidR="00BA29E8" w:rsidRPr="00BE1959">
        <w:rPr>
          <w:rFonts w:ascii="Times New Roman" w:eastAsia="Times New Roman" w:hAnsi="Times New Roman" w:cs="Times New Roman"/>
          <w:sz w:val="24"/>
          <w:szCs w:val="24"/>
          <w:lang w:val="uk-UA"/>
        </w:rPr>
        <w:t xml:space="preserve"> порівняно з замовленнями інших клієнтів або торговельними інтересами</w:t>
      </w:r>
      <w:r w:rsidRPr="00BE1959">
        <w:rPr>
          <w:rFonts w:ascii="Times New Roman" w:eastAsia="Times New Roman" w:hAnsi="Times New Roman" w:cs="Times New Roman"/>
          <w:sz w:val="24"/>
          <w:szCs w:val="24"/>
          <w:lang w:val="uk-UA"/>
        </w:rPr>
        <w:t xml:space="preserve"> </w:t>
      </w:r>
      <w:r w:rsidR="003A5348" w:rsidRPr="00BE1959">
        <w:rPr>
          <w:rFonts w:ascii="Times New Roman" w:eastAsia="Times New Roman" w:hAnsi="Times New Roman" w:cs="Times New Roman"/>
          <w:sz w:val="24"/>
          <w:szCs w:val="24"/>
          <w:lang w:val="uk-UA"/>
        </w:rPr>
        <w:t>інвестиційної фірми</w:t>
      </w:r>
      <w:r w:rsidRPr="00BE1959">
        <w:rPr>
          <w:rFonts w:ascii="Times New Roman" w:eastAsia="Times New Roman" w:hAnsi="Times New Roman" w:cs="Times New Roman"/>
          <w:sz w:val="24"/>
          <w:szCs w:val="24"/>
          <w:lang w:val="uk-UA"/>
        </w:rPr>
        <w:t>.</w:t>
      </w:r>
    </w:p>
    <w:p w:rsidR="005613AB" w:rsidRPr="00BE1959" w:rsidRDefault="00BA29E8" w:rsidP="00B23AAA">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Ці процедури та механізми дозволяють виконувати замовлення клієнтів, порівнянні в інших відношеннях, </w:t>
      </w:r>
      <w:r w:rsidR="00B23AAA" w:rsidRPr="00BE1959">
        <w:rPr>
          <w:rFonts w:ascii="Times New Roman" w:eastAsia="Times New Roman" w:hAnsi="Times New Roman" w:cs="Times New Roman"/>
          <w:sz w:val="24"/>
          <w:szCs w:val="24"/>
          <w:lang w:val="uk-UA"/>
        </w:rPr>
        <w:t>згідно з часом їх отримання інвестиційною фірмою.</w:t>
      </w:r>
    </w:p>
    <w:p w:rsidR="005613AB" w:rsidRPr="00BE1959" w:rsidRDefault="005613AB" w:rsidP="00553FBC">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2.   </w:t>
      </w:r>
      <w:r w:rsidR="00511D52" w:rsidRPr="00BE1959">
        <w:rPr>
          <w:rFonts w:ascii="Times New Roman" w:eastAsia="Times New Roman" w:hAnsi="Times New Roman" w:cs="Times New Roman"/>
          <w:sz w:val="24"/>
          <w:szCs w:val="24"/>
          <w:lang w:val="uk-UA"/>
        </w:rPr>
        <w:t>Держави-члени вимагають, щоб</w:t>
      </w:r>
      <w:r w:rsidR="00C270F1" w:rsidRPr="00BE1959">
        <w:rPr>
          <w:rFonts w:ascii="Times New Roman" w:eastAsia="Times New Roman" w:hAnsi="Times New Roman" w:cs="Times New Roman"/>
          <w:sz w:val="24"/>
          <w:szCs w:val="24"/>
          <w:lang w:val="uk-UA"/>
        </w:rPr>
        <w:t xml:space="preserve"> у випадку лімітно</w:t>
      </w:r>
      <w:r w:rsidR="00BC55C8" w:rsidRPr="00BE1959">
        <w:rPr>
          <w:rFonts w:ascii="Times New Roman" w:eastAsia="Times New Roman" w:hAnsi="Times New Roman" w:cs="Times New Roman"/>
          <w:sz w:val="24"/>
          <w:szCs w:val="24"/>
          <w:lang w:val="uk-UA"/>
        </w:rPr>
        <w:t>го замовлення</w:t>
      </w:r>
      <w:r w:rsidR="00C270F1" w:rsidRPr="00BE1959">
        <w:rPr>
          <w:rFonts w:ascii="Times New Roman" w:eastAsia="Times New Roman" w:hAnsi="Times New Roman" w:cs="Times New Roman"/>
          <w:sz w:val="24"/>
          <w:szCs w:val="24"/>
          <w:lang w:val="uk-UA"/>
        </w:rPr>
        <w:t xml:space="preserve"> клієнта стосовно акцій, які допущені до торгівлі на регульованому ринку або торгівля якими здійснюється на торговельн</w:t>
      </w:r>
      <w:r w:rsidR="0031286D" w:rsidRPr="00BE1959">
        <w:rPr>
          <w:rFonts w:ascii="Times New Roman" w:eastAsia="Times New Roman" w:hAnsi="Times New Roman" w:cs="Times New Roman"/>
          <w:sz w:val="24"/>
          <w:szCs w:val="24"/>
          <w:lang w:val="uk-UA"/>
        </w:rPr>
        <w:t>ому майданчику, що не викону</w:t>
      </w:r>
      <w:r w:rsidR="001926F7" w:rsidRPr="00BE1959">
        <w:rPr>
          <w:rFonts w:ascii="Times New Roman" w:eastAsia="Times New Roman" w:hAnsi="Times New Roman" w:cs="Times New Roman"/>
          <w:sz w:val="24"/>
          <w:szCs w:val="24"/>
          <w:lang w:val="uk-UA"/>
        </w:rPr>
        <w:t>є</w:t>
      </w:r>
      <w:r w:rsidR="0031286D" w:rsidRPr="00BE1959">
        <w:rPr>
          <w:rFonts w:ascii="Times New Roman" w:eastAsia="Times New Roman" w:hAnsi="Times New Roman" w:cs="Times New Roman"/>
          <w:sz w:val="24"/>
          <w:szCs w:val="24"/>
          <w:lang w:val="uk-UA"/>
        </w:rPr>
        <w:t xml:space="preserve">ться негайно </w:t>
      </w:r>
      <w:r w:rsidR="001926F7" w:rsidRPr="00BE1959">
        <w:rPr>
          <w:rFonts w:ascii="Times New Roman" w:eastAsia="Times New Roman" w:hAnsi="Times New Roman" w:cs="Times New Roman"/>
          <w:sz w:val="24"/>
          <w:szCs w:val="24"/>
          <w:lang w:val="uk-UA"/>
        </w:rPr>
        <w:t>у</w:t>
      </w:r>
      <w:r w:rsidR="0031286D" w:rsidRPr="00BE1959">
        <w:rPr>
          <w:rFonts w:ascii="Times New Roman" w:eastAsia="Times New Roman" w:hAnsi="Times New Roman" w:cs="Times New Roman"/>
          <w:sz w:val="24"/>
          <w:szCs w:val="24"/>
          <w:lang w:val="uk-UA"/>
        </w:rPr>
        <w:t xml:space="preserve"> </w:t>
      </w:r>
      <w:r w:rsidR="001926F7" w:rsidRPr="00BE1959">
        <w:rPr>
          <w:rFonts w:ascii="Times New Roman" w:eastAsia="Times New Roman" w:hAnsi="Times New Roman" w:cs="Times New Roman"/>
          <w:sz w:val="24"/>
          <w:szCs w:val="24"/>
          <w:lang w:val="uk-UA"/>
        </w:rPr>
        <w:t>поточних ринкових умовах</w:t>
      </w:r>
      <w:r w:rsidR="00BC55C8" w:rsidRPr="00BE1959">
        <w:rPr>
          <w:rFonts w:ascii="Times New Roman" w:eastAsia="Times New Roman" w:hAnsi="Times New Roman" w:cs="Times New Roman"/>
          <w:sz w:val="24"/>
          <w:szCs w:val="24"/>
          <w:lang w:val="uk-UA"/>
        </w:rPr>
        <w:t>,</w:t>
      </w:r>
      <w:r w:rsidR="0031286D" w:rsidRPr="00BE1959">
        <w:rPr>
          <w:rFonts w:ascii="Times New Roman" w:eastAsia="Times New Roman" w:hAnsi="Times New Roman" w:cs="Times New Roman"/>
          <w:sz w:val="24"/>
          <w:szCs w:val="24"/>
          <w:lang w:val="uk-UA"/>
        </w:rPr>
        <w:t xml:space="preserve"> інвестиційні фірми повинні, якщо клієнт прямо не надасть інших указівок, вжити заходів для сприяння якомога </w:t>
      </w:r>
      <w:r w:rsidR="001926F7" w:rsidRPr="00BE1959">
        <w:rPr>
          <w:rFonts w:ascii="Times New Roman" w:eastAsia="Times New Roman" w:hAnsi="Times New Roman" w:cs="Times New Roman"/>
          <w:sz w:val="24"/>
          <w:szCs w:val="24"/>
          <w:lang w:val="uk-UA"/>
        </w:rPr>
        <w:t>скорішо</w:t>
      </w:r>
      <w:r w:rsidR="00BC55C8" w:rsidRPr="00BE1959">
        <w:rPr>
          <w:rFonts w:ascii="Times New Roman" w:eastAsia="Times New Roman" w:hAnsi="Times New Roman" w:cs="Times New Roman"/>
          <w:sz w:val="24"/>
          <w:szCs w:val="24"/>
          <w:lang w:val="uk-UA"/>
        </w:rPr>
        <w:t>му</w:t>
      </w:r>
      <w:r w:rsidR="001926F7" w:rsidRPr="00BE1959">
        <w:rPr>
          <w:rFonts w:ascii="Times New Roman" w:eastAsia="Times New Roman" w:hAnsi="Times New Roman" w:cs="Times New Roman"/>
          <w:sz w:val="24"/>
          <w:szCs w:val="24"/>
          <w:lang w:val="uk-UA"/>
        </w:rPr>
        <w:t xml:space="preserve"> виконанн</w:t>
      </w:r>
      <w:r w:rsidR="00BC55C8" w:rsidRPr="00BE1959">
        <w:rPr>
          <w:rFonts w:ascii="Times New Roman" w:eastAsia="Times New Roman" w:hAnsi="Times New Roman" w:cs="Times New Roman"/>
          <w:sz w:val="24"/>
          <w:szCs w:val="24"/>
          <w:lang w:val="uk-UA"/>
        </w:rPr>
        <w:t>ю цього замовлення шляхом негайного оприлюднення цього замовлення у спосіб, що є легкодоступним для інших учасників ринку.</w:t>
      </w:r>
      <w:r w:rsidRPr="00BE1959">
        <w:rPr>
          <w:rFonts w:ascii="Times New Roman" w:eastAsia="Times New Roman" w:hAnsi="Times New Roman" w:cs="Times New Roman"/>
          <w:sz w:val="24"/>
          <w:szCs w:val="24"/>
          <w:lang w:val="uk-UA"/>
        </w:rPr>
        <w:t xml:space="preserve"> </w:t>
      </w:r>
      <w:r w:rsidR="00C87244" w:rsidRPr="00BE1959">
        <w:rPr>
          <w:rFonts w:ascii="Times New Roman" w:eastAsia="Times New Roman" w:hAnsi="Times New Roman" w:cs="Times New Roman"/>
          <w:sz w:val="24"/>
          <w:szCs w:val="24"/>
          <w:lang w:val="uk-UA"/>
        </w:rPr>
        <w:t>Держави-члени можуть</w:t>
      </w:r>
      <w:r w:rsidRPr="00BE1959">
        <w:rPr>
          <w:rFonts w:ascii="Times New Roman" w:eastAsia="Times New Roman" w:hAnsi="Times New Roman" w:cs="Times New Roman"/>
          <w:sz w:val="24"/>
          <w:szCs w:val="24"/>
          <w:lang w:val="uk-UA"/>
        </w:rPr>
        <w:t xml:space="preserve"> </w:t>
      </w:r>
      <w:r w:rsidR="00BC55C8" w:rsidRPr="00BE1959">
        <w:rPr>
          <w:rFonts w:ascii="Times New Roman" w:eastAsia="Times New Roman" w:hAnsi="Times New Roman" w:cs="Times New Roman"/>
          <w:sz w:val="24"/>
          <w:szCs w:val="24"/>
          <w:lang w:val="uk-UA"/>
        </w:rPr>
        <w:t xml:space="preserve">вирішити, що інвестиційні фірми виконують цей обов’язок шляхом передачі лімітного замовлення клієнта на торговельний майданчик. Держави-члени передбачають, що компетентні органи можуть </w:t>
      </w:r>
      <w:r w:rsidR="00553FBC" w:rsidRPr="00BE1959">
        <w:rPr>
          <w:rFonts w:ascii="Times New Roman" w:eastAsia="Times New Roman" w:hAnsi="Times New Roman" w:cs="Times New Roman"/>
          <w:sz w:val="24"/>
          <w:szCs w:val="24"/>
          <w:lang w:val="uk-UA"/>
        </w:rPr>
        <w:t>скасувати обов’язок оприлюднювати лімітне замовлення, більше за обсягом порівняно з нормальним ринковим обсягом, визначеним згідно зі статтею</w:t>
      </w:r>
      <w:r w:rsidRPr="00BE1959">
        <w:rPr>
          <w:rFonts w:ascii="Times New Roman" w:eastAsia="Times New Roman" w:hAnsi="Times New Roman" w:cs="Times New Roman"/>
          <w:sz w:val="24"/>
          <w:szCs w:val="24"/>
          <w:lang w:val="uk-UA"/>
        </w:rPr>
        <w:t xml:space="preserve"> 4 </w:t>
      </w:r>
      <w:r w:rsidR="008824AE" w:rsidRPr="00BE1959">
        <w:rPr>
          <w:rFonts w:ascii="Times New Roman" w:eastAsia="Times New Roman" w:hAnsi="Times New Roman" w:cs="Times New Roman"/>
          <w:sz w:val="24"/>
          <w:szCs w:val="24"/>
          <w:lang w:val="uk-UA"/>
        </w:rPr>
        <w:t>Регламенту</w:t>
      </w:r>
      <w:r w:rsidRPr="00BE1959">
        <w:rPr>
          <w:rFonts w:ascii="Times New Roman" w:eastAsia="Times New Roman" w:hAnsi="Times New Roman" w:cs="Times New Roman"/>
          <w:sz w:val="24"/>
          <w:szCs w:val="24"/>
          <w:lang w:val="uk-UA"/>
        </w:rPr>
        <w:t xml:space="preserve"> </w:t>
      </w:r>
      <w:r w:rsidR="007B0149" w:rsidRPr="00BE1959">
        <w:rPr>
          <w:rFonts w:ascii="Times New Roman" w:eastAsia="Times New Roman" w:hAnsi="Times New Roman" w:cs="Times New Roman"/>
          <w:sz w:val="24"/>
          <w:szCs w:val="24"/>
          <w:lang w:val="uk-UA"/>
        </w:rPr>
        <w:t>(EU) № 600/2014</w:t>
      </w:r>
      <w:r w:rsidRPr="00BE1959">
        <w:rPr>
          <w:rFonts w:ascii="Times New Roman" w:eastAsia="Times New Roman" w:hAnsi="Times New Roman" w:cs="Times New Roman"/>
          <w:sz w:val="24"/>
          <w:szCs w:val="24"/>
          <w:lang w:val="uk-UA"/>
        </w:rPr>
        <w:t>.</w:t>
      </w:r>
    </w:p>
    <w:p w:rsidR="005613AB" w:rsidRPr="00BE1959" w:rsidRDefault="005613AB" w:rsidP="00715675">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3.   </w:t>
      </w:r>
      <w:r w:rsidR="003E20B7" w:rsidRPr="00BE1959">
        <w:rPr>
          <w:rFonts w:ascii="Times New Roman" w:eastAsia="Times New Roman" w:hAnsi="Times New Roman" w:cs="Times New Roman"/>
          <w:sz w:val="24"/>
          <w:szCs w:val="24"/>
          <w:lang w:val="uk-UA"/>
        </w:rPr>
        <w:t>Комісії надається повноваження на прийняття делегованих актів відповідно до статті 89, де визначаються:</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9093"/>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1B5E5A" w:rsidP="00D3054A">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умови і характер процедур та механізмів, які призводять до негайного, чесного і оперативного виконання замовлень клієнтів, та ситуації, в яких </w:t>
            </w:r>
            <w:r w:rsidR="003F6D09" w:rsidRPr="00BE1959">
              <w:rPr>
                <w:rFonts w:ascii="Times New Roman" w:eastAsia="Times New Roman" w:hAnsi="Times New Roman" w:cs="Times New Roman"/>
                <w:sz w:val="24"/>
                <w:szCs w:val="24"/>
                <w:lang w:val="uk-UA"/>
              </w:rPr>
              <w:t>інвестиційні фірми можуть обґрунтовано відхилятися від правила негайного виконання з тим, щоб отримати найбіль</w:t>
            </w:r>
            <w:r w:rsidR="00D3054A" w:rsidRPr="00BE1959">
              <w:rPr>
                <w:rFonts w:ascii="Times New Roman" w:eastAsia="Times New Roman" w:hAnsi="Times New Roman" w:cs="Times New Roman"/>
                <w:sz w:val="24"/>
                <w:szCs w:val="24"/>
                <w:lang w:val="uk-UA"/>
              </w:rPr>
              <w:t>ш сприятливі умови для клієнтів, і типи угод, для яких інвестиційні фірми можуть це робити;</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DE3173"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D3054A" w:rsidP="00216BE6">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різні методи, якими інвестиційна фірма може вважатися такою, що виконала свій </w:t>
            </w:r>
            <w:r w:rsidRPr="00BE1959">
              <w:rPr>
                <w:rFonts w:ascii="Times New Roman" w:eastAsia="Times New Roman" w:hAnsi="Times New Roman" w:cs="Times New Roman"/>
                <w:sz w:val="24"/>
                <w:szCs w:val="24"/>
                <w:lang w:val="uk-UA"/>
              </w:rPr>
              <w:lastRenderedPageBreak/>
              <w:t>обов’яз</w:t>
            </w:r>
            <w:r w:rsidR="000E725F" w:rsidRPr="00BE1959">
              <w:rPr>
                <w:rFonts w:ascii="Times New Roman" w:eastAsia="Times New Roman" w:hAnsi="Times New Roman" w:cs="Times New Roman"/>
                <w:sz w:val="24"/>
                <w:szCs w:val="24"/>
                <w:lang w:val="uk-UA"/>
              </w:rPr>
              <w:t>ок з оприлюднення на ринку лімітних замовлень клієнтів</w:t>
            </w:r>
            <w:r w:rsidR="00216BE6" w:rsidRPr="00BE1959">
              <w:rPr>
                <w:rFonts w:ascii="Times New Roman" w:eastAsia="Times New Roman" w:hAnsi="Times New Roman" w:cs="Times New Roman"/>
                <w:sz w:val="24"/>
                <w:szCs w:val="24"/>
                <w:lang w:val="uk-UA"/>
              </w:rPr>
              <w:t>, які можуть не виконуватися негайно.</w:t>
            </w:r>
          </w:p>
        </w:tc>
      </w:tr>
    </w:tbl>
    <w:p w:rsidR="005613AB" w:rsidRPr="00BE1959" w:rsidRDefault="00162A11" w:rsidP="005613AB">
      <w:pPr>
        <w:spacing w:before="360" w:after="120" w:line="312" w:lineRule="atLeast"/>
        <w:jc w:val="center"/>
        <w:textAlignment w:val="baseline"/>
        <w:rPr>
          <w:rFonts w:ascii="Times New Roman" w:eastAsia="Times New Roman" w:hAnsi="Times New Roman" w:cs="Times New Roman"/>
          <w:i/>
          <w:iCs/>
          <w:sz w:val="24"/>
          <w:szCs w:val="24"/>
          <w:lang w:val="uk-UA"/>
        </w:rPr>
      </w:pPr>
      <w:r w:rsidRPr="00BE1959">
        <w:rPr>
          <w:rFonts w:ascii="Times New Roman" w:eastAsia="Times New Roman" w:hAnsi="Times New Roman" w:cs="Times New Roman"/>
          <w:i/>
          <w:iCs/>
          <w:sz w:val="24"/>
          <w:szCs w:val="24"/>
          <w:lang w:val="uk-UA"/>
        </w:rPr>
        <w:lastRenderedPageBreak/>
        <w:t>Стаття</w:t>
      </w:r>
      <w:r w:rsidR="005613AB" w:rsidRPr="00BE1959">
        <w:rPr>
          <w:rFonts w:ascii="Times New Roman" w:eastAsia="Times New Roman" w:hAnsi="Times New Roman" w:cs="Times New Roman"/>
          <w:i/>
          <w:iCs/>
          <w:sz w:val="24"/>
          <w:szCs w:val="24"/>
          <w:lang w:val="uk-UA"/>
        </w:rPr>
        <w:t xml:space="preserve"> 29</w:t>
      </w:r>
    </w:p>
    <w:p w:rsidR="005613AB" w:rsidRPr="00BE1959" w:rsidRDefault="00737F77" w:rsidP="00737F77">
      <w:pPr>
        <w:spacing w:before="60" w:after="120" w:line="312" w:lineRule="atLeast"/>
        <w:jc w:val="center"/>
        <w:textAlignment w:val="baseline"/>
        <w:rPr>
          <w:rFonts w:ascii="Times New Roman" w:eastAsia="Times New Roman" w:hAnsi="Times New Roman" w:cs="Times New Roman"/>
          <w:b/>
          <w:bCs/>
          <w:sz w:val="24"/>
          <w:szCs w:val="24"/>
          <w:lang w:val="uk-UA"/>
        </w:rPr>
      </w:pPr>
      <w:r w:rsidRPr="00BE1959">
        <w:rPr>
          <w:rFonts w:ascii="Times New Roman" w:eastAsia="Times New Roman" w:hAnsi="Times New Roman" w:cs="Times New Roman"/>
          <w:b/>
          <w:bCs/>
          <w:sz w:val="24"/>
          <w:szCs w:val="24"/>
          <w:lang w:val="uk-UA"/>
        </w:rPr>
        <w:t>Обов’язки інвестиційних фірм при призначенні пов'язаних агентів</w:t>
      </w:r>
    </w:p>
    <w:p w:rsidR="005613AB" w:rsidRPr="00BE1959" w:rsidRDefault="005613AB" w:rsidP="003948D0">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1.   </w:t>
      </w:r>
      <w:r w:rsidR="001F5C90" w:rsidRPr="00BE1959">
        <w:rPr>
          <w:rFonts w:ascii="Times New Roman" w:eastAsia="Times New Roman" w:hAnsi="Times New Roman" w:cs="Times New Roman"/>
          <w:sz w:val="24"/>
          <w:szCs w:val="24"/>
          <w:lang w:val="uk-UA"/>
        </w:rPr>
        <w:t>Держави-члени</w:t>
      </w:r>
      <w:r w:rsidRPr="00BE1959">
        <w:rPr>
          <w:rFonts w:ascii="Times New Roman" w:eastAsia="Times New Roman" w:hAnsi="Times New Roman" w:cs="Times New Roman"/>
          <w:sz w:val="24"/>
          <w:szCs w:val="24"/>
          <w:lang w:val="uk-UA"/>
        </w:rPr>
        <w:t xml:space="preserve"> </w:t>
      </w:r>
      <w:r w:rsidR="00216BE6" w:rsidRPr="00BE1959">
        <w:rPr>
          <w:rFonts w:ascii="Times New Roman" w:eastAsia="Times New Roman" w:hAnsi="Times New Roman" w:cs="Times New Roman"/>
          <w:sz w:val="24"/>
          <w:szCs w:val="24"/>
          <w:lang w:val="uk-UA"/>
        </w:rPr>
        <w:t xml:space="preserve">дозволяють інвестиційній фірмі призначати пов'язаних агентів </w:t>
      </w:r>
      <w:r w:rsidR="000E6D57" w:rsidRPr="00BE1959">
        <w:rPr>
          <w:rFonts w:ascii="Times New Roman" w:eastAsia="Times New Roman" w:hAnsi="Times New Roman" w:cs="Times New Roman"/>
          <w:sz w:val="24"/>
          <w:szCs w:val="24"/>
          <w:lang w:val="uk-UA"/>
        </w:rPr>
        <w:t xml:space="preserve">для цілей рекламування послуг інвестиційної фірми, </w:t>
      </w:r>
      <w:r w:rsidR="003A4A64" w:rsidRPr="00BE1959">
        <w:rPr>
          <w:rFonts w:ascii="Times New Roman" w:eastAsia="Times New Roman" w:hAnsi="Times New Roman" w:cs="Times New Roman"/>
          <w:sz w:val="24"/>
          <w:szCs w:val="24"/>
          <w:lang w:val="uk-UA"/>
        </w:rPr>
        <w:t>розширення діяльності або отримання від фактичних або потенційних клієнтів замовлень і передачі цих замовлень</w:t>
      </w:r>
      <w:r w:rsidR="003948D0" w:rsidRPr="00BE1959">
        <w:rPr>
          <w:rFonts w:ascii="Times New Roman" w:eastAsia="Times New Roman" w:hAnsi="Times New Roman" w:cs="Times New Roman"/>
          <w:sz w:val="24"/>
          <w:szCs w:val="24"/>
          <w:lang w:val="uk-UA"/>
        </w:rPr>
        <w:t>, розміщення фінансових інструментів і надання порад стосовно таких фінансових інструментів і послуг, пропонованих цією інвестиційною фірмою.</w:t>
      </w:r>
    </w:p>
    <w:p w:rsidR="003948D0" w:rsidRPr="00BE1959" w:rsidRDefault="005613AB" w:rsidP="003948D0">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2.   </w:t>
      </w:r>
      <w:r w:rsidR="00511D52" w:rsidRPr="00BE1959">
        <w:rPr>
          <w:rFonts w:ascii="Times New Roman" w:eastAsia="Times New Roman" w:hAnsi="Times New Roman" w:cs="Times New Roman"/>
          <w:sz w:val="24"/>
          <w:szCs w:val="24"/>
          <w:lang w:val="uk-UA"/>
        </w:rPr>
        <w:t>Держави-члени вимагають, щоб</w:t>
      </w:r>
      <w:r w:rsidRPr="00BE1959">
        <w:rPr>
          <w:rFonts w:ascii="Times New Roman" w:eastAsia="Times New Roman" w:hAnsi="Times New Roman" w:cs="Times New Roman"/>
          <w:sz w:val="24"/>
          <w:szCs w:val="24"/>
          <w:lang w:val="uk-UA"/>
        </w:rPr>
        <w:t xml:space="preserve"> </w:t>
      </w:r>
      <w:r w:rsidR="003948D0" w:rsidRPr="00BE1959">
        <w:rPr>
          <w:rFonts w:ascii="Times New Roman" w:eastAsia="Times New Roman" w:hAnsi="Times New Roman" w:cs="Times New Roman"/>
          <w:sz w:val="24"/>
          <w:szCs w:val="24"/>
          <w:lang w:val="uk-UA"/>
        </w:rPr>
        <w:t>у випадку, якщо інвестиційна фірма вирішила призначити пов'язаного агента, вона залишається повністю та безумовно відповідальною за всі дії та бездіяльність із боку пов'язаного агента, діючого від імені</w:t>
      </w:r>
      <w:r w:rsidRPr="00BE1959">
        <w:rPr>
          <w:rFonts w:ascii="Times New Roman" w:eastAsia="Times New Roman" w:hAnsi="Times New Roman" w:cs="Times New Roman"/>
          <w:sz w:val="24"/>
          <w:szCs w:val="24"/>
          <w:lang w:val="uk-UA"/>
        </w:rPr>
        <w:t xml:space="preserve"> </w:t>
      </w:r>
      <w:r w:rsidR="003A5348" w:rsidRPr="00BE1959">
        <w:rPr>
          <w:rFonts w:ascii="Times New Roman" w:eastAsia="Times New Roman" w:hAnsi="Times New Roman" w:cs="Times New Roman"/>
          <w:sz w:val="24"/>
          <w:szCs w:val="24"/>
          <w:lang w:val="uk-UA"/>
        </w:rPr>
        <w:t>інвестиційної фірми</w:t>
      </w:r>
      <w:r w:rsidRPr="00BE1959">
        <w:rPr>
          <w:rFonts w:ascii="Times New Roman" w:eastAsia="Times New Roman" w:hAnsi="Times New Roman" w:cs="Times New Roman"/>
          <w:sz w:val="24"/>
          <w:szCs w:val="24"/>
          <w:lang w:val="uk-UA"/>
        </w:rPr>
        <w:t xml:space="preserve">. </w:t>
      </w:r>
      <w:r w:rsidR="001F5C90" w:rsidRPr="00BE1959">
        <w:rPr>
          <w:rFonts w:ascii="Times New Roman" w:eastAsia="Times New Roman" w:hAnsi="Times New Roman" w:cs="Times New Roman"/>
          <w:sz w:val="24"/>
          <w:szCs w:val="24"/>
          <w:lang w:val="uk-UA"/>
        </w:rPr>
        <w:t>Держави-члени</w:t>
      </w:r>
      <w:r w:rsidRPr="00BE1959">
        <w:rPr>
          <w:rFonts w:ascii="Times New Roman" w:eastAsia="Times New Roman" w:hAnsi="Times New Roman" w:cs="Times New Roman"/>
          <w:sz w:val="24"/>
          <w:szCs w:val="24"/>
          <w:lang w:val="uk-UA"/>
        </w:rPr>
        <w:t xml:space="preserve"> </w:t>
      </w:r>
      <w:r w:rsidR="003948D0" w:rsidRPr="00BE1959">
        <w:rPr>
          <w:rFonts w:ascii="Times New Roman" w:eastAsia="Times New Roman" w:hAnsi="Times New Roman" w:cs="Times New Roman"/>
          <w:sz w:val="24"/>
          <w:szCs w:val="24"/>
          <w:lang w:val="uk-UA"/>
        </w:rPr>
        <w:t>вимагають від інвестиційної фірми забезпечити, щоб</w:t>
      </w:r>
      <w:r w:rsidR="00BF59AA" w:rsidRPr="00BE1959">
        <w:rPr>
          <w:rFonts w:ascii="Times New Roman" w:eastAsia="Times New Roman" w:hAnsi="Times New Roman" w:cs="Times New Roman"/>
          <w:sz w:val="24"/>
          <w:szCs w:val="24"/>
          <w:lang w:val="uk-UA"/>
        </w:rPr>
        <w:t xml:space="preserve"> </w:t>
      </w:r>
      <w:r w:rsidR="003948D0" w:rsidRPr="00BE1959">
        <w:rPr>
          <w:rFonts w:ascii="Times New Roman" w:eastAsia="Times New Roman" w:hAnsi="Times New Roman" w:cs="Times New Roman"/>
          <w:sz w:val="24"/>
          <w:szCs w:val="24"/>
          <w:lang w:val="uk-UA"/>
        </w:rPr>
        <w:t>пов'язаний агент повідомляв, у якій якості він діє, та зазначав інвестиційн</w:t>
      </w:r>
      <w:r w:rsidR="00BF59AA" w:rsidRPr="00BE1959">
        <w:rPr>
          <w:rFonts w:ascii="Times New Roman" w:eastAsia="Times New Roman" w:hAnsi="Times New Roman" w:cs="Times New Roman"/>
          <w:sz w:val="24"/>
          <w:szCs w:val="24"/>
          <w:lang w:val="uk-UA"/>
        </w:rPr>
        <w:t>у фірму, яку він представляє, контактуючи з будь-яким фактичним або потенційним клієнтом або до початку роботи з ним,</w:t>
      </w:r>
    </w:p>
    <w:p w:rsidR="005613AB" w:rsidRPr="00BE1959" w:rsidRDefault="00C87244" w:rsidP="00501C9F">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Держави-члени можуть</w:t>
      </w:r>
      <w:r w:rsidR="005613AB" w:rsidRPr="00BE1959">
        <w:rPr>
          <w:rFonts w:ascii="Times New Roman" w:eastAsia="Times New Roman" w:hAnsi="Times New Roman" w:cs="Times New Roman"/>
          <w:sz w:val="24"/>
          <w:szCs w:val="24"/>
          <w:lang w:val="uk-UA"/>
        </w:rPr>
        <w:t xml:space="preserve"> </w:t>
      </w:r>
      <w:r w:rsidR="00BF59AA" w:rsidRPr="00BE1959">
        <w:rPr>
          <w:rFonts w:ascii="Times New Roman" w:eastAsia="Times New Roman" w:hAnsi="Times New Roman" w:cs="Times New Roman"/>
          <w:sz w:val="24"/>
          <w:szCs w:val="24"/>
          <w:lang w:val="uk-UA"/>
        </w:rPr>
        <w:t xml:space="preserve">дозволити, відповідно до статті 16(6), (8) та (9), пов'язаним агентам, зареєстрованим на їхній території, зберігати грошові кошти і (або) фінансові інструменти клієнтів за дорученням </w:t>
      </w:r>
      <w:r w:rsidR="00661C9E" w:rsidRPr="00BE1959">
        <w:rPr>
          <w:rFonts w:ascii="Times New Roman" w:eastAsia="Times New Roman" w:hAnsi="Times New Roman" w:cs="Times New Roman"/>
          <w:sz w:val="24"/>
          <w:szCs w:val="24"/>
          <w:lang w:val="uk-UA"/>
        </w:rPr>
        <w:t>і під повну відповідальність інвестиційної фірми, від якої вони діють на їхній території або, у випадку транскордонних операцій, на території держави-члена, яка дозволяє пов'язаному агентові зберігати</w:t>
      </w:r>
      <w:r w:rsidR="00501C9F" w:rsidRPr="00BE1959">
        <w:rPr>
          <w:rFonts w:ascii="Times New Roman" w:eastAsia="Times New Roman" w:hAnsi="Times New Roman" w:cs="Times New Roman"/>
          <w:sz w:val="24"/>
          <w:szCs w:val="24"/>
          <w:lang w:val="uk-UA"/>
        </w:rPr>
        <w:t xml:space="preserve"> грошові кошти клієнта.</w:t>
      </w:r>
    </w:p>
    <w:p w:rsidR="005613AB" w:rsidRPr="00BE1959" w:rsidRDefault="001F5C90" w:rsidP="00501C9F">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Держави-члени</w:t>
      </w:r>
      <w:r w:rsidR="005613AB" w:rsidRPr="00BE1959">
        <w:rPr>
          <w:rFonts w:ascii="Times New Roman" w:eastAsia="Times New Roman" w:hAnsi="Times New Roman" w:cs="Times New Roman"/>
          <w:sz w:val="24"/>
          <w:szCs w:val="24"/>
          <w:lang w:val="uk-UA"/>
        </w:rPr>
        <w:t xml:space="preserve"> </w:t>
      </w:r>
      <w:r w:rsidR="00501C9F" w:rsidRPr="00BE1959">
        <w:rPr>
          <w:rFonts w:ascii="Times New Roman" w:eastAsia="Times New Roman" w:hAnsi="Times New Roman" w:cs="Times New Roman"/>
          <w:sz w:val="24"/>
          <w:szCs w:val="24"/>
          <w:lang w:val="uk-UA"/>
        </w:rPr>
        <w:t>вимагають, щоб інвестиційні фірми контролювали діяльність їхніх пов'язаних агентів з тим, щоб забезпечити неухильне дотримання ними цієї директиви при роботі через пов'язаних агентів.</w:t>
      </w:r>
    </w:p>
    <w:p w:rsidR="005613AB" w:rsidRPr="00BE1959" w:rsidRDefault="005613AB" w:rsidP="003B7AAC">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3.   </w:t>
      </w:r>
      <w:r w:rsidR="00501C9F" w:rsidRPr="00BE1959">
        <w:rPr>
          <w:rFonts w:ascii="Times New Roman" w:eastAsia="Times New Roman" w:hAnsi="Times New Roman" w:cs="Times New Roman"/>
          <w:sz w:val="24"/>
          <w:szCs w:val="24"/>
          <w:lang w:val="uk-UA"/>
        </w:rPr>
        <w:t>Пов'язані агенти реєструюються у державному реєстрі у тій державі-члені, де вони створені. ESMA публікує на своєму веб-сайті посилання чи гіпер</w:t>
      </w:r>
      <w:r w:rsidR="003B7AAC" w:rsidRPr="00BE1959">
        <w:rPr>
          <w:rFonts w:ascii="Times New Roman" w:eastAsia="Times New Roman" w:hAnsi="Times New Roman" w:cs="Times New Roman"/>
          <w:sz w:val="24"/>
          <w:szCs w:val="24"/>
          <w:lang w:val="uk-UA"/>
        </w:rPr>
        <w:t>посилання на державні реєстри, створені згідно з цією статтею державами-членами, які вирішили дозволити інвестиційним фірмам призначати пов'язаних агентів.</w:t>
      </w:r>
    </w:p>
    <w:p w:rsidR="005613AB" w:rsidRPr="00BE1959" w:rsidRDefault="001F5C90" w:rsidP="00A95552">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Держави-члени</w:t>
      </w:r>
      <w:r w:rsidR="00C52E40" w:rsidRPr="00BE1959">
        <w:rPr>
          <w:rFonts w:ascii="Times New Roman" w:eastAsia="Times New Roman" w:hAnsi="Times New Roman" w:cs="Times New Roman"/>
          <w:sz w:val="24"/>
          <w:szCs w:val="24"/>
          <w:lang w:val="uk-UA"/>
        </w:rPr>
        <w:t xml:space="preserve"> забезпечують, щоб пов'язані агенти включалися у державний реєстр тільки у тому випадку, якщо встановлено, що вони мають достатньо хорошу репутацію та володіють належними загальними, комерційними та професійними знання</w:t>
      </w:r>
      <w:r w:rsidR="00A95552" w:rsidRPr="00BE1959">
        <w:rPr>
          <w:rFonts w:ascii="Times New Roman" w:eastAsia="Times New Roman" w:hAnsi="Times New Roman" w:cs="Times New Roman"/>
          <w:sz w:val="24"/>
          <w:szCs w:val="24"/>
          <w:lang w:val="uk-UA"/>
        </w:rPr>
        <w:t xml:space="preserve">ми й </w:t>
      </w:r>
      <w:r w:rsidR="0060363B" w:rsidRPr="00BE1959">
        <w:rPr>
          <w:rFonts w:ascii="Times New Roman" w:eastAsia="Times New Roman" w:hAnsi="Times New Roman" w:cs="Times New Roman"/>
          <w:sz w:val="24"/>
          <w:szCs w:val="24"/>
          <w:lang w:val="uk-UA"/>
        </w:rPr>
        <w:t>компетентністю</w:t>
      </w:r>
      <w:r w:rsidR="00A95552" w:rsidRPr="00BE1959">
        <w:rPr>
          <w:rFonts w:ascii="Times New Roman" w:eastAsia="Times New Roman" w:hAnsi="Times New Roman" w:cs="Times New Roman"/>
          <w:sz w:val="24"/>
          <w:szCs w:val="24"/>
          <w:lang w:val="uk-UA"/>
        </w:rPr>
        <w:t xml:space="preserve"> для того, щоб надавати інвестиційну чи додаткову послугу і точно передавати всю доречну інформацію стосовно пропонованої послуги фактичному чи потенційному клієнтові.</w:t>
      </w:r>
    </w:p>
    <w:p w:rsidR="005613AB" w:rsidRPr="00BE1959" w:rsidRDefault="00C87244" w:rsidP="0060363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Держави-члени можуть</w:t>
      </w:r>
      <w:r w:rsidR="005613AB" w:rsidRPr="00BE1959">
        <w:rPr>
          <w:rFonts w:ascii="Times New Roman" w:eastAsia="Times New Roman" w:hAnsi="Times New Roman" w:cs="Times New Roman"/>
          <w:sz w:val="24"/>
          <w:szCs w:val="24"/>
          <w:lang w:val="uk-UA"/>
        </w:rPr>
        <w:t xml:space="preserve"> </w:t>
      </w:r>
      <w:r w:rsidR="00A95552" w:rsidRPr="00BE1959">
        <w:rPr>
          <w:rFonts w:ascii="Times New Roman" w:eastAsia="Times New Roman" w:hAnsi="Times New Roman" w:cs="Times New Roman"/>
          <w:sz w:val="24"/>
          <w:szCs w:val="24"/>
          <w:lang w:val="uk-UA"/>
        </w:rPr>
        <w:t>вирішити, що, за умови відповідного контрол</w:t>
      </w:r>
      <w:r w:rsidR="0060363B" w:rsidRPr="00BE1959">
        <w:rPr>
          <w:rFonts w:ascii="Times New Roman" w:eastAsia="Times New Roman" w:hAnsi="Times New Roman" w:cs="Times New Roman"/>
          <w:sz w:val="24"/>
          <w:szCs w:val="24"/>
          <w:lang w:val="uk-UA"/>
        </w:rPr>
        <w:t>ю</w:t>
      </w:r>
      <w:r w:rsidR="00A95552" w:rsidRPr="00BE1959">
        <w:rPr>
          <w:rFonts w:ascii="Times New Roman" w:eastAsia="Times New Roman" w:hAnsi="Times New Roman" w:cs="Times New Roman"/>
          <w:sz w:val="24"/>
          <w:szCs w:val="24"/>
          <w:lang w:val="uk-UA"/>
        </w:rPr>
        <w:t xml:space="preserve">, інвестиційні фірми можуть перевіряти, чи мають пов'язані агенти, призначені ними, достатньо </w:t>
      </w:r>
      <w:r w:rsidR="0060363B" w:rsidRPr="00BE1959">
        <w:rPr>
          <w:rFonts w:ascii="Times New Roman" w:eastAsia="Times New Roman" w:hAnsi="Times New Roman" w:cs="Times New Roman"/>
          <w:sz w:val="24"/>
          <w:szCs w:val="24"/>
          <w:lang w:val="uk-UA"/>
        </w:rPr>
        <w:t>хорошу репутацію, знання і компетентність, згадані у другому абзаці цього пункту.</w:t>
      </w:r>
    </w:p>
    <w:p w:rsidR="005613AB" w:rsidRPr="00BE1959" w:rsidRDefault="0060363B" w:rsidP="0060363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lastRenderedPageBreak/>
        <w:t>Вищезгаданий реєстр регулярно оновлюється і є загальнодоступним для консультацій.</w:t>
      </w:r>
    </w:p>
    <w:p w:rsidR="005613AB" w:rsidRPr="00BE1959" w:rsidRDefault="005613AB" w:rsidP="00F73028">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4.   </w:t>
      </w:r>
      <w:r w:rsidR="00511D52" w:rsidRPr="00BE1959">
        <w:rPr>
          <w:rFonts w:ascii="Times New Roman" w:eastAsia="Times New Roman" w:hAnsi="Times New Roman" w:cs="Times New Roman"/>
          <w:sz w:val="24"/>
          <w:szCs w:val="24"/>
          <w:lang w:val="uk-UA"/>
        </w:rPr>
        <w:t xml:space="preserve">Держави-члени вимагають, </w:t>
      </w:r>
      <w:r w:rsidR="002D58E7" w:rsidRPr="00BE1959">
        <w:rPr>
          <w:rFonts w:ascii="Times New Roman" w:eastAsia="Times New Roman" w:hAnsi="Times New Roman" w:cs="Times New Roman"/>
          <w:sz w:val="24"/>
          <w:szCs w:val="24"/>
          <w:lang w:val="uk-UA"/>
        </w:rPr>
        <w:t>щоб інвестиційні фірми</w:t>
      </w:r>
      <w:r w:rsidR="00F73028" w:rsidRPr="00BE1959">
        <w:rPr>
          <w:rFonts w:ascii="Times New Roman" w:eastAsia="Times New Roman" w:hAnsi="Times New Roman" w:cs="Times New Roman"/>
          <w:sz w:val="24"/>
          <w:szCs w:val="24"/>
          <w:lang w:val="uk-UA"/>
        </w:rPr>
        <w:t>, призначаючи пов'язаних агентів, уживали належних заходів для уникнення негативного впливу, який діяльність пов'язаного агента, не охопленого цією директивою, може спричиняти на діяльність пов'язаного агента від імені</w:t>
      </w:r>
      <w:r w:rsidRPr="00BE1959">
        <w:rPr>
          <w:rFonts w:ascii="Times New Roman" w:eastAsia="Times New Roman" w:hAnsi="Times New Roman" w:cs="Times New Roman"/>
          <w:sz w:val="24"/>
          <w:szCs w:val="24"/>
          <w:lang w:val="uk-UA"/>
        </w:rPr>
        <w:t xml:space="preserve"> </w:t>
      </w:r>
      <w:r w:rsidR="003A5348" w:rsidRPr="00BE1959">
        <w:rPr>
          <w:rFonts w:ascii="Times New Roman" w:eastAsia="Times New Roman" w:hAnsi="Times New Roman" w:cs="Times New Roman"/>
          <w:sz w:val="24"/>
          <w:szCs w:val="24"/>
          <w:lang w:val="uk-UA"/>
        </w:rPr>
        <w:t>інвестиційної фірми</w:t>
      </w:r>
      <w:r w:rsidRPr="00BE1959">
        <w:rPr>
          <w:rFonts w:ascii="Times New Roman" w:eastAsia="Times New Roman" w:hAnsi="Times New Roman" w:cs="Times New Roman"/>
          <w:sz w:val="24"/>
          <w:szCs w:val="24"/>
          <w:lang w:val="uk-UA"/>
        </w:rPr>
        <w:t>.</w:t>
      </w:r>
    </w:p>
    <w:p w:rsidR="005613AB" w:rsidRPr="00BE1959" w:rsidRDefault="00C87244" w:rsidP="00B331F8">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Держави-члени можуть</w:t>
      </w:r>
      <w:r w:rsidR="005613AB" w:rsidRPr="00BE1959">
        <w:rPr>
          <w:rFonts w:ascii="Times New Roman" w:eastAsia="Times New Roman" w:hAnsi="Times New Roman" w:cs="Times New Roman"/>
          <w:sz w:val="24"/>
          <w:szCs w:val="24"/>
          <w:lang w:val="uk-UA"/>
        </w:rPr>
        <w:t xml:space="preserve"> </w:t>
      </w:r>
      <w:r w:rsidR="00B331F8" w:rsidRPr="00BE1959">
        <w:rPr>
          <w:rFonts w:ascii="Times New Roman" w:eastAsia="Times New Roman" w:hAnsi="Times New Roman" w:cs="Times New Roman"/>
          <w:sz w:val="24"/>
          <w:szCs w:val="24"/>
          <w:lang w:val="uk-UA"/>
        </w:rPr>
        <w:t>дозволяти компетентним органам співпрацювати з інвестиційними фірмами та кредитними установами, їхніми об’єднаннями та іншими суб’єктами у реєстрації пов'язаних агентів та у контролюванні дотримання пов'язаними агентами вимог пункту 3. Зокрема, пов'язані агенти можуть бути зареєстровані інвестиційною фірмою, кредитною установою або їхніми об’єднаннями та іншими суб’єктами під наглядом компетентного органу.</w:t>
      </w:r>
    </w:p>
    <w:p w:rsidR="005613AB" w:rsidRPr="00BE1959" w:rsidRDefault="005613AB" w:rsidP="00B331F8">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5.   </w:t>
      </w:r>
      <w:r w:rsidR="00511D52" w:rsidRPr="00BE1959">
        <w:rPr>
          <w:rFonts w:ascii="Times New Roman" w:eastAsia="Times New Roman" w:hAnsi="Times New Roman" w:cs="Times New Roman"/>
          <w:sz w:val="24"/>
          <w:szCs w:val="24"/>
          <w:lang w:val="uk-UA"/>
        </w:rPr>
        <w:t xml:space="preserve">Держави-члени вимагають, </w:t>
      </w:r>
      <w:r w:rsidR="002D58E7" w:rsidRPr="00BE1959">
        <w:rPr>
          <w:rFonts w:ascii="Times New Roman" w:eastAsia="Times New Roman" w:hAnsi="Times New Roman" w:cs="Times New Roman"/>
          <w:sz w:val="24"/>
          <w:szCs w:val="24"/>
          <w:lang w:val="uk-UA"/>
        </w:rPr>
        <w:t>щоб інвестиційні фірми</w:t>
      </w:r>
      <w:r w:rsidRPr="00BE1959">
        <w:rPr>
          <w:rFonts w:ascii="Times New Roman" w:eastAsia="Times New Roman" w:hAnsi="Times New Roman" w:cs="Times New Roman"/>
          <w:sz w:val="24"/>
          <w:szCs w:val="24"/>
          <w:lang w:val="uk-UA"/>
        </w:rPr>
        <w:t xml:space="preserve"> </w:t>
      </w:r>
      <w:r w:rsidR="00B331F8" w:rsidRPr="00BE1959">
        <w:rPr>
          <w:rFonts w:ascii="Times New Roman" w:eastAsia="Times New Roman" w:hAnsi="Times New Roman" w:cs="Times New Roman"/>
          <w:sz w:val="24"/>
          <w:szCs w:val="24"/>
          <w:lang w:val="uk-UA"/>
        </w:rPr>
        <w:t>призначали тільки тих пов'язаних агентів, які занесені у державні реєстри, згадані у пункті 3.</w:t>
      </w:r>
    </w:p>
    <w:p w:rsidR="005613AB" w:rsidRPr="00BE1959" w:rsidRDefault="005613AB" w:rsidP="00B331F8">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6.   </w:t>
      </w:r>
      <w:r w:rsidR="00C87244" w:rsidRPr="00BE1959">
        <w:rPr>
          <w:rFonts w:ascii="Times New Roman" w:eastAsia="Times New Roman" w:hAnsi="Times New Roman" w:cs="Times New Roman"/>
          <w:sz w:val="24"/>
          <w:szCs w:val="24"/>
          <w:lang w:val="uk-UA"/>
        </w:rPr>
        <w:t>Держави-члени можуть</w:t>
      </w:r>
      <w:r w:rsidRPr="00BE1959">
        <w:rPr>
          <w:rFonts w:ascii="Times New Roman" w:eastAsia="Times New Roman" w:hAnsi="Times New Roman" w:cs="Times New Roman"/>
          <w:sz w:val="24"/>
          <w:szCs w:val="24"/>
          <w:lang w:val="uk-UA"/>
        </w:rPr>
        <w:t xml:space="preserve"> </w:t>
      </w:r>
      <w:r w:rsidR="00B331F8" w:rsidRPr="00BE1959">
        <w:rPr>
          <w:rFonts w:ascii="Times New Roman" w:eastAsia="Times New Roman" w:hAnsi="Times New Roman" w:cs="Times New Roman"/>
          <w:sz w:val="24"/>
          <w:szCs w:val="24"/>
          <w:lang w:val="uk-UA"/>
        </w:rPr>
        <w:t>приймати або зберігати положення, які є більш жорсткими, ніж положення, викладені у цій статті, або додавати інші вимоги до пов'язаних агентів, зареєстрованих у їхній юрисдикції.</w:t>
      </w:r>
    </w:p>
    <w:p w:rsidR="005613AB" w:rsidRPr="00BE1959" w:rsidRDefault="00162A11" w:rsidP="005613AB">
      <w:pPr>
        <w:spacing w:before="360" w:after="120" w:line="312" w:lineRule="atLeast"/>
        <w:jc w:val="center"/>
        <w:textAlignment w:val="baseline"/>
        <w:rPr>
          <w:rFonts w:ascii="Times New Roman" w:eastAsia="Times New Roman" w:hAnsi="Times New Roman" w:cs="Times New Roman"/>
          <w:i/>
          <w:iCs/>
          <w:sz w:val="24"/>
          <w:szCs w:val="24"/>
          <w:lang w:val="uk-UA"/>
        </w:rPr>
      </w:pPr>
      <w:r w:rsidRPr="00BE1959">
        <w:rPr>
          <w:rFonts w:ascii="Times New Roman" w:eastAsia="Times New Roman" w:hAnsi="Times New Roman" w:cs="Times New Roman"/>
          <w:i/>
          <w:iCs/>
          <w:sz w:val="24"/>
          <w:szCs w:val="24"/>
          <w:lang w:val="uk-UA"/>
        </w:rPr>
        <w:t>Стаття</w:t>
      </w:r>
      <w:r w:rsidR="005613AB" w:rsidRPr="00BE1959">
        <w:rPr>
          <w:rFonts w:ascii="Times New Roman" w:eastAsia="Times New Roman" w:hAnsi="Times New Roman" w:cs="Times New Roman"/>
          <w:i/>
          <w:iCs/>
          <w:sz w:val="24"/>
          <w:szCs w:val="24"/>
          <w:lang w:val="uk-UA"/>
        </w:rPr>
        <w:t xml:space="preserve"> 30</w:t>
      </w:r>
    </w:p>
    <w:p w:rsidR="005613AB" w:rsidRPr="00BE1959" w:rsidRDefault="00737F77" w:rsidP="005613AB">
      <w:pPr>
        <w:spacing w:before="60" w:after="120" w:line="312" w:lineRule="atLeast"/>
        <w:jc w:val="center"/>
        <w:textAlignment w:val="baseline"/>
        <w:rPr>
          <w:rFonts w:ascii="Times New Roman" w:eastAsia="Times New Roman" w:hAnsi="Times New Roman" w:cs="Times New Roman"/>
          <w:b/>
          <w:bCs/>
          <w:sz w:val="24"/>
          <w:szCs w:val="24"/>
          <w:lang w:val="uk-UA"/>
        </w:rPr>
      </w:pPr>
      <w:r w:rsidRPr="00BE1959">
        <w:rPr>
          <w:rFonts w:ascii="Times New Roman" w:eastAsia="Times New Roman" w:hAnsi="Times New Roman" w:cs="Times New Roman"/>
          <w:b/>
          <w:bCs/>
          <w:sz w:val="24"/>
          <w:szCs w:val="24"/>
          <w:lang w:val="uk-UA"/>
        </w:rPr>
        <w:t>Угоди, виконувані з правомочними контрагентами</w:t>
      </w:r>
    </w:p>
    <w:p w:rsidR="005613AB" w:rsidRPr="00BE1959" w:rsidRDefault="005613AB" w:rsidP="00DD6E9D">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1.   </w:t>
      </w:r>
      <w:r w:rsidR="001F5C90" w:rsidRPr="00BE1959">
        <w:rPr>
          <w:rFonts w:ascii="Times New Roman" w:eastAsia="Times New Roman" w:hAnsi="Times New Roman" w:cs="Times New Roman"/>
          <w:sz w:val="24"/>
          <w:szCs w:val="24"/>
          <w:lang w:val="uk-UA"/>
        </w:rPr>
        <w:t>Держави-члени</w:t>
      </w:r>
      <w:r w:rsidRPr="00BE1959">
        <w:rPr>
          <w:rFonts w:ascii="Times New Roman" w:eastAsia="Times New Roman" w:hAnsi="Times New Roman" w:cs="Times New Roman"/>
          <w:sz w:val="24"/>
          <w:szCs w:val="24"/>
          <w:lang w:val="uk-UA"/>
        </w:rPr>
        <w:t xml:space="preserve"> </w:t>
      </w:r>
      <w:r w:rsidR="00A666DD" w:rsidRPr="00BE1959">
        <w:rPr>
          <w:rFonts w:ascii="Times New Roman" w:eastAsia="Times New Roman" w:hAnsi="Times New Roman" w:cs="Times New Roman"/>
          <w:sz w:val="24"/>
          <w:szCs w:val="24"/>
          <w:lang w:val="uk-UA"/>
        </w:rPr>
        <w:t>забезпечують</w:t>
      </w:r>
      <w:r w:rsidR="00D02331" w:rsidRPr="00BE1959">
        <w:rPr>
          <w:rFonts w:ascii="Times New Roman" w:eastAsia="Times New Roman" w:hAnsi="Times New Roman" w:cs="Times New Roman"/>
          <w:sz w:val="24"/>
          <w:szCs w:val="24"/>
          <w:lang w:val="uk-UA"/>
        </w:rPr>
        <w:t xml:space="preserve">, щоб інвестиційні фірми, які мають дозвіл на виконання замовлень від імені клієнтів і (або) здійснювати операції за власний рахунок і (або) отримувати та передавати замовлення, могли </w:t>
      </w:r>
      <w:r w:rsidR="00DD6E9D" w:rsidRPr="00BE1959">
        <w:rPr>
          <w:rFonts w:ascii="Times New Roman" w:eastAsia="Times New Roman" w:hAnsi="Times New Roman" w:cs="Times New Roman"/>
          <w:sz w:val="24"/>
          <w:szCs w:val="24"/>
          <w:lang w:val="uk-UA"/>
        </w:rPr>
        <w:t>спричиняти або укладати угоди з правомочними контрагентами без обов’язку виконувати зобов’язання, передбачені статтею 24, за винятком пунктів 4 та 5, статтею 25, за винятком пункту 6, статтею 27 і статтею 28(1) стосовно цих угод або у зв'язку з будь-якою додатковою послугою, що безпосередньо пов'язана з цими угодами.</w:t>
      </w:r>
    </w:p>
    <w:p w:rsidR="005613AB" w:rsidRPr="00BE1959" w:rsidRDefault="001F5C90" w:rsidP="00DD6E9D">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Держави-члени</w:t>
      </w:r>
      <w:r w:rsidR="005613AB" w:rsidRPr="00BE1959">
        <w:rPr>
          <w:rFonts w:ascii="Times New Roman" w:eastAsia="Times New Roman" w:hAnsi="Times New Roman" w:cs="Times New Roman"/>
          <w:sz w:val="24"/>
          <w:szCs w:val="24"/>
          <w:lang w:val="uk-UA"/>
        </w:rPr>
        <w:t xml:space="preserve"> </w:t>
      </w:r>
      <w:r w:rsidR="00DD6E9D" w:rsidRPr="00BE1959">
        <w:rPr>
          <w:rFonts w:ascii="Times New Roman" w:eastAsia="Times New Roman" w:hAnsi="Times New Roman" w:cs="Times New Roman"/>
          <w:sz w:val="24"/>
          <w:szCs w:val="24"/>
          <w:lang w:val="uk-UA"/>
        </w:rPr>
        <w:t>забезпечують, щоб у відносинах із правомочними контрагентами інвестиційні фірми діяли чесно, справедливо і професійно та спілкувалися у спосіб, що є об’єктивним, зрозумілим і не вводить в оману, враховуючи характер правомочного контрагента і його діяльності.</w:t>
      </w:r>
    </w:p>
    <w:p w:rsidR="002776C7" w:rsidRPr="00BE1959" w:rsidRDefault="005613AB" w:rsidP="002776C7">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2.   </w:t>
      </w:r>
      <w:r w:rsidR="001F5C90" w:rsidRPr="00BE1959">
        <w:rPr>
          <w:rFonts w:ascii="Times New Roman" w:eastAsia="Times New Roman" w:hAnsi="Times New Roman" w:cs="Times New Roman"/>
          <w:sz w:val="24"/>
          <w:szCs w:val="24"/>
          <w:lang w:val="uk-UA"/>
        </w:rPr>
        <w:t>Держави-члени</w:t>
      </w:r>
      <w:r w:rsidRPr="00BE1959">
        <w:rPr>
          <w:rFonts w:ascii="Times New Roman" w:eastAsia="Times New Roman" w:hAnsi="Times New Roman" w:cs="Times New Roman"/>
          <w:sz w:val="24"/>
          <w:szCs w:val="24"/>
          <w:lang w:val="uk-UA"/>
        </w:rPr>
        <w:t xml:space="preserve"> </w:t>
      </w:r>
      <w:r w:rsidR="002776C7" w:rsidRPr="00BE1959">
        <w:rPr>
          <w:rFonts w:ascii="Times New Roman" w:eastAsia="Times New Roman" w:hAnsi="Times New Roman" w:cs="Times New Roman"/>
          <w:sz w:val="24"/>
          <w:szCs w:val="24"/>
          <w:lang w:val="uk-UA"/>
        </w:rPr>
        <w:t xml:space="preserve">визнають правомочними контрагентами для цілей цієї статті інвестиційні фірми, кредитні установи, страхові компанії, </w:t>
      </w:r>
      <w:r w:rsidRPr="00BE1959">
        <w:rPr>
          <w:rFonts w:ascii="Times New Roman" w:eastAsia="Times New Roman" w:hAnsi="Times New Roman" w:cs="Times New Roman"/>
          <w:sz w:val="24"/>
          <w:szCs w:val="24"/>
          <w:lang w:val="uk-UA"/>
        </w:rPr>
        <w:t xml:space="preserve">UCITS </w:t>
      </w:r>
      <w:r w:rsidR="002776C7" w:rsidRPr="00BE1959">
        <w:rPr>
          <w:rFonts w:ascii="Times New Roman" w:eastAsia="Times New Roman" w:hAnsi="Times New Roman" w:cs="Times New Roman"/>
          <w:sz w:val="24"/>
          <w:szCs w:val="24"/>
          <w:lang w:val="uk-UA"/>
        </w:rPr>
        <w:t>та їхні управляючі компанії, пенсійні фонди та їхні управляючі компанії, інші фінансові установи, уповноважені або регульовані за законодавством Союзу чи національним законодавством держави-члена, національні уряди та їхні відповідні відомства, зокрема державні органи, які займаються питаннями державного боргу на національному рівні, центральні банки та наднаціональні організації.</w:t>
      </w:r>
    </w:p>
    <w:p w:rsidR="005613AB" w:rsidRPr="00BE1959" w:rsidRDefault="00C0351A" w:rsidP="007638EE">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lastRenderedPageBreak/>
        <w:t>Класифікація суб’єкта як правомочного контрагента згідно з першим абзацом цього пункту здійснюється без шкоди для права таких суб’єктів</w:t>
      </w:r>
      <w:r w:rsidR="00E21EC6" w:rsidRPr="00BE1959">
        <w:rPr>
          <w:rFonts w:ascii="Times New Roman" w:eastAsia="Times New Roman" w:hAnsi="Times New Roman" w:cs="Times New Roman"/>
          <w:sz w:val="24"/>
          <w:szCs w:val="24"/>
          <w:lang w:val="uk-UA"/>
        </w:rPr>
        <w:t xml:space="preserve"> вимагат</w:t>
      </w:r>
      <w:r w:rsidR="007638EE" w:rsidRPr="00BE1959">
        <w:rPr>
          <w:rFonts w:ascii="Times New Roman" w:eastAsia="Times New Roman" w:hAnsi="Times New Roman" w:cs="Times New Roman"/>
          <w:sz w:val="24"/>
          <w:szCs w:val="24"/>
          <w:lang w:val="uk-UA"/>
        </w:rPr>
        <w:t>и, або у загальній формі, або для окремих угод, ставлення до них як до клієнтів, діяльність яких з інвестиційною фірмою підпадає під дію статей</w:t>
      </w:r>
      <w:r w:rsidR="005613AB" w:rsidRPr="00BE1959">
        <w:rPr>
          <w:rFonts w:ascii="Times New Roman" w:eastAsia="Times New Roman" w:hAnsi="Times New Roman" w:cs="Times New Roman"/>
          <w:sz w:val="24"/>
          <w:szCs w:val="24"/>
          <w:lang w:val="uk-UA"/>
        </w:rPr>
        <w:t xml:space="preserve"> 24, 25, 27 </w:t>
      </w:r>
      <w:r w:rsidR="007638EE" w:rsidRPr="00BE1959">
        <w:rPr>
          <w:rFonts w:ascii="Times New Roman" w:eastAsia="Times New Roman" w:hAnsi="Times New Roman" w:cs="Times New Roman"/>
          <w:sz w:val="24"/>
          <w:szCs w:val="24"/>
          <w:lang w:val="uk-UA"/>
        </w:rPr>
        <w:t>та</w:t>
      </w:r>
      <w:r w:rsidR="005613AB" w:rsidRPr="00BE1959">
        <w:rPr>
          <w:rFonts w:ascii="Times New Roman" w:eastAsia="Times New Roman" w:hAnsi="Times New Roman" w:cs="Times New Roman"/>
          <w:sz w:val="24"/>
          <w:szCs w:val="24"/>
          <w:lang w:val="uk-UA"/>
        </w:rPr>
        <w:t xml:space="preserve"> 28.</w:t>
      </w:r>
    </w:p>
    <w:p w:rsidR="00000960"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3.   </w:t>
      </w:r>
      <w:r w:rsidR="00C87244" w:rsidRPr="00BE1959">
        <w:rPr>
          <w:rFonts w:ascii="Times New Roman" w:eastAsia="Times New Roman" w:hAnsi="Times New Roman" w:cs="Times New Roman"/>
          <w:sz w:val="24"/>
          <w:szCs w:val="24"/>
          <w:lang w:val="uk-UA"/>
        </w:rPr>
        <w:t>Держави-члени можуть</w:t>
      </w:r>
      <w:r w:rsidRPr="00BE1959">
        <w:rPr>
          <w:rFonts w:ascii="Times New Roman" w:eastAsia="Times New Roman" w:hAnsi="Times New Roman" w:cs="Times New Roman"/>
          <w:sz w:val="24"/>
          <w:szCs w:val="24"/>
          <w:lang w:val="uk-UA"/>
        </w:rPr>
        <w:t xml:space="preserve"> </w:t>
      </w:r>
      <w:r w:rsidR="00000960" w:rsidRPr="00BE1959">
        <w:rPr>
          <w:rFonts w:ascii="Times New Roman" w:eastAsia="Times New Roman" w:hAnsi="Times New Roman" w:cs="Times New Roman"/>
          <w:sz w:val="24"/>
          <w:szCs w:val="24"/>
          <w:lang w:val="uk-UA"/>
        </w:rPr>
        <w:t>також визнати правомочними контрагентами інші підприємства, які відповідають установленим сумірним вимогам, включаючи кількі</w:t>
      </w:r>
      <w:r w:rsidR="007368CC" w:rsidRPr="00BE1959">
        <w:rPr>
          <w:rFonts w:ascii="Times New Roman" w:eastAsia="Times New Roman" w:hAnsi="Times New Roman" w:cs="Times New Roman"/>
          <w:sz w:val="24"/>
          <w:szCs w:val="24"/>
          <w:lang w:val="uk-UA"/>
        </w:rPr>
        <w:t xml:space="preserve">сні пороги. Якщо можливі контрагенти угоди розташовані в різних юрисдикціях, то інвестиційна фірма зважає на статус іншого підприємства, визначений законом або заходами </w:t>
      </w:r>
      <w:r w:rsidR="001E786E" w:rsidRPr="00BE1959">
        <w:rPr>
          <w:rFonts w:ascii="Times New Roman" w:eastAsia="Times New Roman" w:hAnsi="Times New Roman" w:cs="Times New Roman"/>
          <w:sz w:val="24"/>
          <w:szCs w:val="24"/>
          <w:lang w:val="uk-UA"/>
        </w:rPr>
        <w:t>держави-члена, в якій це підприємство створено.</w:t>
      </w:r>
    </w:p>
    <w:p w:rsidR="005613AB" w:rsidRPr="00BE1959" w:rsidRDefault="001F5C90" w:rsidP="00FB4A2D">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Держави-члени</w:t>
      </w:r>
      <w:r w:rsidR="005613AB" w:rsidRPr="00BE1959">
        <w:rPr>
          <w:rFonts w:ascii="Times New Roman" w:eastAsia="Times New Roman" w:hAnsi="Times New Roman" w:cs="Times New Roman"/>
          <w:sz w:val="24"/>
          <w:szCs w:val="24"/>
          <w:lang w:val="uk-UA"/>
        </w:rPr>
        <w:t xml:space="preserve"> </w:t>
      </w:r>
      <w:r w:rsidR="00E13213" w:rsidRPr="00BE1959">
        <w:rPr>
          <w:rFonts w:ascii="Times New Roman" w:eastAsia="Times New Roman" w:hAnsi="Times New Roman" w:cs="Times New Roman"/>
          <w:sz w:val="24"/>
          <w:szCs w:val="24"/>
          <w:lang w:val="uk-UA"/>
        </w:rPr>
        <w:t xml:space="preserve">забезпечують, щоб інвестиційна фірма при укладанні угод відповідно до пункту 1 з такими підприємствами отримувала від можливого контрагента пряме підтвердження його згоди на </w:t>
      </w:r>
      <w:r w:rsidR="00C24663" w:rsidRPr="00BE1959">
        <w:rPr>
          <w:rFonts w:ascii="Times New Roman" w:eastAsia="Times New Roman" w:hAnsi="Times New Roman" w:cs="Times New Roman"/>
          <w:sz w:val="24"/>
          <w:szCs w:val="24"/>
          <w:lang w:val="uk-UA"/>
        </w:rPr>
        <w:t>ставлення до нього як до правомочного контрагента.</w:t>
      </w:r>
      <w:r w:rsidR="00FB4A2D" w:rsidRPr="00BE1959">
        <w:rPr>
          <w:rFonts w:ascii="Times New Roman" w:eastAsia="Times New Roman" w:hAnsi="Times New Roman" w:cs="Times New Roman"/>
          <w:sz w:val="24"/>
          <w:szCs w:val="24"/>
          <w:lang w:val="uk-UA"/>
        </w:rPr>
        <w:t xml:space="preserve"> Держави-члени дозволяють інвестиційній фірмі отримувати таке підтвердження або у формі загальної домовленості, або для кожної окремої угоди.</w:t>
      </w:r>
    </w:p>
    <w:p w:rsidR="005613AB" w:rsidRPr="00BE1959" w:rsidRDefault="005613AB" w:rsidP="00FB4A2D">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4.   </w:t>
      </w:r>
      <w:r w:rsidR="00C87244" w:rsidRPr="00BE1959">
        <w:rPr>
          <w:rFonts w:ascii="Times New Roman" w:eastAsia="Times New Roman" w:hAnsi="Times New Roman" w:cs="Times New Roman"/>
          <w:sz w:val="24"/>
          <w:szCs w:val="24"/>
          <w:lang w:val="uk-UA"/>
        </w:rPr>
        <w:t>Держави-члени можуть</w:t>
      </w:r>
      <w:r w:rsidRPr="00BE1959">
        <w:rPr>
          <w:rFonts w:ascii="Times New Roman" w:eastAsia="Times New Roman" w:hAnsi="Times New Roman" w:cs="Times New Roman"/>
          <w:sz w:val="24"/>
          <w:szCs w:val="24"/>
          <w:lang w:val="uk-UA"/>
        </w:rPr>
        <w:t xml:space="preserve"> </w:t>
      </w:r>
      <w:r w:rsidR="00FB4A2D" w:rsidRPr="00BE1959">
        <w:rPr>
          <w:rFonts w:ascii="Times New Roman" w:eastAsia="Times New Roman" w:hAnsi="Times New Roman" w:cs="Times New Roman"/>
          <w:sz w:val="24"/>
          <w:szCs w:val="24"/>
          <w:lang w:val="uk-UA"/>
        </w:rPr>
        <w:t>визнавати правомочними контрагентами суб’єктів із третіх країн, еквівалентних категоріям суб’єктів, зазначеним у пункті 2.</w:t>
      </w:r>
    </w:p>
    <w:p w:rsidR="005613AB" w:rsidRPr="00BE1959" w:rsidRDefault="00C87244" w:rsidP="003E20B7">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Держави-члени можуть</w:t>
      </w:r>
      <w:r w:rsidR="005613AB" w:rsidRPr="00BE1959">
        <w:rPr>
          <w:rFonts w:ascii="Times New Roman" w:eastAsia="Times New Roman" w:hAnsi="Times New Roman" w:cs="Times New Roman"/>
          <w:sz w:val="24"/>
          <w:szCs w:val="24"/>
          <w:lang w:val="uk-UA"/>
        </w:rPr>
        <w:t xml:space="preserve"> </w:t>
      </w:r>
      <w:r w:rsidR="00FB4A2D" w:rsidRPr="00BE1959">
        <w:rPr>
          <w:rFonts w:ascii="Times New Roman" w:eastAsia="Times New Roman" w:hAnsi="Times New Roman" w:cs="Times New Roman"/>
          <w:sz w:val="24"/>
          <w:szCs w:val="24"/>
          <w:lang w:val="uk-UA"/>
        </w:rPr>
        <w:t xml:space="preserve">також визнавати правомочними контрагентами підприємства з третіх країн, </w:t>
      </w:r>
      <w:r w:rsidR="003E20B7" w:rsidRPr="00BE1959">
        <w:rPr>
          <w:rFonts w:ascii="Times New Roman" w:eastAsia="Times New Roman" w:hAnsi="Times New Roman" w:cs="Times New Roman"/>
          <w:sz w:val="24"/>
          <w:szCs w:val="24"/>
          <w:lang w:val="uk-UA"/>
        </w:rPr>
        <w:t>зокрема такі, що згадані у пункті 3, на тих самих умовах і з урахуванням тих самих вимог, що викладені у пункті 3.</w:t>
      </w:r>
    </w:p>
    <w:p w:rsidR="003E20B7"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5.   </w:t>
      </w:r>
      <w:r w:rsidR="003E20B7" w:rsidRPr="00BE1959">
        <w:rPr>
          <w:rFonts w:ascii="Times New Roman" w:eastAsia="Times New Roman" w:hAnsi="Times New Roman" w:cs="Times New Roman"/>
          <w:sz w:val="24"/>
          <w:szCs w:val="24"/>
          <w:lang w:val="uk-UA"/>
        </w:rPr>
        <w:t>Комісії надається повноваження на прийняття делегованих актів відповідно до статті 89, де визначаються:</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48"/>
        <w:gridCol w:w="9017"/>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3E20B7" w:rsidP="00607212">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процедури </w:t>
            </w:r>
            <w:r w:rsidR="00607212" w:rsidRPr="00BE1959">
              <w:rPr>
                <w:rFonts w:ascii="Times New Roman" w:eastAsia="Times New Roman" w:hAnsi="Times New Roman" w:cs="Times New Roman"/>
                <w:sz w:val="24"/>
                <w:szCs w:val="24"/>
                <w:lang w:val="uk-UA"/>
              </w:rPr>
              <w:t>звернення щодо ставлення як до клієнтів згідно з пунктом 2;</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05A0D" w:rsidP="00505A0D">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процедури отримання прямого підтвердження від можливих контрагентів згідно з пунктом 3;</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9093"/>
      </w:tblGrid>
      <w:tr w:rsidR="00DE3173"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05A0D" w:rsidP="00505A0D">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заздалегідь установлювані сумірні вимоги, зокрема кількісні пороги, які дозволять вважати підприємство правомочним контрагентом згідно з пунктом 3.</w:t>
            </w:r>
          </w:p>
        </w:tc>
      </w:tr>
    </w:tbl>
    <w:p w:rsidR="00737F77" w:rsidRPr="00BE1959" w:rsidRDefault="00737F77" w:rsidP="005613AB">
      <w:pPr>
        <w:spacing w:after="0" w:line="312" w:lineRule="atLeast"/>
        <w:jc w:val="center"/>
        <w:textAlignment w:val="baseline"/>
        <w:rPr>
          <w:rFonts w:ascii="Times New Roman" w:eastAsia="Times New Roman" w:hAnsi="Times New Roman" w:cs="Times New Roman"/>
          <w:b/>
          <w:bCs/>
          <w:sz w:val="24"/>
          <w:szCs w:val="24"/>
          <w:bdr w:val="none" w:sz="0" w:space="0" w:color="auto" w:frame="1"/>
          <w:lang w:val="uk-UA"/>
        </w:rPr>
      </w:pPr>
    </w:p>
    <w:p w:rsidR="005613AB" w:rsidRPr="00BE1959" w:rsidRDefault="00737F77" w:rsidP="005613AB">
      <w:pPr>
        <w:spacing w:after="0" w:line="312" w:lineRule="atLeast"/>
        <w:jc w:val="center"/>
        <w:textAlignment w:val="baseline"/>
        <w:rPr>
          <w:rFonts w:ascii="Times New Roman" w:eastAsia="Times New Roman" w:hAnsi="Times New Roman" w:cs="Times New Roman"/>
          <w:b/>
          <w:bCs/>
          <w:sz w:val="24"/>
          <w:szCs w:val="24"/>
          <w:lang w:val="uk-UA"/>
        </w:rPr>
      </w:pPr>
      <w:r w:rsidRPr="00BE1959">
        <w:rPr>
          <w:rFonts w:ascii="Times New Roman" w:eastAsia="Times New Roman" w:hAnsi="Times New Roman" w:cs="Times New Roman"/>
          <w:b/>
          <w:bCs/>
          <w:sz w:val="24"/>
          <w:szCs w:val="24"/>
          <w:bdr w:val="none" w:sz="0" w:space="0" w:color="auto" w:frame="1"/>
          <w:lang w:val="uk-UA"/>
        </w:rPr>
        <w:t>Підрозділ</w:t>
      </w:r>
      <w:r w:rsidR="005613AB" w:rsidRPr="00BE1959">
        <w:rPr>
          <w:rFonts w:ascii="Times New Roman" w:eastAsia="Times New Roman" w:hAnsi="Times New Roman" w:cs="Times New Roman"/>
          <w:b/>
          <w:bCs/>
          <w:sz w:val="24"/>
          <w:szCs w:val="24"/>
          <w:bdr w:val="none" w:sz="0" w:space="0" w:color="auto" w:frame="1"/>
          <w:lang w:val="uk-UA"/>
        </w:rPr>
        <w:t xml:space="preserve"> 3</w:t>
      </w:r>
    </w:p>
    <w:p w:rsidR="005613AB" w:rsidRPr="00BE1959" w:rsidRDefault="002B1EC0" w:rsidP="005613AB">
      <w:pPr>
        <w:spacing w:after="0" w:line="312" w:lineRule="atLeast"/>
        <w:jc w:val="center"/>
        <w:textAlignment w:val="baseline"/>
        <w:rPr>
          <w:rFonts w:ascii="Times New Roman" w:eastAsia="Times New Roman" w:hAnsi="Times New Roman" w:cs="Times New Roman"/>
          <w:b/>
          <w:bCs/>
          <w:sz w:val="24"/>
          <w:szCs w:val="24"/>
          <w:lang w:val="uk-UA"/>
        </w:rPr>
      </w:pPr>
      <w:r w:rsidRPr="00BE1959">
        <w:rPr>
          <w:rFonts w:ascii="Times New Roman" w:eastAsia="Times New Roman" w:hAnsi="Times New Roman" w:cs="Times New Roman"/>
          <w:b/>
          <w:bCs/>
          <w:sz w:val="24"/>
          <w:szCs w:val="24"/>
          <w:bdr w:val="none" w:sz="0" w:space="0" w:color="auto" w:frame="1"/>
          <w:lang w:val="uk-UA"/>
        </w:rPr>
        <w:t>Прозорість і цілісність ринку</w:t>
      </w:r>
    </w:p>
    <w:p w:rsidR="005613AB" w:rsidRPr="00BE1959" w:rsidRDefault="00162A11" w:rsidP="005613AB">
      <w:pPr>
        <w:spacing w:before="360" w:after="120" w:line="312" w:lineRule="atLeast"/>
        <w:jc w:val="center"/>
        <w:textAlignment w:val="baseline"/>
        <w:rPr>
          <w:rFonts w:ascii="Times New Roman" w:eastAsia="Times New Roman" w:hAnsi="Times New Roman" w:cs="Times New Roman"/>
          <w:i/>
          <w:iCs/>
          <w:sz w:val="24"/>
          <w:szCs w:val="24"/>
          <w:lang w:val="uk-UA"/>
        </w:rPr>
      </w:pPr>
      <w:r w:rsidRPr="00BE1959">
        <w:rPr>
          <w:rFonts w:ascii="Times New Roman" w:eastAsia="Times New Roman" w:hAnsi="Times New Roman" w:cs="Times New Roman"/>
          <w:i/>
          <w:iCs/>
          <w:sz w:val="24"/>
          <w:szCs w:val="24"/>
          <w:lang w:val="uk-UA"/>
        </w:rPr>
        <w:t>Стаття</w:t>
      </w:r>
      <w:r w:rsidR="005613AB" w:rsidRPr="00BE1959">
        <w:rPr>
          <w:rFonts w:ascii="Times New Roman" w:eastAsia="Times New Roman" w:hAnsi="Times New Roman" w:cs="Times New Roman"/>
          <w:i/>
          <w:iCs/>
          <w:sz w:val="24"/>
          <w:szCs w:val="24"/>
          <w:lang w:val="uk-UA"/>
        </w:rPr>
        <w:t xml:space="preserve"> 31</w:t>
      </w:r>
    </w:p>
    <w:p w:rsidR="005613AB" w:rsidRPr="00BE1959" w:rsidRDefault="00327AA2" w:rsidP="004641CB">
      <w:pPr>
        <w:spacing w:before="60" w:after="120" w:line="312" w:lineRule="atLeast"/>
        <w:jc w:val="center"/>
        <w:textAlignment w:val="baseline"/>
        <w:rPr>
          <w:rFonts w:ascii="Times New Roman" w:eastAsia="Times New Roman" w:hAnsi="Times New Roman" w:cs="Times New Roman"/>
          <w:b/>
          <w:bCs/>
          <w:sz w:val="24"/>
          <w:szCs w:val="24"/>
          <w:lang w:val="uk-UA"/>
        </w:rPr>
      </w:pPr>
      <w:r w:rsidRPr="00BE1959">
        <w:rPr>
          <w:rFonts w:ascii="Times New Roman" w:eastAsia="Times New Roman" w:hAnsi="Times New Roman" w:cs="Times New Roman"/>
          <w:b/>
          <w:bCs/>
          <w:sz w:val="24"/>
          <w:szCs w:val="24"/>
          <w:lang w:val="uk-UA"/>
        </w:rPr>
        <w:t xml:space="preserve">Контроль за дотриманням правил БТМ або ОТМ та </w:t>
      </w:r>
      <w:r w:rsidR="004641CB" w:rsidRPr="00BE1959">
        <w:rPr>
          <w:rFonts w:ascii="Times New Roman" w:eastAsia="Times New Roman" w:hAnsi="Times New Roman" w:cs="Times New Roman"/>
          <w:b/>
          <w:bCs/>
          <w:sz w:val="24"/>
          <w:szCs w:val="24"/>
          <w:lang w:val="uk-UA"/>
        </w:rPr>
        <w:t>їхніх правових зобов’язань</w:t>
      </w:r>
    </w:p>
    <w:p w:rsidR="005613AB" w:rsidRPr="00BE1959" w:rsidRDefault="005613AB" w:rsidP="00AE1DA5">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1.   </w:t>
      </w:r>
      <w:r w:rsidR="00511D52" w:rsidRPr="00BE1959">
        <w:rPr>
          <w:rFonts w:ascii="Times New Roman" w:eastAsia="Times New Roman" w:hAnsi="Times New Roman" w:cs="Times New Roman"/>
          <w:sz w:val="24"/>
          <w:szCs w:val="24"/>
          <w:lang w:val="uk-UA"/>
        </w:rPr>
        <w:t xml:space="preserve">Держави-члени вимагають, </w:t>
      </w:r>
      <w:r w:rsidR="002D58E7" w:rsidRPr="00BE1959">
        <w:rPr>
          <w:rFonts w:ascii="Times New Roman" w:eastAsia="Times New Roman" w:hAnsi="Times New Roman" w:cs="Times New Roman"/>
          <w:sz w:val="24"/>
          <w:szCs w:val="24"/>
          <w:lang w:val="uk-UA"/>
        </w:rPr>
        <w:t>щоб</w:t>
      </w:r>
      <w:r w:rsidR="003222B9" w:rsidRPr="00BE1959">
        <w:rPr>
          <w:rFonts w:ascii="Times New Roman" w:eastAsia="Times New Roman" w:hAnsi="Times New Roman" w:cs="Times New Roman"/>
          <w:sz w:val="24"/>
          <w:szCs w:val="24"/>
          <w:lang w:val="uk-UA"/>
        </w:rPr>
        <w:t xml:space="preserve"> інвестиційні фірми та оператори ринку, які управляють БТМ або ОТМ</w:t>
      </w:r>
      <w:r w:rsidR="004641CB" w:rsidRPr="00BE1959">
        <w:rPr>
          <w:rFonts w:ascii="Times New Roman" w:eastAsia="Times New Roman" w:hAnsi="Times New Roman" w:cs="Times New Roman"/>
          <w:sz w:val="24"/>
          <w:szCs w:val="24"/>
          <w:lang w:val="uk-UA"/>
        </w:rPr>
        <w:t xml:space="preserve">, запроваджували та підтримували ефективні механізми та процедури, доречні для БТМ або ОТМ, щодо регулярного контролю дотримання його </w:t>
      </w:r>
      <w:r w:rsidR="003222B9" w:rsidRPr="00BE1959">
        <w:rPr>
          <w:rFonts w:ascii="Times New Roman" w:eastAsia="Times New Roman" w:hAnsi="Times New Roman" w:cs="Times New Roman"/>
          <w:sz w:val="24"/>
          <w:szCs w:val="24"/>
          <w:lang w:val="uk-UA"/>
        </w:rPr>
        <w:t xml:space="preserve">правил його </w:t>
      </w:r>
      <w:r w:rsidR="004641CB" w:rsidRPr="00BE1959">
        <w:rPr>
          <w:rFonts w:ascii="Times New Roman" w:eastAsia="Times New Roman" w:hAnsi="Times New Roman" w:cs="Times New Roman"/>
          <w:sz w:val="24"/>
          <w:szCs w:val="24"/>
          <w:lang w:val="uk-UA"/>
        </w:rPr>
        <w:t xml:space="preserve">членами </w:t>
      </w:r>
      <w:r w:rsidR="003222B9" w:rsidRPr="00BE1959">
        <w:rPr>
          <w:rFonts w:ascii="Times New Roman" w:eastAsia="Times New Roman" w:hAnsi="Times New Roman" w:cs="Times New Roman"/>
          <w:sz w:val="24"/>
          <w:szCs w:val="24"/>
          <w:lang w:val="uk-UA"/>
        </w:rPr>
        <w:t xml:space="preserve">або учасниками чи користувачами. </w:t>
      </w:r>
      <w:r w:rsidR="006E6162" w:rsidRPr="00BE1959">
        <w:rPr>
          <w:rFonts w:ascii="Times New Roman" w:eastAsia="Times New Roman" w:hAnsi="Times New Roman" w:cs="Times New Roman"/>
          <w:sz w:val="24"/>
          <w:szCs w:val="24"/>
          <w:lang w:val="uk-UA"/>
        </w:rPr>
        <w:t>І</w:t>
      </w:r>
      <w:r w:rsidR="003222B9" w:rsidRPr="00BE1959">
        <w:rPr>
          <w:rFonts w:ascii="Times New Roman" w:eastAsia="Times New Roman" w:hAnsi="Times New Roman" w:cs="Times New Roman"/>
          <w:sz w:val="24"/>
          <w:szCs w:val="24"/>
          <w:lang w:val="uk-UA"/>
        </w:rPr>
        <w:t xml:space="preserve">нвестиційні фірми та оператори </w:t>
      </w:r>
      <w:r w:rsidR="003222B9" w:rsidRPr="00BE1959">
        <w:rPr>
          <w:rFonts w:ascii="Times New Roman" w:eastAsia="Times New Roman" w:hAnsi="Times New Roman" w:cs="Times New Roman"/>
          <w:sz w:val="24"/>
          <w:szCs w:val="24"/>
          <w:lang w:val="uk-UA"/>
        </w:rPr>
        <w:lastRenderedPageBreak/>
        <w:t>ринку, які управляють БТМ або ОТМ</w:t>
      </w:r>
      <w:r w:rsidR="006E6162" w:rsidRPr="00BE1959">
        <w:rPr>
          <w:rFonts w:ascii="Times New Roman" w:eastAsia="Times New Roman" w:hAnsi="Times New Roman" w:cs="Times New Roman"/>
          <w:sz w:val="24"/>
          <w:szCs w:val="24"/>
          <w:lang w:val="uk-UA"/>
        </w:rPr>
        <w:t>, контролюють відправлені замовлення, включаючи скасування, та угоди, виконані їхніми членами або учасниками чи користувачами в їхніх системах, з метою виявлення порушень цих правил</w:t>
      </w:r>
      <w:r w:rsidR="00EE0CA5" w:rsidRPr="00BE1959">
        <w:rPr>
          <w:rFonts w:ascii="Times New Roman" w:eastAsia="Times New Roman" w:hAnsi="Times New Roman" w:cs="Times New Roman"/>
          <w:sz w:val="24"/>
          <w:szCs w:val="24"/>
          <w:lang w:val="uk-UA"/>
        </w:rPr>
        <w:t>, невпорядкованих умов торгівлі,</w:t>
      </w:r>
      <w:r w:rsidR="006E6162" w:rsidRPr="00BE1959">
        <w:rPr>
          <w:rFonts w:ascii="Times New Roman" w:eastAsia="Times New Roman" w:hAnsi="Times New Roman" w:cs="Times New Roman"/>
          <w:sz w:val="24"/>
          <w:szCs w:val="24"/>
          <w:lang w:val="uk-UA"/>
        </w:rPr>
        <w:t xml:space="preserve"> ді</w:t>
      </w:r>
      <w:r w:rsidR="000202AC" w:rsidRPr="00BE1959">
        <w:rPr>
          <w:rFonts w:ascii="Times New Roman" w:eastAsia="Times New Roman" w:hAnsi="Times New Roman" w:cs="Times New Roman"/>
          <w:sz w:val="24"/>
          <w:szCs w:val="24"/>
          <w:lang w:val="uk-UA"/>
        </w:rPr>
        <w:t>й</w:t>
      </w:r>
      <w:r w:rsidR="006E6162" w:rsidRPr="00BE1959">
        <w:rPr>
          <w:rFonts w:ascii="Times New Roman" w:eastAsia="Times New Roman" w:hAnsi="Times New Roman" w:cs="Times New Roman"/>
          <w:sz w:val="24"/>
          <w:szCs w:val="24"/>
          <w:lang w:val="uk-UA"/>
        </w:rPr>
        <w:t xml:space="preserve">, </w:t>
      </w:r>
      <w:r w:rsidR="00AE1DA5" w:rsidRPr="00BE1959">
        <w:rPr>
          <w:rFonts w:ascii="Times New Roman" w:eastAsia="Times New Roman" w:hAnsi="Times New Roman" w:cs="Times New Roman"/>
          <w:sz w:val="24"/>
          <w:szCs w:val="24"/>
          <w:lang w:val="uk-UA"/>
        </w:rPr>
        <w:t>які можуть свідчити про поведінку, заборонену Регламентом (EU) № 596/2014, або перебоїв у системах стосовно фінансового інструмента, і застосовують ресурси, необхідні для забезпечення ефективності такого контролю.</w:t>
      </w:r>
    </w:p>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2.   </w:t>
      </w:r>
      <w:r w:rsidR="001F5C90" w:rsidRPr="00BE1959">
        <w:rPr>
          <w:rFonts w:ascii="Times New Roman" w:eastAsia="Times New Roman" w:hAnsi="Times New Roman" w:cs="Times New Roman"/>
          <w:sz w:val="24"/>
          <w:szCs w:val="24"/>
          <w:lang w:val="uk-UA"/>
        </w:rPr>
        <w:t>Держави-члени</w:t>
      </w:r>
      <w:r w:rsidRPr="00BE1959">
        <w:rPr>
          <w:rFonts w:ascii="Times New Roman" w:eastAsia="Times New Roman" w:hAnsi="Times New Roman" w:cs="Times New Roman"/>
          <w:sz w:val="24"/>
          <w:szCs w:val="24"/>
          <w:lang w:val="uk-UA"/>
        </w:rPr>
        <w:t xml:space="preserve"> </w:t>
      </w:r>
      <w:r w:rsidR="006E69F5" w:rsidRPr="00BE1959">
        <w:rPr>
          <w:rFonts w:ascii="Times New Roman" w:eastAsia="Times New Roman" w:hAnsi="Times New Roman" w:cs="Times New Roman"/>
          <w:sz w:val="24"/>
          <w:szCs w:val="24"/>
          <w:lang w:val="uk-UA"/>
        </w:rPr>
        <w:t xml:space="preserve">вимагають, щоб </w:t>
      </w:r>
      <w:r w:rsidR="003222B9" w:rsidRPr="00BE1959">
        <w:rPr>
          <w:rFonts w:ascii="Times New Roman" w:eastAsia="Times New Roman" w:hAnsi="Times New Roman" w:cs="Times New Roman"/>
          <w:sz w:val="24"/>
          <w:szCs w:val="24"/>
          <w:lang w:val="uk-UA"/>
        </w:rPr>
        <w:t>інвестиційні фірми та оператори ринку, які управляють БТМ або ОТМ</w:t>
      </w:r>
      <w:r w:rsidR="00AE1DA5" w:rsidRPr="00BE1959">
        <w:rPr>
          <w:rFonts w:ascii="Times New Roman" w:eastAsia="Times New Roman" w:hAnsi="Times New Roman" w:cs="Times New Roman"/>
          <w:sz w:val="24"/>
          <w:szCs w:val="24"/>
          <w:lang w:val="uk-UA"/>
        </w:rPr>
        <w:t>, негайно інформували компетентний орган про значні порушення його правил, невпорядковані умови торгівлі</w:t>
      </w:r>
      <w:r w:rsidR="000202AC" w:rsidRPr="00BE1959">
        <w:rPr>
          <w:rFonts w:ascii="Times New Roman" w:eastAsia="Times New Roman" w:hAnsi="Times New Roman" w:cs="Times New Roman"/>
          <w:sz w:val="24"/>
          <w:szCs w:val="24"/>
          <w:lang w:val="uk-UA"/>
        </w:rPr>
        <w:t>,</w:t>
      </w:r>
      <w:r w:rsidR="00AE1DA5" w:rsidRPr="00BE1959">
        <w:rPr>
          <w:rFonts w:ascii="Times New Roman" w:eastAsia="Times New Roman" w:hAnsi="Times New Roman" w:cs="Times New Roman"/>
          <w:sz w:val="24"/>
          <w:szCs w:val="24"/>
          <w:lang w:val="uk-UA"/>
        </w:rPr>
        <w:t xml:space="preserve"> </w:t>
      </w:r>
      <w:r w:rsidR="000202AC" w:rsidRPr="00BE1959">
        <w:rPr>
          <w:rFonts w:ascii="Times New Roman" w:eastAsia="Times New Roman" w:hAnsi="Times New Roman" w:cs="Times New Roman"/>
          <w:sz w:val="24"/>
          <w:szCs w:val="24"/>
          <w:lang w:val="uk-UA"/>
        </w:rPr>
        <w:t>дії, які можуть свідчити про поведінку, заборонену Регламентом (EU) № 596/2014</w:t>
      </w:r>
      <w:r w:rsidR="00AE1DA5" w:rsidRPr="00BE1959">
        <w:rPr>
          <w:rFonts w:ascii="Times New Roman" w:eastAsia="Times New Roman" w:hAnsi="Times New Roman" w:cs="Times New Roman"/>
          <w:sz w:val="24"/>
          <w:szCs w:val="24"/>
          <w:lang w:val="uk-UA"/>
        </w:rPr>
        <w:t>, або перебої у системах стосовно фінансового інструмента</w:t>
      </w:r>
      <w:r w:rsidRPr="00BE1959">
        <w:rPr>
          <w:rFonts w:ascii="Times New Roman" w:eastAsia="Times New Roman" w:hAnsi="Times New Roman" w:cs="Times New Roman"/>
          <w:sz w:val="24"/>
          <w:szCs w:val="24"/>
          <w:lang w:val="uk-UA"/>
        </w:rPr>
        <w:t>.</w:t>
      </w:r>
    </w:p>
    <w:p w:rsidR="005613AB" w:rsidRPr="00BE1959" w:rsidRDefault="000202AC" w:rsidP="000202AC">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Компетентні органи інвестиційних фірм і операторів ринку</w:t>
      </w:r>
      <w:r w:rsidR="003222B9" w:rsidRPr="00BE1959">
        <w:rPr>
          <w:rFonts w:ascii="Times New Roman" w:eastAsia="Times New Roman" w:hAnsi="Times New Roman" w:cs="Times New Roman"/>
          <w:sz w:val="24"/>
          <w:szCs w:val="24"/>
          <w:lang w:val="uk-UA"/>
        </w:rPr>
        <w:t>, які управляють БТМ або ОТМ</w:t>
      </w:r>
      <w:r w:rsidRPr="00BE1959">
        <w:rPr>
          <w:rFonts w:ascii="Times New Roman" w:eastAsia="Times New Roman" w:hAnsi="Times New Roman" w:cs="Times New Roman"/>
          <w:sz w:val="24"/>
          <w:szCs w:val="24"/>
          <w:lang w:val="uk-UA"/>
        </w:rPr>
        <w:t>, доводять до відома ESMA і компетентних органів інших держав-членів інформацію, згадану в першому абзаці цього пункту.</w:t>
      </w:r>
    </w:p>
    <w:p w:rsidR="005613AB" w:rsidRPr="00BE1959" w:rsidRDefault="000202AC"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Стосовно дій, які можуть свідчити про поведінку, заборонену Регламентом (EU) № 596/2014, компетентний орган повинен переконатися в тому, що така поведінка має або мала місце, перш ніж повідомляти компетентні органи іншої держави-члена і</w:t>
      </w:r>
      <w:r w:rsidR="005613AB" w:rsidRPr="00BE1959">
        <w:rPr>
          <w:rFonts w:ascii="Times New Roman" w:eastAsia="Times New Roman" w:hAnsi="Times New Roman" w:cs="Times New Roman"/>
          <w:sz w:val="24"/>
          <w:szCs w:val="24"/>
          <w:lang w:val="uk-UA"/>
        </w:rPr>
        <w:t xml:space="preserve"> ESMA.</w:t>
      </w:r>
    </w:p>
    <w:p w:rsidR="005613AB" w:rsidRPr="00BE1959" w:rsidRDefault="005613AB" w:rsidP="00085D4C">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3.   </w:t>
      </w:r>
      <w:r w:rsidR="001F5C90" w:rsidRPr="00BE1959">
        <w:rPr>
          <w:rFonts w:ascii="Times New Roman" w:eastAsia="Times New Roman" w:hAnsi="Times New Roman" w:cs="Times New Roman"/>
          <w:sz w:val="24"/>
          <w:szCs w:val="24"/>
          <w:lang w:val="uk-UA"/>
        </w:rPr>
        <w:t>Держави-члени</w:t>
      </w:r>
      <w:r w:rsidRPr="00BE1959">
        <w:rPr>
          <w:rFonts w:ascii="Times New Roman" w:eastAsia="Times New Roman" w:hAnsi="Times New Roman" w:cs="Times New Roman"/>
          <w:sz w:val="24"/>
          <w:szCs w:val="24"/>
          <w:lang w:val="uk-UA"/>
        </w:rPr>
        <w:t xml:space="preserve"> </w:t>
      </w:r>
      <w:r w:rsidR="000202AC" w:rsidRPr="00BE1959">
        <w:rPr>
          <w:rFonts w:ascii="Times New Roman" w:eastAsia="Times New Roman" w:hAnsi="Times New Roman" w:cs="Times New Roman"/>
          <w:sz w:val="24"/>
          <w:szCs w:val="24"/>
          <w:lang w:val="uk-UA"/>
        </w:rPr>
        <w:t>також</w:t>
      </w:r>
      <w:r w:rsidRPr="00BE1959">
        <w:rPr>
          <w:rFonts w:ascii="Times New Roman" w:eastAsia="Times New Roman" w:hAnsi="Times New Roman" w:cs="Times New Roman"/>
          <w:sz w:val="24"/>
          <w:szCs w:val="24"/>
          <w:lang w:val="uk-UA"/>
        </w:rPr>
        <w:t xml:space="preserve"> </w:t>
      </w:r>
      <w:r w:rsidR="006E69F5" w:rsidRPr="00BE1959">
        <w:rPr>
          <w:rFonts w:ascii="Times New Roman" w:eastAsia="Times New Roman" w:hAnsi="Times New Roman" w:cs="Times New Roman"/>
          <w:sz w:val="24"/>
          <w:szCs w:val="24"/>
          <w:lang w:val="uk-UA"/>
        </w:rPr>
        <w:t xml:space="preserve">вимагають, щоб </w:t>
      </w:r>
      <w:r w:rsidR="003222B9" w:rsidRPr="00BE1959">
        <w:rPr>
          <w:rFonts w:ascii="Times New Roman" w:eastAsia="Times New Roman" w:hAnsi="Times New Roman" w:cs="Times New Roman"/>
          <w:sz w:val="24"/>
          <w:szCs w:val="24"/>
          <w:lang w:val="uk-UA"/>
        </w:rPr>
        <w:t>інвестиційні фірми та оператори ринку, які управляють БТМ або ОТМ</w:t>
      </w:r>
      <w:r w:rsidR="000202AC" w:rsidRPr="00BE1959">
        <w:rPr>
          <w:rFonts w:ascii="Times New Roman" w:eastAsia="Times New Roman" w:hAnsi="Times New Roman" w:cs="Times New Roman"/>
          <w:sz w:val="24"/>
          <w:szCs w:val="24"/>
          <w:lang w:val="uk-UA"/>
        </w:rPr>
        <w:t xml:space="preserve">, без неналежної затримки надавали інформацію, згадану в пункті 2, органу, уповноваженому на розслідування та кримінальне переслідування зловживань на ринку, і надавали повну допомогу цьому органу в розслідуванні та кримінальному переслідуванні зловживань </w:t>
      </w:r>
      <w:r w:rsidR="00085D4C" w:rsidRPr="00BE1959">
        <w:rPr>
          <w:rFonts w:ascii="Times New Roman" w:eastAsia="Times New Roman" w:hAnsi="Times New Roman" w:cs="Times New Roman"/>
          <w:sz w:val="24"/>
          <w:szCs w:val="24"/>
          <w:lang w:val="uk-UA"/>
        </w:rPr>
        <w:t>на ринку, які здійснюються у його системах або через його системи.</w:t>
      </w:r>
    </w:p>
    <w:p w:rsidR="005613AB" w:rsidRPr="00BE1959" w:rsidRDefault="005613AB" w:rsidP="00085D4C">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4.   </w:t>
      </w:r>
      <w:r w:rsidR="00085D4C" w:rsidRPr="00BE1959">
        <w:rPr>
          <w:rFonts w:ascii="Times New Roman" w:eastAsia="Times New Roman" w:hAnsi="Times New Roman" w:cs="Times New Roman"/>
          <w:sz w:val="24"/>
          <w:szCs w:val="24"/>
          <w:lang w:val="uk-UA"/>
        </w:rPr>
        <w:t>Комісії надається повноваження на прийняття делегованих актів відповідно до статті 89 для визначення обставин, які ініціюють застосування вимоги до інформації, згаданої у пункті 2 цієї статті.</w:t>
      </w:r>
    </w:p>
    <w:p w:rsidR="005613AB" w:rsidRPr="00BE1959" w:rsidRDefault="00162A11" w:rsidP="005613AB">
      <w:pPr>
        <w:spacing w:before="360" w:after="120" w:line="312" w:lineRule="atLeast"/>
        <w:jc w:val="center"/>
        <w:textAlignment w:val="baseline"/>
        <w:rPr>
          <w:rFonts w:ascii="Times New Roman" w:eastAsia="Times New Roman" w:hAnsi="Times New Roman" w:cs="Times New Roman"/>
          <w:i/>
          <w:iCs/>
          <w:sz w:val="24"/>
          <w:szCs w:val="24"/>
          <w:lang w:val="uk-UA"/>
        </w:rPr>
      </w:pPr>
      <w:r w:rsidRPr="00BE1959">
        <w:rPr>
          <w:rFonts w:ascii="Times New Roman" w:eastAsia="Times New Roman" w:hAnsi="Times New Roman" w:cs="Times New Roman"/>
          <w:i/>
          <w:iCs/>
          <w:sz w:val="24"/>
          <w:szCs w:val="24"/>
          <w:lang w:val="uk-UA"/>
        </w:rPr>
        <w:t>Стаття</w:t>
      </w:r>
      <w:r w:rsidR="005613AB" w:rsidRPr="00BE1959">
        <w:rPr>
          <w:rFonts w:ascii="Times New Roman" w:eastAsia="Times New Roman" w:hAnsi="Times New Roman" w:cs="Times New Roman"/>
          <w:i/>
          <w:iCs/>
          <w:sz w:val="24"/>
          <w:szCs w:val="24"/>
          <w:lang w:val="uk-UA"/>
        </w:rPr>
        <w:t xml:space="preserve"> 32</w:t>
      </w:r>
    </w:p>
    <w:p w:rsidR="005613AB" w:rsidRPr="00BE1959" w:rsidRDefault="004600F8" w:rsidP="004600F8">
      <w:pPr>
        <w:spacing w:before="60" w:after="120" w:line="312" w:lineRule="atLeast"/>
        <w:jc w:val="center"/>
        <w:textAlignment w:val="baseline"/>
        <w:rPr>
          <w:rFonts w:ascii="Times New Roman" w:eastAsia="Times New Roman" w:hAnsi="Times New Roman" w:cs="Times New Roman"/>
          <w:b/>
          <w:bCs/>
          <w:sz w:val="24"/>
          <w:szCs w:val="24"/>
          <w:lang w:val="uk-UA"/>
        </w:rPr>
      </w:pPr>
      <w:r w:rsidRPr="00BE1959">
        <w:rPr>
          <w:rFonts w:ascii="Times New Roman" w:eastAsia="Times New Roman" w:hAnsi="Times New Roman" w:cs="Times New Roman"/>
          <w:b/>
          <w:bCs/>
          <w:sz w:val="24"/>
          <w:szCs w:val="24"/>
          <w:lang w:val="uk-UA"/>
        </w:rPr>
        <w:t>Призупинення торгівлі фінансовими інструментами та вилучення їх з торгівлі на БТМ або ОТМ</w:t>
      </w:r>
    </w:p>
    <w:p w:rsidR="005613AB" w:rsidRPr="00BE1959" w:rsidRDefault="005613AB" w:rsidP="00600D5C">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1.   </w:t>
      </w:r>
      <w:r w:rsidR="00863034" w:rsidRPr="00BE1959">
        <w:rPr>
          <w:rFonts w:ascii="Times New Roman" w:eastAsia="Times New Roman" w:hAnsi="Times New Roman" w:cs="Times New Roman"/>
          <w:sz w:val="24"/>
          <w:szCs w:val="24"/>
          <w:lang w:val="uk-UA"/>
        </w:rPr>
        <w:t>Без шкоди для права компетентного органу за статтею 69(2) вимагати призупинення торгівлі фінансовим інструментом</w:t>
      </w:r>
      <w:r w:rsidR="00600D5C" w:rsidRPr="00BE1959">
        <w:rPr>
          <w:rFonts w:ascii="Times New Roman" w:eastAsia="Times New Roman" w:hAnsi="Times New Roman" w:cs="Times New Roman"/>
          <w:sz w:val="24"/>
          <w:szCs w:val="24"/>
          <w:lang w:val="uk-UA"/>
        </w:rPr>
        <w:t xml:space="preserve"> або вилучати його з торгівлі інвестиційна фірма або оператор ринку, що управляє БТМ або ОТМ, може призупинити торгівлю фінансовим інструментом або вилучити з торгівлі фінансовий інструмент, який вже не відповідає правилам БТМ або ОТМ, якщо таке призупинення або вилучення не завдасть істотної шкоди інтересам інвесторів або впорядкованому функціонуванню ринку.</w:t>
      </w:r>
    </w:p>
    <w:p w:rsidR="005613AB" w:rsidRPr="00BE1959" w:rsidRDefault="005613AB" w:rsidP="00394BA9">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2.   </w:t>
      </w:r>
      <w:r w:rsidR="00511D52" w:rsidRPr="00BE1959">
        <w:rPr>
          <w:rFonts w:ascii="Times New Roman" w:eastAsia="Times New Roman" w:hAnsi="Times New Roman" w:cs="Times New Roman"/>
          <w:sz w:val="24"/>
          <w:szCs w:val="24"/>
          <w:lang w:val="uk-UA"/>
        </w:rPr>
        <w:t>Держави-члени вимагають, щоб</w:t>
      </w:r>
      <w:r w:rsidRPr="00BE1959">
        <w:rPr>
          <w:rFonts w:ascii="Times New Roman" w:eastAsia="Times New Roman" w:hAnsi="Times New Roman" w:cs="Times New Roman"/>
          <w:sz w:val="24"/>
          <w:szCs w:val="24"/>
          <w:lang w:val="uk-UA"/>
        </w:rPr>
        <w:t xml:space="preserve"> </w:t>
      </w:r>
      <w:r w:rsidR="00600D5C" w:rsidRPr="00BE1959">
        <w:rPr>
          <w:rFonts w:ascii="Times New Roman" w:eastAsia="Times New Roman" w:hAnsi="Times New Roman" w:cs="Times New Roman"/>
          <w:sz w:val="24"/>
          <w:szCs w:val="24"/>
          <w:lang w:val="uk-UA"/>
        </w:rPr>
        <w:t>інвестиційна фірма або оператор ринку, що управляє БТМ або ОТМ</w:t>
      </w:r>
      <w:r w:rsidR="00F75277" w:rsidRPr="00BE1959">
        <w:rPr>
          <w:rFonts w:ascii="Times New Roman" w:eastAsia="Times New Roman" w:hAnsi="Times New Roman" w:cs="Times New Roman"/>
          <w:sz w:val="24"/>
          <w:szCs w:val="24"/>
          <w:lang w:val="uk-UA"/>
        </w:rPr>
        <w:t xml:space="preserve"> та призупиняє торгівлю фінансовим інструментом або вилучає з торгівлі </w:t>
      </w:r>
      <w:r w:rsidR="00F75277" w:rsidRPr="00BE1959">
        <w:rPr>
          <w:rFonts w:ascii="Times New Roman" w:eastAsia="Times New Roman" w:hAnsi="Times New Roman" w:cs="Times New Roman"/>
          <w:sz w:val="24"/>
          <w:szCs w:val="24"/>
          <w:lang w:val="uk-UA"/>
        </w:rPr>
        <w:lastRenderedPageBreak/>
        <w:t xml:space="preserve">фінансовий інструмент, також призупиняла торгівлю або вилучала з торгівлі деривативи, згадані у пп. (4)-(10) розділу С Додатку І, </w:t>
      </w:r>
      <w:r w:rsidR="00030CB4" w:rsidRPr="00BE1959">
        <w:rPr>
          <w:rFonts w:ascii="Times New Roman" w:eastAsia="Times New Roman" w:hAnsi="Times New Roman" w:cs="Times New Roman"/>
          <w:sz w:val="24"/>
          <w:szCs w:val="24"/>
          <w:lang w:val="uk-UA"/>
        </w:rPr>
        <w:t>які стосуються цього фінансового інструменту або містять посилання на нього</w:t>
      </w:r>
      <w:r w:rsidR="00C965F5" w:rsidRPr="00BE1959">
        <w:rPr>
          <w:rFonts w:ascii="Times New Roman" w:eastAsia="Times New Roman" w:hAnsi="Times New Roman" w:cs="Times New Roman"/>
          <w:sz w:val="24"/>
          <w:szCs w:val="24"/>
          <w:lang w:val="uk-UA"/>
        </w:rPr>
        <w:t xml:space="preserve">, де </w:t>
      </w:r>
      <w:r w:rsidR="0038066B" w:rsidRPr="00BE1959">
        <w:rPr>
          <w:rFonts w:ascii="Times New Roman" w:eastAsia="Times New Roman" w:hAnsi="Times New Roman" w:cs="Times New Roman"/>
          <w:sz w:val="24"/>
          <w:szCs w:val="24"/>
          <w:lang w:val="uk-UA"/>
        </w:rPr>
        <w:t xml:space="preserve">це </w:t>
      </w:r>
      <w:r w:rsidR="00C965F5" w:rsidRPr="00BE1959">
        <w:rPr>
          <w:rFonts w:ascii="Times New Roman" w:eastAsia="Times New Roman" w:hAnsi="Times New Roman" w:cs="Times New Roman"/>
          <w:sz w:val="24"/>
          <w:szCs w:val="24"/>
          <w:lang w:val="uk-UA"/>
        </w:rPr>
        <w:t xml:space="preserve">необхідно для </w:t>
      </w:r>
      <w:r w:rsidR="0038066B" w:rsidRPr="00BE1959">
        <w:rPr>
          <w:rFonts w:ascii="Times New Roman" w:eastAsia="Times New Roman" w:hAnsi="Times New Roman" w:cs="Times New Roman"/>
          <w:sz w:val="24"/>
          <w:szCs w:val="24"/>
          <w:lang w:val="uk-UA"/>
        </w:rPr>
        <w:t>сприяння</w:t>
      </w:r>
      <w:r w:rsidR="00C965F5" w:rsidRPr="00BE1959">
        <w:rPr>
          <w:rFonts w:ascii="Times New Roman" w:eastAsia="Times New Roman" w:hAnsi="Times New Roman" w:cs="Times New Roman"/>
          <w:sz w:val="24"/>
          <w:szCs w:val="24"/>
          <w:lang w:val="uk-UA"/>
        </w:rPr>
        <w:t xml:space="preserve"> досягненн</w:t>
      </w:r>
      <w:r w:rsidR="0038066B" w:rsidRPr="00BE1959">
        <w:rPr>
          <w:rFonts w:ascii="Times New Roman" w:eastAsia="Times New Roman" w:hAnsi="Times New Roman" w:cs="Times New Roman"/>
          <w:sz w:val="24"/>
          <w:szCs w:val="24"/>
          <w:lang w:val="uk-UA"/>
        </w:rPr>
        <w:t>ю</w:t>
      </w:r>
      <w:r w:rsidR="00C965F5" w:rsidRPr="00BE1959">
        <w:rPr>
          <w:rFonts w:ascii="Times New Roman" w:eastAsia="Times New Roman" w:hAnsi="Times New Roman" w:cs="Times New Roman"/>
          <w:sz w:val="24"/>
          <w:szCs w:val="24"/>
          <w:lang w:val="uk-UA"/>
        </w:rPr>
        <w:t xml:space="preserve"> цілей призупинення </w:t>
      </w:r>
      <w:r w:rsidR="0038066B" w:rsidRPr="00BE1959">
        <w:rPr>
          <w:rFonts w:ascii="Times New Roman" w:eastAsia="Times New Roman" w:hAnsi="Times New Roman" w:cs="Times New Roman"/>
          <w:sz w:val="24"/>
          <w:szCs w:val="24"/>
          <w:lang w:val="uk-UA"/>
        </w:rPr>
        <w:t xml:space="preserve">торгівлі або вилучення з торгівлі базового </w:t>
      </w:r>
      <w:r w:rsidR="00125A48" w:rsidRPr="00BE1959">
        <w:rPr>
          <w:rFonts w:ascii="Times New Roman" w:eastAsia="Times New Roman" w:hAnsi="Times New Roman" w:cs="Times New Roman"/>
          <w:sz w:val="24"/>
          <w:szCs w:val="24"/>
          <w:lang w:val="uk-UA"/>
        </w:rPr>
        <w:t>фінансового інструмента.</w:t>
      </w:r>
      <w:r w:rsidRPr="00BE1959">
        <w:rPr>
          <w:rFonts w:ascii="Times New Roman" w:eastAsia="Times New Roman" w:hAnsi="Times New Roman" w:cs="Times New Roman"/>
          <w:sz w:val="24"/>
          <w:szCs w:val="24"/>
          <w:lang w:val="uk-UA"/>
        </w:rPr>
        <w:t xml:space="preserve"> </w:t>
      </w:r>
      <w:r w:rsidR="00125A48" w:rsidRPr="00BE1959">
        <w:rPr>
          <w:rFonts w:ascii="Times New Roman" w:eastAsia="Times New Roman" w:hAnsi="Times New Roman" w:cs="Times New Roman"/>
          <w:sz w:val="24"/>
          <w:szCs w:val="24"/>
          <w:lang w:val="uk-UA"/>
        </w:rPr>
        <w:t>Ін</w:t>
      </w:r>
      <w:r w:rsidR="002053EC" w:rsidRPr="00BE1959">
        <w:rPr>
          <w:rFonts w:ascii="Times New Roman" w:eastAsia="Times New Roman" w:hAnsi="Times New Roman" w:cs="Times New Roman"/>
          <w:sz w:val="24"/>
          <w:szCs w:val="24"/>
          <w:lang w:val="uk-UA"/>
        </w:rPr>
        <w:t>вестиційна фірма або оператор ринку, що управляє БТМ або ОТМ</w:t>
      </w:r>
      <w:r w:rsidR="00125A48" w:rsidRPr="00BE1959">
        <w:rPr>
          <w:rFonts w:ascii="Times New Roman" w:eastAsia="Times New Roman" w:hAnsi="Times New Roman" w:cs="Times New Roman"/>
          <w:sz w:val="24"/>
          <w:szCs w:val="24"/>
          <w:lang w:val="uk-UA"/>
        </w:rPr>
        <w:t>, оприлюднює свої рішення про призупинення торгівлі або вилучення з торгівлі фінансового інструмента і будь-якого пов'язаного з ним дериватива та доводить відповідні рішення до відома свого компетентного органу.</w:t>
      </w:r>
    </w:p>
    <w:p w:rsidR="00487F51" w:rsidRPr="00BE1959" w:rsidRDefault="003A5348" w:rsidP="00487F51">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Компетентний орган</w:t>
      </w:r>
      <w:r w:rsidR="005613AB" w:rsidRPr="00BE1959">
        <w:rPr>
          <w:rFonts w:ascii="Times New Roman" w:eastAsia="Times New Roman" w:hAnsi="Times New Roman" w:cs="Times New Roman"/>
          <w:sz w:val="24"/>
          <w:szCs w:val="24"/>
          <w:lang w:val="uk-UA"/>
        </w:rPr>
        <w:t xml:space="preserve">, </w:t>
      </w:r>
      <w:r w:rsidR="00394BA9" w:rsidRPr="00BE1959">
        <w:rPr>
          <w:rFonts w:ascii="Times New Roman" w:eastAsia="Times New Roman" w:hAnsi="Times New Roman" w:cs="Times New Roman"/>
          <w:sz w:val="24"/>
          <w:szCs w:val="24"/>
          <w:lang w:val="uk-UA"/>
        </w:rPr>
        <w:t xml:space="preserve">у юрисдикції якого здійснюється призупинення або вилучення, вимагає, щоб регульовані ринки, інші БТМ, інші </w:t>
      </w:r>
      <w:r w:rsidR="00D00A27" w:rsidRPr="00BE1959">
        <w:rPr>
          <w:rFonts w:ascii="Times New Roman" w:eastAsia="Times New Roman" w:hAnsi="Times New Roman" w:cs="Times New Roman"/>
          <w:sz w:val="24"/>
          <w:szCs w:val="24"/>
          <w:lang w:val="uk-UA"/>
        </w:rPr>
        <w:t>ОТМ і систематичні учасники, на яких поширюється його юрисдикція і які торгують тим самим фінансовим інструментом або деривативами, згаданими у пп. (4)-(10) розділу С Додатку І до цієї директиви, які стосуються цього фінансового інструменту або містять посилання на нього, також призупиняли торгівлю або вилучали з торгівлі цей фінансовий інструмент або ці деривативи, якщо призупинення чи вилучення обумовлено можливими зловживаннями на ринку, пропозицією про поглинання або нерозкриттям внутрішньої інформації про емітента чи фінансовий інструмент, що порушує статті 7 і 17 Регламенту (EU) № 596/2014, крім випадків, де таке призупинення або вилучення може завдати істотної шкоди інтересам інвесторів або впорядкованому функціонуванню ринку.</w:t>
      </w:r>
    </w:p>
    <w:p w:rsidR="005613AB" w:rsidRPr="00BE1959" w:rsidRDefault="00AF288E" w:rsidP="00411A97">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Компетентний орган</w:t>
      </w:r>
      <w:r w:rsidR="005613AB" w:rsidRPr="00BE1959">
        <w:rPr>
          <w:rFonts w:ascii="Times New Roman" w:eastAsia="Times New Roman" w:hAnsi="Times New Roman" w:cs="Times New Roman"/>
          <w:sz w:val="24"/>
          <w:szCs w:val="24"/>
          <w:lang w:val="uk-UA"/>
        </w:rPr>
        <w:t xml:space="preserve"> </w:t>
      </w:r>
      <w:r w:rsidR="00411A97" w:rsidRPr="00BE1959">
        <w:rPr>
          <w:rFonts w:ascii="Times New Roman" w:eastAsia="Times New Roman" w:hAnsi="Times New Roman" w:cs="Times New Roman"/>
          <w:sz w:val="24"/>
          <w:szCs w:val="24"/>
          <w:lang w:val="uk-UA"/>
        </w:rPr>
        <w:t>негайно оприлюднює таке рішення і доводить його до відома ESMA та компетентних органів інших держав-членів.</w:t>
      </w:r>
    </w:p>
    <w:p w:rsidR="005613AB" w:rsidRPr="00BE1959" w:rsidRDefault="00411A97" w:rsidP="00D00A27">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Повідомлені компетентні органи інших держав-членів </w:t>
      </w:r>
      <w:r w:rsidR="00511D52" w:rsidRPr="00BE1959">
        <w:rPr>
          <w:rFonts w:ascii="Times New Roman" w:eastAsia="Times New Roman" w:hAnsi="Times New Roman" w:cs="Times New Roman"/>
          <w:sz w:val="24"/>
          <w:szCs w:val="24"/>
          <w:lang w:val="uk-UA"/>
        </w:rPr>
        <w:t>вимагають, щоб</w:t>
      </w:r>
      <w:r w:rsidR="005613AB" w:rsidRPr="00BE1959">
        <w:rPr>
          <w:rFonts w:ascii="Times New Roman" w:eastAsia="Times New Roman" w:hAnsi="Times New Roman" w:cs="Times New Roman"/>
          <w:sz w:val="24"/>
          <w:szCs w:val="24"/>
          <w:lang w:val="uk-UA"/>
        </w:rPr>
        <w:t xml:space="preserve"> </w:t>
      </w:r>
      <w:r w:rsidRPr="00BE1959">
        <w:rPr>
          <w:rFonts w:ascii="Times New Roman" w:eastAsia="Times New Roman" w:hAnsi="Times New Roman" w:cs="Times New Roman"/>
          <w:sz w:val="24"/>
          <w:szCs w:val="24"/>
          <w:lang w:val="uk-UA"/>
        </w:rPr>
        <w:t xml:space="preserve">регульовані ринки, інші БТМ, інші </w:t>
      </w:r>
      <w:r w:rsidR="00D00A27" w:rsidRPr="00BE1959">
        <w:rPr>
          <w:rFonts w:ascii="Times New Roman" w:eastAsia="Times New Roman" w:hAnsi="Times New Roman" w:cs="Times New Roman"/>
          <w:sz w:val="24"/>
          <w:szCs w:val="24"/>
          <w:lang w:val="uk-UA"/>
        </w:rPr>
        <w:t>ОТМ і систематичні учасники, на яких поширюється їхня юрисдикція і які торгують тим самим фінансовим інструментом або деривативами, згаданими у пп. (4)-(10) розділу С Додатку І до цієї директиви, які стосуються цього фінансового інструменту або містять посилання на нього, також призупиняли торгівлю або вилучали з торгівлі цей фінансовий інструмент або ці деривативи, якщо призупинення чи вилучення обумовлено можливими зловживаннями на ринку, пропозицією про поглинання або нерозкриттям внутрішньої інформації про емітента чи фінансовий інструмент, що порушує статті 7 і 17 Регламенту (EU) № 596/2014, крім випадків, де таке призупинення або вилучення може завдати істотної шкоди інтересам інвесторів або впорядкованому функціонуванню ринку.</w:t>
      </w:r>
    </w:p>
    <w:p w:rsidR="005613AB" w:rsidRPr="00BE1959" w:rsidRDefault="00D81E97" w:rsidP="00457031">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Кожний повідомлений компетентний орган доводить своє рішення до відома ESMA та інших компетентних органів, </w:t>
      </w:r>
      <w:r w:rsidR="00457031" w:rsidRPr="00BE1959">
        <w:rPr>
          <w:rFonts w:ascii="Times New Roman" w:eastAsia="Times New Roman" w:hAnsi="Times New Roman" w:cs="Times New Roman"/>
          <w:sz w:val="24"/>
          <w:szCs w:val="24"/>
          <w:lang w:val="uk-UA"/>
        </w:rPr>
        <w:t xml:space="preserve">надаючи при цьому відповідне повідомлення, якщо вищезгадане рішення не було спрямовано </w:t>
      </w:r>
      <w:r w:rsidR="00BC77F1" w:rsidRPr="00BE1959">
        <w:rPr>
          <w:rFonts w:ascii="Times New Roman" w:eastAsia="Times New Roman" w:hAnsi="Times New Roman" w:cs="Times New Roman"/>
          <w:sz w:val="24"/>
          <w:szCs w:val="24"/>
          <w:lang w:val="uk-UA"/>
        </w:rPr>
        <w:t>на призупинення торгівлі чи вилучення з торгівлі фінансового інструмента чи деривативів, згаданих у пп. (4)-(10) розділу С Додатку І, які стосуються цього фінансового інструмента або містять посилання на нього.</w:t>
      </w:r>
    </w:p>
    <w:p w:rsidR="005613AB" w:rsidRPr="00BE1959" w:rsidRDefault="001A49E1" w:rsidP="001A49E1">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Дія цього пункту поширюється також на випадки, де призупинення торгівлі фінансовим інструментом або деривативами, згаданими у пп. (4)-(10) розділу С Додатку І, які стосуються цього фінансового інструмента або містять посилання на нього, скасовується.</w:t>
      </w:r>
    </w:p>
    <w:p w:rsidR="005613AB" w:rsidRPr="00BE1959" w:rsidRDefault="00BC77F1" w:rsidP="00BC77F1">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lastRenderedPageBreak/>
        <w:t>Порядок повідомлення, згаданий у цьому пункті, також діє у випадках, де рішення пропризупинення торгівлі чи вилучення з торгівлі фінансового інструмента чи деривативів, згаданих у пп. (4)-(10) розділу С Додатку І, які стосуються цього фінансового інструмента або містять посилання на нього, ухвалено компетентним органом відповідно до пп.</w:t>
      </w:r>
      <w:r w:rsidR="005613AB" w:rsidRPr="00BE1959">
        <w:rPr>
          <w:rFonts w:ascii="Times New Roman" w:eastAsia="Times New Roman" w:hAnsi="Times New Roman" w:cs="Times New Roman"/>
          <w:sz w:val="24"/>
          <w:szCs w:val="24"/>
          <w:lang w:val="uk-UA"/>
        </w:rPr>
        <w:t xml:space="preserve"> (m) </w:t>
      </w:r>
      <w:r w:rsidRPr="00BE1959">
        <w:rPr>
          <w:rFonts w:ascii="Times New Roman" w:eastAsia="Times New Roman" w:hAnsi="Times New Roman" w:cs="Times New Roman"/>
          <w:sz w:val="24"/>
          <w:szCs w:val="24"/>
          <w:lang w:val="uk-UA"/>
        </w:rPr>
        <w:t xml:space="preserve">та </w:t>
      </w:r>
      <w:r w:rsidR="005613AB" w:rsidRPr="00BE1959">
        <w:rPr>
          <w:rFonts w:ascii="Times New Roman" w:eastAsia="Times New Roman" w:hAnsi="Times New Roman" w:cs="Times New Roman"/>
          <w:sz w:val="24"/>
          <w:szCs w:val="24"/>
          <w:lang w:val="uk-UA"/>
        </w:rPr>
        <w:t xml:space="preserve">(n) </w:t>
      </w:r>
      <w:r w:rsidR="0065313E" w:rsidRPr="00BE1959">
        <w:rPr>
          <w:rFonts w:ascii="Times New Roman" w:eastAsia="Times New Roman" w:hAnsi="Times New Roman" w:cs="Times New Roman"/>
          <w:sz w:val="24"/>
          <w:szCs w:val="24"/>
          <w:lang w:val="uk-UA"/>
        </w:rPr>
        <w:t>статті</w:t>
      </w:r>
      <w:r w:rsidR="005613AB" w:rsidRPr="00BE1959">
        <w:rPr>
          <w:rFonts w:ascii="Times New Roman" w:eastAsia="Times New Roman" w:hAnsi="Times New Roman" w:cs="Times New Roman"/>
          <w:sz w:val="24"/>
          <w:szCs w:val="24"/>
          <w:lang w:val="uk-UA"/>
        </w:rPr>
        <w:t xml:space="preserve"> 69(2).</w:t>
      </w:r>
    </w:p>
    <w:p w:rsidR="00BC77F1" w:rsidRPr="00BE1959" w:rsidRDefault="00BC77F1" w:rsidP="00483C66">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Щоб забезпечити сумірне застосування обов’язку щодо призупинення торгівлі чи вилучення з торгівлі </w:t>
      </w:r>
      <w:r w:rsidR="00483C66" w:rsidRPr="00BE1959">
        <w:rPr>
          <w:rFonts w:ascii="Times New Roman" w:eastAsia="Times New Roman" w:hAnsi="Times New Roman" w:cs="Times New Roman"/>
          <w:sz w:val="24"/>
          <w:szCs w:val="24"/>
          <w:lang w:val="uk-UA"/>
        </w:rPr>
        <w:t xml:space="preserve">таких деривативів, ESMA розробляє проекти нормативно-технічних стандартів, де уточнює випадки, в яких зв'язок між деривативом, згаданим у </w:t>
      </w:r>
      <w:r w:rsidRPr="00BE1959">
        <w:rPr>
          <w:rFonts w:ascii="Times New Roman" w:eastAsia="Times New Roman" w:hAnsi="Times New Roman" w:cs="Times New Roman"/>
          <w:sz w:val="24"/>
          <w:szCs w:val="24"/>
          <w:lang w:val="uk-UA"/>
        </w:rPr>
        <w:t>пп. (4)-(10) розділу С Додатку І, як</w:t>
      </w:r>
      <w:r w:rsidR="00483C66" w:rsidRPr="00BE1959">
        <w:rPr>
          <w:rFonts w:ascii="Times New Roman" w:eastAsia="Times New Roman" w:hAnsi="Times New Roman" w:cs="Times New Roman"/>
          <w:sz w:val="24"/>
          <w:szCs w:val="24"/>
          <w:lang w:val="uk-UA"/>
        </w:rPr>
        <w:t>ий</w:t>
      </w:r>
      <w:r w:rsidRPr="00BE1959">
        <w:rPr>
          <w:rFonts w:ascii="Times New Roman" w:eastAsia="Times New Roman" w:hAnsi="Times New Roman" w:cs="Times New Roman"/>
          <w:sz w:val="24"/>
          <w:szCs w:val="24"/>
          <w:lang w:val="uk-UA"/>
        </w:rPr>
        <w:t xml:space="preserve"> стосу</w:t>
      </w:r>
      <w:r w:rsidR="00897C8F" w:rsidRPr="00BE1959">
        <w:rPr>
          <w:rFonts w:ascii="Times New Roman" w:eastAsia="Times New Roman" w:hAnsi="Times New Roman" w:cs="Times New Roman"/>
          <w:sz w:val="24"/>
          <w:szCs w:val="24"/>
          <w:lang w:val="uk-UA"/>
        </w:rPr>
        <w:t>є</w:t>
      </w:r>
      <w:r w:rsidRPr="00BE1959">
        <w:rPr>
          <w:rFonts w:ascii="Times New Roman" w:eastAsia="Times New Roman" w:hAnsi="Times New Roman" w:cs="Times New Roman"/>
          <w:sz w:val="24"/>
          <w:szCs w:val="24"/>
          <w:lang w:val="uk-UA"/>
        </w:rPr>
        <w:t>ться фінансового інструмента або міст</w:t>
      </w:r>
      <w:r w:rsidR="00897C8F" w:rsidRPr="00BE1959">
        <w:rPr>
          <w:rFonts w:ascii="Times New Roman" w:eastAsia="Times New Roman" w:hAnsi="Times New Roman" w:cs="Times New Roman"/>
          <w:sz w:val="24"/>
          <w:szCs w:val="24"/>
          <w:lang w:val="uk-UA"/>
        </w:rPr>
        <w:t>и</w:t>
      </w:r>
      <w:r w:rsidRPr="00BE1959">
        <w:rPr>
          <w:rFonts w:ascii="Times New Roman" w:eastAsia="Times New Roman" w:hAnsi="Times New Roman" w:cs="Times New Roman"/>
          <w:sz w:val="24"/>
          <w:szCs w:val="24"/>
          <w:lang w:val="uk-UA"/>
        </w:rPr>
        <w:t xml:space="preserve">ть посилання на </w:t>
      </w:r>
      <w:r w:rsidR="00897C8F" w:rsidRPr="00BE1959">
        <w:rPr>
          <w:rFonts w:ascii="Times New Roman" w:eastAsia="Times New Roman" w:hAnsi="Times New Roman" w:cs="Times New Roman"/>
          <w:sz w:val="24"/>
          <w:szCs w:val="24"/>
          <w:lang w:val="uk-UA"/>
        </w:rPr>
        <w:t xml:space="preserve">фінансовий інструмент, торгівля яким призупинена або який вилучено з торгівлі, </w:t>
      </w:r>
      <w:r w:rsidR="0019613C" w:rsidRPr="00BE1959">
        <w:rPr>
          <w:rFonts w:ascii="Times New Roman" w:eastAsia="Times New Roman" w:hAnsi="Times New Roman" w:cs="Times New Roman"/>
          <w:sz w:val="24"/>
          <w:szCs w:val="24"/>
          <w:lang w:val="uk-UA"/>
        </w:rPr>
        <w:t>та</w:t>
      </w:r>
      <w:r w:rsidR="00DD3D09" w:rsidRPr="00BE1959">
        <w:rPr>
          <w:rFonts w:ascii="Times New Roman" w:eastAsia="Times New Roman" w:hAnsi="Times New Roman" w:cs="Times New Roman"/>
          <w:sz w:val="24"/>
          <w:szCs w:val="24"/>
          <w:lang w:val="uk-UA"/>
        </w:rPr>
        <w:t xml:space="preserve"> вихідним фінансовим інструментом означає, що торгівля даним деривативом також має бути призупинена або він має бути вилучений з торгівлі </w:t>
      </w:r>
      <w:r w:rsidR="00897C8F" w:rsidRPr="00BE1959">
        <w:rPr>
          <w:rFonts w:ascii="Times New Roman" w:eastAsia="Times New Roman" w:hAnsi="Times New Roman" w:cs="Times New Roman"/>
          <w:sz w:val="24"/>
          <w:szCs w:val="24"/>
          <w:lang w:val="uk-UA"/>
        </w:rPr>
        <w:t>для досягнення мети призупинення торгівлі або вилучення з торгівлі базового фінансового інструменту.</w:t>
      </w:r>
    </w:p>
    <w:p w:rsidR="009450C5" w:rsidRPr="00BE1959" w:rsidRDefault="009450C5" w:rsidP="009450C5">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ESMA подає проекти цих нормативно-технічних стандартів Комісії до 3 липня 2015 року.</w:t>
      </w:r>
    </w:p>
    <w:p w:rsidR="009450C5" w:rsidRPr="00BE1959" w:rsidRDefault="009450C5" w:rsidP="009450C5">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Комісії делегується повноваження на прийняття нормативно-технічних стандартів, згаданих у першому абзаці цього пункту, згідно зі статтями 10-14 Регламенту (EU) № 1095/2010.</w:t>
      </w:r>
    </w:p>
    <w:p w:rsidR="009450C5" w:rsidRPr="00BE1959" w:rsidRDefault="009450C5" w:rsidP="009450C5">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3.   ESMA розробляє проекти виконавчих технічних стандартів, де визначає формат і строки повідомлення та оприлюднення, згаданого у пункті 2.</w:t>
      </w:r>
    </w:p>
    <w:p w:rsidR="009450C5" w:rsidRPr="00BE1959" w:rsidRDefault="009450C5" w:rsidP="009450C5">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ESMA подає проекти цих виконавчих технічних стандартів Комісії до 3 січня 2016 року.</w:t>
      </w:r>
    </w:p>
    <w:p w:rsidR="009450C5" w:rsidRPr="00BE1959" w:rsidRDefault="009450C5" w:rsidP="009450C5">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Комісії надається повноваження на прийняття виконавчих технічних стандартів, згаданих у першому абзаці цього пункту, згідно зі статтею 15 Регламенту (EU) № 1095/2010.</w:t>
      </w:r>
    </w:p>
    <w:p w:rsidR="005613AB" w:rsidRPr="00BE1959" w:rsidRDefault="009450C5" w:rsidP="009450C5">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4.   Комісії надається повноваження на прийняття делегованих актів відповідно до статті 89, у яких будуть зазначені ситуації, що становлять істотну шкоду для інтересів інвесторів і впорядкованого функціонування ринку, згаданих у пунктах 1 і 2 цієї статті.</w:t>
      </w:r>
    </w:p>
    <w:p w:rsidR="004600F8" w:rsidRPr="00BE1959" w:rsidRDefault="004600F8" w:rsidP="005613AB">
      <w:pPr>
        <w:spacing w:after="0" w:line="312" w:lineRule="atLeast"/>
        <w:jc w:val="center"/>
        <w:textAlignment w:val="baseline"/>
        <w:rPr>
          <w:rFonts w:ascii="Times New Roman" w:eastAsia="Times New Roman" w:hAnsi="Times New Roman" w:cs="Times New Roman"/>
          <w:b/>
          <w:bCs/>
          <w:sz w:val="24"/>
          <w:szCs w:val="24"/>
          <w:bdr w:val="none" w:sz="0" w:space="0" w:color="auto" w:frame="1"/>
          <w:lang w:val="uk-UA"/>
        </w:rPr>
      </w:pPr>
    </w:p>
    <w:p w:rsidR="005613AB" w:rsidRPr="00BE1959" w:rsidRDefault="004600F8" w:rsidP="005613AB">
      <w:pPr>
        <w:spacing w:after="0" w:line="312" w:lineRule="atLeast"/>
        <w:jc w:val="center"/>
        <w:textAlignment w:val="baseline"/>
        <w:rPr>
          <w:rFonts w:ascii="Times New Roman" w:eastAsia="Times New Roman" w:hAnsi="Times New Roman" w:cs="Times New Roman"/>
          <w:b/>
          <w:bCs/>
          <w:sz w:val="24"/>
          <w:szCs w:val="24"/>
          <w:lang w:val="uk-UA"/>
        </w:rPr>
      </w:pPr>
      <w:r w:rsidRPr="00BE1959">
        <w:rPr>
          <w:rFonts w:ascii="Times New Roman" w:eastAsia="Times New Roman" w:hAnsi="Times New Roman" w:cs="Times New Roman"/>
          <w:b/>
          <w:bCs/>
          <w:sz w:val="24"/>
          <w:szCs w:val="24"/>
          <w:bdr w:val="none" w:sz="0" w:space="0" w:color="auto" w:frame="1"/>
          <w:lang w:val="uk-UA"/>
        </w:rPr>
        <w:t>Підрозділ</w:t>
      </w:r>
      <w:r w:rsidR="005613AB" w:rsidRPr="00BE1959">
        <w:rPr>
          <w:rFonts w:ascii="Times New Roman" w:eastAsia="Times New Roman" w:hAnsi="Times New Roman" w:cs="Times New Roman"/>
          <w:b/>
          <w:bCs/>
          <w:sz w:val="24"/>
          <w:szCs w:val="24"/>
          <w:bdr w:val="none" w:sz="0" w:space="0" w:color="auto" w:frame="1"/>
          <w:lang w:val="uk-UA"/>
        </w:rPr>
        <w:t xml:space="preserve"> 4</w:t>
      </w:r>
    </w:p>
    <w:p w:rsidR="005613AB" w:rsidRPr="00BE1959" w:rsidRDefault="004600F8" w:rsidP="005613AB">
      <w:pPr>
        <w:spacing w:after="0" w:line="312" w:lineRule="atLeast"/>
        <w:jc w:val="center"/>
        <w:textAlignment w:val="baseline"/>
        <w:rPr>
          <w:rFonts w:ascii="Times New Roman" w:eastAsia="Times New Roman" w:hAnsi="Times New Roman" w:cs="Times New Roman"/>
          <w:b/>
          <w:bCs/>
          <w:sz w:val="24"/>
          <w:szCs w:val="24"/>
          <w:lang w:val="uk-UA"/>
        </w:rPr>
      </w:pPr>
      <w:r w:rsidRPr="00BE1959">
        <w:rPr>
          <w:rFonts w:ascii="Times New Roman" w:eastAsia="Times New Roman" w:hAnsi="Times New Roman" w:cs="Times New Roman"/>
          <w:b/>
          <w:bCs/>
          <w:sz w:val="24"/>
          <w:szCs w:val="24"/>
          <w:bdr w:val="none" w:sz="0" w:space="0" w:color="auto" w:frame="1"/>
          <w:lang w:val="uk-UA"/>
        </w:rPr>
        <w:t>Ринки МСП, що розвиваються</w:t>
      </w:r>
    </w:p>
    <w:p w:rsidR="005613AB" w:rsidRPr="00BE1959" w:rsidRDefault="00162A11" w:rsidP="005613AB">
      <w:pPr>
        <w:spacing w:before="360" w:after="120" w:line="312" w:lineRule="atLeast"/>
        <w:jc w:val="center"/>
        <w:textAlignment w:val="baseline"/>
        <w:rPr>
          <w:rFonts w:ascii="Times New Roman" w:eastAsia="Times New Roman" w:hAnsi="Times New Roman" w:cs="Times New Roman"/>
          <w:i/>
          <w:iCs/>
          <w:sz w:val="24"/>
          <w:szCs w:val="24"/>
          <w:lang w:val="uk-UA"/>
        </w:rPr>
      </w:pPr>
      <w:r w:rsidRPr="00BE1959">
        <w:rPr>
          <w:rFonts w:ascii="Times New Roman" w:eastAsia="Times New Roman" w:hAnsi="Times New Roman" w:cs="Times New Roman"/>
          <w:i/>
          <w:iCs/>
          <w:sz w:val="24"/>
          <w:szCs w:val="24"/>
          <w:lang w:val="uk-UA"/>
        </w:rPr>
        <w:t>Стаття</w:t>
      </w:r>
      <w:r w:rsidR="005613AB" w:rsidRPr="00BE1959">
        <w:rPr>
          <w:rFonts w:ascii="Times New Roman" w:eastAsia="Times New Roman" w:hAnsi="Times New Roman" w:cs="Times New Roman"/>
          <w:i/>
          <w:iCs/>
          <w:sz w:val="24"/>
          <w:szCs w:val="24"/>
          <w:lang w:val="uk-UA"/>
        </w:rPr>
        <w:t xml:space="preserve"> 33</w:t>
      </w:r>
    </w:p>
    <w:p w:rsidR="005613AB" w:rsidRPr="00BE1959" w:rsidRDefault="004600F8" w:rsidP="005613AB">
      <w:pPr>
        <w:spacing w:before="60" w:after="120" w:line="312" w:lineRule="atLeast"/>
        <w:jc w:val="center"/>
        <w:textAlignment w:val="baseline"/>
        <w:rPr>
          <w:rFonts w:ascii="Times New Roman" w:eastAsia="Times New Roman" w:hAnsi="Times New Roman" w:cs="Times New Roman"/>
          <w:b/>
          <w:bCs/>
          <w:sz w:val="24"/>
          <w:szCs w:val="24"/>
          <w:lang w:val="uk-UA"/>
        </w:rPr>
      </w:pPr>
      <w:r w:rsidRPr="00BE1959">
        <w:rPr>
          <w:rFonts w:ascii="Times New Roman" w:eastAsia="Times New Roman" w:hAnsi="Times New Roman" w:cs="Times New Roman"/>
          <w:b/>
          <w:bCs/>
          <w:sz w:val="24"/>
          <w:szCs w:val="24"/>
          <w:bdr w:val="none" w:sz="0" w:space="0" w:color="auto" w:frame="1"/>
          <w:lang w:val="uk-UA"/>
        </w:rPr>
        <w:t>Ринки МСП, що розвиваються</w:t>
      </w:r>
    </w:p>
    <w:p w:rsidR="005613AB" w:rsidRPr="00BE1959" w:rsidRDefault="005613AB" w:rsidP="00066DB4">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1.   </w:t>
      </w:r>
      <w:r w:rsidR="001F5C90" w:rsidRPr="00BE1959">
        <w:rPr>
          <w:rFonts w:ascii="Times New Roman" w:eastAsia="Times New Roman" w:hAnsi="Times New Roman" w:cs="Times New Roman"/>
          <w:sz w:val="24"/>
          <w:szCs w:val="24"/>
          <w:lang w:val="uk-UA"/>
        </w:rPr>
        <w:t>Держави-члени</w:t>
      </w:r>
      <w:r w:rsidRPr="00BE1959">
        <w:rPr>
          <w:rFonts w:ascii="Times New Roman" w:eastAsia="Times New Roman" w:hAnsi="Times New Roman" w:cs="Times New Roman"/>
          <w:sz w:val="24"/>
          <w:szCs w:val="24"/>
          <w:lang w:val="uk-UA"/>
        </w:rPr>
        <w:t xml:space="preserve"> </w:t>
      </w:r>
      <w:r w:rsidR="00066DB4" w:rsidRPr="00BE1959">
        <w:rPr>
          <w:rFonts w:ascii="Times New Roman" w:eastAsia="Times New Roman" w:hAnsi="Times New Roman" w:cs="Times New Roman"/>
          <w:sz w:val="24"/>
          <w:szCs w:val="24"/>
          <w:lang w:val="uk-UA"/>
        </w:rPr>
        <w:t xml:space="preserve">передбачають, що оператор БТМ може подати у компетентний орган </w:t>
      </w:r>
      <w:r w:rsidR="00802764" w:rsidRPr="00BE1959">
        <w:rPr>
          <w:rFonts w:ascii="Times New Roman" w:eastAsia="Times New Roman" w:hAnsi="Times New Roman" w:cs="Times New Roman"/>
          <w:sz w:val="24"/>
          <w:szCs w:val="24"/>
          <w:lang w:val="uk-UA"/>
        </w:rPr>
        <w:t xml:space="preserve">держави-члена походження </w:t>
      </w:r>
      <w:r w:rsidR="00066DB4" w:rsidRPr="00BE1959">
        <w:rPr>
          <w:rFonts w:ascii="Times New Roman" w:eastAsia="Times New Roman" w:hAnsi="Times New Roman" w:cs="Times New Roman"/>
          <w:sz w:val="24"/>
          <w:szCs w:val="24"/>
          <w:lang w:val="uk-UA"/>
        </w:rPr>
        <w:t>заявку на реєстрацію БТМ як ринку МСП, що розвивається.</w:t>
      </w:r>
    </w:p>
    <w:p w:rsidR="005613AB" w:rsidRPr="00BE1959" w:rsidRDefault="005613AB" w:rsidP="003A73F5">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2.   </w:t>
      </w:r>
      <w:r w:rsidR="001F5C90" w:rsidRPr="00BE1959">
        <w:rPr>
          <w:rFonts w:ascii="Times New Roman" w:eastAsia="Times New Roman" w:hAnsi="Times New Roman" w:cs="Times New Roman"/>
          <w:sz w:val="24"/>
          <w:szCs w:val="24"/>
          <w:lang w:val="uk-UA"/>
        </w:rPr>
        <w:t>Держави-члени</w:t>
      </w:r>
      <w:r w:rsidRPr="00BE1959">
        <w:rPr>
          <w:rFonts w:ascii="Times New Roman" w:eastAsia="Times New Roman" w:hAnsi="Times New Roman" w:cs="Times New Roman"/>
          <w:sz w:val="24"/>
          <w:szCs w:val="24"/>
          <w:lang w:val="uk-UA"/>
        </w:rPr>
        <w:t xml:space="preserve"> </w:t>
      </w:r>
      <w:r w:rsidR="00802764" w:rsidRPr="00BE1959">
        <w:rPr>
          <w:rFonts w:ascii="Times New Roman" w:eastAsia="Times New Roman" w:hAnsi="Times New Roman" w:cs="Times New Roman"/>
          <w:sz w:val="24"/>
          <w:szCs w:val="24"/>
          <w:lang w:val="uk-UA"/>
        </w:rPr>
        <w:t xml:space="preserve">передбачають, що компетентний орган держави-члена походження може зареєструвати БТМ як ринок МСП, що розвивається, якщо даний компетентний орган отримав </w:t>
      </w:r>
      <w:r w:rsidR="003A73F5" w:rsidRPr="00BE1959">
        <w:rPr>
          <w:rFonts w:ascii="Times New Roman" w:eastAsia="Times New Roman" w:hAnsi="Times New Roman" w:cs="Times New Roman"/>
          <w:sz w:val="24"/>
          <w:szCs w:val="24"/>
          <w:lang w:val="uk-UA"/>
        </w:rPr>
        <w:t>заявку, згадану в пункті 1, і переконався в тому, що вимоги, встановлені у пункті 3, стосовно даного БТМ виконані.</w:t>
      </w:r>
    </w:p>
    <w:p w:rsidR="005613AB" w:rsidRPr="00BE1959" w:rsidRDefault="005613AB" w:rsidP="00D132ED">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lastRenderedPageBreak/>
        <w:t>3.   </w:t>
      </w:r>
      <w:r w:rsidR="001F5C90" w:rsidRPr="00BE1959">
        <w:rPr>
          <w:rFonts w:ascii="Times New Roman" w:eastAsia="Times New Roman" w:hAnsi="Times New Roman" w:cs="Times New Roman"/>
          <w:sz w:val="24"/>
          <w:szCs w:val="24"/>
          <w:lang w:val="uk-UA"/>
        </w:rPr>
        <w:t>Держави-члени</w:t>
      </w:r>
      <w:r w:rsidRPr="00BE1959">
        <w:rPr>
          <w:rFonts w:ascii="Times New Roman" w:eastAsia="Times New Roman" w:hAnsi="Times New Roman" w:cs="Times New Roman"/>
          <w:sz w:val="24"/>
          <w:szCs w:val="24"/>
          <w:lang w:val="uk-UA"/>
        </w:rPr>
        <w:t xml:space="preserve"> </w:t>
      </w:r>
      <w:r w:rsidR="003A73F5" w:rsidRPr="00BE1959">
        <w:rPr>
          <w:rFonts w:ascii="Times New Roman" w:eastAsia="Times New Roman" w:hAnsi="Times New Roman" w:cs="Times New Roman"/>
          <w:sz w:val="24"/>
          <w:szCs w:val="24"/>
          <w:lang w:val="uk-UA"/>
        </w:rPr>
        <w:t>забезпечують поширення на БТМ дії чинних правил</w:t>
      </w:r>
      <w:r w:rsidR="00D132ED" w:rsidRPr="00BE1959">
        <w:rPr>
          <w:rFonts w:ascii="Times New Roman" w:eastAsia="Times New Roman" w:hAnsi="Times New Roman" w:cs="Times New Roman"/>
          <w:sz w:val="24"/>
          <w:szCs w:val="24"/>
          <w:lang w:val="uk-UA"/>
        </w:rPr>
        <w:t>, систем і процедур, які забезпечують виконання наступних умов:</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9093"/>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D132ED" w:rsidP="00CC563F">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принаймні 50% емітентів, фінансові інструменти яких допущені до торгівлі </w:t>
            </w:r>
            <w:r w:rsidR="005435A8" w:rsidRPr="00BE1959">
              <w:rPr>
                <w:rFonts w:ascii="Times New Roman" w:eastAsia="Times New Roman" w:hAnsi="Times New Roman" w:cs="Times New Roman"/>
                <w:sz w:val="24"/>
                <w:szCs w:val="24"/>
                <w:lang w:val="uk-UA"/>
              </w:rPr>
              <w:t xml:space="preserve">на БТМ, є МСП на момент реєстрації </w:t>
            </w:r>
            <w:r w:rsidR="00CC563F" w:rsidRPr="00BE1959">
              <w:rPr>
                <w:rFonts w:ascii="Times New Roman" w:eastAsia="Times New Roman" w:hAnsi="Times New Roman" w:cs="Times New Roman"/>
                <w:sz w:val="24"/>
                <w:szCs w:val="24"/>
                <w:lang w:val="uk-UA"/>
              </w:rPr>
              <w:t>БТМ в якості ринку МСП, що розвивається, і у будь-якому календарному році після цього;</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CC563F" w:rsidP="0067038E">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встановлено відповідні критерії для </w:t>
            </w:r>
            <w:r w:rsidR="0067038E" w:rsidRPr="00BE1959">
              <w:rPr>
                <w:rFonts w:ascii="Times New Roman" w:eastAsia="Times New Roman" w:hAnsi="Times New Roman" w:cs="Times New Roman"/>
                <w:sz w:val="24"/>
                <w:szCs w:val="24"/>
                <w:lang w:val="uk-UA"/>
              </w:rPr>
              <w:t>початкового</w:t>
            </w:r>
            <w:r w:rsidRPr="00BE1959">
              <w:rPr>
                <w:rFonts w:ascii="Times New Roman" w:eastAsia="Times New Roman" w:hAnsi="Times New Roman" w:cs="Times New Roman"/>
                <w:sz w:val="24"/>
                <w:szCs w:val="24"/>
                <w:lang w:val="uk-UA"/>
              </w:rPr>
              <w:t xml:space="preserve"> і поточного допуску до торгівлі фінансових інструментів емітентів на даному ринку;</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9093"/>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CC563F" w:rsidP="0067038E">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при первинному допуску до торгівлі фінансових інструментів на даному ринку</w:t>
            </w:r>
            <w:r w:rsidR="00EA113E" w:rsidRPr="00BE1959">
              <w:rPr>
                <w:rFonts w:ascii="Times New Roman" w:eastAsia="Times New Roman" w:hAnsi="Times New Roman" w:cs="Times New Roman"/>
                <w:sz w:val="24"/>
                <w:szCs w:val="24"/>
                <w:lang w:val="uk-UA"/>
              </w:rPr>
              <w:t xml:space="preserve"> публікується достатня інформація для того, щоб інвестори могли приймати обґрунтоване рішення щодо того, інвестувати кошти у ці фінансові інструменти чи ні, - або у відповідному документі про допуск, або у проспекті, якщо вимоги, викладені у</w:t>
            </w:r>
            <w:r w:rsidR="005613AB" w:rsidRPr="00BE1959">
              <w:rPr>
                <w:rFonts w:ascii="Times New Roman" w:eastAsia="Times New Roman" w:hAnsi="Times New Roman" w:cs="Times New Roman"/>
                <w:sz w:val="24"/>
                <w:szCs w:val="24"/>
                <w:lang w:val="uk-UA"/>
              </w:rPr>
              <w:t xml:space="preserve"> </w:t>
            </w:r>
            <w:r w:rsidR="0042329D" w:rsidRPr="00BE1959">
              <w:rPr>
                <w:rFonts w:ascii="Times New Roman" w:eastAsia="Times New Roman" w:hAnsi="Times New Roman" w:cs="Times New Roman"/>
                <w:sz w:val="24"/>
                <w:szCs w:val="24"/>
                <w:lang w:val="uk-UA"/>
              </w:rPr>
              <w:t>у Директиві</w:t>
            </w:r>
            <w:r w:rsidR="005613AB" w:rsidRPr="00BE1959">
              <w:rPr>
                <w:rFonts w:ascii="Times New Roman" w:eastAsia="Times New Roman" w:hAnsi="Times New Roman" w:cs="Times New Roman"/>
                <w:sz w:val="24"/>
                <w:szCs w:val="24"/>
                <w:lang w:val="uk-UA"/>
              </w:rPr>
              <w:t xml:space="preserve"> 2003/71/EC</w:t>
            </w:r>
            <w:r w:rsidR="00EA113E" w:rsidRPr="00BE1959">
              <w:rPr>
                <w:rFonts w:ascii="Times New Roman" w:eastAsia="Times New Roman" w:hAnsi="Times New Roman" w:cs="Times New Roman"/>
                <w:sz w:val="24"/>
                <w:szCs w:val="24"/>
                <w:lang w:val="uk-UA"/>
              </w:rPr>
              <w:t xml:space="preserve">, поширюються на оголошення публічної передплати, зроблене у зв'язку з </w:t>
            </w:r>
            <w:r w:rsidR="0067038E" w:rsidRPr="00BE1959">
              <w:rPr>
                <w:rFonts w:ascii="Times New Roman" w:eastAsia="Times New Roman" w:hAnsi="Times New Roman" w:cs="Times New Roman"/>
                <w:sz w:val="24"/>
                <w:szCs w:val="24"/>
                <w:lang w:val="uk-UA"/>
              </w:rPr>
              <w:t>початков</w:t>
            </w:r>
            <w:r w:rsidR="00EA113E" w:rsidRPr="00BE1959">
              <w:rPr>
                <w:rFonts w:ascii="Times New Roman" w:eastAsia="Times New Roman" w:hAnsi="Times New Roman" w:cs="Times New Roman"/>
                <w:sz w:val="24"/>
                <w:szCs w:val="24"/>
                <w:lang w:val="uk-UA"/>
              </w:rPr>
              <w:t>им допуском</w:t>
            </w:r>
            <w:r w:rsidR="0067038E" w:rsidRPr="00BE1959">
              <w:rPr>
                <w:rFonts w:ascii="Times New Roman" w:eastAsia="Times New Roman" w:hAnsi="Times New Roman" w:cs="Times New Roman"/>
                <w:sz w:val="24"/>
                <w:szCs w:val="24"/>
                <w:lang w:val="uk-UA"/>
              </w:rPr>
              <w:t xml:space="preserve"> даного фінансового інструмента до торгівлі на БТМ;</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817D94" w:rsidP="00817D94">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емітентом на ринку або від його імені подається належна поточна періодична фінансова звітність, наприклад, перевірені річні звіти;</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9093"/>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(e)</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942996" w:rsidP="006A6E31">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емітенти на даному ринку, визначені у пп. (21)</w:t>
            </w:r>
            <w:r w:rsidR="005613AB" w:rsidRPr="00BE1959">
              <w:rPr>
                <w:rFonts w:ascii="Times New Roman" w:eastAsia="Times New Roman" w:hAnsi="Times New Roman" w:cs="Times New Roman"/>
                <w:sz w:val="24"/>
                <w:szCs w:val="24"/>
                <w:lang w:val="uk-UA"/>
              </w:rPr>
              <w:t xml:space="preserve"> </w:t>
            </w:r>
            <w:r w:rsidR="0065313E" w:rsidRPr="00BE1959">
              <w:rPr>
                <w:rFonts w:ascii="Times New Roman" w:eastAsia="Times New Roman" w:hAnsi="Times New Roman" w:cs="Times New Roman"/>
                <w:sz w:val="24"/>
                <w:szCs w:val="24"/>
                <w:lang w:val="uk-UA"/>
              </w:rPr>
              <w:t>статті</w:t>
            </w:r>
            <w:r w:rsidR="005613AB" w:rsidRPr="00BE1959">
              <w:rPr>
                <w:rFonts w:ascii="Times New Roman" w:eastAsia="Times New Roman" w:hAnsi="Times New Roman" w:cs="Times New Roman"/>
                <w:sz w:val="24"/>
                <w:szCs w:val="24"/>
                <w:lang w:val="uk-UA"/>
              </w:rPr>
              <w:t xml:space="preserve"> 3(1) </w:t>
            </w:r>
            <w:r w:rsidR="008824AE" w:rsidRPr="00BE1959">
              <w:rPr>
                <w:rFonts w:ascii="Times New Roman" w:eastAsia="Times New Roman" w:hAnsi="Times New Roman" w:cs="Times New Roman"/>
                <w:sz w:val="24"/>
                <w:szCs w:val="24"/>
                <w:lang w:val="uk-UA"/>
              </w:rPr>
              <w:t>Регламенту</w:t>
            </w:r>
            <w:r w:rsidR="005613AB" w:rsidRPr="00BE1959">
              <w:rPr>
                <w:rFonts w:ascii="Times New Roman" w:eastAsia="Times New Roman" w:hAnsi="Times New Roman" w:cs="Times New Roman"/>
                <w:sz w:val="24"/>
                <w:szCs w:val="24"/>
                <w:lang w:val="uk-UA"/>
              </w:rPr>
              <w:t xml:space="preserve"> </w:t>
            </w:r>
            <w:r w:rsidR="00DB4825" w:rsidRPr="00BE1959">
              <w:rPr>
                <w:rFonts w:ascii="Times New Roman" w:eastAsia="Times New Roman" w:hAnsi="Times New Roman" w:cs="Times New Roman"/>
                <w:sz w:val="24"/>
                <w:szCs w:val="24"/>
                <w:lang w:val="uk-UA"/>
              </w:rPr>
              <w:t>(EU) №</w:t>
            </w:r>
            <w:r w:rsidR="005613AB" w:rsidRPr="00BE1959">
              <w:rPr>
                <w:rFonts w:ascii="Times New Roman" w:eastAsia="Times New Roman" w:hAnsi="Times New Roman" w:cs="Times New Roman"/>
                <w:sz w:val="24"/>
                <w:szCs w:val="24"/>
                <w:lang w:val="uk-UA"/>
              </w:rPr>
              <w:t xml:space="preserve"> 596/2014, </w:t>
            </w:r>
            <w:r w:rsidRPr="00BE1959">
              <w:rPr>
                <w:rFonts w:ascii="Times New Roman" w:eastAsia="Times New Roman" w:hAnsi="Times New Roman" w:cs="Times New Roman"/>
                <w:sz w:val="24"/>
                <w:szCs w:val="24"/>
                <w:lang w:val="uk-UA"/>
              </w:rPr>
              <w:t>особи, які виконують управлінські обов’язки, визначені у пп. (25)</w:t>
            </w:r>
            <w:r w:rsidR="005613AB" w:rsidRPr="00BE1959">
              <w:rPr>
                <w:rFonts w:ascii="Times New Roman" w:eastAsia="Times New Roman" w:hAnsi="Times New Roman" w:cs="Times New Roman"/>
                <w:sz w:val="24"/>
                <w:szCs w:val="24"/>
                <w:lang w:val="uk-UA"/>
              </w:rPr>
              <w:t xml:space="preserve"> </w:t>
            </w:r>
            <w:r w:rsidR="0065313E" w:rsidRPr="00BE1959">
              <w:rPr>
                <w:rFonts w:ascii="Times New Roman" w:eastAsia="Times New Roman" w:hAnsi="Times New Roman" w:cs="Times New Roman"/>
                <w:sz w:val="24"/>
                <w:szCs w:val="24"/>
                <w:lang w:val="uk-UA"/>
              </w:rPr>
              <w:t>статті</w:t>
            </w:r>
            <w:r w:rsidR="005613AB" w:rsidRPr="00BE1959">
              <w:rPr>
                <w:rFonts w:ascii="Times New Roman" w:eastAsia="Times New Roman" w:hAnsi="Times New Roman" w:cs="Times New Roman"/>
                <w:sz w:val="24"/>
                <w:szCs w:val="24"/>
                <w:lang w:val="uk-UA"/>
              </w:rPr>
              <w:t xml:space="preserve"> 3(1) </w:t>
            </w:r>
            <w:r w:rsidR="008824AE" w:rsidRPr="00BE1959">
              <w:rPr>
                <w:rFonts w:ascii="Times New Roman" w:eastAsia="Times New Roman" w:hAnsi="Times New Roman" w:cs="Times New Roman"/>
                <w:sz w:val="24"/>
                <w:szCs w:val="24"/>
                <w:lang w:val="uk-UA"/>
              </w:rPr>
              <w:t>Регламенту</w:t>
            </w:r>
            <w:r w:rsidR="005613AB" w:rsidRPr="00BE1959">
              <w:rPr>
                <w:rFonts w:ascii="Times New Roman" w:eastAsia="Times New Roman" w:hAnsi="Times New Roman" w:cs="Times New Roman"/>
                <w:sz w:val="24"/>
                <w:szCs w:val="24"/>
                <w:lang w:val="uk-UA"/>
              </w:rPr>
              <w:t xml:space="preserve"> </w:t>
            </w:r>
            <w:r w:rsidR="00DB4825" w:rsidRPr="00BE1959">
              <w:rPr>
                <w:rFonts w:ascii="Times New Roman" w:eastAsia="Times New Roman" w:hAnsi="Times New Roman" w:cs="Times New Roman"/>
                <w:sz w:val="24"/>
                <w:szCs w:val="24"/>
                <w:lang w:val="uk-UA"/>
              </w:rPr>
              <w:t>(EU) №</w:t>
            </w:r>
            <w:r w:rsidR="005613AB" w:rsidRPr="00BE1959">
              <w:rPr>
                <w:rFonts w:ascii="Times New Roman" w:eastAsia="Times New Roman" w:hAnsi="Times New Roman" w:cs="Times New Roman"/>
                <w:sz w:val="24"/>
                <w:szCs w:val="24"/>
                <w:lang w:val="uk-UA"/>
              </w:rPr>
              <w:t xml:space="preserve"> 596/2014</w:t>
            </w:r>
            <w:r w:rsidRPr="00BE1959">
              <w:rPr>
                <w:rFonts w:ascii="Times New Roman" w:eastAsia="Times New Roman" w:hAnsi="Times New Roman" w:cs="Times New Roman"/>
                <w:sz w:val="24"/>
                <w:szCs w:val="24"/>
                <w:lang w:val="uk-UA"/>
              </w:rPr>
              <w:t>, і особи, тісно зв'язані з ними, зазначені у пп. (26)</w:t>
            </w:r>
            <w:r w:rsidR="005613AB" w:rsidRPr="00BE1959">
              <w:rPr>
                <w:rFonts w:ascii="Times New Roman" w:eastAsia="Times New Roman" w:hAnsi="Times New Roman" w:cs="Times New Roman"/>
                <w:sz w:val="24"/>
                <w:szCs w:val="24"/>
                <w:lang w:val="uk-UA"/>
              </w:rPr>
              <w:t xml:space="preserve"> </w:t>
            </w:r>
            <w:r w:rsidR="0065313E" w:rsidRPr="00BE1959">
              <w:rPr>
                <w:rFonts w:ascii="Times New Roman" w:eastAsia="Times New Roman" w:hAnsi="Times New Roman" w:cs="Times New Roman"/>
                <w:sz w:val="24"/>
                <w:szCs w:val="24"/>
                <w:lang w:val="uk-UA"/>
              </w:rPr>
              <w:t>статті</w:t>
            </w:r>
            <w:r w:rsidR="005613AB" w:rsidRPr="00BE1959">
              <w:rPr>
                <w:rFonts w:ascii="Times New Roman" w:eastAsia="Times New Roman" w:hAnsi="Times New Roman" w:cs="Times New Roman"/>
                <w:sz w:val="24"/>
                <w:szCs w:val="24"/>
                <w:lang w:val="uk-UA"/>
              </w:rPr>
              <w:t xml:space="preserve"> 3(1) </w:t>
            </w:r>
            <w:r w:rsidR="008824AE" w:rsidRPr="00BE1959">
              <w:rPr>
                <w:rFonts w:ascii="Times New Roman" w:eastAsia="Times New Roman" w:hAnsi="Times New Roman" w:cs="Times New Roman"/>
                <w:sz w:val="24"/>
                <w:szCs w:val="24"/>
                <w:lang w:val="uk-UA"/>
              </w:rPr>
              <w:t>Регламенту</w:t>
            </w:r>
            <w:r w:rsidR="005613AB" w:rsidRPr="00BE1959">
              <w:rPr>
                <w:rFonts w:ascii="Times New Roman" w:eastAsia="Times New Roman" w:hAnsi="Times New Roman" w:cs="Times New Roman"/>
                <w:sz w:val="24"/>
                <w:szCs w:val="24"/>
                <w:lang w:val="uk-UA"/>
              </w:rPr>
              <w:t xml:space="preserve"> </w:t>
            </w:r>
            <w:r w:rsidR="00DB4825" w:rsidRPr="00BE1959">
              <w:rPr>
                <w:rFonts w:ascii="Times New Roman" w:eastAsia="Times New Roman" w:hAnsi="Times New Roman" w:cs="Times New Roman"/>
                <w:sz w:val="24"/>
                <w:szCs w:val="24"/>
                <w:lang w:val="uk-UA"/>
              </w:rPr>
              <w:t>(EU) №</w:t>
            </w:r>
            <w:r w:rsidR="005613AB" w:rsidRPr="00BE1959">
              <w:rPr>
                <w:rFonts w:ascii="Times New Roman" w:eastAsia="Times New Roman" w:hAnsi="Times New Roman" w:cs="Times New Roman"/>
                <w:sz w:val="24"/>
                <w:szCs w:val="24"/>
                <w:lang w:val="uk-UA"/>
              </w:rPr>
              <w:t xml:space="preserve"> 596/2014</w:t>
            </w:r>
            <w:r w:rsidRPr="00BE1959">
              <w:rPr>
                <w:rFonts w:ascii="Times New Roman" w:eastAsia="Times New Roman" w:hAnsi="Times New Roman" w:cs="Times New Roman"/>
                <w:sz w:val="24"/>
                <w:szCs w:val="24"/>
                <w:lang w:val="uk-UA"/>
              </w:rPr>
              <w:t xml:space="preserve">, дотримуються </w:t>
            </w:r>
            <w:r w:rsidR="006A6E31" w:rsidRPr="00BE1959">
              <w:rPr>
                <w:rFonts w:ascii="Times New Roman" w:eastAsia="Times New Roman" w:hAnsi="Times New Roman" w:cs="Times New Roman"/>
                <w:sz w:val="24"/>
                <w:szCs w:val="24"/>
                <w:lang w:val="uk-UA"/>
              </w:rPr>
              <w:t>відповідних вимог, що поширюються на них згідно з Регламентом</w:t>
            </w:r>
            <w:r w:rsidR="005613AB" w:rsidRPr="00BE1959">
              <w:rPr>
                <w:rFonts w:ascii="Times New Roman" w:eastAsia="Times New Roman" w:hAnsi="Times New Roman" w:cs="Times New Roman"/>
                <w:sz w:val="24"/>
                <w:szCs w:val="24"/>
                <w:lang w:val="uk-UA"/>
              </w:rPr>
              <w:t xml:space="preserve"> </w:t>
            </w:r>
            <w:r w:rsidR="00DB4825" w:rsidRPr="00BE1959">
              <w:rPr>
                <w:rFonts w:ascii="Times New Roman" w:eastAsia="Times New Roman" w:hAnsi="Times New Roman" w:cs="Times New Roman"/>
                <w:sz w:val="24"/>
                <w:szCs w:val="24"/>
                <w:lang w:val="uk-UA"/>
              </w:rPr>
              <w:t>(EU) №</w:t>
            </w:r>
            <w:r w:rsidR="005613AB" w:rsidRPr="00BE1959">
              <w:rPr>
                <w:rFonts w:ascii="Times New Roman" w:eastAsia="Times New Roman" w:hAnsi="Times New Roman" w:cs="Times New Roman"/>
                <w:sz w:val="24"/>
                <w:szCs w:val="24"/>
                <w:lang w:val="uk-UA"/>
              </w:rPr>
              <w:t xml:space="preserve"> 596/2014;</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912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(f)</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6A6E31" w:rsidP="006A6E31">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нормативна інформація стосовно емітентів на даному ринку зберігається та оприлюднюється;</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DE3173"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(g)</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6A6E31" w:rsidP="006A6E31">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існують ефективні системи та засоби контролю, спрямовані на запобігання і виявлення зловживань на даному ринку, згідно з вимогами Регламенту</w:t>
            </w:r>
            <w:r w:rsidR="005613AB" w:rsidRPr="00BE1959">
              <w:rPr>
                <w:rFonts w:ascii="Times New Roman" w:eastAsia="Times New Roman" w:hAnsi="Times New Roman" w:cs="Times New Roman"/>
                <w:sz w:val="24"/>
                <w:szCs w:val="24"/>
                <w:lang w:val="uk-UA"/>
              </w:rPr>
              <w:t xml:space="preserve"> </w:t>
            </w:r>
            <w:r w:rsidR="00DB4825" w:rsidRPr="00BE1959">
              <w:rPr>
                <w:rFonts w:ascii="Times New Roman" w:eastAsia="Times New Roman" w:hAnsi="Times New Roman" w:cs="Times New Roman"/>
                <w:sz w:val="24"/>
                <w:szCs w:val="24"/>
                <w:lang w:val="uk-UA"/>
              </w:rPr>
              <w:t>(EU) №</w:t>
            </w:r>
            <w:r w:rsidR="005613AB" w:rsidRPr="00BE1959">
              <w:rPr>
                <w:rFonts w:ascii="Times New Roman" w:eastAsia="Times New Roman" w:hAnsi="Times New Roman" w:cs="Times New Roman"/>
                <w:sz w:val="24"/>
                <w:szCs w:val="24"/>
                <w:lang w:val="uk-UA"/>
              </w:rPr>
              <w:t xml:space="preserve"> 596/2014.</w:t>
            </w:r>
          </w:p>
        </w:tc>
      </w:tr>
    </w:tbl>
    <w:p w:rsidR="005613AB" w:rsidRPr="00BE1959" w:rsidRDefault="005613AB" w:rsidP="00F20981">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4.   </w:t>
      </w:r>
      <w:r w:rsidR="00D93DE1" w:rsidRPr="00BE1959">
        <w:rPr>
          <w:rFonts w:ascii="Times New Roman" w:eastAsia="Times New Roman" w:hAnsi="Times New Roman" w:cs="Times New Roman"/>
          <w:sz w:val="24"/>
          <w:szCs w:val="24"/>
          <w:lang w:val="uk-UA"/>
        </w:rPr>
        <w:t xml:space="preserve">Критерії, викладені у пункті 3, не заважають виконанню інвестиційною фірмою чи оператором ринку, що управляє БТМ, інших обов’язків за цією директивою стосовно діяльності БТМ. Вони також не заважають </w:t>
      </w:r>
      <w:r w:rsidR="00F20981" w:rsidRPr="00BE1959">
        <w:rPr>
          <w:rFonts w:ascii="Times New Roman" w:eastAsia="Times New Roman" w:hAnsi="Times New Roman" w:cs="Times New Roman"/>
          <w:sz w:val="24"/>
          <w:szCs w:val="24"/>
          <w:lang w:val="uk-UA"/>
        </w:rPr>
        <w:t>інвестиційній фірмі або оператору ринку, що управляє БТМ, встановлювати інші вимоги на додаток до вимог, викладених у пункті 3.</w:t>
      </w:r>
    </w:p>
    <w:p w:rsidR="005613AB" w:rsidRPr="00BE1959" w:rsidRDefault="005613AB" w:rsidP="00F20981">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5.   </w:t>
      </w:r>
      <w:r w:rsidR="001F5C90" w:rsidRPr="00BE1959">
        <w:rPr>
          <w:rFonts w:ascii="Times New Roman" w:eastAsia="Times New Roman" w:hAnsi="Times New Roman" w:cs="Times New Roman"/>
          <w:sz w:val="24"/>
          <w:szCs w:val="24"/>
          <w:lang w:val="uk-UA"/>
        </w:rPr>
        <w:t>Держави-члени</w:t>
      </w:r>
      <w:r w:rsidRPr="00BE1959">
        <w:rPr>
          <w:rFonts w:ascii="Times New Roman" w:eastAsia="Times New Roman" w:hAnsi="Times New Roman" w:cs="Times New Roman"/>
          <w:sz w:val="24"/>
          <w:szCs w:val="24"/>
          <w:lang w:val="uk-UA"/>
        </w:rPr>
        <w:t xml:space="preserve"> </w:t>
      </w:r>
      <w:r w:rsidR="00F20981" w:rsidRPr="00BE1959">
        <w:rPr>
          <w:rFonts w:ascii="Times New Roman" w:eastAsia="Times New Roman" w:hAnsi="Times New Roman" w:cs="Times New Roman"/>
          <w:sz w:val="24"/>
          <w:szCs w:val="24"/>
          <w:lang w:val="uk-UA"/>
        </w:rPr>
        <w:t>передбачають, що компетентний орган держави-члена походження може скасувати реєстрацію БТМ як ринку МСП, що розвивається, у будь-якому з наступних випадків:</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9093"/>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F20981" w:rsidP="00F20981">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інвестиційна фірма або оператор ринку, що управляє даним ринком, подає заяву на скасування реєстрації;</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31"/>
        <w:gridCol w:w="9034"/>
      </w:tblGrid>
      <w:tr w:rsidR="00DE3173"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972C26" w:rsidP="00972C26">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вимоги, викладені у пункті 3, більше не дотримуються стосовно даного БТМ.</w:t>
            </w:r>
          </w:p>
        </w:tc>
      </w:tr>
    </w:tbl>
    <w:p w:rsidR="005613AB" w:rsidRPr="00BE1959" w:rsidRDefault="005613AB" w:rsidP="00B95A38">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lastRenderedPageBreak/>
        <w:t>6.   </w:t>
      </w:r>
      <w:r w:rsidR="00972C26" w:rsidRPr="00BE1959">
        <w:rPr>
          <w:rFonts w:ascii="Times New Roman" w:eastAsia="Times New Roman" w:hAnsi="Times New Roman" w:cs="Times New Roman"/>
          <w:sz w:val="24"/>
          <w:szCs w:val="24"/>
          <w:lang w:val="uk-UA"/>
        </w:rPr>
        <w:t>Держави-члени вимагають, що</w:t>
      </w:r>
      <w:r w:rsidR="00B95A38" w:rsidRPr="00BE1959">
        <w:rPr>
          <w:rFonts w:ascii="Times New Roman" w:eastAsia="Times New Roman" w:hAnsi="Times New Roman" w:cs="Times New Roman"/>
          <w:sz w:val="24"/>
          <w:szCs w:val="24"/>
          <w:lang w:val="uk-UA"/>
        </w:rPr>
        <w:t>б</w:t>
      </w:r>
      <w:r w:rsidR="00972C26" w:rsidRPr="00BE1959">
        <w:rPr>
          <w:rFonts w:ascii="Times New Roman" w:eastAsia="Times New Roman" w:hAnsi="Times New Roman" w:cs="Times New Roman"/>
          <w:sz w:val="24"/>
          <w:szCs w:val="24"/>
          <w:lang w:val="uk-UA"/>
        </w:rPr>
        <w:t xml:space="preserve"> у випадку, якщо компетентний орган держави-член</w:t>
      </w:r>
      <w:r w:rsidR="00960ED7" w:rsidRPr="00BE1959">
        <w:rPr>
          <w:rFonts w:ascii="Times New Roman" w:eastAsia="Times New Roman" w:hAnsi="Times New Roman" w:cs="Times New Roman"/>
          <w:sz w:val="24"/>
          <w:szCs w:val="24"/>
          <w:lang w:val="uk-UA"/>
        </w:rPr>
        <w:t>а походження зареєстрував або скасував реєстрацію БТМ як ринку МСП, що розвивається, згідно з цією статтею, цей компетентний орган у якомога стислі строки повідомляє ESMA про цю р</w:t>
      </w:r>
      <w:r w:rsidR="00B95A38" w:rsidRPr="00BE1959">
        <w:rPr>
          <w:rFonts w:ascii="Times New Roman" w:eastAsia="Times New Roman" w:hAnsi="Times New Roman" w:cs="Times New Roman"/>
          <w:sz w:val="24"/>
          <w:szCs w:val="24"/>
          <w:lang w:val="uk-UA"/>
        </w:rPr>
        <w:t>еєстрацію чи скасування реєстрації. ESMA публікує на своєму веб-сайті перелік ринків МСП, що розвиваються, і забезпечує його актуалізацію.</w:t>
      </w:r>
    </w:p>
    <w:p w:rsidR="005613AB" w:rsidRPr="00BE1959" w:rsidRDefault="005613AB" w:rsidP="00FA7DC1">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7.   </w:t>
      </w:r>
      <w:r w:rsidR="00511D52" w:rsidRPr="00BE1959">
        <w:rPr>
          <w:rFonts w:ascii="Times New Roman" w:eastAsia="Times New Roman" w:hAnsi="Times New Roman" w:cs="Times New Roman"/>
          <w:sz w:val="24"/>
          <w:szCs w:val="24"/>
          <w:lang w:val="uk-UA"/>
        </w:rPr>
        <w:t>Держави-члени вимагають, щоб</w:t>
      </w:r>
      <w:r w:rsidRPr="00BE1959">
        <w:rPr>
          <w:rFonts w:ascii="Times New Roman" w:eastAsia="Times New Roman" w:hAnsi="Times New Roman" w:cs="Times New Roman"/>
          <w:sz w:val="24"/>
          <w:szCs w:val="24"/>
          <w:lang w:val="uk-UA"/>
        </w:rPr>
        <w:t xml:space="preserve"> </w:t>
      </w:r>
      <w:r w:rsidR="00B95A38" w:rsidRPr="00BE1959">
        <w:rPr>
          <w:rFonts w:ascii="Times New Roman" w:eastAsia="Times New Roman" w:hAnsi="Times New Roman" w:cs="Times New Roman"/>
          <w:sz w:val="24"/>
          <w:szCs w:val="24"/>
          <w:lang w:val="uk-UA"/>
        </w:rPr>
        <w:t>у випадку, якщо фінансовий інструмент емітента допущений до торгівлі на одному ринку МСП, що розвивається, торгівлю цим фінансовим інструментом на іншому ринку МСП, що розвивається, можна було здійснювати</w:t>
      </w:r>
      <w:r w:rsidR="00A17AAA" w:rsidRPr="00BE1959">
        <w:rPr>
          <w:rFonts w:ascii="Times New Roman" w:eastAsia="Times New Roman" w:hAnsi="Times New Roman" w:cs="Times New Roman"/>
          <w:sz w:val="24"/>
          <w:szCs w:val="24"/>
          <w:lang w:val="uk-UA"/>
        </w:rPr>
        <w:t xml:space="preserve"> тільки за умови, що вищезгаданий емітент поінформований і не заперечує проти цього. У такому випадку, однак, </w:t>
      </w:r>
      <w:r w:rsidR="003B05C2" w:rsidRPr="00BE1959">
        <w:rPr>
          <w:rFonts w:ascii="Times New Roman" w:eastAsia="Times New Roman" w:hAnsi="Times New Roman" w:cs="Times New Roman"/>
          <w:sz w:val="24"/>
          <w:szCs w:val="24"/>
          <w:lang w:val="uk-UA"/>
        </w:rPr>
        <w:t xml:space="preserve">на даного емітента не поширюються жодні зобов’язання стосовно корпоративного управління або початкового, поточного чи спеціального розкриття стосовно </w:t>
      </w:r>
      <w:r w:rsidR="00FA7DC1" w:rsidRPr="00BE1959">
        <w:rPr>
          <w:rFonts w:ascii="Times New Roman" w:eastAsia="Times New Roman" w:hAnsi="Times New Roman" w:cs="Times New Roman"/>
          <w:sz w:val="24"/>
          <w:szCs w:val="24"/>
          <w:lang w:val="uk-UA"/>
        </w:rPr>
        <w:t>вищезгаданого іншого</w:t>
      </w:r>
      <w:r w:rsidR="003B05C2" w:rsidRPr="00BE1959">
        <w:rPr>
          <w:rFonts w:ascii="Times New Roman" w:eastAsia="Times New Roman" w:hAnsi="Times New Roman" w:cs="Times New Roman"/>
          <w:sz w:val="24"/>
          <w:szCs w:val="24"/>
          <w:lang w:val="uk-UA"/>
        </w:rPr>
        <w:t xml:space="preserve"> ринку</w:t>
      </w:r>
      <w:r w:rsidR="00FA7DC1" w:rsidRPr="00BE1959">
        <w:rPr>
          <w:rFonts w:ascii="Times New Roman" w:eastAsia="Times New Roman" w:hAnsi="Times New Roman" w:cs="Times New Roman"/>
          <w:sz w:val="24"/>
          <w:szCs w:val="24"/>
          <w:lang w:val="uk-UA"/>
        </w:rPr>
        <w:t xml:space="preserve"> МСП, що розвивається.</w:t>
      </w:r>
    </w:p>
    <w:p w:rsidR="005613AB" w:rsidRPr="00BE1959" w:rsidRDefault="005613AB" w:rsidP="001E6EB0">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8.   </w:t>
      </w:r>
      <w:r w:rsidR="00BE5D72" w:rsidRPr="00BE1959">
        <w:rPr>
          <w:rFonts w:ascii="Times New Roman" w:eastAsia="Times New Roman" w:hAnsi="Times New Roman" w:cs="Times New Roman"/>
          <w:sz w:val="24"/>
          <w:szCs w:val="24"/>
          <w:lang w:val="uk-UA"/>
        </w:rPr>
        <w:t>Комісії надається повноваження на прийняття делегованих актів відповідно до статті 89, де уточнюватимуться вимоги, викладені у пункті 3 цієї статті. Ці заходи враховують</w:t>
      </w:r>
      <w:r w:rsidR="003D509C" w:rsidRPr="00BE1959">
        <w:rPr>
          <w:rFonts w:ascii="Times New Roman" w:eastAsia="Times New Roman" w:hAnsi="Times New Roman" w:cs="Times New Roman"/>
          <w:sz w:val="24"/>
          <w:szCs w:val="24"/>
          <w:lang w:val="uk-UA"/>
        </w:rPr>
        <w:t xml:space="preserve"> необхідність вимог щодо підтримання високих рівнів захисту інвесторів для зміцнення довіри інвесторів до цих ринків з одночасним зведенням до мінімуму адміністративного навантаження на емітентів на даному ринку</w:t>
      </w:r>
      <w:r w:rsidR="00CD67DD" w:rsidRPr="00BE1959">
        <w:rPr>
          <w:rFonts w:ascii="Times New Roman" w:eastAsia="Times New Roman" w:hAnsi="Times New Roman" w:cs="Times New Roman"/>
          <w:sz w:val="24"/>
          <w:szCs w:val="24"/>
          <w:lang w:val="uk-UA"/>
        </w:rPr>
        <w:t xml:space="preserve"> і щодо того, що скасування реєстрації не повинно здійснюватися, а у реєстрації не повинно бути відмовлено</w:t>
      </w:r>
      <w:r w:rsidR="001E6EB0" w:rsidRPr="00BE1959">
        <w:rPr>
          <w:rFonts w:ascii="Times New Roman" w:eastAsia="Times New Roman" w:hAnsi="Times New Roman" w:cs="Times New Roman"/>
          <w:sz w:val="24"/>
          <w:szCs w:val="24"/>
          <w:lang w:val="uk-UA"/>
        </w:rPr>
        <w:t>, у результаті лише тимчасового невиконання умов, викладених у пп. (а) пункту 3 цієї статті.</w:t>
      </w:r>
    </w:p>
    <w:p w:rsidR="004600F8" w:rsidRPr="00BE1959" w:rsidRDefault="004600F8" w:rsidP="005613AB">
      <w:pPr>
        <w:spacing w:after="0" w:line="312" w:lineRule="atLeast"/>
        <w:jc w:val="center"/>
        <w:textAlignment w:val="baseline"/>
        <w:rPr>
          <w:rFonts w:ascii="Times New Roman" w:eastAsia="Times New Roman" w:hAnsi="Times New Roman" w:cs="Times New Roman"/>
          <w:b/>
          <w:bCs/>
          <w:i/>
          <w:iCs/>
          <w:sz w:val="24"/>
          <w:szCs w:val="24"/>
          <w:bdr w:val="none" w:sz="0" w:space="0" w:color="auto" w:frame="1"/>
          <w:lang w:val="uk-UA"/>
        </w:rPr>
      </w:pPr>
    </w:p>
    <w:p w:rsidR="005613AB" w:rsidRPr="00BE1959" w:rsidRDefault="004600F8" w:rsidP="005613AB">
      <w:pPr>
        <w:spacing w:after="0" w:line="312" w:lineRule="atLeast"/>
        <w:jc w:val="center"/>
        <w:textAlignment w:val="baseline"/>
        <w:rPr>
          <w:rFonts w:ascii="Times New Roman" w:eastAsia="Times New Roman" w:hAnsi="Times New Roman" w:cs="Times New Roman"/>
          <w:b/>
          <w:bCs/>
          <w:sz w:val="24"/>
          <w:szCs w:val="24"/>
          <w:lang w:val="uk-UA"/>
        </w:rPr>
      </w:pPr>
      <w:r w:rsidRPr="00BE1959">
        <w:rPr>
          <w:rFonts w:ascii="Times New Roman" w:eastAsia="Times New Roman" w:hAnsi="Times New Roman" w:cs="Times New Roman"/>
          <w:b/>
          <w:bCs/>
          <w:i/>
          <w:iCs/>
          <w:sz w:val="24"/>
          <w:szCs w:val="24"/>
          <w:bdr w:val="none" w:sz="0" w:space="0" w:color="auto" w:frame="1"/>
          <w:lang w:val="uk-UA"/>
        </w:rPr>
        <w:t>ГЛАВА</w:t>
      </w:r>
      <w:r w:rsidR="005613AB" w:rsidRPr="00BE1959">
        <w:rPr>
          <w:rFonts w:ascii="Times New Roman" w:eastAsia="Times New Roman" w:hAnsi="Times New Roman" w:cs="Times New Roman"/>
          <w:b/>
          <w:bCs/>
          <w:i/>
          <w:iCs/>
          <w:sz w:val="24"/>
          <w:szCs w:val="24"/>
          <w:bdr w:val="none" w:sz="0" w:space="0" w:color="auto" w:frame="1"/>
          <w:lang w:val="uk-UA"/>
        </w:rPr>
        <w:t xml:space="preserve"> III</w:t>
      </w:r>
    </w:p>
    <w:p w:rsidR="005613AB" w:rsidRPr="00BE1959" w:rsidRDefault="004600F8" w:rsidP="005613AB">
      <w:pPr>
        <w:spacing w:after="0" w:line="312" w:lineRule="atLeast"/>
        <w:jc w:val="center"/>
        <w:textAlignment w:val="baseline"/>
        <w:rPr>
          <w:rFonts w:ascii="Times New Roman" w:eastAsia="Times New Roman" w:hAnsi="Times New Roman" w:cs="Times New Roman"/>
          <w:b/>
          <w:bCs/>
          <w:sz w:val="24"/>
          <w:szCs w:val="24"/>
          <w:lang w:val="uk-UA"/>
        </w:rPr>
      </w:pPr>
      <w:r w:rsidRPr="00BE1959">
        <w:rPr>
          <w:rFonts w:ascii="Times New Roman" w:eastAsia="Times New Roman" w:hAnsi="Times New Roman" w:cs="Times New Roman"/>
          <w:b/>
          <w:bCs/>
          <w:i/>
          <w:iCs/>
          <w:sz w:val="24"/>
          <w:szCs w:val="24"/>
          <w:bdr w:val="none" w:sz="0" w:space="0" w:color="auto" w:frame="1"/>
          <w:lang w:val="uk-UA"/>
        </w:rPr>
        <w:t>Права інвестиційних фірм</w:t>
      </w:r>
    </w:p>
    <w:p w:rsidR="005613AB" w:rsidRPr="00BE1959" w:rsidRDefault="00162A11" w:rsidP="005613AB">
      <w:pPr>
        <w:spacing w:before="360" w:after="120" w:line="312" w:lineRule="atLeast"/>
        <w:jc w:val="center"/>
        <w:textAlignment w:val="baseline"/>
        <w:rPr>
          <w:rFonts w:ascii="Times New Roman" w:eastAsia="Times New Roman" w:hAnsi="Times New Roman" w:cs="Times New Roman"/>
          <w:i/>
          <w:iCs/>
          <w:sz w:val="24"/>
          <w:szCs w:val="24"/>
          <w:lang w:val="uk-UA"/>
        </w:rPr>
      </w:pPr>
      <w:r w:rsidRPr="00BE1959">
        <w:rPr>
          <w:rFonts w:ascii="Times New Roman" w:eastAsia="Times New Roman" w:hAnsi="Times New Roman" w:cs="Times New Roman"/>
          <w:i/>
          <w:iCs/>
          <w:sz w:val="24"/>
          <w:szCs w:val="24"/>
          <w:lang w:val="uk-UA"/>
        </w:rPr>
        <w:t>Стаття</w:t>
      </w:r>
      <w:r w:rsidR="005613AB" w:rsidRPr="00BE1959">
        <w:rPr>
          <w:rFonts w:ascii="Times New Roman" w:eastAsia="Times New Roman" w:hAnsi="Times New Roman" w:cs="Times New Roman"/>
          <w:i/>
          <w:iCs/>
          <w:sz w:val="24"/>
          <w:szCs w:val="24"/>
          <w:lang w:val="uk-UA"/>
        </w:rPr>
        <w:t xml:space="preserve"> 34</w:t>
      </w:r>
    </w:p>
    <w:p w:rsidR="005613AB" w:rsidRPr="00BE1959" w:rsidRDefault="004F0FF9" w:rsidP="005613AB">
      <w:pPr>
        <w:spacing w:before="60" w:after="120" w:line="312" w:lineRule="atLeast"/>
        <w:jc w:val="center"/>
        <w:textAlignment w:val="baseline"/>
        <w:rPr>
          <w:rFonts w:ascii="Times New Roman" w:eastAsia="Times New Roman" w:hAnsi="Times New Roman" w:cs="Times New Roman"/>
          <w:b/>
          <w:bCs/>
          <w:sz w:val="24"/>
          <w:szCs w:val="24"/>
          <w:lang w:val="uk-UA"/>
        </w:rPr>
      </w:pPr>
      <w:r w:rsidRPr="00BE1959">
        <w:rPr>
          <w:rFonts w:ascii="Times New Roman" w:eastAsia="Times New Roman" w:hAnsi="Times New Roman" w:cs="Times New Roman"/>
          <w:b/>
          <w:bCs/>
          <w:sz w:val="24"/>
          <w:szCs w:val="24"/>
          <w:lang w:val="uk-UA"/>
        </w:rPr>
        <w:t>Свобода надання інвестиційних послуг і ведення інвестиційної діяльності</w:t>
      </w:r>
    </w:p>
    <w:p w:rsidR="005613AB" w:rsidRPr="00BE1959" w:rsidRDefault="005613AB" w:rsidP="008E7C7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1.   </w:t>
      </w:r>
      <w:r w:rsidR="001F5C90" w:rsidRPr="00BE1959">
        <w:rPr>
          <w:rFonts w:ascii="Times New Roman" w:eastAsia="Times New Roman" w:hAnsi="Times New Roman" w:cs="Times New Roman"/>
          <w:sz w:val="24"/>
          <w:szCs w:val="24"/>
          <w:lang w:val="uk-UA"/>
        </w:rPr>
        <w:t>Держави-члени</w:t>
      </w:r>
      <w:r w:rsidRPr="00BE1959">
        <w:rPr>
          <w:rFonts w:ascii="Times New Roman" w:eastAsia="Times New Roman" w:hAnsi="Times New Roman" w:cs="Times New Roman"/>
          <w:sz w:val="24"/>
          <w:szCs w:val="24"/>
          <w:lang w:val="uk-UA"/>
        </w:rPr>
        <w:t xml:space="preserve"> </w:t>
      </w:r>
      <w:r w:rsidR="00973859" w:rsidRPr="00BE1959">
        <w:rPr>
          <w:rFonts w:ascii="Times New Roman" w:eastAsia="Times New Roman" w:hAnsi="Times New Roman" w:cs="Times New Roman"/>
          <w:sz w:val="24"/>
          <w:szCs w:val="24"/>
          <w:lang w:val="uk-UA"/>
        </w:rPr>
        <w:t xml:space="preserve">забезпечують, щоб будь-яка </w:t>
      </w:r>
      <w:r w:rsidR="00945D41" w:rsidRPr="00BE1959">
        <w:rPr>
          <w:rFonts w:ascii="Times New Roman" w:eastAsia="Times New Roman" w:hAnsi="Times New Roman" w:cs="Times New Roman"/>
          <w:sz w:val="24"/>
          <w:szCs w:val="24"/>
          <w:lang w:val="uk-UA"/>
        </w:rPr>
        <w:t>інвестиційна фірма, що має дозвіл і піддається нагляду з боку компетентних органів іншої держави-члена відповідно до ціє</w:t>
      </w:r>
      <w:r w:rsidR="008E7C7B" w:rsidRPr="00BE1959">
        <w:rPr>
          <w:rFonts w:ascii="Times New Roman" w:eastAsia="Times New Roman" w:hAnsi="Times New Roman" w:cs="Times New Roman"/>
          <w:sz w:val="24"/>
          <w:szCs w:val="24"/>
          <w:lang w:val="uk-UA"/>
        </w:rPr>
        <w:t>ї</w:t>
      </w:r>
      <w:r w:rsidR="00945D41" w:rsidRPr="00BE1959">
        <w:rPr>
          <w:rFonts w:ascii="Times New Roman" w:eastAsia="Times New Roman" w:hAnsi="Times New Roman" w:cs="Times New Roman"/>
          <w:sz w:val="24"/>
          <w:szCs w:val="24"/>
          <w:lang w:val="uk-UA"/>
        </w:rPr>
        <w:t xml:space="preserve"> директиви, та у відношенні кредитних установ відповідно до Директиви </w:t>
      </w:r>
      <w:r w:rsidRPr="00BE1959">
        <w:rPr>
          <w:rFonts w:ascii="Times New Roman" w:eastAsia="Times New Roman" w:hAnsi="Times New Roman" w:cs="Times New Roman"/>
          <w:sz w:val="24"/>
          <w:szCs w:val="24"/>
          <w:lang w:val="uk-UA"/>
        </w:rPr>
        <w:t xml:space="preserve">2013/36/EU, </w:t>
      </w:r>
      <w:r w:rsidR="008E7C7B" w:rsidRPr="00BE1959">
        <w:rPr>
          <w:rFonts w:ascii="Times New Roman" w:eastAsia="Times New Roman" w:hAnsi="Times New Roman" w:cs="Times New Roman"/>
          <w:sz w:val="24"/>
          <w:szCs w:val="24"/>
          <w:lang w:val="uk-UA"/>
        </w:rPr>
        <w:t>могла вільно надавати інвестиційні послуги і (або) вести інвестиційну діяльність, а також надавати додаткові послуги на їхній території, за умови, що на такі послуги та діяльність поширюється дія вищезгаданого дозволу. Додаткові послуги можуть надаватися тільки разом з інвестиційною послугою і (або) інвестиційною діяльністю.</w:t>
      </w:r>
    </w:p>
    <w:p w:rsidR="005613AB" w:rsidRPr="00BE1959" w:rsidRDefault="001F5C90" w:rsidP="007F0FF5">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Держави-члени</w:t>
      </w:r>
      <w:r w:rsidR="005613AB" w:rsidRPr="00BE1959">
        <w:rPr>
          <w:rFonts w:ascii="Times New Roman" w:eastAsia="Times New Roman" w:hAnsi="Times New Roman" w:cs="Times New Roman"/>
          <w:sz w:val="24"/>
          <w:szCs w:val="24"/>
          <w:lang w:val="uk-UA"/>
        </w:rPr>
        <w:t xml:space="preserve"> </w:t>
      </w:r>
      <w:r w:rsidR="008E7C7B" w:rsidRPr="00BE1959">
        <w:rPr>
          <w:rFonts w:ascii="Times New Roman" w:eastAsia="Times New Roman" w:hAnsi="Times New Roman" w:cs="Times New Roman"/>
          <w:sz w:val="24"/>
          <w:szCs w:val="24"/>
          <w:lang w:val="uk-UA"/>
        </w:rPr>
        <w:t xml:space="preserve">не встановлюють додаткові вимоги </w:t>
      </w:r>
      <w:r w:rsidR="007F0FF5" w:rsidRPr="00BE1959">
        <w:rPr>
          <w:rFonts w:ascii="Times New Roman" w:eastAsia="Times New Roman" w:hAnsi="Times New Roman" w:cs="Times New Roman"/>
          <w:sz w:val="24"/>
          <w:szCs w:val="24"/>
          <w:lang w:val="uk-UA"/>
        </w:rPr>
        <w:t>до такої інвестиційної фірми або кредитної установи стосовно питань, охоплених цією директивою.</w:t>
      </w:r>
    </w:p>
    <w:p w:rsidR="005613AB" w:rsidRPr="00BE1959" w:rsidRDefault="005613AB" w:rsidP="007248BE">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2.   </w:t>
      </w:r>
      <w:r w:rsidR="007F0FF5" w:rsidRPr="00BE1959">
        <w:rPr>
          <w:rFonts w:ascii="Times New Roman" w:eastAsia="Times New Roman" w:hAnsi="Times New Roman" w:cs="Times New Roman"/>
          <w:sz w:val="24"/>
          <w:szCs w:val="24"/>
          <w:lang w:val="uk-UA"/>
        </w:rPr>
        <w:t xml:space="preserve">Будь-яка </w:t>
      </w:r>
      <w:r w:rsidR="00961886" w:rsidRPr="00BE1959">
        <w:rPr>
          <w:rFonts w:ascii="Times New Roman" w:eastAsia="Times New Roman" w:hAnsi="Times New Roman" w:cs="Times New Roman"/>
          <w:sz w:val="24"/>
          <w:szCs w:val="24"/>
          <w:lang w:val="uk-UA"/>
        </w:rPr>
        <w:t xml:space="preserve">інвестиційна фірма, </w:t>
      </w:r>
      <w:r w:rsidR="007248BE" w:rsidRPr="00BE1959">
        <w:rPr>
          <w:rFonts w:ascii="Times New Roman" w:eastAsia="Times New Roman" w:hAnsi="Times New Roman" w:cs="Times New Roman"/>
          <w:sz w:val="24"/>
          <w:szCs w:val="24"/>
          <w:lang w:val="uk-UA"/>
        </w:rPr>
        <w:t>яка вперше бажає</w:t>
      </w:r>
      <w:r w:rsidR="00961886" w:rsidRPr="00BE1959">
        <w:rPr>
          <w:rFonts w:ascii="Times New Roman" w:eastAsia="Times New Roman" w:hAnsi="Times New Roman" w:cs="Times New Roman"/>
          <w:sz w:val="24"/>
          <w:szCs w:val="24"/>
          <w:lang w:val="uk-UA"/>
        </w:rPr>
        <w:t xml:space="preserve"> надавати послуги або вести діяльність на території іншої держави-члена</w:t>
      </w:r>
      <w:r w:rsidR="007248BE" w:rsidRPr="00BE1959">
        <w:rPr>
          <w:rFonts w:ascii="Times New Roman" w:eastAsia="Times New Roman" w:hAnsi="Times New Roman" w:cs="Times New Roman"/>
          <w:sz w:val="24"/>
          <w:szCs w:val="24"/>
          <w:lang w:val="uk-UA"/>
        </w:rPr>
        <w:t xml:space="preserve"> або яка хоче змінити номенклатуру своїх послуг або видів діяльності, надаваних на території іншої держави-члена, подає компетентним органам держави-члена свого походження наступну інформацію:</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49"/>
        <w:gridCol w:w="8816"/>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lastRenderedPageBreak/>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7248BE" w:rsidP="007248BE">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держава-член, у якій вона має намір працювати;</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DE3173"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3D471F" w:rsidP="00502483">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програма діяльності, в якій зазначено, зокрема, інвестиційні послуги і (або) види діяльності, а також додаткові послуги, які інвестиційна фірма має намір надавати та вести на території даної держави-члена, а також указано, чи має вона намір роботи це </w:t>
            </w:r>
            <w:r w:rsidR="007B7B7D" w:rsidRPr="00BE1959">
              <w:rPr>
                <w:rFonts w:ascii="Times New Roman" w:eastAsia="Times New Roman" w:hAnsi="Times New Roman" w:cs="Times New Roman"/>
                <w:sz w:val="24"/>
                <w:szCs w:val="24"/>
                <w:lang w:val="uk-UA"/>
              </w:rPr>
              <w:t>через пов'язаних агентів, створених у державі-члені її походження. Якщо інвестиційна фірма має намір залучати пов'язаних агентів, вона повідомляє к</w:t>
            </w:r>
            <w:r w:rsidR="003A5348" w:rsidRPr="00BE1959">
              <w:rPr>
                <w:rFonts w:ascii="Times New Roman" w:eastAsia="Times New Roman" w:hAnsi="Times New Roman" w:cs="Times New Roman"/>
                <w:sz w:val="24"/>
                <w:szCs w:val="24"/>
                <w:lang w:val="uk-UA"/>
              </w:rPr>
              <w:t>омпетентн</w:t>
            </w:r>
            <w:r w:rsidR="007B7B7D" w:rsidRPr="00BE1959">
              <w:rPr>
                <w:rFonts w:ascii="Times New Roman" w:eastAsia="Times New Roman" w:hAnsi="Times New Roman" w:cs="Times New Roman"/>
                <w:sz w:val="24"/>
                <w:szCs w:val="24"/>
                <w:lang w:val="uk-UA"/>
              </w:rPr>
              <w:t>ому</w:t>
            </w:r>
            <w:r w:rsidR="003A5348" w:rsidRPr="00BE1959">
              <w:rPr>
                <w:rFonts w:ascii="Times New Roman" w:eastAsia="Times New Roman" w:hAnsi="Times New Roman" w:cs="Times New Roman"/>
                <w:sz w:val="24"/>
                <w:szCs w:val="24"/>
                <w:lang w:val="uk-UA"/>
              </w:rPr>
              <w:t xml:space="preserve"> орган</w:t>
            </w:r>
            <w:r w:rsidR="007B7B7D" w:rsidRPr="00BE1959">
              <w:rPr>
                <w:rFonts w:ascii="Times New Roman" w:eastAsia="Times New Roman" w:hAnsi="Times New Roman" w:cs="Times New Roman"/>
                <w:sz w:val="24"/>
                <w:szCs w:val="24"/>
                <w:lang w:val="uk-UA"/>
              </w:rPr>
              <w:t>ові</w:t>
            </w:r>
            <w:r w:rsidR="005613AB" w:rsidRPr="00BE1959">
              <w:rPr>
                <w:rFonts w:ascii="Times New Roman" w:eastAsia="Times New Roman" w:hAnsi="Times New Roman" w:cs="Times New Roman"/>
                <w:sz w:val="24"/>
                <w:szCs w:val="24"/>
                <w:lang w:val="uk-UA"/>
              </w:rPr>
              <w:t xml:space="preserve"> </w:t>
            </w:r>
            <w:r w:rsidR="00214416" w:rsidRPr="00BE1959">
              <w:rPr>
                <w:rFonts w:ascii="Times New Roman" w:eastAsia="Times New Roman" w:hAnsi="Times New Roman" w:cs="Times New Roman"/>
                <w:sz w:val="24"/>
                <w:szCs w:val="24"/>
                <w:lang w:val="uk-UA"/>
              </w:rPr>
              <w:t>держави-члена свого походження</w:t>
            </w:r>
            <w:r w:rsidR="005613AB" w:rsidRPr="00BE1959">
              <w:rPr>
                <w:rFonts w:ascii="Times New Roman" w:eastAsia="Times New Roman" w:hAnsi="Times New Roman" w:cs="Times New Roman"/>
                <w:sz w:val="24"/>
                <w:szCs w:val="24"/>
                <w:lang w:val="uk-UA"/>
              </w:rPr>
              <w:t xml:space="preserve"> </w:t>
            </w:r>
            <w:r w:rsidR="00502483" w:rsidRPr="00BE1959">
              <w:rPr>
                <w:rFonts w:ascii="Times New Roman" w:eastAsia="Times New Roman" w:hAnsi="Times New Roman" w:cs="Times New Roman"/>
                <w:sz w:val="24"/>
                <w:szCs w:val="24"/>
                <w:lang w:val="uk-UA"/>
              </w:rPr>
              <w:t>дані</w:t>
            </w:r>
            <w:r w:rsidR="007B7B7D" w:rsidRPr="00BE1959">
              <w:rPr>
                <w:rFonts w:ascii="Times New Roman" w:eastAsia="Times New Roman" w:hAnsi="Times New Roman" w:cs="Times New Roman"/>
                <w:sz w:val="24"/>
                <w:szCs w:val="24"/>
                <w:lang w:val="uk-UA"/>
              </w:rPr>
              <w:t xml:space="preserve"> таких пов'язаних агентів.</w:t>
            </w:r>
          </w:p>
        </w:tc>
      </w:tr>
    </w:tbl>
    <w:p w:rsidR="005613AB" w:rsidRPr="00BE1959" w:rsidRDefault="00185B44" w:rsidP="009338C6">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Якщо інвестиційна фірма має намір залучати пов'язаних агентів, створених у державі-члені її походження, на території держави-члена, в якій вона має намір надавати послуги, то компетентний орган держави-члена походження інвестиційної фірми у місячний термін після отримання всієї вищезазначеної інформації повідомляє компетентному органові держави-члена походження, призначеному контактною особою згідно зі статтею 79(1), дані пов'язаних агентів, яких інвестиційна фірма має намір використовувати для надання інвестиційних послуг і ведення інвестиційної діяльності в цій державі-члені. Приймаюча держава-член публікує таку інформацію. ESMA може зажадати доступу до цієї інформації у порядку і на умовах, установлених у статті 35 Регламенту (EU) № 1095/2010.</w:t>
      </w:r>
    </w:p>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3.   </w:t>
      </w:r>
      <w:r w:rsidR="003A5348" w:rsidRPr="00BE1959">
        <w:rPr>
          <w:rFonts w:ascii="Times New Roman" w:eastAsia="Times New Roman" w:hAnsi="Times New Roman" w:cs="Times New Roman"/>
          <w:sz w:val="24"/>
          <w:szCs w:val="24"/>
          <w:lang w:val="uk-UA"/>
        </w:rPr>
        <w:t>Компетентний орган</w:t>
      </w:r>
      <w:r w:rsidRPr="00BE1959">
        <w:rPr>
          <w:rFonts w:ascii="Times New Roman" w:eastAsia="Times New Roman" w:hAnsi="Times New Roman" w:cs="Times New Roman"/>
          <w:sz w:val="24"/>
          <w:szCs w:val="24"/>
          <w:lang w:val="uk-UA"/>
        </w:rPr>
        <w:t xml:space="preserve"> </w:t>
      </w:r>
      <w:r w:rsidR="003A5348" w:rsidRPr="00BE1959">
        <w:rPr>
          <w:rFonts w:ascii="Times New Roman" w:eastAsia="Times New Roman" w:hAnsi="Times New Roman" w:cs="Times New Roman"/>
          <w:sz w:val="24"/>
          <w:szCs w:val="24"/>
          <w:lang w:val="uk-UA"/>
        </w:rPr>
        <w:t>держави-члена походження</w:t>
      </w:r>
      <w:r w:rsidRPr="00BE1959">
        <w:rPr>
          <w:rFonts w:ascii="Times New Roman" w:eastAsia="Times New Roman" w:hAnsi="Times New Roman" w:cs="Times New Roman"/>
          <w:sz w:val="24"/>
          <w:szCs w:val="24"/>
          <w:lang w:val="uk-UA"/>
        </w:rPr>
        <w:t xml:space="preserve"> shall, within one month of receiving the information, forward it to </w:t>
      </w:r>
      <w:r w:rsidR="003A5348" w:rsidRPr="00BE1959">
        <w:rPr>
          <w:rFonts w:ascii="Times New Roman" w:eastAsia="Times New Roman" w:hAnsi="Times New Roman" w:cs="Times New Roman"/>
          <w:sz w:val="24"/>
          <w:szCs w:val="24"/>
          <w:lang w:val="uk-UA"/>
        </w:rPr>
        <w:t>Компетентний орган</w:t>
      </w:r>
      <w:r w:rsidRPr="00BE1959">
        <w:rPr>
          <w:rFonts w:ascii="Times New Roman" w:eastAsia="Times New Roman" w:hAnsi="Times New Roman" w:cs="Times New Roman"/>
          <w:sz w:val="24"/>
          <w:szCs w:val="24"/>
          <w:lang w:val="uk-UA"/>
        </w:rPr>
        <w:t xml:space="preserve"> </w:t>
      </w:r>
      <w:r w:rsidR="00066C23" w:rsidRPr="00BE1959">
        <w:rPr>
          <w:rFonts w:ascii="Times New Roman" w:eastAsia="Times New Roman" w:hAnsi="Times New Roman" w:cs="Times New Roman"/>
          <w:sz w:val="24"/>
          <w:szCs w:val="24"/>
          <w:lang w:val="uk-UA"/>
        </w:rPr>
        <w:t>приймаючої держави-члена</w:t>
      </w:r>
      <w:r w:rsidRPr="00BE1959">
        <w:rPr>
          <w:rFonts w:ascii="Times New Roman" w:eastAsia="Times New Roman" w:hAnsi="Times New Roman" w:cs="Times New Roman"/>
          <w:sz w:val="24"/>
          <w:szCs w:val="24"/>
          <w:lang w:val="uk-UA"/>
        </w:rPr>
        <w:t xml:space="preserve"> designated as contact point in accordance with </w:t>
      </w:r>
      <w:r w:rsidR="00162A11" w:rsidRPr="00BE1959">
        <w:rPr>
          <w:rFonts w:ascii="Times New Roman" w:eastAsia="Times New Roman" w:hAnsi="Times New Roman" w:cs="Times New Roman"/>
          <w:sz w:val="24"/>
          <w:szCs w:val="24"/>
          <w:lang w:val="uk-UA"/>
        </w:rPr>
        <w:t>Стаття</w:t>
      </w:r>
      <w:r w:rsidRPr="00BE1959">
        <w:rPr>
          <w:rFonts w:ascii="Times New Roman" w:eastAsia="Times New Roman" w:hAnsi="Times New Roman" w:cs="Times New Roman"/>
          <w:sz w:val="24"/>
          <w:szCs w:val="24"/>
          <w:lang w:val="uk-UA"/>
        </w:rPr>
        <w:t xml:space="preserve"> 79(1). The investment firm may then start to provide the investment services and activities concerned in the host </w:t>
      </w:r>
      <w:r w:rsidR="00540D96" w:rsidRPr="00BE1959">
        <w:rPr>
          <w:rFonts w:ascii="Times New Roman" w:eastAsia="Times New Roman" w:hAnsi="Times New Roman" w:cs="Times New Roman"/>
          <w:sz w:val="24"/>
          <w:szCs w:val="24"/>
          <w:lang w:val="uk-UA"/>
        </w:rPr>
        <w:t>Держава-член</w:t>
      </w:r>
      <w:r w:rsidRPr="00BE1959">
        <w:rPr>
          <w:rFonts w:ascii="Times New Roman" w:eastAsia="Times New Roman" w:hAnsi="Times New Roman" w:cs="Times New Roman"/>
          <w:sz w:val="24"/>
          <w:szCs w:val="24"/>
          <w:lang w:val="uk-UA"/>
        </w:rPr>
        <w:t>.</w:t>
      </w:r>
    </w:p>
    <w:p w:rsidR="005613AB" w:rsidRPr="00BE1959" w:rsidRDefault="005613AB" w:rsidP="00B051E7">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4.   </w:t>
      </w:r>
      <w:r w:rsidR="00D57633" w:rsidRPr="00BE1959">
        <w:rPr>
          <w:rFonts w:ascii="Times New Roman" w:eastAsia="Times New Roman" w:hAnsi="Times New Roman" w:cs="Times New Roman"/>
          <w:sz w:val="24"/>
          <w:szCs w:val="24"/>
          <w:lang w:val="uk-UA"/>
        </w:rPr>
        <w:t>У випадку зміни у будь-якій інформації, поданій відповідно до пункту 2, інвестиційна фірма надає письмове повідомлення про таку зміну компетентному органові держави-члена походження як мінімум за місяць до внесення зміни. Компетентний орган держави-члена походження інформує про вищезгадану зміну компетентний орган приймаючої держави-члена.</w:t>
      </w:r>
    </w:p>
    <w:p w:rsidR="005613AB" w:rsidRPr="00BE1959" w:rsidRDefault="005613AB" w:rsidP="00185B44">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5.   </w:t>
      </w:r>
      <w:r w:rsidR="00B051E7" w:rsidRPr="00BE1959">
        <w:rPr>
          <w:rFonts w:ascii="Times New Roman" w:eastAsia="Times New Roman" w:hAnsi="Times New Roman" w:cs="Times New Roman"/>
          <w:sz w:val="24"/>
          <w:szCs w:val="24"/>
          <w:lang w:val="uk-UA"/>
        </w:rPr>
        <w:t>Будь-яка кредитна установа, бажаюча надавати інвестиційні послуги або вести інвестиційну діяльність, а також надавати додаткові послуги</w:t>
      </w:r>
      <w:r w:rsidR="00185B44" w:rsidRPr="00BE1959">
        <w:rPr>
          <w:rFonts w:ascii="Times New Roman" w:eastAsia="Times New Roman" w:hAnsi="Times New Roman" w:cs="Times New Roman"/>
          <w:sz w:val="24"/>
          <w:szCs w:val="24"/>
          <w:lang w:val="uk-UA"/>
        </w:rPr>
        <w:t xml:space="preserve"> відповідно до пункту 1 через пов'язаних агентів, повідомляє дані цих пов'язаних агентів к</w:t>
      </w:r>
      <w:r w:rsidR="003A5348" w:rsidRPr="00BE1959">
        <w:rPr>
          <w:rFonts w:ascii="Times New Roman" w:eastAsia="Times New Roman" w:hAnsi="Times New Roman" w:cs="Times New Roman"/>
          <w:sz w:val="24"/>
          <w:szCs w:val="24"/>
          <w:lang w:val="uk-UA"/>
        </w:rPr>
        <w:t>омпетентн</w:t>
      </w:r>
      <w:r w:rsidR="00185B44" w:rsidRPr="00BE1959">
        <w:rPr>
          <w:rFonts w:ascii="Times New Roman" w:eastAsia="Times New Roman" w:hAnsi="Times New Roman" w:cs="Times New Roman"/>
          <w:sz w:val="24"/>
          <w:szCs w:val="24"/>
          <w:lang w:val="uk-UA"/>
        </w:rPr>
        <w:t>ому</w:t>
      </w:r>
      <w:r w:rsidR="003A5348" w:rsidRPr="00BE1959">
        <w:rPr>
          <w:rFonts w:ascii="Times New Roman" w:eastAsia="Times New Roman" w:hAnsi="Times New Roman" w:cs="Times New Roman"/>
          <w:sz w:val="24"/>
          <w:szCs w:val="24"/>
          <w:lang w:val="uk-UA"/>
        </w:rPr>
        <w:t xml:space="preserve"> орган</w:t>
      </w:r>
      <w:r w:rsidR="00185B44" w:rsidRPr="00BE1959">
        <w:rPr>
          <w:rFonts w:ascii="Times New Roman" w:eastAsia="Times New Roman" w:hAnsi="Times New Roman" w:cs="Times New Roman"/>
          <w:sz w:val="24"/>
          <w:szCs w:val="24"/>
          <w:lang w:val="uk-UA"/>
        </w:rPr>
        <w:t>ові</w:t>
      </w:r>
      <w:r w:rsidRPr="00BE1959">
        <w:rPr>
          <w:rFonts w:ascii="Times New Roman" w:eastAsia="Times New Roman" w:hAnsi="Times New Roman" w:cs="Times New Roman"/>
          <w:sz w:val="24"/>
          <w:szCs w:val="24"/>
          <w:lang w:val="uk-UA"/>
        </w:rPr>
        <w:t xml:space="preserve"> </w:t>
      </w:r>
      <w:r w:rsidR="00214416" w:rsidRPr="00BE1959">
        <w:rPr>
          <w:rFonts w:ascii="Times New Roman" w:eastAsia="Times New Roman" w:hAnsi="Times New Roman" w:cs="Times New Roman"/>
          <w:sz w:val="24"/>
          <w:szCs w:val="24"/>
          <w:lang w:val="uk-UA"/>
        </w:rPr>
        <w:t>держави-члена свого походження</w:t>
      </w:r>
      <w:r w:rsidRPr="00BE1959">
        <w:rPr>
          <w:rFonts w:ascii="Times New Roman" w:eastAsia="Times New Roman" w:hAnsi="Times New Roman" w:cs="Times New Roman"/>
          <w:sz w:val="24"/>
          <w:szCs w:val="24"/>
          <w:lang w:val="uk-UA"/>
        </w:rPr>
        <w:t>.</w:t>
      </w:r>
    </w:p>
    <w:p w:rsidR="0037243A" w:rsidRPr="00BE1959" w:rsidRDefault="00185B44" w:rsidP="0037243A">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Якщо кредитна установа має намір залучати пов'язаних агентів, створених у державі-члені її походження, на території держави-члена, в якій вона має намір надавати послуги, то компетентний орган держави-члена походження </w:t>
      </w:r>
      <w:r w:rsidR="0037243A" w:rsidRPr="00BE1959">
        <w:rPr>
          <w:rFonts w:ascii="Times New Roman" w:eastAsia="Times New Roman" w:hAnsi="Times New Roman" w:cs="Times New Roman"/>
          <w:sz w:val="24"/>
          <w:szCs w:val="24"/>
          <w:lang w:val="uk-UA"/>
        </w:rPr>
        <w:t>кредитної установи</w:t>
      </w:r>
      <w:r w:rsidRPr="00BE1959">
        <w:rPr>
          <w:rFonts w:ascii="Times New Roman" w:eastAsia="Times New Roman" w:hAnsi="Times New Roman" w:cs="Times New Roman"/>
          <w:sz w:val="24"/>
          <w:szCs w:val="24"/>
          <w:lang w:val="uk-UA"/>
        </w:rPr>
        <w:t xml:space="preserve"> у місячний термін після отримання всієї вищезазначеної інформації повідомляє </w:t>
      </w:r>
      <w:r w:rsidR="00674398" w:rsidRPr="00BE1959">
        <w:rPr>
          <w:rFonts w:ascii="Times New Roman" w:eastAsia="Times New Roman" w:hAnsi="Times New Roman" w:cs="Times New Roman"/>
          <w:sz w:val="24"/>
          <w:szCs w:val="24"/>
          <w:lang w:val="uk-UA"/>
        </w:rPr>
        <w:t>компетентному органові держави-члена походження, призначеному контактною особою згідно зі статтею 79(1), дані пов'язаних агентів, яких кредитна установа має намір використовувати для надання послуг у цій державі-члені. Приймаюча держава-член публікує таку інформацію.</w:t>
      </w:r>
    </w:p>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p>
    <w:p w:rsidR="005613AB" w:rsidRPr="00BE1959" w:rsidRDefault="005613AB" w:rsidP="0032290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lastRenderedPageBreak/>
        <w:t>6.   </w:t>
      </w:r>
      <w:r w:rsidR="001F5C90" w:rsidRPr="00BE1959">
        <w:rPr>
          <w:rFonts w:ascii="Times New Roman" w:eastAsia="Times New Roman" w:hAnsi="Times New Roman" w:cs="Times New Roman"/>
          <w:sz w:val="24"/>
          <w:szCs w:val="24"/>
          <w:lang w:val="uk-UA"/>
        </w:rPr>
        <w:t>Держави-члени</w:t>
      </w:r>
      <w:r w:rsidR="00CE5317" w:rsidRPr="00BE1959">
        <w:rPr>
          <w:rFonts w:ascii="Times New Roman" w:eastAsia="Times New Roman" w:hAnsi="Times New Roman" w:cs="Times New Roman"/>
          <w:sz w:val="24"/>
          <w:szCs w:val="24"/>
          <w:lang w:val="uk-UA"/>
        </w:rPr>
        <w:t>, без додаткових юридичних або адміністративних вимог, дозволяють інвестиційним фірмам і операторам ринку</w:t>
      </w:r>
      <w:r w:rsidR="0032290B" w:rsidRPr="00BE1959">
        <w:rPr>
          <w:rFonts w:ascii="Times New Roman" w:eastAsia="Times New Roman" w:hAnsi="Times New Roman" w:cs="Times New Roman"/>
          <w:sz w:val="24"/>
          <w:szCs w:val="24"/>
          <w:lang w:val="uk-UA"/>
        </w:rPr>
        <w:t>, що управляють БТМ і ОТМ, з інших держав-членів передбачати на своїй території відповідні механізми, щоб сприяти доступу до цих ринків і торгівлі на цих ринків для віддалених користувачів, членів або учасників, створених на їхній території.</w:t>
      </w:r>
    </w:p>
    <w:p w:rsidR="005613AB" w:rsidRPr="00BE1959" w:rsidRDefault="005613AB" w:rsidP="004F5BC5">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7.   </w:t>
      </w:r>
      <w:r w:rsidR="0032290B" w:rsidRPr="00BE1959">
        <w:rPr>
          <w:rFonts w:ascii="Times New Roman" w:eastAsia="Times New Roman" w:hAnsi="Times New Roman" w:cs="Times New Roman"/>
          <w:sz w:val="24"/>
          <w:szCs w:val="24"/>
          <w:lang w:val="uk-UA"/>
        </w:rPr>
        <w:t xml:space="preserve">Інвестиційна фірма або оператор ринку, що управляє БТМ або ОТМ, </w:t>
      </w:r>
      <w:r w:rsidR="004F5BC5" w:rsidRPr="00BE1959">
        <w:rPr>
          <w:rFonts w:ascii="Times New Roman" w:eastAsia="Times New Roman" w:hAnsi="Times New Roman" w:cs="Times New Roman"/>
          <w:sz w:val="24"/>
          <w:szCs w:val="24"/>
          <w:lang w:val="uk-UA"/>
        </w:rPr>
        <w:t>указує компетентному органові</w:t>
      </w:r>
      <w:r w:rsidRPr="00BE1959">
        <w:rPr>
          <w:rFonts w:ascii="Times New Roman" w:eastAsia="Times New Roman" w:hAnsi="Times New Roman" w:cs="Times New Roman"/>
          <w:sz w:val="24"/>
          <w:szCs w:val="24"/>
          <w:lang w:val="uk-UA"/>
        </w:rPr>
        <w:t xml:space="preserve"> </w:t>
      </w:r>
      <w:r w:rsidR="00214416" w:rsidRPr="00BE1959">
        <w:rPr>
          <w:rFonts w:ascii="Times New Roman" w:eastAsia="Times New Roman" w:hAnsi="Times New Roman" w:cs="Times New Roman"/>
          <w:sz w:val="24"/>
          <w:szCs w:val="24"/>
          <w:lang w:val="uk-UA"/>
        </w:rPr>
        <w:t>держави-члена свого походження</w:t>
      </w:r>
      <w:r w:rsidRPr="00BE1959">
        <w:rPr>
          <w:rFonts w:ascii="Times New Roman" w:eastAsia="Times New Roman" w:hAnsi="Times New Roman" w:cs="Times New Roman"/>
          <w:sz w:val="24"/>
          <w:szCs w:val="24"/>
          <w:lang w:val="uk-UA"/>
        </w:rPr>
        <w:t xml:space="preserve"> </w:t>
      </w:r>
      <w:r w:rsidR="004F5BC5" w:rsidRPr="00BE1959">
        <w:rPr>
          <w:rFonts w:ascii="Times New Roman" w:eastAsia="Times New Roman" w:hAnsi="Times New Roman" w:cs="Times New Roman"/>
          <w:sz w:val="24"/>
          <w:szCs w:val="24"/>
          <w:lang w:val="uk-UA"/>
        </w:rPr>
        <w:t>державу-член, у якій вона чи він має намір передбачити такі механізми</w:t>
      </w:r>
      <w:r w:rsidRPr="00BE1959">
        <w:rPr>
          <w:rFonts w:ascii="Times New Roman" w:eastAsia="Times New Roman" w:hAnsi="Times New Roman" w:cs="Times New Roman"/>
          <w:sz w:val="24"/>
          <w:szCs w:val="24"/>
          <w:lang w:val="uk-UA"/>
        </w:rPr>
        <w:t xml:space="preserve">. </w:t>
      </w:r>
      <w:r w:rsidR="003A5348" w:rsidRPr="00BE1959">
        <w:rPr>
          <w:rFonts w:ascii="Times New Roman" w:eastAsia="Times New Roman" w:hAnsi="Times New Roman" w:cs="Times New Roman"/>
          <w:sz w:val="24"/>
          <w:szCs w:val="24"/>
          <w:lang w:val="uk-UA"/>
        </w:rPr>
        <w:t>Компетентний орган</w:t>
      </w:r>
      <w:r w:rsidRPr="00BE1959">
        <w:rPr>
          <w:rFonts w:ascii="Times New Roman" w:eastAsia="Times New Roman" w:hAnsi="Times New Roman" w:cs="Times New Roman"/>
          <w:sz w:val="24"/>
          <w:szCs w:val="24"/>
          <w:lang w:val="uk-UA"/>
        </w:rPr>
        <w:t xml:space="preserve"> </w:t>
      </w:r>
      <w:r w:rsidR="003A5348" w:rsidRPr="00BE1959">
        <w:rPr>
          <w:rFonts w:ascii="Times New Roman" w:eastAsia="Times New Roman" w:hAnsi="Times New Roman" w:cs="Times New Roman"/>
          <w:sz w:val="24"/>
          <w:szCs w:val="24"/>
          <w:lang w:val="uk-UA"/>
        </w:rPr>
        <w:t>держави-члена</w:t>
      </w:r>
      <w:r w:rsidR="004F5BC5" w:rsidRPr="00BE1959">
        <w:rPr>
          <w:rFonts w:ascii="Times New Roman" w:eastAsia="Times New Roman" w:hAnsi="Times New Roman" w:cs="Times New Roman"/>
          <w:sz w:val="24"/>
          <w:szCs w:val="24"/>
          <w:lang w:val="uk-UA"/>
        </w:rPr>
        <w:t xml:space="preserve"> у місячний термін доводить цю інформацію до відома компетентного органу держави-члена, в якій цей БТМ або ОТМ має намір передбачити такі механізми.</w:t>
      </w:r>
    </w:p>
    <w:p w:rsidR="005613AB" w:rsidRPr="00BE1959" w:rsidRDefault="003A5348" w:rsidP="00967C15">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Компетентний орган</w:t>
      </w:r>
      <w:r w:rsidR="005613AB" w:rsidRPr="00BE1959">
        <w:rPr>
          <w:rFonts w:ascii="Times New Roman" w:eastAsia="Times New Roman" w:hAnsi="Times New Roman" w:cs="Times New Roman"/>
          <w:sz w:val="24"/>
          <w:szCs w:val="24"/>
          <w:lang w:val="uk-UA"/>
        </w:rPr>
        <w:t xml:space="preserve"> </w:t>
      </w:r>
      <w:r w:rsidRPr="00BE1959">
        <w:rPr>
          <w:rFonts w:ascii="Times New Roman" w:eastAsia="Times New Roman" w:hAnsi="Times New Roman" w:cs="Times New Roman"/>
          <w:sz w:val="24"/>
          <w:szCs w:val="24"/>
          <w:lang w:val="uk-UA"/>
        </w:rPr>
        <w:t>держави-члена походження</w:t>
      </w:r>
      <w:r w:rsidR="005613AB" w:rsidRPr="00BE1959">
        <w:rPr>
          <w:rFonts w:ascii="Times New Roman" w:eastAsia="Times New Roman" w:hAnsi="Times New Roman" w:cs="Times New Roman"/>
          <w:sz w:val="24"/>
          <w:szCs w:val="24"/>
          <w:lang w:val="uk-UA"/>
        </w:rPr>
        <w:t xml:space="preserve"> </w:t>
      </w:r>
      <w:r w:rsidR="004F5BC5" w:rsidRPr="00BE1959">
        <w:rPr>
          <w:rFonts w:ascii="Times New Roman" w:eastAsia="Times New Roman" w:hAnsi="Times New Roman" w:cs="Times New Roman"/>
          <w:sz w:val="24"/>
          <w:szCs w:val="24"/>
          <w:lang w:val="uk-UA"/>
        </w:rPr>
        <w:t>БТМ на вимогу компетентного органу приймаючої держави-члена БТМ</w:t>
      </w:r>
      <w:r w:rsidR="00967C15" w:rsidRPr="00BE1959">
        <w:rPr>
          <w:rFonts w:ascii="Times New Roman" w:eastAsia="Times New Roman" w:hAnsi="Times New Roman" w:cs="Times New Roman"/>
          <w:sz w:val="24"/>
          <w:szCs w:val="24"/>
          <w:lang w:val="uk-UA"/>
        </w:rPr>
        <w:t xml:space="preserve"> і без неналежної затримки повідомляє дані віддалених членів або учасників БТМ, створених у цій державі-члені.</w:t>
      </w:r>
    </w:p>
    <w:p w:rsidR="002404A3" w:rsidRPr="00BE1959" w:rsidRDefault="002404A3" w:rsidP="002404A3">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8.   ESMA розробляє проекти нормативно-технічних стандартів, де зазначає інформацію, що підлягає повідомленню відповідно до пунктів 2, 4, 5 та 7.</w:t>
      </w:r>
    </w:p>
    <w:p w:rsidR="002404A3" w:rsidRPr="00BE1959" w:rsidRDefault="002404A3" w:rsidP="002404A3">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ESMA подає проекти цих нормативно-технічних стандартів Комісії до 3 липня 2015 року.</w:t>
      </w:r>
    </w:p>
    <w:p w:rsidR="002404A3" w:rsidRPr="00BE1959" w:rsidRDefault="002404A3" w:rsidP="002404A3">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Комісії делегується повноваження на прийняття нормативно-технічних стандартів, згаданих у першому абзаці цього пункту, згідно зі статтями 10-14 Регламенту (EU) № 1095/2010.</w:t>
      </w:r>
    </w:p>
    <w:p w:rsidR="002404A3" w:rsidRPr="00BE1959" w:rsidRDefault="002404A3" w:rsidP="002404A3">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9.   ESMA розробляє проекти виконавчих технічних стандартів, якими встановлюються типові форми, шаблони та процедури передачі інформації відповідно до пунктів 3, 4, 5 та 7.</w:t>
      </w:r>
    </w:p>
    <w:p w:rsidR="002404A3" w:rsidRPr="00BE1959" w:rsidRDefault="002404A3" w:rsidP="002404A3">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ESMA подає проекти цих виконавчих технічних стандартів Комісії до 31 грудня 2016 року.</w:t>
      </w:r>
    </w:p>
    <w:p w:rsidR="002404A3" w:rsidRPr="00BE1959" w:rsidRDefault="002404A3" w:rsidP="002404A3">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Комісії надається повноваження на прийняття виконавчих технічних стандартів, згаданих у першому абзаці цього пункту, згідно зі статтею 15 Регламенту (EU) № 1095/2010.</w:t>
      </w:r>
    </w:p>
    <w:p w:rsidR="005613AB" w:rsidRPr="00BE1959" w:rsidRDefault="00162A11" w:rsidP="005613AB">
      <w:pPr>
        <w:spacing w:before="360" w:after="120" w:line="312" w:lineRule="atLeast"/>
        <w:jc w:val="center"/>
        <w:textAlignment w:val="baseline"/>
        <w:rPr>
          <w:rFonts w:ascii="Times New Roman" w:eastAsia="Times New Roman" w:hAnsi="Times New Roman" w:cs="Times New Roman"/>
          <w:i/>
          <w:iCs/>
          <w:sz w:val="24"/>
          <w:szCs w:val="24"/>
          <w:lang w:val="uk-UA"/>
        </w:rPr>
      </w:pPr>
      <w:r w:rsidRPr="00BE1959">
        <w:rPr>
          <w:rFonts w:ascii="Times New Roman" w:eastAsia="Times New Roman" w:hAnsi="Times New Roman" w:cs="Times New Roman"/>
          <w:i/>
          <w:iCs/>
          <w:sz w:val="24"/>
          <w:szCs w:val="24"/>
          <w:lang w:val="uk-UA"/>
        </w:rPr>
        <w:t>Стаття</w:t>
      </w:r>
      <w:r w:rsidR="005613AB" w:rsidRPr="00BE1959">
        <w:rPr>
          <w:rFonts w:ascii="Times New Roman" w:eastAsia="Times New Roman" w:hAnsi="Times New Roman" w:cs="Times New Roman"/>
          <w:i/>
          <w:iCs/>
          <w:sz w:val="24"/>
          <w:szCs w:val="24"/>
          <w:lang w:val="uk-UA"/>
        </w:rPr>
        <w:t xml:space="preserve"> 35</w:t>
      </w:r>
    </w:p>
    <w:p w:rsidR="005613AB" w:rsidRPr="00BE1959" w:rsidRDefault="001851DB" w:rsidP="005613AB">
      <w:pPr>
        <w:spacing w:before="60" w:after="120" w:line="312" w:lineRule="atLeast"/>
        <w:jc w:val="center"/>
        <w:textAlignment w:val="baseline"/>
        <w:rPr>
          <w:rFonts w:ascii="Times New Roman" w:eastAsia="Times New Roman" w:hAnsi="Times New Roman" w:cs="Times New Roman"/>
          <w:b/>
          <w:bCs/>
          <w:sz w:val="24"/>
          <w:szCs w:val="24"/>
          <w:lang w:val="uk-UA"/>
        </w:rPr>
      </w:pPr>
      <w:r w:rsidRPr="00BE1959">
        <w:rPr>
          <w:rFonts w:ascii="Times New Roman" w:eastAsia="Times New Roman" w:hAnsi="Times New Roman" w:cs="Times New Roman"/>
          <w:b/>
          <w:bCs/>
          <w:sz w:val="24"/>
          <w:szCs w:val="24"/>
          <w:lang w:val="uk-UA"/>
        </w:rPr>
        <w:t>Створення філії</w:t>
      </w:r>
    </w:p>
    <w:p w:rsidR="005613AB" w:rsidRPr="00BE1959" w:rsidRDefault="005613AB" w:rsidP="009A5D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1.   </w:t>
      </w:r>
      <w:r w:rsidR="001F5C90" w:rsidRPr="00BE1959">
        <w:rPr>
          <w:rFonts w:ascii="Times New Roman" w:eastAsia="Times New Roman" w:hAnsi="Times New Roman" w:cs="Times New Roman"/>
          <w:sz w:val="24"/>
          <w:szCs w:val="24"/>
          <w:lang w:val="uk-UA"/>
        </w:rPr>
        <w:t>Держави-члени</w:t>
      </w:r>
      <w:r w:rsidRPr="00BE1959">
        <w:rPr>
          <w:rFonts w:ascii="Times New Roman" w:eastAsia="Times New Roman" w:hAnsi="Times New Roman" w:cs="Times New Roman"/>
          <w:sz w:val="24"/>
          <w:szCs w:val="24"/>
          <w:lang w:val="uk-UA"/>
        </w:rPr>
        <w:t xml:space="preserve"> </w:t>
      </w:r>
      <w:r w:rsidR="00FE0CE4" w:rsidRPr="00BE1959">
        <w:rPr>
          <w:rFonts w:ascii="Times New Roman" w:eastAsia="Times New Roman" w:hAnsi="Times New Roman" w:cs="Times New Roman"/>
          <w:sz w:val="24"/>
          <w:szCs w:val="24"/>
          <w:lang w:val="uk-UA"/>
        </w:rPr>
        <w:t>забезпечують, щоб інвестиційні послуги і (або) інвестиційну діяльність, а також додаткові послуги можна було надавати та вести на їхній території відповідно до цієї директиви та до Директиви</w:t>
      </w:r>
      <w:r w:rsidRPr="00BE1959">
        <w:rPr>
          <w:rFonts w:ascii="Times New Roman" w:eastAsia="Times New Roman" w:hAnsi="Times New Roman" w:cs="Times New Roman"/>
          <w:sz w:val="24"/>
          <w:szCs w:val="24"/>
          <w:lang w:val="uk-UA"/>
        </w:rPr>
        <w:t xml:space="preserve"> 2013/36/EU </w:t>
      </w:r>
      <w:r w:rsidR="00FE0CE4" w:rsidRPr="00BE1959">
        <w:rPr>
          <w:rFonts w:ascii="Times New Roman" w:eastAsia="Times New Roman" w:hAnsi="Times New Roman" w:cs="Times New Roman"/>
          <w:sz w:val="24"/>
          <w:szCs w:val="24"/>
          <w:lang w:val="uk-UA"/>
        </w:rPr>
        <w:t>на основ</w:t>
      </w:r>
      <w:r w:rsidR="000F52F2" w:rsidRPr="00BE1959">
        <w:rPr>
          <w:rFonts w:ascii="Times New Roman" w:eastAsia="Times New Roman" w:hAnsi="Times New Roman" w:cs="Times New Roman"/>
          <w:sz w:val="24"/>
          <w:szCs w:val="24"/>
          <w:lang w:val="uk-UA"/>
        </w:rPr>
        <w:t>і права на створення підприємств чи то шляхом створення філії, чи то шляхом використання пов'язаних агентів, створених у державі-члені, поза межами держави-члена походження, за умови, що на ці послуги та діяльність поширюється дія дозволу, виданого інвестиційній фірмі або кредитній установі</w:t>
      </w:r>
      <w:r w:rsidR="009A5DAB" w:rsidRPr="00BE1959">
        <w:rPr>
          <w:rFonts w:ascii="Times New Roman" w:eastAsia="Times New Roman" w:hAnsi="Times New Roman" w:cs="Times New Roman"/>
          <w:sz w:val="24"/>
          <w:szCs w:val="24"/>
          <w:lang w:val="uk-UA"/>
        </w:rPr>
        <w:t xml:space="preserve"> у державі-члені походження. Додаткові послуги можуть надаватися тільки разом з інвестиційною послугою і (або) інвестиційною діяльністю.</w:t>
      </w:r>
    </w:p>
    <w:p w:rsidR="005613AB" w:rsidRPr="00BE1959" w:rsidRDefault="001F5C90" w:rsidP="009A5D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lastRenderedPageBreak/>
        <w:t>Держави-члени</w:t>
      </w:r>
      <w:r w:rsidR="005613AB" w:rsidRPr="00BE1959">
        <w:rPr>
          <w:rFonts w:ascii="Times New Roman" w:eastAsia="Times New Roman" w:hAnsi="Times New Roman" w:cs="Times New Roman"/>
          <w:sz w:val="24"/>
          <w:szCs w:val="24"/>
          <w:lang w:val="uk-UA"/>
        </w:rPr>
        <w:t xml:space="preserve"> </w:t>
      </w:r>
      <w:r w:rsidR="009A5DAB" w:rsidRPr="00BE1959">
        <w:rPr>
          <w:rFonts w:ascii="Times New Roman" w:eastAsia="Times New Roman" w:hAnsi="Times New Roman" w:cs="Times New Roman"/>
          <w:sz w:val="24"/>
          <w:szCs w:val="24"/>
          <w:lang w:val="uk-UA"/>
        </w:rPr>
        <w:t>не встановлюють жодних додаткових вимог, крім тих, які дозволені згідно з пунктом 8, щодо організації та діяльності філії стосовно питань, охоплених цією директивою.</w:t>
      </w:r>
    </w:p>
    <w:p w:rsidR="005613AB" w:rsidRPr="00BE1959" w:rsidRDefault="005613AB" w:rsidP="002404A3">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2.   </w:t>
      </w:r>
      <w:r w:rsidR="001F5C90" w:rsidRPr="00BE1959">
        <w:rPr>
          <w:rFonts w:ascii="Times New Roman" w:eastAsia="Times New Roman" w:hAnsi="Times New Roman" w:cs="Times New Roman"/>
          <w:sz w:val="24"/>
          <w:szCs w:val="24"/>
          <w:lang w:val="uk-UA"/>
        </w:rPr>
        <w:t>Держави-члени</w:t>
      </w:r>
      <w:r w:rsidRPr="00BE1959">
        <w:rPr>
          <w:rFonts w:ascii="Times New Roman" w:eastAsia="Times New Roman" w:hAnsi="Times New Roman" w:cs="Times New Roman"/>
          <w:sz w:val="24"/>
          <w:szCs w:val="24"/>
          <w:lang w:val="uk-UA"/>
        </w:rPr>
        <w:t xml:space="preserve"> </w:t>
      </w:r>
      <w:r w:rsidR="009A5DAB" w:rsidRPr="00BE1959">
        <w:rPr>
          <w:rFonts w:ascii="Times New Roman" w:eastAsia="Times New Roman" w:hAnsi="Times New Roman" w:cs="Times New Roman"/>
          <w:sz w:val="24"/>
          <w:szCs w:val="24"/>
          <w:lang w:val="uk-UA"/>
        </w:rPr>
        <w:t>вимагають, щоб будь-яка інвестиційна фірма, бажаюча створити філію на території іншої держави-члена або використовувати пов'язаних агентів, створених в іншій державі-члені, в якій вона не створила філію, спочатку повідомила</w:t>
      </w:r>
      <w:r w:rsidR="002404A3" w:rsidRPr="00BE1959">
        <w:rPr>
          <w:rFonts w:ascii="Times New Roman" w:eastAsia="Times New Roman" w:hAnsi="Times New Roman" w:cs="Times New Roman"/>
          <w:sz w:val="24"/>
          <w:szCs w:val="24"/>
          <w:lang w:val="uk-UA"/>
        </w:rPr>
        <w:t xml:space="preserve"> к</w:t>
      </w:r>
      <w:r w:rsidR="003A5348" w:rsidRPr="00BE1959">
        <w:rPr>
          <w:rFonts w:ascii="Times New Roman" w:eastAsia="Times New Roman" w:hAnsi="Times New Roman" w:cs="Times New Roman"/>
          <w:sz w:val="24"/>
          <w:szCs w:val="24"/>
          <w:lang w:val="uk-UA"/>
        </w:rPr>
        <w:t>омпетентний орган</w:t>
      </w:r>
      <w:r w:rsidRPr="00BE1959">
        <w:rPr>
          <w:rFonts w:ascii="Times New Roman" w:eastAsia="Times New Roman" w:hAnsi="Times New Roman" w:cs="Times New Roman"/>
          <w:sz w:val="24"/>
          <w:szCs w:val="24"/>
          <w:lang w:val="uk-UA"/>
        </w:rPr>
        <w:t xml:space="preserve"> </w:t>
      </w:r>
      <w:r w:rsidR="00214416" w:rsidRPr="00BE1959">
        <w:rPr>
          <w:rFonts w:ascii="Times New Roman" w:eastAsia="Times New Roman" w:hAnsi="Times New Roman" w:cs="Times New Roman"/>
          <w:sz w:val="24"/>
          <w:szCs w:val="24"/>
          <w:lang w:val="uk-UA"/>
        </w:rPr>
        <w:t>держави-члена свого походження</w:t>
      </w:r>
      <w:r w:rsidRPr="00BE1959">
        <w:rPr>
          <w:rFonts w:ascii="Times New Roman" w:eastAsia="Times New Roman" w:hAnsi="Times New Roman" w:cs="Times New Roman"/>
          <w:sz w:val="24"/>
          <w:szCs w:val="24"/>
          <w:lang w:val="uk-UA"/>
        </w:rPr>
        <w:t xml:space="preserve"> </w:t>
      </w:r>
      <w:r w:rsidR="002404A3" w:rsidRPr="00BE1959">
        <w:rPr>
          <w:rFonts w:ascii="Times New Roman" w:eastAsia="Times New Roman" w:hAnsi="Times New Roman" w:cs="Times New Roman"/>
          <w:sz w:val="24"/>
          <w:szCs w:val="24"/>
          <w:lang w:val="uk-UA"/>
        </w:rPr>
        <w:t>і надала йому наступну інформацію:</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9093"/>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3D471F" w:rsidP="003D471F">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держави-члени, на території яких вона планує створити філію, або держави-члени, у якій вона не створила філію, але планує використовувати пов'язаних агентів, створених там;</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3D471F" w:rsidP="00407A73">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програма діяльності, в якій зазначено, зокрема, інвестиційні послуги і (або) види діяльності, а також додаткові послуги, які </w:t>
            </w:r>
            <w:r w:rsidR="00407A73" w:rsidRPr="00BE1959">
              <w:rPr>
                <w:rFonts w:ascii="Times New Roman" w:eastAsia="Times New Roman" w:hAnsi="Times New Roman" w:cs="Times New Roman"/>
                <w:sz w:val="24"/>
                <w:szCs w:val="24"/>
                <w:lang w:val="uk-UA"/>
              </w:rPr>
              <w:t>надаватимуться;</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9093"/>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407A73" w:rsidP="00407A73">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у разі створення філії – організаційна структура філії та інформація про те, чи планує філія використовувати пов'язаних агентів, і дані цих пов'язаних агентів;</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7A560B" w:rsidP="00435086">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якщо пов'язані агенти використовуватимуться у державі-члені, в якій інвестиційна фірма не створила філію, - опис передбаченого використання пов'язаного агента (агентів) і організаційна структура, зокрема </w:t>
            </w:r>
            <w:r w:rsidR="00435086" w:rsidRPr="00BE1959">
              <w:rPr>
                <w:rFonts w:ascii="Times New Roman" w:eastAsia="Times New Roman" w:hAnsi="Times New Roman" w:cs="Times New Roman"/>
                <w:sz w:val="24"/>
                <w:szCs w:val="24"/>
                <w:lang w:val="uk-UA"/>
              </w:rPr>
              <w:t>порядок підпорядкованості, з зазначенням того, як агент (агенти) інтегрований (інтегровані) у корпоративну структуру</w:t>
            </w:r>
            <w:r w:rsidR="005613AB" w:rsidRPr="00BE1959">
              <w:rPr>
                <w:rFonts w:ascii="Times New Roman" w:eastAsia="Times New Roman" w:hAnsi="Times New Roman" w:cs="Times New Roman"/>
                <w:sz w:val="24"/>
                <w:szCs w:val="24"/>
                <w:lang w:val="uk-UA"/>
              </w:rPr>
              <w:t xml:space="preserve"> </w:t>
            </w:r>
            <w:r w:rsidR="003A5348" w:rsidRPr="00BE1959">
              <w:rPr>
                <w:rFonts w:ascii="Times New Roman" w:eastAsia="Times New Roman" w:hAnsi="Times New Roman" w:cs="Times New Roman"/>
                <w:sz w:val="24"/>
                <w:szCs w:val="24"/>
                <w:lang w:val="uk-UA"/>
              </w:rPr>
              <w:t>інвестиційної фірми</w:t>
            </w:r>
            <w:r w:rsidR="005613AB" w:rsidRPr="00BE1959">
              <w:rPr>
                <w:rFonts w:ascii="Times New Roman" w:eastAsia="Times New Roman" w:hAnsi="Times New Roman" w:cs="Times New Roman"/>
                <w:sz w:val="24"/>
                <w:szCs w:val="24"/>
                <w:lang w:val="uk-UA"/>
              </w:rPr>
              <w:t>;</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38"/>
        <w:gridCol w:w="9027"/>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(e)</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435086" w:rsidP="00435086">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адреса у приймаючій державі-члені, з якої можна отримувати документи;</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93"/>
        <w:gridCol w:w="9072"/>
      </w:tblGrid>
      <w:tr w:rsidR="00DE3173"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(f)</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435086" w:rsidP="00EB564A">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прізвища осіб, відповідальних за управління </w:t>
            </w:r>
            <w:r w:rsidR="00EB564A" w:rsidRPr="00BE1959">
              <w:rPr>
                <w:rFonts w:ascii="Times New Roman" w:eastAsia="Times New Roman" w:hAnsi="Times New Roman" w:cs="Times New Roman"/>
                <w:sz w:val="24"/>
                <w:szCs w:val="24"/>
                <w:lang w:val="uk-UA"/>
              </w:rPr>
              <w:t>філією або пов'язаним агентом.</w:t>
            </w:r>
          </w:p>
        </w:tc>
      </w:tr>
    </w:tbl>
    <w:p w:rsidR="005613AB" w:rsidRPr="00BE1959" w:rsidRDefault="00EB564A" w:rsidP="00003A1E">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Я</w:t>
      </w:r>
      <w:r w:rsidR="00003A1E" w:rsidRPr="00BE1959">
        <w:rPr>
          <w:rFonts w:ascii="Times New Roman" w:eastAsia="Times New Roman" w:hAnsi="Times New Roman" w:cs="Times New Roman"/>
          <w:sz w:val="24"/>
          <w:szCs w:val="24"/>
          <w:lang w:val="uk-UA"/>
        </w:rPr>
        <w:t>кщо інвестиційна фірма використовує пов'язаного агента, створеного у державі-члені поза межами держави-члена свого походження, то такий пов'язаний агент прирівнюється до філії, якщо така створена, і у будь-якому випадку підпадає під дію положень цієї директиви, які стосуються філій.</w:t>
      </w:r>
    </w:p>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3.   </w:t>
      </w:r>
      <w:r w:rsidR="005D295A" w:rsidRPr="00BE1959">
        <w:rPr>
          <w:rFonts w:ascii="Times New Roman" w:eastAsia="Times New Roman" w:hAnsi="Times New Roman" w:cs="Times New Roman"/>
          <w:sz w:val="24"/>
          <w:szCs w:val="24"/>
          <w:lang w:val="uk-UA"/>
        </w:rPr>
        <w:t>Якщо компетентний орган держави-члена походження не має підстав сумніватися в адекватності адміністративної структури чи фінансового становища інвестиційної фірми, з урахуванням передбаченої діяльності, то він у тримісячний термін після отримання всієї вищезгаданої інформації передає цю інформацію компетентному органові держави-члена походження, призначеному контактною особою згідно зі статтею 79(1), та відповідним чином повідомляє зацікавлену інвестиційну фірму.</w:t>
      </w:r>
    </w:p>
    <w:p w:rsidR="005613AB" w:rsidRPr="00BE1959" w:rsidRDefault="005613AB" w:rsidP="00E529DC">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4.   </w:t>
      </w:r>
      <w:r w:rsidR="00926A8A" w:rsidRPr="00BE1959">
        <w:rPr>
          <w:rFonts w:ascii="Times New Roman" w:eastAsia="Times New Roman" w:hAnsi="Times New Roman" w:cs="Times New Roman"/>
          <w:sz w:val="24"/>
          <w:szCs w:val="24"/>
          <w:lang w:val="uk-UA"/>
        </w:rPr>
        <w:t>Н</w:t>
      </w:r>
      <w:r w:rsidR="000532CA" w:rsidRPr="00BE1959">
        <w:rPr>
          <w:rFonts w:ascii="Times New Roman" w:eastAsia="Times New Roman" w:hAnsi="Times New Roman" w:cs="Times New Roman"/>
          <w:sz w:val="24"/>
          <w:szCs w:val="24"/>
          <w:lang w:val="uk-UA"/>
        </w:rPr>
        <w:t xml:space="preserve">а </w:t>
      </w:r>
      <w:r w:rsidR="00E529DC" w:rsidRPr="00BE1959">
        <w:rPr>
          <w:rFonts w:ascii="Times New Roman" w:eastAsia="Times New Roman" w:hAnsi="Times New Roman" w:cs="Times New Roman"/>
          <w:sz w:val="24"/>
          <w:szCs w:val="24"/>
          <w:lang w:val="uk-UA"/>
        </w:rPr>
        <w:t>додаток до інформації, згаданої у пункті 2, к</w:t>
      </w:r>
      <w:r w:rsidR="003A5348" w:rsidRPr="00BE1959">
        <w:rPr>
          <w:rFonts w:ascii="Times New Roman" w:eastAsia="Times New Roman" w:hAnsi="Times New Roman" w:cs="Times New Roman"/>
          <w:sz w:val="24"/>
          <w:szCs w:val="24"/>
          <w:lang w:val="uk-UA"/>
        </w:rPr>
        <w:t>омпетентний орган</w:t>
      </w:r>
      <w:r w:rsidRPr="00BE1959">
        <w:rPr>
          <w:rFonts w:ascii="Times New Roman" w:eastAsia="Times New Roman" w:hAnsi="Times New Roman" w:cs="Times New Roman"/>
          <w:sz w:val="24"/>
          <w:szCs w:val="24"/>
          <w:lang w:val="uk-UA"/>
        </w:rPr>
        <w:t xml:space="preserve"> </w:t>
      </w:r>
      <w:r w:rsidR="003A5348" w:rsidRPr="00BE1959">
        <w:rPr>
          <w:rFonts w:ascii="Times New Roman" w:eastAsia="Times New Roman" w:hAnsi="Times New Roman" w:cs="Times New Roman"/>
          <w:sz w:val="24"/>
          <w:szCs w:val="24"/>
          <w:lang w:val="uk-UA"/>
        </w:rPr>
        <w:t>держави-члена походження</w:t>
      </w:r>
      <w:r w:rsidRPr="00BE1959">
        <w:rPr>
          <w:rFonts w:ascii="Times New Roman" w:eastAsia="Times New Roman" w:hAnsi="Times New Roman" w:cs="Times New Roman"/>
          <w:sz w:val="24"/>
          <w:szCs w:val="24"/>
          <w:lang w:val="uk-UA"/>
        </w:rPr>
        <w:t xml:space="preserve"> </w:t>
      </w:r>
      <w:r w:rsidR="00E529DC" w:rsidRPr="00BE1959">
        <w:rPr>
          <w:rFonts w:ascii="Times New Roman" w:eastAsia="Times New Roman" w:hAnsi="Times New Roman" w:cs="Times New Roman"/>
          <w:sz w:val="24"/>
          <w:szCs w:val="24"/>
          <w:lang w:val="uk-UA"/>
        </w:rPr>
        <w:t>повідомляє деталі акредитованої схеми компенсації, членом якої є інвестиційна фірма відповідно до</w:t>
      </w:r>
      <w:r w:rsidR="00945D41" w:rsidRPr="00BE1959">
        <w:rPr>
          <w:rFonts w:ascii="Times New Roman" w:eastAsia="Times New Roman" w:hAnsi="Times New Roman" w:cs="Times New Roman"/>
          <w:sz w:val="24"/>
          <w:szCs w:val="24"/>
          <w:lang w:val="uk-UA"/>
        </w:rPr>
        <w:t xml:space="preserve"> Директиви</w:t>
      </w:r>
      <w:r w:rsidRPr="00BE1959">
        <w:rPr>
          <w:rFonts w:ascii="Times New Roman" w:eastAsia="Times New Roman" w:hAnsi="Times New Roman" w:cs="Times New Roman"/>
          <w:sz w:val="24"/>
          <w:szCs w:val="24"/>
          <w:lang w:val="uk-UA"/>
        </w:rPr>
        <w:t xml:space="preserve"> 97/9/EC</w:t>
      </w:r>
      <w:r w:rsidR="00E529DC" w:rsidRPr="00BE1959">
        <w:rPr>
          <w:rFonts w:ascii="Times New Roman" w:eastAsia="Times New Roman" w:hAnsi="Times New Roman" w:cs="Times New Roman"/>
          <w:sz w:val="24"/>
          <w:szCs w:val="24"/>
          <w:lang w:val="uk-UA"/>
        </w:rPr>
        <w:t>, компетентному органові приймаючої держави-члена. У випадку змін у цій інформації к</w:t>
      </w:r>
      <w:r w:rsidR="003A5348" w:rsidRPr="00BE1959">
        <w:rPr>
          <w:rFonts w:ascii="Times New Roman" w:eastAsia="Times New Roman" w:hAnsi="Times New Roman" w:cs="Times New Roman"/>
          <w:sz w:val="24"/>
          <w:szCs w:val="24"/>
          <w:lang w:val="uk-UA"/>
        </w:rPr>
        <w:t>омпетентний орган</w:t>
      </w:r>
      <w:r w:rsidRPr="00BE1959">
        <w:rPr>
          <w:rFonts w:ascii="Times New Roman" w:eastAsia="Times New Roman" w:hAnsi="Times New Roman" w:cs="Times New Roman"/>
          <w:sz w:val="24"/>
          <w:szCs w:val="24"/>
          <w:lang w:val="uk-UA"/>
        </w:rPr>
        <w:t xml:space="preserve"> </w:t>
      </w:r>
      <w:r w:rsidR="003A5348" w:rsidRPr="00BE1959">
        <w:rPr>
          <w:rFonts w:ascii="Times New Roman" w:eastAsia="Times New Roman" w:hAnsi="Times New Roman" w:cs="Times New Roman"/>
          <w:sz w:val="24"/>
          <w:szCs w:val="24"/>
          <w:lang w:val="uk-UA"/>
        </w:rPr>
        <w:lastRenderedPageBreak/>
        <w:t>держави-члена походження</w:t>
      </w:r>
      <w:r w:rsidRPr="00BE1959">
        <w:rPr>
          <w:rFonts w:ascii="Times New Roman" w:eastAsia="Times New Roman" w:hAnsi="Times New Roman" w:cs="Times New Roman"/>
          <w:sz w:val="24"/>
          <w:szCs w:val="24"/>
          <w:lang w:val="uk-UA"/>
        </w:rPr>
        <w:t xml:space="preserve"> </w:t>
      </w:r>
      <w:r w:rsidR="00E529DC" w:rsidRPr="00BE1959">
        <w:rPr>
          <w:rFonts w:ascii="Times New Roman" w:eastAsia="Times New Roman" w:hAnsi="Times New Roman" w:cs="Times New Roman"/>
          <w:sz w:val="24"/>
          <w:szCs w:val="24"/>
          <w:lang w:val="uk-UA"/>
        </w:rPr>
        <w:t>відповідним чином повідомляє к</w:t>
      </w:r>
      <w:r w:rsidR="003A5348" w:rsidRPr="00BE1959">
        <w:rPr>
          <w:rFonts w:ascii="Times New Roman" w:eastAsia="Times New Roman" w:hAnsi="Times New Roman" w:cs="Times New Roman"/>
          <w:sz w:val="24"/>
          <w:szCs w:val="24"/>
          <w:lang w:val="uk-UA"/>
        </w:rPr>
        <w:t>омпетентний орган</w:t>
      </w:r>
      <w:r w:rsidRPr="00BE1959">
        <w:rPr>
          <w:rFonts w:ascii="Times New Roman" w:eastAsia="Times New Roman" w:hAnsi="Times New Roman" w:cs="Times New Roman"/>
          <w:sz w:val="24"/>
          <w:szCs w:val="24"/>
          <w:lang w:val="uk-UA"/>
        </w:rPr>
        <w:t xml:space="preserve"> </w:t>
      </w:r>
      <w:r w:rsidR="00E529DC" w:rsidRPr="00BE1959">
        <w:rPr>
          <w:rFonts w:ascii="Times New Roman" w:eastAsia="Times New Roman" w:hAnsi="Times New Roman" w:cs="Times New Roman"/>
          <w:sz w:val="24"/>
          <w:szCs w:val="24"/>
          <w:lang w:val="uk-UA"/>
        </w:rPr>
        <w:t>приймаючої держави-члена.</w:t>
      </w:r>
    </w:p>
    <w:p w:rsidR="005613AB" w:rsidRPr="00BE1959" w:rsidRDefault="005613AB" w:rsidP="00066C23">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5.   </w:t>
      </w:r>
      <w:r w:rsidR="00267D86" w:rsidRPr="00BE1959">
        <w:rPr>
          <w:rFonts w:ascii="Times New Roman" w:eastAsia="Times New Roman" w:hAnsi="Times New Roman" w:cs="Times New Roman"/>
          <w:sz w:val="24"/>
          <w:szCs w:val="24"/>
          <w:lang w:val="uk-UA"/>
        </w:rPr>
        <w:t>Якщо компетентний орган держави-члена походження відмовляється передати вищезгадану інформацію компетентному органові приймаючої держави-члена, то він наводить підстави відмови зацікавленій інвестиційній фірмі у тримісячний термін після отримання всієї вищезгаданої інформації.</w:t>
      </w:r>
    </w:p>
    <w:p w:rsidR="005613AB" w:rsidRPr="00BE1959" w:rsidRDefault="00066C23" w:rsidP="003C3A22">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6.  </w:t>
      </w:r>
      <w:r w:rsidR="00F50B1D" w:rsidRPr="00BE1959">
        <w:rPr>
          <w:rFonts w:ascii="Times New Roman" w:eastAsia="Times New Roman" w:hAnsi="Times New Roman" w:cs="Times New Roman"/>
          <w:sz w:val="24"/>
          <w:szCs w:val="24"/>
          <w:lang w:val="uk-UA"/>
        </w:rPr>
        <w:t>Після одержання повідомлення від компетентного органу приймаючої держави-члена або неодержання такого повідомлення від цього органу протягом максимум двох місяців із дати передачі повідомлення компетентним органом держави-члена походження філія може бути створена і почати діяльність.</w:t>
      </w:r>
    </w:p>
    <w:p w:rsidR="005613AB" w:rsidRPr="00BE1959" w:rsidRDefault="005613AB" w:rsidP="005D295A">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7.   </w:t>
      </w:r>
      <w:r w:rsidR="005D295A" w:rsidRPr="00BE1959">
        <w:rPr>
          <w:rFonts w:ascii="Times New Roman" w:eastAsia="Times New Roman" w:hAnsi="Times New Roman" w:cs="Times New Roman"/>
          <w:sz w:val="24"/>
          <w:szCs w:val="24"/>
          <w:lang w:val="uk-UA"/>
        </w:rPr>
        <w:t>Будь-яка кредитна установа, бажаюча використовувати пов'язаного агента, створеного у державі-члені, поза межами приймаючої держави-члена для надання інвестиційних послуг і (або) ведення інвестиційної діяльності, а також додаткових послуг відповідно до цієї директиви, повідомляє к</w:t>
      </w:r>
      <w:r w:rsidR="003A5348" w:rsidRPr="00BE1959">
        <w:rPr>
          <w:rFonts w:ascii="Times New Roman" w:eastAsia="Times New Roman" w:hAnsi="Times New Roman" w:cs="Times New Roman"/>
          <w:sz w:val="24"/>
          <w:szCs w:val="24"/>
          <w:lang w:val="uk-UA"/>
        </w:rPr>
        <w:t>омпетентний орган</w:t>
      </w:r>
      <w:r w:rsidRPr="00BE1959">
        <w:rPr>
          <w:rFonts w:ascii="Times New Roman" w:eastAsia="Times New Roman" w:hAnsi="Times New Roman" w:cs="Times New Roman"/>
          <w:sz w:val="24"/>
          <w:szCs w:val="24"/>
          <w:lang w:val="uk-UA"/>
        </w:rPr>
        <w:t xml:space="preserve"> </w:t>
      </w:r>
      <w:r w:rsidR="00214416" w:rsidRPr="00BE1959">
        <w:rPr>
          <w:rFonts w:ascii="Times New Roman" w:eastAsia="Times New Roman" w:hAnsi="Times New Roman" w:cs="Times New Roman"/>
          <w:sz w:val="24"/>
          <w:szCs w:val="24"/>
          <w:lang w:val="uk-UA"/>
        </w:rPr>
        <w:t>держави-члена свого походження</w:t>
      </w:r>
      <w:r w:rsidRPr="00BE1959">
        <w:rPr>
          <w:rFonts w:ascii="Times New Roman" w:eastAsia="Times New Roman" w:hAnsi="Times New Roman" w:cs="Times New Roman"/>
          <w:sz w:val="24"/>
          <w:szCs w:val="24"/>
          <w:lang w:val="uk-UA"/>
        </w:rPr>
        <w:t xml:space="preserve"> </w:t>
      </w:r>
      <w:r w:rsidR="005D295A" w:rsidRPr="00BE1959">
        <w:rPr>
          <w:rFonts w:ascii="Times New Roman" w:eastAsia="Times New Roman" w:hAnsi="Times New Roman" w:cs="Times New Roman"/>
          <w:sz w:val="24"/>
          <w:szCs w:val="24"/>
          <w:lang w:val="uk-UA"/>
        </w:rPr>
        <w:t>і надає йому інформацію, згадану в пункті 2.</w:t>
      </w:r>
    </w:p>
    <w:p w:rsidR="005D295A" w:rsidRPr="00BE1959" w:rsidRDefault="005D295A"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Якщо компетентний орган держави-члена походження не має підстав сумніватися в адекватності адміністративної структури чи фінансового становища </w:t>
      </w:r>
      <w:r w:rsidR="00267D86" w:rsidRPr="00BE1959">
        <w:rPr>
          <w:rFonts w:ascii="Times New Roman" w:eastAsia="Times New Roman" w:hAnsi="Times New Roman" w:cs="Times New Roman"/>
          <w:sz w:val="24"/>
          <w:szCs w:val="24"/>
          <w:lang w:val="uk-UA"/>
        </w:rPr>
        <w:t>кредитної установи</w:t>
      </w:r>
      <w:r w:rsidRPr="00BE1959">
        <w:rPr>
          <w:rFonts w:ascii="Times New Roman" w:eastAsia="Times New Roman" w:hAnsi="Times New Roman" w:cs="Times New Roman"/>
          <w:sz w:val="24"/>
          <w:szCs w:val="24"/>
          <w:lang w:val="uk-UA"/>
        </w:rPr>
        <w:t xml:space="preserve">, то він у тримісячний термін після отримання всієї вищезгаданої інформації передає цю інформацію компетентному органові </w:t>
      </w:r>
      <w:r w:rsidR="00267D86" w:rsidRPr="00BE1959">
        <w:rPr>
          <w:rFonts w:ascii="Times New Roman" w:eastAsia="Times New Roman" w:hAnsi="Times New Roman" w:cs="Times New Roman"/>
          <w:sz w:val="24"/>
          <w:szCs w:val="24"/>
          <w:lang w:val="uk-UA"/>
        </w:rPr>
        <w:t xml:space="preserve">приймаючої </w:t>
      </w:r>
      <w:r w:rsidRPr="00BE1959">
        <w:rPr>
          <w:rFonts w:ascii="Times New Roman" w:eastAsia="Times New Roman" w:hAnsi="Times New Roman" w:cs="Times New Roman"/>
          <w:sz w:val="24"/>
          <w:szCs w:val="24"/>
          <w:lang w:val="uk-UA"/>
        </w:rPr>
        <w:t xml:space="preserve">держави-члена, призначеному контактною особою згідно зі статтею 79(1), та відповідним чином повідомляє зацікавлену </w:t>
      </w:r>
      <w:r w:rsidR="00267D86" w:rsidRPr="00BE1959">
        <w:rPr>
          <w:rFonts w:ascii="Times New Roman" w:eastAsia="Times New Roman" w:hAnsi="Times New Roman" w:cs="Times New Roman"/>
          <w:sz w:val="24"/>
          <w:szCs w:val="24"/>
          <w:lang w:val="uk-UA"/>
        </w:rPr>
        <w:t>кредитну установу</w:t>
      </w:r>
      <w:r w:rsidRPr="00BE1959">
        <w:rPr>
          <w:rFonts w:ascii="Times New Roman" w:eastAsia="Times New Roman" w:hAnsi="Times New Roman" w:cs="Times New Roman"/>
          <w:sz w:val="24"/>
          <w:szCs w:val="24"/>
          <w:lang w:val="uk-UA"/>
        </w:rPr>
        <w:t>.</w:t>
      </w:r>
    </w:p>
    <w:p w:rsidR="00267D86" w:rsidRPr="00BE1959" w:rsidRDefault="00267D86"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Якщо компетентний орган держави-члена походження відмовляється передати вищезгадану інформацію компетентному органові приймаючої держави-члена, то він наводить підстави відмови зацікавленій </w:t>
      </w:r>
      <w:r w:rsidR="00F50B1D" w:rsidRPr="00BE1959">
        <w:rPr>
          <w:rFonts w:ascii="Times New Roman" w:eastAsia="Times New Roman" w:hAnsi="Times New Roman" w:cs="Times New Roman"/>
          <w:sz w:val="24"/>
          <w:szCs w:val="24"/>
          <w:lang w:val="uk-UA"/>
        </w:rPr>
        <w:t>кредитній установі</w:t>
      </w:r>
      <w:r w:rsidRPr="00BE1959">
        <w:rPr>
          <w:rFonts w:ascii="Times New Roman" w:eastAsia="Times New Roman" w:hAnsi="Times New Roman" w:cs="Times New Roman"/>
          <w:sz w:val="24"/>
          <w:szCs w:val="24"/>
          <w:lang w:val="uk-UA"/>
        </w:rPr>
        <w:t xml:space="preserve"> у тримісячний термін після отримання всієї вищезгаданої інформації.</w:t>
      </w:r>
    </w:p>
    <w:p w:rsidR="005613AB" w:rsidRPr="00BE1959" w:rsidRDefault="00F50B1D" w:rsidP="00F50B1D">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Після одержання повідомлення від компетентного органу приймаючої держави-члена або неодержання такого повідомлення від цього органу протягом максимум двох місяців із дати передачі повідомлення компетентним органом держави-члена походження пов'язаний агент може почати діяльність. Такий пов'язаний агент підпадає під дію положень цієї директиви, які стосуються філій.</w:t>
      </w:r>
    </w:p>
    <w:p w:rsidR="005613AB" w:rsidRPr="00BE1959" w:rsidRDefault="005613AB" w:rsidP="004C2227">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8.   </w:t>
      </w:r>
      <w:r w:rsidR="003A5348" w:rsidRPr="00BE1959">
        <w:rPr>
          <w:rFonts w:ascii="Times New Roman" w:eastAsia="Times New Roman" w:hAnsi="Times New Roman" w:cs="Times New Roman"/>
          <w:sz w:val="24"/>
          <w:szCs w:val="24"/>
          <w:lang w:val="uk-UA"/>
        </w:rPr>
        <w:t>Компетентний орган</w:t>
      </w:r>
      <w:r w:rsidRPr="00BE1959">
        <w:rPr>
          <w:rFonts w:ascii="Times New Roman" w:eastAsia="Times New Roman" w:hAnsi="Times New Roman" w:cs="Times New Roman"/>
          <w:sz w:val="24"/>
          <w:szCs w:val="24"/>
          <w:lang w:val="uk-UA"/>
        </w:rPr>
        <w:t xml:space="preserve"> </w:t>
      </w:r>
      <w:r w:rsidR="00856ECB" w:rsidRPr="00BE1959">
        <w:rPr>
          <w:rFonts w:ascii="Times New Roman" w:eastAsia="Times New Roman" w:hAnsi="Times New Roman" w:cs="Times New Roman"/>
          <w:sz w:val="24"/>
          <w:szCs w:val="24"/>
          <w:lang w:val="uk-UA"/>
        </w:rPr>
        <w:t>держави-члена, в якій розташована філія, приймає на себе відповідальність за забезпечення відповідності послуг, надаваних цією філією на її території, обов’язкам, передбаченим у статтях</w:t>
      </w:r>
      <w:r w:rsidRPr="00BE1959">
        <w:rPr>
          <w:rFonts w:ascii="Times New Roman" w:eastAsia="Times New Roman" w:hAnsi="Times New Roman" w:cs="Times New Roman"/>
          <w:sz w:val="24"/>
          <w:szCs w:val="24"/>
          <w:lang w:val="uk-UA"/>
        </w:rPr>
        <w:t xml:space="preserve"> 24, 25, 27, 28 </w:t>
      </w:r>
      <w:r w:rsidR="00432567" w:rsidRPr="00BE1959">
        <w:rPr>
          <w:rFonts w:ascii="Times New Roman" w:eastAsia="Times New Roman" w:hAnsi="Times New Roman" w:cs="Times New Roman"/>
          <w:sz w:val="24"/>
          <w:szCs w:val="24"/>
          <w:lang w:val="uk-UA"/>
        </w:rPr>
        <w:t>цієї директиви</w:t>
      </w:r>
      <w:r w:rsidRPr="00BE1959">
        <w:rPr>
          <w:rFonts w:ascii="Times New Roman" w:eastAsia="Times New Roman" w:hAnsi="Times New Roman" w:cs="Times New Roman"/>
          <w:sz w:val="24"/>
          <w:szCs w:val="24"/>
          <w:lang w:val="uk-UA"/>
        </w:rPr>
        <w:t xml:space="preserve"> </w:t>
      </w:r>
      <w:r w:rsidR="00856ECB" w:rsidRPr="00BE1959">
        <w:rPr>
          <w:rFonts w:ascii="Times New Roman" w:eastAsia="Times New Roman" w:hAnsi="Times New Roman" w:cs="Times New Roman"/>
          <w:sz w:val="24"/>
          <w:szCs w:val="24"/>
          <w:lang w:val="uk-UA"/>
        </w:rPr>
        <w:t>і с</w:t>
      </w:r>
      <w:r w:rsidR="00162A11" w:rsidRPr="00BE1959">
        <w:rPr>
          <w:rFonts w:ascii="Times New Roman" w:eastAsia="Times New Roman" w:hAnsi="Times New Roman" w:cs="Times New Roman"/>
          <w:sz w:val="24"/>
          <w:szCs w:val="24"/>
          <w:lang w:val="uk-UA"/>
        </w:rPr>
        <w:t>таття</w:t>
      </w:r>
      <w:r w:rsidR="00856ECB" w:rsidRPr="00BE1959">
        <w:rPr>
          <w:rFonts w:ascii="Times New Roman" w:eastAsia="Times New Roman" w:hAnsi="Times New Roman" w:cs="Times New Roman"/>
          <w:sz w:val="24"/>
          <w:szCs w:val="24"/>
          <w:lang w:val="uk-UA"/>
        </w:rPr>
        <w:t>х</w:t>
      </w:r>
      <w:r w:rsidRPr="00BE1959">
        <w:rPr>
          <w:rFonts w:ascii="Times New Roman" w:eastAsia="Times New Roman" w:hAnsi="Times New Roman" w:cs="Times New Roman"/>
          <w:sz w:val="24"/>
          <w:szCs w:val="24"/>
          <w:lang w:val="uk-UA"/>
        </w:rPr>
        <w:t xml:space="preserve"> 14</w:t>
      </w:r>
      <w:r w:rsidR="00856ECB" w:rsidRPr="00BE1959">
        <w:rPr>
          <w:rFonts w:ascii="Times New Roman" w:eastAsia="Times New Roman" w:hAnsi="Times New Roman" w:cs="Times New Roman"/>
          <w:sz w:val="24"/>
          <w:szCs w:val="24"/>
          <w:lang w:val="uk-UA"/>
        </w:rPr>
        <w:t>-</w:t>
      </w:r>
      <w:r w:rsidRPr="00BE1959">
        <w:rPr>
          <w:rFonts w:ascii="Times New Roman" w:eastAsia="Times New Roman" w:hAnsi="Times New Roman" w:cs="Times New Roman"/>
          <w:sz w:val="24"/>
          <w:szCs w:val="24"/>
          <w:lang w:val="uk-UA"/>
        </w:rPr>
        <w:t xml:space="preserve">26 </w:t>
      </w:r>
      <w:r w:rsidR="008824AE" w:rsidRPr="00BE1959">
        <w:rPr>
          <w:rFonts w:ascii="Times New Roman" w:eastAsia="Times New Roman" w:hAnsi="Times New Roman" w:cs="Times New Roman"/>
          <w:sz w:val="24"/>
          <w:szCs w:val="24"/>
          <w:lang w:val="uk-UA"/>
        </w:rPr>
        <w:t>Регламенту</w:t>
      </w:r>
      <w:r w:rsidRPr="00BE1959">
        <w:rPr>
          <w:rFonts w:ascii="Times New Roman" w:eastAsia="Times New Roman" w:hAnsi="Times New Roman" w:cs="Times New Roman"/>
          <w:sz w:val="24"/>
          <w:szCs w:val="24"/>
          <w:lang w:val="uk-UA"/>
        </w:rPr>
        <w:t xml:space="preserve"> </w:t>
      </w:r>
      <w:r w:rsidR="007B0149" w:rsidRPr="00BE1959">
        <w:rPr>
          <w:rFonts w:ascii="Times New Roman" w:eastAsia="Times New Roman" w:hAnsi="Times New Roman" w:cs="Times New Roman"/>
          <w:sz w:val="24"/>
          <w:szCs w:val="24"/>
          <w:lang w:val="uk-UA"/>
        </w:rPr>
        <w:t>(EU) № 600/2014</w:t>
      </w:r>
      <w:r w:rsidR="00856ECB" w:rsidRPr="00BE1959">
        <w:rPr>
          <w:rFonts w:ascii="Times New Roman" w:eastAsia="Times New Roman" w:hAnsi="Times New Roman" w:cs="Times New Roman"/>
          <w:sz w:val="24"/>
          <w:szCs w:val="24"/>
          <w:lang w:val="uk-UA"/>
        </w:rPr>
        <w:t>, та заходам, ужитим н</w:t>
      </w:r>
      <w:r w:rsidR="004C2227" w:rsidRPr="00BE1959">
        <w:rPr>
          <w:rFonts w:ascii="Times New Roman" w:eastAsia="Times New Roman" w:hAnsi="Times New Roman" w:cs="Times New Roman"/>
          <w:sz w:val="24"/>
          <w:szCs w:val="24"/>
          <w:lang w:val="uk-UA"/>
        </w:rPr>
        <w:t>а виконання вищезгаданих статей приймаючою державою-членом, де це дозволено відповідно до статті 24(12).</w:t>
      </w:r>
    </w:p>
    <w:p w:rsidR="005613AB" w:rsidRPr="00BE1959" w:rsidRDefault="003A5348" w:rsidP="00D961E9">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Компетентний орган</w:t>
      </w:r>
      <w:r w:rsidR="005613AB" w:rsidRPr="00BE1959">
        <w:rPr>
          <w:rFonts w:ascii="Times New Roman" w:eastAsia="Times New Roman" w:hAnsi="Times New Roman" w:cs="Times New Roman"/>
          <w:sz w:val="24"/>
          <w:szCs w:val="24"/>
          <w:lang w:val="uk-UA"/>
        </w:rPr>
        <w:t xml:space="preserve"> </w:t>
      </w:r>
      <w:r w:rsidR="00856ECB" w:rsidRPr="00BE1959">
        <w:rPr>
          <w:rFonts w:ascii="Times New Roman" w:eastAsia="Times New Roman" w:hAnsi="Times New Roman" w:cs="Times New Roman"/>
          <w:sz w:val="24"/>
          <w:szCs w:val="24"/>
          <w:lang w:val="uk-UA"/>
        </w:rPr>
        <w:t>держави-члена</w:t>
      </w:r>
      <w:r w:rsidR="004C2227" w:rsidRPr="00BE1959">
        <w:rPr>
          <w:rFonts w:ascii="Times New Roman" w:eastAsia="Times New Roman" w:hAnsi="Times New Roman" w:cs="Times New Roman"/>
          <w:sz w:val="24"/>
          <w:szCs w:val="24"/>
          <w:lang w:val="uk-UA"/>
        </w:rPr>
        <w:t xml:space="preserve">, в якій розташована філія, має право перевіряти механізми діяльності філії та вимагати внесення змін, </w:t>
      </w:r>
      <w:r w:rsidR="00B93DCC" w:rsidRPr="00BE1959">
        <w:rPr>
          <w:rFonts w:ascii="Times New Roman" w:eastAsia="Times New Roman" w:hAnsi="Times New Roman" w:cs="Times New Roman"/>
          <w:sz w:val="24"/>
          <w:szCs w:val="24"/>
          <w:lang w:val="uk-UA"/>
        </w:rPr>
        <w:t>обов’язково необхідних для того, щоб компетентний орган міг забезпечити виконання обов’язків, передбачених у статтях</w:t>
      </w:r>
      <w:r w:rsidR="005613AB" w:rsidRPr="00BE1959">
        <w:rPr>
          <w:rFonts w:ascii="Times New Roman" w:eastAsia="Times New Roman" w:hAnsi="Times New Roman" w:cs="Times New Roman"/>
          <w:sz w:val="24"/>
          <w:szCs w:val="24"/>
          <w:lang w:val="uk-UA"/>
        </w:rPr>
        <w:t xml:space="preserve"> </w:t>
      </w:r>
      <w:r w:rsidR="005613AB" w:rsidRPr="00BE1959">
        <w:rPr>
          <w:rFonts w:ascii="Times New Roman" w:eastAsia="Times New Roman" w:hAnsi="Times New Roman" w:cs="Times New Roman"/>
          <w:sz w:val="24"/>
          <w:szCs w:val="24"/>
          <w:lang w:val="uk-UA"/>
        </w:rPr>
        <w:lastRenderedPageBreak/>
        <w:t xml:space="preserve">24, 25, 27, 28 </w:t>
      </w:r>
      <w:r w:rsidR="00432567" w:rsidRPr="00BE1959">
        <w:rPr>
          <w:rFonts w:ascii="Times New Roman" w:eastAsia="Times New Roman" w:hAnsi="Times New Roman" w:cs="Times New Roman"/>
          <w:sz w:val="24"/>
          <w:szCs w:val="24"/>
          <w:lang w:val="uk-UA"/>
        </w:rPr>
        <w:t>цієї директиви</w:t>
      </w:r>
      <w:r w:rsidR="005613AB" w:rsidRPr="00BE1959">
        <w:rPr>
          <w:rFonts w:ascii="Times New Roman" w:eastAsia="Times New Roman" w:hAnsi="Times New Roman" w:cs="Times New Roman"/>
          <w:sz w:val="24"/>
          <w:szCs w:val="24"/>
          <w:lang w:val="uk-UA"/>
        </w:rPr>
        <w:t xml:space="preserve"> </w:t>
      </w:r>
      <w:r w:rsidR="00B93DCC" w:rsidRPr="00BE1959">
        <w:rPr>
          <w:rFonts w:ascii="Times New Roman" w:eastAsia="Times New Roman" w:hAnsi="Times New Roman" w:cs="Times New Roman"/>
          <w:sz w:val="24"/>
          <w:szCs w:val="24"/>
          <w:lang w:val="uk-UA"/>
        </w:rPr>
        <w:t>і статтях 14-26</w:t>
      </w:r>
      <w:r w:rsidR="005613AB" w:rsidRPr="00BE1959">
        <w:rPr>
          <w:rFonts w:ascii="Times New Roman" w:eastAsia="Times New Roman" w:hAnsi="Times New Roman" w:cs="Times New Roman"/>
          <w:sz w:val="24"/>
          <w:szCs w:val="24"/>
          <w:lang w:val="uk-UA"/>
        </w:rPr>
        <w:t xml:space="preserve"> </w:t>
      </w:r>
      <w:r w:rsidR="008824AE" w:rsidRPr="00BE1959">
        <w:rPr>
          <w:rFonts w:ascii="Times New Roman" w:eastAsia="Times New Roman" w:hAnsi="Times New Roman" w:cs="Times New Roman"/>
          <w:sz w:val="24"/>
          <w:szCs w:val="24"/>
          <w:lang w:val="uk-UA"/>
        </w:rPr>
        <w:t>Регламенту</w:t>
      </w:r>
      <w:r w:rsidR="005613AB" w:rsidRPr="00BE1959">
        <w:rPr>
          <w:rFonts w:ascii="Times New Roman" w:eastAsia="Times New Roman" w:hAnsi="Times New Roman" w:cs="Times New Roman"/>
          <w:sz w:val="24"/>
          <w:szCs w:val="24"/>
          <w:lang w:val="uk-UA"/>
        </w:rPr>
        <w:t xml:space="preserve"> </w:t>
      </w:r>
      <w:r w:rsidR="007B0149" w:rsidRPr="00BE1959">
        <w:rPr>
          <w:rFonts w:ascii="Times New Roman" w:eastAsia="Times New Roman" w:hAnsi="Times New Roman" w:cs="Times New Roman"/>
          <w:sz w:val="24"/>
          <w:szCs w:val="24"/>
          <w:lang w:val="uk-UA"/>
        </w:rPr>
        <w:t>(EU) № 600/2014</w:t>
      </w:r>
      <w:r w:rsidR="00DD2D73" w:rsidRPr="00BE1959">
        <w:rPr>
          <w:rFonts w:ascii="Times New Roman" w:eastAsia="Times New Roman" w:hAnsi="Times New Roman" w:cs="Times New Roman"/>
          <w:sz w:val="24"/>
          <w:szCs w:val="24"/>
          <w:lang w:val="uk-UA"/>
        </w:rPr>
        <w:t>, та заходів, ужитих на виконання вищезгаданих статей стосовно послуг</w:t>
      </w:r>
      <w:r w:rsidR="00D961E9" w:rsidRPr="00BE1959">
        <w:rPr>
          <w:rFonts w:ascii="Times New Roman" w:eastAsia="Times New Roman" w:hAnsi="Times New Roman" w:cs="Times New Roman"/>
          <w:sz w:val="24"/>
          <w:szCs w:val="24"/>
          <w:lang w:val="uk-UA"/>
        </w:rPr>
        <w:t>, які філія надає, та</w:t>
      </w:r>
      <w:r w:rsidR="00DD2D73" w:rsidRPr="00BE1959">
        <w:rPr>
          <w:rFonts w:ascii="Times New Roman" w:eastAsia="Times New Roman" w:hAnsi="Times New Roman" w:cs="Times New Roman"/>
          <w:sz w:val="24"/>
          <w:szCs w:val="24"/>
          <w:lang w:val="uk-UA"/>
        </w:rPr>
        <w:t xml:space="preserve"> (або) видів</w:t>
      </w:r>
      <w:r w:rsidR="00D961E9" w:rsidRPr="00BE1959">
        <w:rPr>
          <w:rFonts w:ascii="Times New Roman" w:eastAsia="Times New Roman" w:hAnsi="Times New Roman" w:cs="Times New Roman"/>
          <w:sz w:val="24"/>
          <w:szCs w:val="24"/>
          <w:lang w:val="uk-UA"/>
        </w:rPr>
        <w:t xml:space="preserve"> діяльності, які філія веде на її території.</w:t>
      </w:r>
    </w:p>
    <w:p w:rsidR="005613AB" w:rsidRPr="00BE1959" w:rsidRDefault="005613AB" w:rsidP="00D57633">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9.   </w:t>
      </w:r>
      <w:r w:rsidR="00D961E9" w:rsidRPr="00BE1959">
        <w:rPr>
          <w:rFonts w:ascii="Times New Roman" w:eastAsia="Times New Roman" w:hAnsi="Times New Roman" w:cs="Times New Roman"/>
          <w:sz w:val="24"/>
          <w:szCs w:val="24"/>
          <w:lang w:val="uk-UA"/>
        </w:rPr>
        <w:t>Кожна держава-член передбачає, що, якщо інвестиційна фірма, яка має дозвіл в іншій державі-члені, створила філію на її території, то к</w:t>
      </w:r>
      <w:r w:rsidR="003A5348" w:rsidRPr="00BE1959">
        <w:rPr>
          <w:rFonts w:ascii="Times New Roman" w:eastAsia="Times New Roman" w:hAnsi="Times New Roman" w:cs="Times New Roman"/>
          <w:sz w:val="24"/>
          <w:szCs w:val="24"/>
          <w:lang w:val="uk-UA"/>
        </w:rPr>
        <w:t>омпетентний орган</w:t>
      </w:r>
      <w:r w:rsidRPr="00BE1959">
        <w:rPr>
          <w:rFonts w:ascii="Times New Roman" w:eastAsia="Times New Roman" w:hAnsi="Times New Roman" w:cs="Times New Roman"/>
          <w:sz w:val="24"/>
          <w:szCs w:val="24"/>
          <w:lang w:val="uk-UA"/>
        </w:rPr>
        <w:t xml:space="preserve"> </w:t>
      </w:r>
      <w:r w:rsidR="003A5348" w:rsidRPr="00BE1959">
        <w:rPr>
          <w:rFonts w:ascii="Times New Roman" w:eastAsia="Times New Roman" w:hAnsi="Times New Roman" w:cs="Times New Roman"/>
          <w:sz w:val="24"/>
          <w:szCs w:val="24"/>
          <w:lang w:val="uk-UA"/>
        </w:rPr>
        <w:t>держави-члена походження</w:t>
      </w:r>
      <w:r w:rsidRPr="00BE1959">
        <w:rPr>
          <w:rFonts w:ascii="Times New Roman" w:eastAsia="Times New Roman" w:hAnsi="Times New Roman" w:cs="Times New Roman"/>
          <w:sz w:val="24"/>
          <w:szCs w:val="24"/>
          <w:lang w:val="uk-UA"/>
        </w:rPr>
        <w:t xml:space="preserve"> </w:t>
      </w:r>
      <w:r w:rsidR="003A5348" w:rsidRPr="00BE1959">
        <w:rPr>
          <w:rFonts w:ascii="Times New Roman" w:eastAsia="Times New Roman" w:hAnsi="Times New Roman" w:cs="Times New Roman"/>
          <w:sz w:val="24"/>
          <w:szCs w:val="24"/>
          <w:lang w:val="uk-UA"/>
        </w:rPr>
        <w:t>інвестиційної фірми</w:t>
      </w:r>
      <w:r w:rsidR="00CE601A" w:rsidRPr="00BE1959">
        <w:rPr>
          <w:rFonts w:ascii="Times New Roman" w:eastAsia="Times New Roman" w:hAnsi="Times New Roman" w:cs="Times New Roman"/>
          <w:sz w:val="24"/>
          <w:szCs w:val="24"/>
          <w:lang w:val="uk-UA"/>
        </w:rPr>
        <w:t xml:space="preserve"> у порядку виконання своїх обов’язків та після інформування компетентного органу</w:t>
      </w:r>
      <w:r w:rsidRPr="00BE1959">
        <w:rPr>
          <w:rFonts w:ascii="Times New Roman" w:eastAsia="Times New Roman" w:hAnsi="Times New Roman" w:cs="Times New Roman"/>
          <w:sz w:val="24"/>
          <w:szCs w:val="24"/>
          <w:lang w:val="uk-UA"/>
        </w:rPr>
        <w:t xml:space="preserve"> </w:t>
      </w:r>
      <w:r w:rsidR="00066C23" w:rsidRPr="00BE1959">
        <w:rPr>
          <w:rFonts w:ascii="Times New Roman" w:eastAsia="Times New Roman" w:hAnsi="Times New Roman" w:cs="Times New Roman"/>
          <w:sz w:val="24"/>
          <w:szCs w:val="24"/>
          <w:lang w:val="uk-UA"/>
        </w:rPr>
        <w:t>приймаючої держави-члена</w:t>
      </w:r>
      <w:r w:rsidR="00D57633" w:rsidRPr="00BE1959">
        <w:rPr>
          <w:rFonts w:ascii="Times New Roman" w:eastAsia="Times New Roman" w:hAnsi="Times New Roman" w:cs="Times New Roman"/>
          <w:sz w:val="24"/>
          <w:szCs w:val="24"/>
          <w:lang w:val="uk-UA"/>
        </w:rPr>
        <w:t xml:space="preserve"> може проводити перевірки на місці у цій філії.</w:t>
      </w:r>
    </w:p>
    <w:p w:rsidR="00D57633"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10.   </w:t>
      </w:r>
      <w:r w:rsidR="00D57633" w:rsidRPr="00BE1959">
        <w:rPr>
          <w:rFonts w:ascii="Times New Roman" w:eastAsia="Times New Roman" w:hAnsi="Times New Roman" w:cs="Times New Roman"/>
          <w:sz w:val="24"/>
          <w:szCs w:val="24"/>
          <w:lang w:val="uk-UA"/>
        </w:rPr>
        <w:t xml:space="preserve">У випадку зміни у будь-якій інформації, поданій відповідно до пункту 2, інвестиційна фірма надає письмове повідомлення про таку зміну компетентному органові держави-члена походження як мінімум за місяць до внесення зміни. Компетентний орган держави-члена походження </w:t>
      </w:r>
      <w:r w:rsidR="009F09BC" w:rsidRPr="00BE1959">
        <w:rPr>
          <w:rFonts w:ascii="Times New Roman" w:eastAsia="Times New Roman" w:hAnsi="Times New Roman" w:cs="Times New Roman"/>
          <w:sz w:val="24"/>
          <w:szCs w:val="24"/>
          <w:lang w:val="uk-UA"/>
        </w:rPr>
        <w:t xml:space="preserve">також </w:t>
      </w:r>
      <w:r w:rsidR="00D57633" w:rsidRPr="00BE1959">
        <w:rPr>
          <w:rFonts w:ascii="Times New Roman" w:eastAsia="Times New Roman" w:hAnsi="Times New Roman" w:cs="Times New Roman"/>
          <w:sz w:val="24"/>
          <w:szCs w:val="24"/>
          <w:lang w:val="uk-UA"/>
        </w:rPr>
        <w:t>інформує про вищезгадану зміну компетентний орган приймаючої держави-члена.</w:t>
      </w:r>
    </w:p>
    <w:p w:rsidR="002404A3" w:rsidRPr="00BE1959" w:rsidRDefault="002404A3" w:rsidP="002404A3">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11.   ESMA розробляє проекти нормативно-технічних стандартів, де зазначає інформацію, що підлягає повідомленню відповідно до пунктів 2, 4, 7 та 10.</w:t>
      </w:r>
    </w:p>
    <w:p w:rsidR="002404A3" w:rsidRPr="00BE1959" w:rsidRDefault="002404A3" w:rsidP="002404A3">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ESMA подає проекти цих нормативно-технічних стандартів Комісії до 3 липня 2015 року.</w:t>
      </w:r>
    </w:p>
    <w:p w:rsidR="002404A3" w:rsidRPr="00BE1959" w:rsidRDefault="002404A3" w:rsidP="002404A3">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Комісії делегується повноваження на прийняття нормативно-технічних стандартів, згаданих у першому абзаці цього пункту, згідно зі статтями 10-14 Регламенту (EU) № 1095/2010.</w:t>
      </w:r>
    </w:p>
    <w:p w:rsidR="002404A3" w:rsidRPr="00BE1959" w:rsidRDefault="00861E04" w:rsidP="002404A3">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12</w:t>
      </w:r>
      <w:r w:rsidR="002404A3" w:rsidRPr="00BE1959">
        <w:rPr>
          <w:rFonts w:ascii="Times New Roman" w:eastAsia="Times New Roman" w:hAnsi="Times New Roman" w:cs="Times New Roman"/>
          <w:sz w:val="24"/>
          <w:szCs w:val="24"/>
          <w:lang w:val="uk-UA"/>
        </w:rPr>
        <w:t xml:space="preserve">.   ESMA розробляє проекти виконавчих технічних стандартів, якими встановлюються типові форми, шаблони та процедури передачі інформації відповідно до пунктів 3, 4, </w:t>
      </w:r>
      <w:r w:rsidRPr="00BE1959">
        <w:rPr>
          <w:rFonts w:ascii="Times New Roman" w:eastAsia="Times New Roman" w:hAnsi="Times New Roman" w:cs="Times New Roman"/>
          <w:sz w:val="24"/>
          <w:szCs w:val="24"/>
          <w:lang w:val="uk-UA"/>
        </w:rPr>
        <w:t>7</w:t>
      </w:r>
      <w:r w:rsidR="002404A3" w:rsidRPr="00BE1959">
        <w:rPr>
          <w:rFonts w:ascii="Times New Roman" w:eastAsia="Times New Roman" w:hAnsi="Times New Roman" w:cs="Times New Roman"/>
          <w:sz w:val="24"/>
          <w:szCs w:val="24"/>
          <w:lang w:val="uk-UA"/>
        </w:rPr>
        <w:t xml:space="preserve"> та </w:t>
      </w:r>
      <w:r w:rsidRPr="00BE1959">
        <w:rPr>
          <w:rFonts w:ascii="Times New Roman" w:eastAsia="Times New Roman" w:hAnsi="Times New Roman" w:cs="Times New Roman"/>
          <w:sz w:val="24"/>
          <w:szCs w:val="24"/>
          <w:lang w:val="uk-UA"/>
        </w:rPr>
        <w:t>10</w:t>
      </w:r>
      <w:r w:rsidR="002404A3" w:rsidRPr="00BE1959">
        <w:rPr>
          <w:rFonts w:ascii="Times New Roman" w:eastAsia="Times New Roman" w:hAnsi="Times New Roman" w:cs="Times New Roman"/>
          <w:sz w:val="24"/>
          <w:szCs w:val="24"/>
          <w:lang w:val="uk-UA"/>
        </w:rPr>
        <w:t>.</w:t>
      </w:r>
    </w:p>
    <w:p w:rsidR="002404A3" w:rsidRPr="00BE1959" w:rsidRDefault="002404A3" w:rsidP="002404A3">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ESMA подає проекти цих виконавчих технічних стандартів Комісії до 3</w:t>
      </w:r>
      <w:r w:rsidR="00861E04" w:rsidRPr="00BE1959">
        <w:rPr>
          <w:rFonts w:ascii="Times New Roman" w:eastAsia="Times New Roman" w:hAnsi="Times New Roman" w:cs="Times New Roman"/>
          <w:sz w:val="24"/>
          <w:szCs w:val="24"/>
          <w:lang w:val="uk-UA"/>
        </w:rPr>
        <w:t xml:space="preserve"> січня </w:t>
      </w:r>
      <w:r w:rsidRPr="00BE1959">
        <w:rPr>
          <w:rFonts w:ascii="Times New Roman" w:eastAsia="Times New Roman" w:hAnsi="Times New Roman" w:cs="Times New Roman"/>
          <w:sz w:val="24"/>
          <w:szCs w:val="24"/>
          <w:lang w:val="uk-UA"/>
        </w:rPr>
        <w:t>2016 року.</w:t>
      </w:r>
    </w:p>
    <w:p w:rsidR="002404A3" w:rsidRPr="00BE1959" w:rsidRDefault="002404A3" w:rsidP="002404A3">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Комісії надається повноваження на прийняття виконавчих технічних стандартів, згаданих у першому абзаці цього пункту, згідно зі статтею 15 Регламенту (EU) № 1095/2010.</w:t>
      </w:r>
    </w:p>
    <w:p w:rsidR="005613AB" w:rsidRPr="00BE1959" w:rsidRDefault="00162A11" w:rsidP="005613AB">
      <w:pPr>
        <w:spacing w:before="360" w:after="120" w:line="312" w:lineRule="atLeast"/>
        <w:jc w:val="center"/>
        <w:textAlignment w:val="baseline"/>
        <w:rPr>
          <w:rFonts w:ascii="Times New Roman" w:eastAsia="Times New Roman" w:hAnsi="Times New Roman" w:cs="Times New Roman"/>
          <w:i/>
          <w:iCs/>
          <w:sz w:val="24"/>
          <w:szCs w:val="24"/>
          <w:lang w:val="uk-UA"/>
        </w:rPr>
      </w:pPr>
      <w:r w:rsidRPr="00BE1959">
        <w:rPr>
          <w:rFonts w:ascii="Times New Roman" w:eastAsia="Times New Roman" w:hAnsi="Times New Roman" w:cs="Times New Roman"/>
          <w:i/>
          <w:iCs/>
          <w:sz w:val="24"/>
          <w:szCs w:val="24"/>
          <w:lang w:val="uk-UA"/>
        </w:rPr>
        <w:t>Стаття</w:t>
      </w:r>
      <w:r w:rsidR="005613AB" w:rsidRPr="00BE1959">
        <w:rPr>
          <w:rFonts w:ascii="Times New Roman" w:eastAsia="Times New Roman" w:hAnsi="Times New Roman" w:cs="Times New Roman"/>
          <w:i/>
          <w:iCs/>
          <w:sz w:val="24"/>
          <w:szCs w:val="24"/>
          <w:lang w:val="uk-UA"/>
        </w:rPr>
        <w:t xml:space="preserve"> 36</w:t>
      </w:r>
    </w:p>
    <w:p w:rsidR="005613AB" w:rsidRPr="00BE1959" w:rsidRDefault="0016381E" w:rsidP="005613AB">
      <w:pPr>
        <w:spacing w:before="60" w:after="120" w:line="312" w:lineRule="atLeast"/>
        <w:jc w:val="center"/>
        <w:textAlignment w:val="baseline"/>
        <w:rPr>
          <w:rFonts w:ascii="Times New Roman" w:eastAsia="Times New Roman" w:hAnsi="Times New Roman" w:cs="Times New Roman"/>
          <w:b/>
          <w:bCs/>
          <w:sz w:val="24"/>
          <w:szCs w:val="24"/>
          <w:lang w:val="uk-UA"/>
        </w:rPr>
      </w:pPr>
      <w:r w:rsidRPr="00BE1959">
        <w:rPr>
          <w:rFonts w:ascii="Times New Roman" w:eastAsia="Times New Roman" w:hAnsi="Times New Roman" w:cs="Times New Roman"/>
          <w:b/>
          <w:bCs/>
          <w:sz w:val="24"/>
          <w:szCs w:val="24"/>
          <w:lang w:val="uk-UA"/>
        </w:rPr>
        <w:t>Доступ до регульованих ринків</w:t>
      </w:r>
    </w:p>
    <w:p w:rsidR="005613AB" w:rsidRPr="00BE1959" w:rsidRDefault="005613AB" w:rsidP="00280E2F">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1.   </w:t>
      </w:r>
      <w:r w:rsidR="00511D52" w:rsidRPr="00BE1959">
        <w:rPr>
          <w:rFonts w:ascii="Times New Roman" w:eastAsia="Times New Roman" w:hAnsi="Times New Roman" w:cs="Times New Roman"/>
          <w:sz w:val="24"/>
          <w:szCs w:val="24"/>
          <w:lang w:val="uk-UA"/>
        </w:rPr>
        <w:t xml:space="preserve">Держави-члени вимагають, </w:t>
      </w:r>
      <w:r w:rsidR="002D58E7" w:rsidRPr="00BE1959">
        <w:rPr>
          <w:rFonts w:ascii="Times New Roman" w:eastAsia="Times New Roman" w:hAnsi="Times New Roman" w:cs="Times New Roman"/>
          <w:sz w:val="24"/>
          <w:szCs w:val="24"/>
          <w:lang w:val="uk-UA"/>
        </w:rPr>
        <w:t>щоб інвестиційні фірми</w:t>
      </w:r>
      <w:r w:rsidRPr="00BE1959">
        <w:rPr>
          <w:rFonts w:ascii="Times New Roman" w:eastAsia="Times New Roman" w:hAnsi="Times New Roman" w:cs="Times New Roman"/>
          <w:sz w:val="24"/>
          <w:szCs w:val="24"/>
          <w:lang w:val="uk-UA"/>
        </w:rPr>
        <w:t xml:space="preserve"> </w:t>
      </w:r>
      <w:r w:rsidR="00A11DC0" w:rsidRPr="00BE1959">
        <w:rPr>
          <w:rFonts w:ascii="Times New Roman" w:eastAsia="Times New Roman" w:hAnsi="Times New Roman" w:cs="Times New Roman"/>
          <w:sz w:val="24"/>
          <w:szCs w:val="24"/>
          <w:lang w:val="uk-UA"/>
        </w:rPr>
        <w:t>з інших держав-членів, які мають дозвіл на виконання замовлень клієнтів або здійснення операцій за власний рахунок, мали право членства у регульованих ринках або доступ до регульованих ринків, створених на їхній території, за допомогою одного з наступних механізмів:</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39"/>
        <w:gridCol w:w="9026"/>
      </w:tblGrid>
      <w:tr w:rsidR="00280E2F"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280E2F" w:rsidP="00280E2F">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безпосередньо, шляхом створення філій у приймаючих державах-членах;</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DE3173"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004C24" w:rsidP="00A23FD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шляхом набуття статусу віддаленого члена регульованого ринку чи отримання дистанційного доступу до регульованого ринку</w:t>
            </w:r>
            <w:r w:rsidR="00A23FDB" w:rsidRPr="00BE1959">
              <w:rPr>
                <w:rFonts w:ascii="Times New Roman" w:eastAsia="Times New Roman" w:hAnsi="Times New Roman" w:cs="Times New Roman"/>
                <w:sz w:val="24"/>
                <w:szCs w:val="24"/>
                <w:lang w:val="uk-UA"/>
              </w:rPr>
              <w:t xml:space="preserve"> без необхідності створення філії у приймаючій державі-члена регульованого ринку, де процедури та системи торгівлі </w:t>
            </w:r>
            <w:r w:rsidR="00A23FDB" w:rsidRPr="00BE1959">
              <w:rPr>
                <w:rFonts w:ascii="Times New Roman" w:eastAsia="Times New Roman" w:hAnsi="Times New Roman" w:cs="Times New Roman"/>
                <w:sz w:val="24"/>
                <w:szCs w:val="24"/>
                <w:lang w:val="uk-UA"/>
              </w:rPr>
              <w:lastRenderedPageBreak/>
              <w:t>розглядуваного ринку не вимагають фізичної присутності для укладення угод на цьому ринку.</w:t>
            </w:r>
          </w:p>
        </w:tc>
      </w:tr>
    </w:tbl>
    <w:p w:rsidR="005613AB" w:rsidRPr="00BE1959" w:rsidRDefault="005613AB" w:rsidP="000029FC">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lastRenderedPageBreak/>
        <w:t>2.   </w:t>
      </w:r>
      <w:r w:rsidR="001F5C90" w:rsidRPr="00BE1959">
        <w:rPr>
          <w:rFonts w:ascii="Times New Roman" w:eastAsia="Times New Roman" w:hAnsi="Times New Roman" w:cs="Times New Roman"/>
          <w:sz w:val="24"/>
          <w:szCs w:val="24"/>
          <w:lang w:val="uk-UA"/>
        </w:rPr>
        <w:t>Держави-члени</w:t>
      </w:r>
      <w:r w:rsidRPr="00BE1959">
        <w:rPr>
          <w:rFonts w:ascii="Times New Roman" w:eastAsia="Times New Roman" w:hAnsi="Times New Roman" w:cs="Times New Roman"/>
          <w:sz w:val="24"/>
          <w:szCs w:val="24"/>
          <w:lang w:val="uk-UA"/>
        </w:rPr>
        <w:t xml:space="preserve"> </w:t>
      </w:r>
      <w:r w:rsidR="00EC4C06" w:rsidRPr="00BE1959">
        <w:rPr>
          <w:rFonts w:ascii="Times New Roman" w:eastAsia="Times New Roman" w:hAnsi="Times New Roman" w:cs="Times New Roman"/>
          <w:sz w:val="24"/>
          <w:szCs w:val="24"/>
          <w:lang w:val="uk-UA"/>
        </w:rPr>
        <w:t xml:space="preserve">не встановлюють </w:t>
      </w:r>
      <w:r w:rsidR="000029FC" w:rsidRPr="00BE1959">
        <w:rPr>
          <w:rFonts w:ascii="Times New Roman" w:eastAsia="Times New Roman" w:hAnsi="Times New Roman" w:cs="Times New Roman"/>
          <w:sz w:val="24"/>
          <w:szCs w:val="24"/>
          <w:lang w:val="uk-UA"/>
        </w:rPr>
        <w:t>додаткових нормативних або адміністративних вимог щодо питань, охоплених цією директивою, до інвестиційних фірм, які реалізують право, надане пунктом 1 цієї статті.</w:t>
      </w:r>
    </w:p>
    <w:p w:rsidR="005613AB" w:rsidRPr="00BE1959" w:rsidRDefault="00162A11" w:rsidP="005613AB">
      <w:pPr>
        <w:spacing w:before="360" w:after="120" w:line="312" w:lineRule="atLeast"/>
        <w:jc w:val="center"/>
        <w:textAlignment w:val="baseline"/>
        <w:rPr>
          <w:rFonts w:ascii="Times New Roman" w:eastAsia="Times New Roman" w:hAnsi="Times New Roman" w:cs="Times New Roman"/>
          <w:i/>
          <w:iCs/>
          <w:sz w:val="24"/>
          <w:szCs w:val="24"/>
          <w:lang w:val="uk-UA"/>
        </w:rPr>
      </w:pPr>
      <w:r w:rsidRPr="00BE1959">
        <w:rPr>
          <w:rFonts w:ascii="Times New Roman" w:eastAsia="Times New Roman" w:hAnsi="Times New Roman" w:cs="Times New Roman"/>
          <w:i/>
          <w:iCs/>
          <w:sz w:val="24"/>
          <w:szCs w:val="24"/>
          <w:lang w:val="uk-UA"/>
        </w:rPr>
        <w:t>Стаття</w:t>
      </w:r>
      <w:r w:rsidR="005613AB" w:rsidRPr="00BE1959">
        <w:rPr>
          <w:rFonts w:ascii="Times New Roman" w:eastAsia="Times New Roman" w:hAnsi="Times New Roman" w:cs="Times New Roman"/>
          <w:i/>
          <w:iCs/>
          <w:sz w:val="24"/>
          <w:szCs w:val="24"/>
          <w:lang w:val="uk-UA"/>
        </w:rPr>
        <w:t xml:space="preserve"> 37</w:t>
      </w:r>
    </w:p>
    <w:p w:rsidR="005613AB" w:rsidRPr="00BE1959" w:rsidRDefault="0016381E" w:rsidP="004B4C01">
      <w:pPr>
        <w:spacing w:before="60" w:after="120" w:line="312" w:lineRule="atLeast"/>
        <w:jc w:val="center"/>
        <w:textAlignment w:val="baseline"/>
        <w:rPr>
          <w:rFonts w:ascii="Times New Roman" w:eastAsia="Times New Roman" w:hAnsi="Times New Roman" w:cs="Times New Roman"/>
          <w:b/>
          <w:bCs/>
          <w:sz w:val="24"/>
          <w:szCs w:val="24"/>
          <w:lang w:val="uk-UA"/>
        </w:rPr>
      </w:pPr>
      <w:r w:rsidRPr="00BE1959">
        <w:rPr>
          <w:rFonts w:ascii="Times New Roman" w:eastAsia="Times New Roman" w:hAnsi="Times New Roman" w:cs="Times New Roman"/>
          <w:b/>
          <w:bCs/>
          <w:sz w:val="24"/>
          <w:szCs w:val="24"/>
          <w:lang w:val="uk-UA"/>
        </w:rPr>
        <w:t xml:space="preserve">Доступ до ЦКА, </w:t>
      </w:r>
      <w:r w:rsidR="00AD4473" w:rsidRPr="00BE1959">
        <w:rPr>
          <w:rFonts w:ascii="Times New Roman" w:eastAsia="Times New Roman" w:hAnsi="Times New Roman" w:cs="Times New Roman"/>
          <w:b/>
          <w:bCs/>
          <w:sz w:val="24"/>
          <w:szCs w:val="24"/>
          <w:lang w:val="uk-UA"/>
        </w:rPr>
        <w:t xml:space="preserve">клірингових і </w:t>
      </w:r>
      <w:r w:rsidR="004B4C01" w:rsidRPr="00BE1959">
        <w:rPr>
          <w:rFonts w:ascii="Times New Roman" w:eastAsia="Times New Roman" w:hAnsi="Times New Roman" w:cs="Times New Roman"/>
          <w:b/>
          <w:bCs/>
          <w:sz w:val="24"/>
          <w:szCs w:val="24"/>
          <w:lang w:val="uk-UA"/>
        </w:rPr>
        <w:t>розрахунков</w:t>
      </w:r>
      <w:r w:rsidR="00AD4473" w:rsidRPr="00BE1959">
        <w:rPr>
          <w:rFonts w:ascii="Times New Roman" w:eastAsia="Times New Roman" w:hAnsi="Times New Roman" w:cs="Times New Roman"/>
          <w:b/>
          <w:bCs/>
          <w:sz w:val="24"/>
          <w:szCs w:val="24"/>
          <w:lang w:val="uk-UA"/>
        </w:rPr>
        <w:t>и</w:t>
      </w:r>
      <w:r w:rsidR="004B4C01" w:rsidRPr="00BE1959">
        <w:rPr>
          <w:rFonts w:ascii="Times New Roman" w:eastAsia="Times New Roman" w:hAnsi="Times New Roman" w:cs="Times New Roman"/>
          <w:b/>
          <w:bCs/>
          <w:sz w:val="24"/>
          <w:szCs w:val="24"/>
          <w:lang w:val="uk-UA"/>
        </w:rPr>
        <w:t xml:space="preserve">х систем </w:t>
      </w:r>
      <w:r w:rsidR="00AD4473" w:rsidRPr="00BE1959">
        <w:rPr>
          <w:rFonts w:ascii="Times New Roman" w:eastAsia="Times New Roman" w:hAnsi="Times New Roman" w:cs="Times New Roman"/>
          <w:b/>
          <w:bCs/>
          <w:sz w:val="24"/>
          <w:szCs w:val="24"/>
          <w:lang w:val="uk-UA"/>
        </w:rPr>
        <w:t>та</w:t>
      </w:r>
      <w:r w:rsidR="004B4C01" w:rsidRPr="00BE1959">
        <w:rPr>
          <w:rFonts w:ascii="Times New Roman" w:eastAsia="Times New Roman" w:hAnsi="Times New Roman" w:cs="Times New Roman"/>
          <w:b/>
          <w:bCs/>
          <w:sz w:val="24"/>
          <w:szCs w:val="24"/>
          <w:lang w:val="uk-UA"/>
        </w:rPr>
        <w:t xml:space="preserve"> право призначати розрахункову систему</w:t>
      </w:r>
    </w:p>
    <w:p w:rsidR="005613AB" w:rsidRPr="00BE1959" w:rsidRDefault="005613AB" w:rsidP="00AD4473">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1.   </w:t>
      </w:r>
      <w:r w:rsidR="004304E7" w:rsidRPr="00BE1959">
        <w:rPr>
          <w:rFonts w:ascii="Times New Roman" w:eastAsia="Times New Roman" w:hAnsi="Times New Roman" w:cs="Times New Roman"/>
          <w:sz w:val="24"/>
          <w:szCs w:val="24"/>
          <w:lang w:val="uk-UA"/>
        </w:rPr>
        <w:t>Без шкоди для розділів</w:t>
      </w:r>
      <w:r w:rsidRPr="00BE1959">
        <w:rPr>
          <w:rFonts w:ascii="Times New Roman" w:eastAsia="Times New Roman" w:hAnsi="Times New Roman" w:cs="Times New Roman"/>
          <w:sz w:val="24"/>
          <w:szCs w:val="24"/>
          <w:lang w:val="uk-UA"/>
        </w:rPr>
        <w:t xml:space="preserve"> III, IV </w:t>
      </w:r>
      <w:r w:rsidR="004304E7" w:rsidRPr="00BE1959">
        <w:rPr>
          <w:rFonts w:ascii="Times New Roman" w:eastAsia="Times New Roman" w:hAnsi="Times New Roman" w:cs="Times New Roman"/>
          <w:sz w:val="24"/>
          <w:szCs w:val="24"/>
          <w:lang w:val="uk-UA"/>
        </w:rPr>
        <w:t>або</w:t>
      </w:r>
      <w:r w:rsidRPr="00BE1959">
        <w:rPr>
          <w:rFonts w:ascii="Times New Roman" w:eastAsia="Times New Roman" w:hAnsi="Times New Roman" w:cs="Times New Roman"/>
          <w:sz w:val="24"/>
          <w:szCs w:val="24"/>
          <w:lang w:val="uk-UA"/>
        </w:rPr>
        <w:t xml:space="preserve"> V </w:t>
      </w:r>
      <w:r w:rsidR="008824AE" w:rsidRPr="00BE1959">
        <w:rPr>
          <w:rFonts w:ascii="Times New Roman" w:eastAsia="Times New Roman" w:hAnsi="Times New Roman" w:cs="Times New Roman"/>
          <w:sz w:val="24"/>
          <w:szCs w:val="24"/>
          <w:lang w:val="uk-UA"/>
        </w:rPr>
        <w:t>Регламенту</w:t>
      </w:r>
      <w:r w:rsidRPr="00BE1959">
        <w:rPr>
          <w:rFonts w:ascii="Times New Roman" w:eastAsia="Times New Roman" w:hAnsi="Times New Roman" w:cs="Times New Roman"/>
          <w:sz w:val="24"/>
          <w:szCs w:val="24"/>
          <w:lang w:val="uk-UA"/>
        </w:rPr>
        <w:t xml:space="preserve"> </w:t>
      </w:r>
      <w:r w:rsidR="00DB4825" w:rsidRPr="00BE1959">
        <w:rPr>
          <w:rFonts w:ascii="Times New Roman" w:eastAsia="Times New Roman" w:hAnsi="Times New Roman" w:cs="Times New Roman"/>
          <w:sz w:val="24"/>
          <w:szCs w:val="24"/>
          <w:lang w:val="uk-UA"/>
        </w:rPr>
        <w:t>(EU) №</w:t>
      </w:r>
      <w:r w:rsidRPr="00BE1959">
        <w:rPr>
          <w:rFonts w:ascii="Times New Roman" w:eastAsia="Times New Roman" w:hAnsi="Times New Roman" w:cs="Times New Roman"/>
          <w:sz w:val="24"/>
          <w:szCs w:val="24"/>
          <w:lang w:val="uk-UA"/>
        </w:rPr>
        <w:t xml:space="preserve"> 648/2012 </w:t>
      </w:r>
      <w:r w:rsidR="004304E7" w:rsidRPr="00BE1959">
        <w:rPr>
          <w:rFonts w:ascii="Times New Roman" w:eastAsia="Times New Roman" w:hAnsi="Times New Roman" w:cs="Times New Roman"/>
          <w:sz w:val="24"/>
          <w:szCs w:val="24"/>
          <w:lang w:val="uk-UA"/>
        </w:rPr>
        <w:t>д</w:t>
      </w:r>
      <w:r w:rsidR="00511D52" w:rsidRPr="00BE1959">
        <w:rPr>
          <w:rFonts w:ascii="Times New Roman" w:eastAsia="Times New Roman" w:hAnsi="Times New Roman" w:cs="Times New Roman"/>
          <w:sz w:val="24"/>
          <w:szCs w:val="24"/>
          <w:lang w:val="uk-UA"/>
        </w:rPr>
        <w:t xml:space="preserve">ержави-члени вимагають, </w:t>
      </w:r>
      <w:r w:rsidR="002D58E7" w:rsidRPr="00BE1959">
        <w:rPr>
          <w:rFonts w:ascii="Times New Roman" w:eastAsia="Times New Roman" w:hAnsi="Times New Roman" w:cs="Times New Roman"/>
          <w:sz w:val="24"/>
          <w:szCs w:val="24"/>
          <w:lang w:val="uk-UA"/>
        </w:rPr>
        <w:t>щоб інвестиційні фірми</w:t>
      </w:r>
      <w:r w:rsidRPr="00BE1959">
        <w:rPr>
          <w:rFonts w:ascii="Times New Roman" w:eastAsia="Times New Roman" w:hAnsi="Times New Roman" w:cs="Times New Roman"/>
          <w:sz w:val="24"/>
          <w:szCs w:val="24"/>
          <w:lang w:val="uk-UA"/>
        </w:rPr>
        <w:t xml:space="preserve"> </w:t>
      </w:r>
      <w:r w:rsidR="004304E7" w:rsidRPr="00BE1959">
        <w:rPr>
          <w:rFonts w:ascii="Times New Roman" w:eastAsia="Times New Roman" w:hAnsi="Times New Roman" w:cs="Times New Roman"/>
          <w:sz w:val="24"/>
          <w:szCs w:val="24"/>
          <w:lang w:val="uk-UA"/>
        </w:rPr>
        <w:t>з інших держав-членів мали право на прямий та непрямий доступ до ЦКА</w:t>
      </w:r>
      <w:r w:rsidR="008E61BE" w:rsidRPr="00BE1959">
        <w:rPr>
          <w:rFonts w:ascii="Times New Roman" w:eastAsia="Times New Roman" w:hAnsi="Times New Roman" w:cs="Times New Roman"/>
          <w:sz w:val="24"/>
          <w:szCs w:val="24"/>
          <w:lang w:val="uk-UA"/>
        </w:rPr>
        <w:t>,</w:t>
      </w:r>
      <w:r w:rsidR="004304E7" w:rsidRPr="00BE1959">
        <w:rPr>
          <w:rFonts w:ascii="Times New Roman" w:eastAsia="Times New Roman" w:hAnsi="Times New Roman" w:cs="Times New Roman"/>
          <w:sz w:val="24"/>
          <w:szCs w:val="24"/>
          <w:lang w:val="uk-UA"/>
        </w:rPr>
        <w:t xml:space="preserve"> клірингових </w:t>
      </w:r>
      <w:r w:rsidR="008E61BE" w:rsidRPr="00BE1959">
        <w:rPr>
          <w:rFonts w:ascii="Times New Roman" w:eastAsia="Times New Roman" w:hAnsi="Times New Roman" w:cs="Times New Roman"/>
          <w:sz w:val="24"/>
          <w:szCs w:val="24"/>
          <w:lang w:val="uk-UA"/>
        </w:rPr>
        <w:t xml:space="preserve">та розрахункових </w:t>
      </w:r>
      <w:r w:rsidR="004304E7" w:rsidRPr="00BE1959">
        <w:rPr>
          <w:rFonts w:ascii="Times New Roman" w:eastAsia="Times New Roman" w:hAnsi="Times New Roman" w:cs="Times New Roman"/>
          <w:sz w:val="24"/>
          <w:szCs w:val="24"/>
          <w:lang w:val="uk-UA"/>
        </w:rPr>
        <w:t xml:space="preserve">систем на їхній території в цілях </w:t>
      </w:r>
      <w:r w:rsidR="00AD4473" w:rsidRPr="00BE1959">
        <w:rPr>
          <w:rFonts w:ascii="Times New Roman" w:eastAsia="Times New Roman" w:hAnsi="Times New Roman" w:cs="Times New Roman"/>
          <w:sz w:val="24"/>
          <w:szCs w:val="24"/>
          <w:lang w:val="uk-UA"/>
        </w:rPr>
        <w:t>остаточного оформлення</w:t>
      </w:r>
      <w:r w:rsidR="004304E7" w:rsidRPr="00BE1959">
        <w:rPr>
          <w:rFonts w:ascii="Times New Roman" w:eastAsia="Times New Roman" w:hAnsi="Times New Roman" w:cs="Times New Roman"/>
          <w:sz w:val="24"/>
          <w:szCs w:val="24"/>
          <w:lang w:val="uk-UA"/>
        </w:rPr>
        <w:t xml:space="preserve"> або організації </w:t>
      </w:r>
      <w:r w:rsidR="00AD4473" w:rsidRPr="00BE1959">
        <w:rPr>
          <w:rFonts w:ascii="Times New Roman" w:eastAsia="Times New Roman" w:hAnsi="Times New Roman" w:cs="Times New Roman"/>
          <w:sz w:val="24"/>
          <w:szCs w:val="24"/>
          <w:lang w:val="uk-UA"/>
        </w:rPr>
        <w:t>остаточного оформлення угод щодо фінансових інструментів.</w:t>
      </w:r>
    </w:p>
    <w:p w:rsidR="005613AB" w:rsidRPr="00BE1959" w:rsidRDefault="00511D52" w:rsidP="008E61BE">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Держави-члени вимагають, щоб</w:t>
      </w:r>
      <w:r w:rsidR="005613AB" w:rsidRPr="00BE1959">
        <w:rPr>
          <w:rFonts w:ascii="Times New Roman" w:eastAsia="Times New Roman" w:hAnsi="Times New Roman" w:cs="Times New Roman"/>
          <w:sz w:val="24"/>
          <w:szCs w:val="24"/>
          <w:lang w:val="uk-UA"/>
        </w:rPr>
        <w:t xml:space="preserve"> </w:t>
      </w:r>
      <w:r w:rsidR="00AD4473" w:rsidRPr="00BE1959">
        <w:rPr>
          <w:rFonts w:ascii="Times New Roman" w:eastAsia="Times New Roman" w:hAnsi="Times New Roman" w:cs="Times New Roman"/>
          <w:sz w:val="24"/>
          <w:szCs w:val="24"/>
          <w:lang w:val="uk-UA"/>
        </w:rPr>
        <w:t>прямий та непрямий доступ цих інвестиційних фірм до таких засобів підпадав під дію тих самих недискримінаційних, прозорих і об’єктивних критеріїв, які застосовуються до місцевих членів або учасників.</w:t>
      </w:r>
      <w:r w:rsidR="005613AB" w:rsidRPr="00BE1959">
        <w:rPr>
          <w:rFonts w:ascii="Times New Roman" w:eastAsia="Times New Roman" w:hAnsi="Times New Roman" w:cs="Times New Roman"/>
          <w:sz w:val="24"/>
          <w:szCs w:val="24"/>
          <w:lang w:val="uk-UA"/>
        </w:rPr>
        <w:t xml:space="preserve"> </w:t>
      </w:r>
      <w:r w:rsidR="001F5C90" w:rsidRPr="00BE1959">
        <w:rPr>
          <w:rFonts w:ascii="Times New Roman" w:eastAsia="Times New Roman" w:hAnsi="Times New Roman" w:cs="Times New Roman"/>
          <w:sz w:val="24"/>
          <w:szCs w:val="24"/>
          <w:lang w:val="uk-UA"/>
        </w:rPr>
        <w:t>Держави-члени</w:t>
      </w:r>
      <w:r w:rsidR="005613AB" w:rsidRPr="00BE1959">
        <w:rPr>
          <w:rFonts w:ascii="Times New Roman" w:eastAsia="Times New Roman" w:hAnsi="Times New Roman" w:cs="Times New Roman"/>
          <w:sz w:val="24"/>
          <w:szCs w:val="24"/>
          <w:lang w:val="uk-UA"/>
        </w:rPr>
        <w:t xml:space="preserve"> </w:t>
      </w:r>
      <w:r w:rsidR="00AD4473" w:rsidRPr="00BE1959">
        <w:rPr>
          <w:rFonts w:ascii="Times New Roman" w:eastAsia="Times New Roman" w:hAnsi="Times New Roman" w:cs="Times New Roman"/>
          <w:sz w:val="24"/>
          <w:szCs w:val="24"/>
          <w:lang w:val="uk-UA"/>
        </w:rPr>
        <w:t xml:space="preserve">не обмежують використання цих засобів клірингом і розрахунками за </w:t>
      </w:r>
      <w:r w:rsidR="008E61BE" w:rsidRPr="00BE1959">
        <w:rPr>
          <w:rFonts w:ascii="Times New Roman" w:eastAsia="Times New Roman" w:hAnsi="Times New Roman" w:cs="Times New Roman"/>
          <w:sz w:val="24"/>
          <w:szCs w:val="24"/>
          <w:lang w:val="uk-UA"/>
        </w:rPr>
        <w:t>угодами щодо фінансових інструментів, укладеними на торговельному майданчику на їхній території.</w:t>
      </w:r>
    </w:p>
    <w:p w:rsidR="005613AB" w:rsidRPr="00BE1959" w:rsidRDefault="005613AB" w:rsidP="00254076">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2.   </w:t>
      </w:r>
      <w:r w:rsidR="00511D52" w:rsidRPr="00BE1959">
        <w:rPr>
          <w:rFonts w:ascii="Times New Roman" w:eastAsia="Times New Roman" w:hAnsi="Times New Roman" w:cs="Times New Roman"/>
          <w:sz w:val="24"/>
          <w:szCs w:val="24"/>
          <w:lang w:val="uk-UA"/>
        </w:rPr>
        <w:t>Держави-члени вимагають, щоб</w:t>
      </w:r>
      <w:r w:rsidRPr="00BE1959">
        <w:rPr>
          <w:rFonts w:ascii="Times New Roman" w:eastAsia="Times New Roman" w:hAnsi="Times New Roman" w:cs="Times New Roman"/>
          <w:sz w:val="24"/>
          <w:szCs w:val="24"/>
          <w:lang w:val="uk-UA"/>
        </w:rPr>
        <w:t xml:space="preserve"> </w:t>
      </w:r>
      <w:r w:rsidR="00254076" w:rsidRPr="00BE1959">
        <w:rPr>
          <w:rFonts w:ascii="Times New Roman" w:eastAsia="Times New Roman" w:hAnsi="Times New Roman" w:cs="Times New Roman"/>
          <w:sz w:val="24"/>
          <w:szCs w:val="24"/>
          <w:lang w:val="uk-UA"/>
        </w:rPr>
        <w:t>регульовані ринки на їхній території надавали всім їхнім членам або учасникам право призначати систему для розрахунків за угодами щодо фінансових інструментів, укладеними на даному регульованому ринку, з урахуванням наступних умов:</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9093"/>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7C764E" w:rsidP="00EA25A1">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зв'язки та домовленості між призначеною розрахунковою системою та будь-якою іншою системою або майданчиком, необхідні для забез</w:t>
            </w:r>
            <w:r w:rsidR="00A8513A" w:rsidRPr="00BE1959">
              <w:rPr>
                <w:rFonts w:ascii="Times New Roman" w:eastAsia="Times New Roman" w:hAnsi="Times New Roman" w:cs="Times New Roman"/>
                <w:sz w:val="24"/>
                <w:szCs w:val="24"/>
                <w:lang w:val="uk-UA"/>
              </w:rPr>
              <w:t xml:space="preserve">печення ефективного та економічно доцільного розрахунку за </w:t>
            </w:r>
            <w:r w:rsidR="00EA25A1" w:rsidRPr="00BE1959">
              <w:rPr>
                <w:rFonts w:ascii="Times New Roman" w:eastAsia="Times New Roman" w:hAnsi="Times New Roman" w:cs="Times New Roman"/>
                <w:sz w:val="24"/>
                <w:szCs w:val="24"/>
                <w:lang w:val="uk-UA"/>
              </w:rPr>
              <w:t>даною угодою;</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DE3173"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EA25A1" w:rsidP="003F12F5">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згода компетентного органу, відповідального за нагляд за регульованим ринком, на те, щоб технічні умови розрахунків за угодами, укладеними на регульованому ринку, через іншу розрахункову систему, ніж призначена регульованим ринком, були такими, щоб забезпечити </w:t>
            </w:r>
            <w:r w:rsidR="003F12F5" w:rsidRPr="00BE1959">
              <w:rPr>
                <w:rFonts w:ascii="Times New Roman" w:eastAsia="Times New Roman" w:hAnsi="Times New Roman" w:cs="Times New Roman"/>
                <w:sz w:val="24"/>
                <w:szCs w:val="24"/>
                <w:lang w:val="uk-UA"/>
              </w:rPr>
              <w:t>безперебійне та впорядковане функціонування фінансових ринків.</w:t>
            </w:r>
          </w:p>
        </w:tc>
      </w:tr>
    </w:tbl>
    <w:p w:rsidR="005613AB" w:rsidRPr="00BE1959" w:rsidRDefault="003F12F5" w:rsidP="00FD2F11">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Така оцінка регульованого ринку компетентним органом не повинна заважати повноваженням національних </w:t>
      </w:r>
      <w:r w:rsidR="00C10CE1" w:rsidRPr="00BE1959">
        <w:rPr>
          <w:rFonts w:ascii="Times New Roman" w:eastAsia="Times New Roman" w:hAnsi="Times New Roman" w:cs="Times New Roman"/>
          <w:sz w:val="24"/>
          <w:szCs w:val="24"/>
          <w:lang w:val="uk-UA"/>
        </w:rPr>
        <w:t xml:space="preserve">центральних банків як наглядачів за розрахунковими системами або інших наглядових органів, сфера компетенції яких стосується таких систем. </w:t>
      </w:r>
      <w:r w:rsidR="00AF288E" w:rsidRPr="00BE1959">
        <w:rPr>
          <w:rFonts w:ascii="Times New Roman" w:eastAsia="Times New Roman" w:hAnsi="Times New Roman" w:cs="Times New Roman"/>
          <w:sz w:val="24"/>
          <w:szCs w:val="24"/>
          <w:lang w:val="uk-UA"/>
        </w:rPr>
        <w:t>Компетентний орган</w:t>
      </w:r>
      <w:r w:rsidR="005613AB" w:rsidRPr="00BE1959">
        <w:rPr>
          <w:rFonts w:ascii="Times New Roman" w:eastAsia="Times New Roman" w:hAnsi="Times New Roman" w:cs="Times New Roman"/>
          <w:sz w:val="24"/>
          <w:szCs w:val="24"/>
          <w:lang w:val="uk-UA"/>
        </w:rPr>
        <w:t xml:space="preserve"> </w:t>
      </w:r>
      <w:r w:rsidR="00FD2F11" w:rsidRPr="00BE1959">
        <w:rPr>
          <w:rFonts w:ascii="Times New Roman" w:eastAsia="Times New Roman" w:hAnsi="Times New Roman" w:cs="Times New Roman"/>
          <w:sz w:val="24"/>
          <w:szCs w:val="24"/>
          <w:lang w:val="uk-UA"/>
        </w:rPr>
        <w:t>ураховує результати контролю і нагляду, уже здійсненого цими установами, щоб уникнути неналежного дублювання таких функцій.</w:t>
      </w:r>
    </w:p>
    <w:p w:rsidR="005613AB" w:rsidRPr="00BE1959" w:rsidRDefault="00162A11" w:rsidP="005613AB">
      <w:pPr>
        <w:spacing w:before="360" w:after="120" w:line="312" w:lineRule="atLeast"/>
        <w:jc w:val="center"/>
        <w:textAlignment w:val="baseline"/>
        <w:rPr>
          <w:rFonts w:ascii="Times New Roman" w:eastAsia="Times New Roman" w:hAnsi="Times New Roman" w:cs="Times New Roman"/>
          <w:i/>
          <w:iCs/>
          <w:sz w:val="24"/>
          <w:szCs w:val="24"/>
          <w:lang w:val="uk-UA"/>
        </w:rPr>
      </w:pPr>
      <w:r w:rsidRPr="00BE1959">
        <w:rPr>
          <w:rFonts w:ascii="Times New Roman" w:eastAsia="Times New Roman" w:hAnsi="Times New Roman" w:cs="Times New Roman"/>
          <w:i/>
          <w:iCs/>
          <w:sz w:val="24"/>
          <w:szCs w:val="24"/>
          <w:lang w:val="uk-UA"/>
        </w:rPr>
        <w:t>Стаття</w:t>
      </w:r>
      <w:r w:rsidR="005613AB" w:rsidRPr="00BE1959">
        <w:rPr>
          <w:rFonts w:ascii="Times New Roman" w:eastAsia="Times New Roman" w:hAnsi="Times New Roman" w:cs="Times New Roman"/>
          <w:i/>
          <w:iCs/>
          <w:sz w:val="24"/>
          <w:szCs w:val="24"/>
          <w:lang w:val="uk-UA"/>
        </w:rPr>
        <w:t xml:space="preserve"> 38</w:t>
      </w:r>
    </w:p>
    <w:p w:rsidR="005613AB" w:rsidRPr="00BE1959" w:rsidRDefault="004B4C01" w:rsidP="005613AB">
      <w:pPr>
        <w:spacing w:before="60" w:after="120" w:line="312" w:lineRule="atLeast"/>
        <w:jc w:val="center"/>
        <w:textAlignment w:val="baseline"/>
        <w:rPr>
          <w:rFonts w:ascii="Times New Roman" w:eastAsia="Times New Roman" w:hAnsi="Times New Roman" w:cs="Times New Roman"/>
          <w:b/>
          <w:bCs/>
          <w:sz w:val="24"/>
          <w:szCs w:val="24"/>
          <w:lang w:val="uk-UA"/>
        </w:rPr>
      </w:pPr>
      <w:r w:rsidRPr="00BE1959">
        <w:rPr>
          <w:rFonts w:ascii="Times New Roman" w:eastAsia="Times New Roman" w:hAnsi="Times New Roman" w:cs="Times New Roman"/>
          <w:b/>
          <w:bCs/>
          <w:sz w:val="24"/>
          <w:szCs w:val="24"/>
          <w:lang w:val="uk-UA"/>
        </w:rPr>
        <w:lastRenderedPageBreak/>
        <w:t xml:space="preserve">Положення щодо ЦКА, </w:t>
      </w:r>
      <w:r w:rsidR="00AA0E99" w:rsidRPr="00BE1959">
        <w:rPr>
          <w:rFonts w:ascii="Times New Roman" w:eastAsia="Times New Roman" w:hAnsi="Times New Roman" w:cs="Times New Roman"/>
          <w:b/>
          <w:bCs/>
          <w:sz w:val="24"/>
          <w:szCs w:val="24"/>
          <w:lang w:val="uk-UA"/>
        </w:rPr>
        <w:t xml:space="preserve">клірингових </w:t>
      </w:r>
      <w:r w:rsidR="007C764E" w:rsidRPr="00BE1959">
        <w:rPr>
          <w:rFonts w:ascii="Times New Roman" w:eastAsia="Times New Roman" w:hAnsi="Times New Roman" w:cs="Times New Roman"/>
          <w:b/>
          <w:bCs/>
          <w:sz w:val="24"/>
          <w:szCs w:val="24"/>
          <w:lang w:val="uk-UA"/>
        </w:rPr>
        <w:t xml:space="preserve">і розрахункових </w:t>
      </w:r>
      <w:r w:rsidR="00AA0E99" w:rsidRPr="00BE1959">
        <w:rPr>
          <w:rFonts w:ascii="Times New Roman" w:eastAsia="Times New Roman" w:hAnsi="Times New Roman" w:cs="Times New Roman"/>
          <w:b/>
          <w:bCs/>
          <w:sz w:val="24"/>
          <w:szCs w:val="24"/>
          <w:lang w:val="uk-UA"/>
        </w:rPr>
        <w:t>механізмів стосовно БТМ</w:t>
      </w:r>
    </w:p>
    <w:p w:rsidR="005613AB" w:rsidRPr="00BE1959" w:rsidRDefault="005613AB" w:rsidP="00667358">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1.   </w:t>
      </w:r>
      <w:r w:rsidR="001F5C90" w:rsidRPr="00BE1959">
        <w:rPr>
          <w:rFonts w:ascii="Times New Roman" w:eastAsia="Times New Roman" w:hAnsi="Times New Roman" w:cs="Times New Roman"/>
          <w:sz w:val="24"/>
          <w:szCs w:val="24"/>
          <w:lang w:val="uk-UA"/>
        </w:rPr>
        <w:t>Держави-члени</w:t>
      </w:r>
      <w:r w:rsidRPr="00BE1959">
        <w:rPr>
          <w:rFonts w:ascii="Times New Roman" w:eastAsia="Times New Roman" w:hAnsi="Times New Roman" w:cs="Times New Roman"/>
          <w:sz w:val="24"/>
          <w:szCs w:val="24"/>
          <w:lang w:val="uk-UA"/>
        </w:rPr>
        <w:t xml:space="preserve"> </w:t>
      </w:r>
      <w:r w:rsidR="00667358" w:rsidRPr="00BE1959">
        <w:rPr>
          <w:rFonts w:ascii="Times New Roman" w:eastAsia="Times New Roman" w:hAnsi="Times New Roman" w:cs="Times New Roman"/>
          <w:sz w:val="24"/>
          <w:szCs w:val="24"/>
          <w:lang w:val="uk-UA"/>
        </w:rPr>
        <w:t>не заважають інвестиційним фірмам і операторам ринку, що управляють БТМ, укладати відповідні домовленості з ЦКА чи кліринговою організацією та розрахунковою системою іншої держави-члена з метою забезпечення клірингу і (або) розрахунків за деякими чи всіма угодами, укладеними членами чи учасниками в їхніх системах.</w:t>
      </w:r>
    </w:p>
    <w:p w:rsidR="005613AB" w:rsidRPr="00BE1959" w:rsidRDefault="005613AB" w:rsidP="003E60C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2.   </w:t>
      </w:r>
      <w:r w:rsidR="003A5348" w:rsidRPr="00BE1959">
        <w:rPr>
          <w:rFonts w:ascii="Times New Roman" w:eastAsia="Times New Roman" w:hAnsi="Times New Roman" w:cs="Times New Roman"/>
          <w:sz w:val="24"/>
          <w:szCs w:val="24"/>
          <w:lang w:val="uk-UA"/>
        </w:rPr>
        <w:t>Компетентний орган</w:t>
      </w:r>
      <w:r w:rsidRPr="00BE1959">
        <w:rPr>
          <w:rFonts w:ascii="Times New Roman" w:eastAsia="Times New Roman" w:hAnsi="Times New Roman" w:cs="Times New Roman"/>
          <w:sz w:val="24"/>
          <w:szCs w:val="24"/>
          <w:lang w:val="uk-UA"/>
        </w:rPr>
        <w:t xml:space="preserve"> </w:t>
      </w:r>
      <w:r w:rsidR="00667358" w:rsidRPr="00BE1959">
        <w:rPr>
          <w:rFonts w:ascii="Times New Roman" w:eastAsia="Times New Roman" w:hAnsi="Times New Roman" w:cs="Times New Roman"/>
          <w:sz w:val="24"/>
          <w:szCs w:val="24"/>
          <w:lang w:val="uk-UA"/>
        </w:rPr>
        <w:t xml:space="preserve">інвестиційних фірм і операторів ринку, що управляють БТМ, не може заперечувати проти використання ЦКА, клірингових організацій і (або) розрахункових систем іншої держави-члена, крім випадків, де </w:t>
      </w:r>
      <w:r w:rsidR="003E60CB" w:rsidRPr="00BE1959">
        <w:rPr>
          <w:rFonts w:ascii="Times New Roman" w:eastAsia="Times New Roman" w:hAnsi="Times New Roman" w:cs="Times New Roman"/>
          <w:sz w:val="24"/>
          <w:szCs w:val="24"/>
          <w:lang w:val="uk-UA"/>
        </w:rPr>
        <w:t>це є очевидно необхідним для підтримання впорядкованого функціонування даного БТМ, та з урахуванням умов для розрахункових систем, установлених у статті 37(2).</w:t>
      </w:r>
    </w:p>
    <w:p w:rsidR="003E60CB" w:rsidRPr="00BE1959" w:rsidRDefault="003E60C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Для того, щоб уникнути неналежного дублювання контролю, компетентний орган ураховує результати нагляду та контролю за діяльністю </w:t>
      </w:r>
      <w:r w:rsidR="00C10CE1" w:rsidRPr="00BE1959">
        <w:rPr>
          <w:rFonts w:ascii="Times New Roman" w:eastAsia="Times New Roman" w:hAnsi="Times New Roman" w:cs="Times New Roman"/>
          <w:sz w:val="24"/>
          <w:szCs w:val="24"/>
          <w:lang w:val="uk-UA"/>
        </w:rPr>
        <w:t>розрахунково-клірингової системи, здійсненого центральними банками як наглядачами за розрахунковими системами або іншими наглядовими органами, сфера компетенції яких стосується таких систем.</w:t>
      </w:r>
    </w:p>
    <w:p w:rsidR="00AA0E99" w:rsidRPr="00BE1959" w:rsidRDefault="00AA0E99" w:rsidP="005613AB">
      <w:pPr>
        <w:spacing w:after="0" w:line="312" w:lineRule="atLeast"/>
        <w:jc w:val="center"/>
        <w:textAlignment w:val="baseline"/>
        <w:rPr>
          <w:rFonts w:ascii="Times New Roman" w:eastAsia="Times New Roman" w:hAnsi="Times New Roman" w:cs="Times New Roman"/>
          <w:b/>
          <w:bCs/>
          <w:i/>
          <w:iCs/>
          <w:sz w:val="24"/>
          <w:szCs w:val="24"/>
          <w:bdr w:val="none" w:sz="0" w:space="0" w:color="auto" w:frame="1"/>
          <w:lang w:val="uk-UA"/>
        </w:rPr>
      </w:pPr>
    </w:p>
    <w:p w:rsidR="005613AB" w:rsidRPr="00BE1959" w:rsidRDefault="00AA0E99" w:rsidP="005613AB">
      <w:pPr>
        <w:spacing w:after="0" w:line="312" w:lineRule="atLeast"/>
        <w:jc w:val="center"/>
        <w:textAlignment w:val="baseline"/>
        <w:rPr>
          <w:rFonts w:ascii="Times New Roman" w:eastAsia="Times New Roman" w:hAnsi="Times New Roman" w:cs="Times New Roman"/>
          <w:b/>
          <w:bCs/>
          <w:sz w:val="24"/>
          <w:szCs w:val="24"/>
          <w:lang w:val="uk-UA"/>
        </w:rPr>
      </w:pPr>
      <w:r w:rsidRPr="00BE1959">
        <w:rPr>
          <w:rFonts w:ascii="Times New Roman" w:eastAsia="Times New Roman" w:hAnsi="Times New Roman" w:cs="Times New Roman"/>
          <w:b/>
          <w:bCs/>
          <w:i/>
          <w:iCs/>
          <w:sz w:val="24"/>
          <w:szCs w:val="24"/>
          <w:bdr w:val="none" w:sz="0" w:space="0" w:color="auto" w:frame="1"/>
          <w:lang w:val="uk-UA"/>
        </w:rPr>
        <w:t>ГЛАВА</w:t>
      </w:r>
      <w:r w:rsidR="005613AB" w:rsidRPr="00BE1959">
        <w:rPr>
          <w:rFonts w:ascii="Times New Roman" w:eastAsia="Times New Roman" w:hAnsi="Times New Roman" w:cs="Times New Roman"/>
          <w:b/>
          <w:bCs/>
          <w:i/>
          <w:iCs/>
          <w:sz w:val="24"/>
          <w:szCs w:val="24"/>
          <w:bdr w:val="none" w:sz="0" w:space="0" w:color="auto" w:frame="1"/>
          <w:lang w:val="uk-UA"/>
        </w:rPr>
        <w:t xml:space="preserve"> IV</w:t>
      </w:r>
    </w:p>
    <w:p w:rsidR="005613AB" w:rsidRPr="00BE1959" w:rsidRDefault="00AA0E99" w:rsidP="005613AB">
      <w:pPr>
        <w:spacing w:after="0" w:line="312" w:lineRule="atLeast"/>
        <w:jc w:val="center"/>
        <w:textAlignment w:val="baseline"/>
        <w:rPr>
          <w:rFonts w:ascii="Times New Roman" w:eastAsia="Times New Roman" w:hAnsi="Times New Roman" w:cs="Times New Roman"/>
          <w:b/>
          <w:bCs/>
          <w:sz w:val="24"/>
          <w:szCs w:val="24"/>
          <w:lang w:val="uk-UA"/>
        </w:rPr>
      </w:pPr>
      <w:r w:rsidRPr="00BE1959">
        <w:rPr>
          <w:rFonts w:ascii="Times New Roman" w:eastAsia="Times New Roman" w:hAnsi="Times New Roman" w:cs="Times New Roman"/>
          <w:b/>
          <w:bCs/>
          <w:i/>
          <w:iCs/>
          <w:sz w:val="24"/>
          <w:szCs w:val="24"/>
          <w:bdr w:val="none" w:sz="0" w:space="0" w:color="auto" w:frame="1"/>
          <w:lang w:val="uk-UA"/>
        </w:rPr>
        <w:t>Надання інвестиційних послуг і ведення інвестиційної діяльності фірмами з третіх країн</w:t>
      </w:r>
    </w:p>
    <w:p w:rsidR="00AA0E99" w:rsidRPr="00BE1959" w:rsidRDefault="00AA0E99" w:rsidP="005613AB">
      <w:pPr>
        <w:spacing w:after="0" w:line="312" w:lineRule="atLeast"/>
        <w:jc w:val="center"/>
        <w:textAlignment w:val="baseline"/>
        <w:rPr>
          <w:rFonts w:ascii="Times New Roman" w:eastAsia="Times New Roman" w:hAnsi="Times New Roman" w:cs="Times New Roman"/>
          <w:b/>
          <w:bCs/>
          <w:sz w:val="24"/>
          <w:szCs w:val="24"/>
          <w:bdr w:val="none" w:sz="0" w:space="0" w:color="auto" w:frame="1"/>
          <w:lang w:val="uk-UA"/>
        </w:rPr>
      </w:pPr>
    </w:p>
    <w:p w:rsidR="005613AB" w:rsidRPr="00BE1959" w:rsidRDefault="00AA0E99" w:rsidP="005613AB">
      <w:pPr>
        <w:spacing w:after="0" w:line="312" w:lineRule="atLeast"/>
        <w:jc w:val="center"/>
        <w:textAlignment w:val="baseline"/>
        <w:rPr>
          <w:rFonts w:ascii="Times New Roman" w:eastAsia="Times New Roman" w:hAnsi="Times New Roman" w:cs="Times New Roman"/>
          <w:b/>
          <w:bCs/>
          <w:sz w:val="24"/>
          <w:szCs w:val="24"/>
          <w:lang w:val="uk-UA"/>
        </w:rPr>
      </w:pPr>
      <w:r w:rsidRPr="00BE1959">
        <w:rPr>
          <w:rFonts w:ascii="Times New Roman" w:eastAsia="Times New Roman" w:hAnsi="Times New Roman" w:cs="Times New Roman"/>
          <w:b/>
          <w:bCs/>
          <w:sz w:val="24"/>
          <w:szCs w:val="24"/>
          <w:bdr w:val="none" w:sz="0" w:space="0" w:color="auto" w:frame="1"/>
          <w:lang w:val="uk-UA"/>
        </w:rPr>
        <w:t>Підрозділ</w:t>
      </w:r>
      <w:r w:rsidR="005613AB" w:rsidRPr="00BE1959">
        <w:rPr>
          <w:rFonts w:ascii="Times New Roman" w:eastAsia="Times New Roman" w:hAnsi="Times New Roman" w:cs="Times New Roman"/>
          <w:b/>
          <w:bCs/>
          <w:sz w:val="24"/>
          <w:szCs w:val="24"/>
          <w:bdr w:val="none" w:sz="0" w:space="0" w:color="auto" w:frame="1"/>
          <w:lang w:val="uk-UA"/>
        </w:rPr>
        <w:t xml:space="preserve"> 1</w:t>
      </w:r>
    </w:p>
    <w:p w:rsidR="005613AB" w:rsidRPr="00BE1959" w:rsidRDefault="00AA0E99" w:rsidP="00A11DC0">
      <w:pPr>
        <w:spacing w:after="0" w:line="312" w:lineRule="atLeast"/>
        <w:jc w:val="center"/>
        <w:textAlignment w:val="baseline"/>
        <w:rPr>
          <w:rFonts w:ascii="Times New Roman" w:eastAsia="Times New Roman" w:hAnsi="Times New Roman" w:cs="Times New Roman"/>
          <w:b/>
          <w:bCs/>
          <w:sz w:val="24"/>
          <w:szCs w:val="24"/>
          <w:lang w:val="uk-UA"/>
        </w:rPr>
      </w:pPr>
      <w:r w:rsidRPr="00BE1959">
        <w:rPr>
          <w:rFonts w:ascii="Times New Roman" w:eastAsia="Times New Roman" w:hAnsi="Times New Roman" w:cs="Times New Roman"/>
          <w:b/>
          <w:bCs/>
          <w:sz w:val="24"/>
          <w:szCs w:val="24"/>
          <w:bdr w:val="none" w:sz="0" w:space="0" w:color="auto" w:frame="1"/>
          <w:lang w:val="uk-UA"/>
        </w:rPr>
        <w:t>Надання послуг або ведення діяльності шляхом ств</w:t>
      </w:r>
      <w:r w:rsidR="00A11DC0" w:rsidRPr="00BE1959">
        <w:rPr>
          <w:rFonts w:ascii="Times New Roman" w:eastAsia="Times New Roman" w:hAnsi="Times New Roman" w:cs="Times New Roman"/>
          <w:b/>
          <w:bCs/>
          <w:sz w:val="24"/>
          <w:szCs w:val="24"/>
          <w:bdr w:val="none" w:sz="0" w:space="0" w:color="auto" w:frame="1"/>
          <w:lang w:val="uk-UA"/>
        </w:rPr>
        <w:t>орення філії</w:t>
      </w:r>
    </w:p>
    <w:p w:rsidR="005613AB" w:rsidRPr="00BE1959" w:rsidRDefault="00162A11" w:rsidP="005613AB">
      <w:pPr>
        <w:spacing w:before="360" w:after="120" w:line="312" w:lineRule="atLeast"/>
        <w:jc w:val="center"/>
        <w:textAlignment w:val="baseline"/>
        <w:rPr>
          <w:rFonts w:ascii="Times New Roman" w:eastAsia="Times New Roman" w:hAnsi="Times New Roman" w:cs="Times New Roman"/>
          <w:i/>
          <w:iCs/>
          <w:sz w:val="24"/>
          <w:szCs w:val="24"/>
          <w:lang w:val="uk-UA"/>
        </w:rPr>
      </w:pPr>
      <w:r w:rsidRPr="00BE1959">
        <w:rPr>
          <w:rFonts w:ascii="Times New Roman" w:eastAsia="Times New Roman" w:hAnsi="Times New Roman" w:cs="Times New Roman"/>
          <w:i/>
          <w:iCs/>
          <w:sz w:val="24"/>
          <w:szCs w:val="24"/>
          <w:lang w:val="uk-UA"/>
        </w:rPr>
        <w:t>Стаття</w:t>
      </w:r>
      <w:r w:rsidR="005613AB" w:rsidRPr="00BE1959">
        <w:rPr>
          <w:rFonts w:ascii="Times New Roman" w:eastAsia="Times New Roman" w:hAnsi="Times New Roman" w:cs="Times New Roman"/>
          <w:i/>
          <w:iCs/>
          <w:sz w:val="24"/>
          <w:szCs w:val="24"/>
          <w:lang w:val="uk-UA"/>
        </w:rPr>
        <w:t xml:space="preserve"> 39</w:t>
      </w:r>
    </w:p>
    <w:p w:rsidR="005613AB" w:rsidRPr="00BE1959" w:rsidRDefault="00A11DC0" w:rsidP="005613AB">
      <w:pPr>
        <w:spacing w:before="60" w:after="120" w:line="312" w:lineRule="atLeast"/>
        <w:jc w:val="center"/>
        <w:textAlignment w:val="baseline"/>
        <w:rPr>
          <w:rFonts w:ascii="Times New Roman" w:eastAsia="Times New Roman" w:hAnsi="Times New Roman" w:cs="Times New Roman"/>
          <w:b/>
          <w:bCs/>
          <w:sz w:val="24"/>
          <w:szCs w:val="24"/>
          <w:lang w:val="uk-UA"/>
        </w:rPr>
      </w:pPr>
      <w:r w:rsidRPr="00BE1959">
        <w:rPr>
          <w:rFonts w:ascii="Times New Roman" w:eastAsia="Times New Roman" w:hAnsi="Times New Roman" w:cs="Times New Roman"/>
          <w:b/>
          <w:bCs/>
          <w:sz w:val="24"/>
          <w:szCs w:val="24"/>
          <w:lang w:val="uk-UA"/>
        </w:rPr>
        <w:t>Створення філії</w:t>
      </w:r>
    </w:p>
    <w:p w:rsidR="005613AB" w:rsidRPr="00BE1959" w:rsidRDefault="005613AB" w:rsidP="00854816">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1.   </w:t>
      </w:r>
      <w:r w:rsidR="00854816" w:rsidRPr="00BE1959">
        <w:rPr>
          <w:rFonts w:ascii="Times New Roman" w:eastAsia="Times New Roman" w:hAnsi="Times New Roman" w:cs="Times New Roman"/>
          <w:sz w:val="24"/>
          <w:szCs w:val="24"/>
          <w:lang w:val="uk-UA"/>
        </w:rPr>
        <w:t xml:space="preserve">Держава-член може зажадати, щоб фірма з третьої країни, яка має намір надавати інвестиційні послуги або вести інвестиційну діяльність </w:t>
      </w:r>
      <w:r w:rsidR="008D5656" w:rsidRPr="00BE1959">
        <w:rPr>
          <w:rFonts w:ascii="Times New Roman" w:eastAsia="Times New Roman" w:hAnsi="Times New Roman" w:cs="Times New Roman"/>
          <w:sz w:val="24"/>
          <w:szCs w:val="24"/>
          <w:lang w:val="uk-UA"/>
        </w:rPr>
        <w:t xml:space="preserve">із наданням або без надання додаткових послуг </w:t>
      </w:r>
      <w:r w:rsidR="00854816" w:rsidRPr="00BE1959">
        <w:rPr>
          <w:rFonts w:ascii="Times New Roman" w:eastAsia="Times New Roman" w:hAnsi="Times New Roman" w:cs="Times New Roman"/>
          <w:sz w:val="24"/>
          <w:szCs w:val="24"/>
          <w:lang w:val="uk-UA"/>
        </w:rPr>
        <w:t>роздрібним клієнтам або професійним клієнтам у значенні, передбаченому в розділі ІІ Додатку ІІ, на її території, створила філію у цій державі-члені.</w:t>
      </w:r>
    </w:p>
    <w:p w:rsidR="005613AB" w:rsidRPr="00BE1959" w:rsidRDefault="005613AB" w:rsidP="00854816">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2.   </w:t>
      </w:r>
      <w:r w:rsidR="00854816" w:rsidRPr="00BE1959">
        <w:rPr>
          <w:rFonts w:ascii="Times New Roman" w:eastAsia="Times New Roman" w:hAnsi="Times New Roman" w:cs="Times New Roman"/>
          <w:sz w:val="24"/>
          <w:szCs w:val="24"/>
          <w:lang w:val="uk-UA"/>
        </w:rPr>
        <w:t>Якщо держава-член вимагає, щоб фірма з третьої країни, яка має намір надавати інвестиційні послуги або вести інвестиційну діяльність із наданням або без надання додаткових послуг на її території, створила філію, то ця філія повинна отримати попередній дозвіл компетентних органів цієї держави-члена відповідно до нижчевикладених умов:</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9093"/>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854816" w:rsidP="00302471">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надання послуг, щодо яких фірма з третьої країни вимагає дозволу, підлягає санкціонуванню та нагляду в третій країні, д</w:t>
            </w:r>
            <w:r w:rsidR="00302471" w:rsidRPr="00BE1959">
              <w:rPr>
                <w:rFonts w:ascii="Times New Roman" w:eastAsia="Times New Roman" w:hAnsi="Times New Roman" w:cs="Times New Roman"/>
                <w:sz w:val="24"/>
                <w:szCs w:val="24"/>
                <w:lang w:val="uk-UA"/>
              </w:rPr>
              <w:t xml:space="preserve">е вищезгадана фірма створена, і ця фірма отримала дозвіл, у якому компетентний орган належним чином ураховує рекомендації </w:t>
            </w:r>
            <w:r w:rsidR="00302471" w:rsidRPr="00BE1959">
              <w:rPr>
                <w:rFonts w:ascii="Times New Roman" w:eastAsia="Times New Roman" w:hAnsi="Times New Roman" w:cs="Times New Roman"/>
                <w:sz w:val="24"/>
                <w:szCs w:val="24"/>
                <w:lang w:val="uk-UA"/>
              </w:rPr>
              <w:lastRenderedPageBreak/>
              <w:t>ФАТФ у контексті боротьби з відмиванням грошей та протидії фінансуванню тероризму;</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9D3010" w:rsidP="009D3010">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укладено угоди про співробітництво, що містять положення, регулюючі обмін інформацією в цілях збереження цілісності ринку та захисту інвесторів, між компетентними органами держави-члена, в якій має бути створена філія, та компетентними наглядовими органами третьої країни, в якій створена фірма;</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0"/>
        <w:gridCol w:w="8965"/>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3794E" w:rsidP="0053794E">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у вільному розпорядженні філії є достатній початковий капітал;</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3794E" w:rsidP="0053794E">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одна чи декілька осіб призначені відповідальними за управління філією, й усі вони відповідають вимозі, викладеній у статті</w:t>
            </w:r>
            <w:r w:rsidR="005613AB" w:rsidRPr="00BE1959">
              <w:rPr>
                <w:rFonts w:ascii="Times New Roman" w:eastAsia="Times New Roman" w:hAnsi="Times New Roman" w:cs="Times New Roman"/>
                <w:sz w:val="24"/>
                <w:szCs w:val="24"/>
                <w:lang w:val="uk-UA"/>
              </w:rPr>
              <w:t xml:space="preserve"> 9(1);</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9093"/>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(e)</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7F376F" w:rsidP="007C53D9">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третя країна, в якій створена вищезгадана фірма, підписала угоду з державою-членом, у якій має бути створена філія, й ця угода повністю відповідає стандартам, викладеним у статті 26 </w:t>
            </w:r>
            <w:r w:rsidR="002D78B4" w:rsidRPr="00BE1959">
              <w:rPr>
                <w:rFonts w:ascii="Times New Roman" w:eastAsia="Times New Roman" w:hAnsi="Times New Roman" w:cs="Times New Roman"/>
                <w:sz w:val="24"/>
                <w:szCs w:val="24"/>
                <w:lang w:val="uk-UA"/>
              </w:rPr>
              <w:t>Модельної конвенції ОЕСР щодо податків на доходи і капітал</w:t>
            </w:r>
            <w:r w:rsidR="007C53D9" w:rsidRPr="00BE1959">
              <w:rPr>
                <w:rFonts w:ascii="Times New Roman" w:eastAsia="Times New Roman" w:hAnsi="Times New Roman" w:cs="Times New Roman"/>
                <w:sz w:val="24"/>
                <w:szCs w:val="24"/>
                <w:lang w:val="uk-UA"/>
              </w:rPr>
              <w:t>, та забезпечує ефективний обмін інформацією з податкових питань, зокрема багатосторонні угоди з оподаткування, якщо такі є;</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9120"/>
      </w:tblGrid>
      <w:tr w:rsidR="00DE3173"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(f)</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7C53D9" w:rsidP="007C53D9">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фірма належить до схеми компенсації інвесторам, уповноваженої або визнаної</w:t>
            </w:r>
            <w:r w:rsidR="005613AB" w:rsidRPr="00BE1959">
              <w:rPr>
                <w:rFonts w:ascii="Times New Roman" w:eastAsia="Times New Roman" w:hAnsi="Times New Roman" w:cs="Times New Roman"/>
                <w:sz w:val="24"/>
                <w:szCs w:val="24"/>
                <w:lang w:val="uk-UA"/>
              </w:rPr>
              <w:t xml:space="preserve"> </w:t>
            </w:r>
            <w:r w:rsidR="00945D41" w:rsidRPr="00BE1959">
              <w:rPr>
                <w:rFonts w:ascii="Times New Roman" w:eastAsia="Times New Roman" w:hAnsi="Times New Roman" w:cs="Times New Roman"/>
                <w:sz w:val="24"/>
                <w:szCs w:val="24"/>
                <w:lang w:val="uk-UA"/>
              </w:rPr>
              <w:t>відповідно до Директиви</w:t>
            </w:r>
            <w:r w:rsidR="005613AB" w:rsidRPr="00BE1959">
              <w:rPr>
                <w:rFonts w:ascii="Times New Roman" w:eastAsia="Times New Roman" w:hAnsi="Times New Roman" w:cs="Times New Roman"/>
                <w:sz w:val="24"/>
                <w:szCs w:val="24"/>
                <w:lang w:val="uk-UA"/>
              </w:rPr>
              <w:t xml:space="preserve"> 97/9/EC.</w:t>
            </w:r>
          </w:p>
        </w:tc>
      </w:tr>
    </w:tbl>
    <w:p w:rsidR="005613AB" w:rsidRPr="00BE1959" w:rsidRDefault="005613AB" w:rsidP="007C53D9">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3.   </w:t>
      </w:r>
      <w:r w:rsidR="007C53D9" w:rsidRPr="00BE1959">
        <w:rPr>
          <w:rFonts w:ascii="Times New Roman" w:eastAsia="Times New Roman" w:hAnsi="Times New Roman" w:cs="Times New Roman"/>
          <w:sz w:val="24"/>
          <w:szCs w:val="24"/>
          <w:lang w:val="uk-UA"/>
        </w:rPr>
        <w:t xml:space="preserve">Фірма з третьої країни, згадана у пункті 1, подає свою заяву до компетентного органу </w:t>
      </w:r>
      <w:r w:rsidR="00856ECB" w:rsidRPr="00BE1959">
        <w:rPr>
          <w:rFonts w:ascii="Times New Roman" w:eastAsia="Times New Roman" w:hAnsi="Times New Roman" w:cs="Times New Roman"/>
          <w:sz w:val="24"/>
          <w:szCs w:val="24"/>
          <w:lang w:val="uk-UA"/>
        </w:rPr>
        <w:t>держави-члена</w:t>
      </w:r>
      <w:r w:rsidR="007C53D9" w:rsidRPr="00BE1959">
        <w:rPr>
          <w:rFonts w:ascii="Times New Roman" w:eastAsia="Times New Roman" w:hAnsi="Times New Roman" w:cs="Times New Roman"/>
          <w:sz w:val="24"/>
          <w:szCs w:val="24"/>
          <w:lang w:val="uk-UA"/>
        </w:rPr>
        <w:t>, в якій вона має намір створити філію.</w:t>
      </w:r>
    </w:p>
    <w:p w:rsidR="005613AB" w:rsidRPr="00BE1959" w:rsidRDefault="00162A11" w:rsidP="005613AB">
      <w:pPr>
        <w:spacing w:before="360" w:after="120" w:line="312" w:lineRule="atLeast"/>
        <w:jc w:val="center"/>
        <w:textAlignment w:val="baseline"/>
        <w:rPr>
          <w:rFonts w:ascii="Times New Roman" w:eastAsia="Times New Roman" w:hAnsi="Times New Roman" w:cs="Times New Roman"/>
          <w:i/>
          <w:iCs/>
          <w:sz w:val="24"/>
          <w:szCs w:val="24"/>
          <w:lang w:val="uk-UA"/>
        </w:rPr>
      </w:pPr>
      <w:r w:rsidRPr="00BE1959">
        <w:rPr>
          <w:rFonts w:ascii="Times New Roman" w:eastAsia="Times New Roman" w:hAnsi="Times New Roman" w:cs="Times New Roman"/>
          <w:i/>
          <w:iCs/>
          <w:sz w:val="24"/>
          <w:szCs w:val="24"/>
          <w:lang w:val="uk-UA"/>
        </w:rPr>
        <w:t>Стаття</w:t>
      </w:r>
      <w:r w:rsidR="005613AB" w:rsidRPr="00BE1959">
        <w:rPr>
          <w:rFonts w:ascii="Times New Roman" w:eastAsia="Times New Roman" w:hAnsi="Times New Roman" w:cs="Times New Roman"/>
          <w:i/>
          <w:iCs/>
          <w:sz w:val="24"/>
          <w:szCs w:val="24"/>
          <w:lang w:val="uk-UA"/>
        </w:rPr>
        <w:t xml:space="preserve"> 40</w:t>
      </w:r>
    </w:p>
    <w:p w:rsidR="005613AB" w:rsidRPr="00BE1959" w:rsidRDefault="00A11DC0" w:rsidP="005613AB">
      <w:pPr>
        <w:spacing w:before="60" w:after="120" w:line="312" w:lineRule="atLeast"/>
        <w:jc w:val="center"/>
        <w:textAlignment w:val="baseline"/>
        <w:rPr>
          <w:rFonts w:ascii="Times New Roman" w:eastAsia="Times New Roman" w:hAnsi="Times New Roman" w:cs="Times New Roman"/>
          <w:b/>
          <w:bCs/>
          <w:sz w:val="24"/>
          <w:szCs w:val="24"/>
          <w:lang w:val="uk-UA"/>
        </w:rPr>
      </w:pPr>
      <w:r w:rsidRPr="00BE1959">
        <w:rPr>
          <w:rFonts w:ascii="Times New Roman" w:eastAsia="Times New Roman" w:hAnsi="Times New Roman" w:cs="Times New Roman"/>
          <w:b/>
          <w:bCs/>
          <w:sz w:val="24"/>
          <w:szCs w:val="24"/>
          <w:lang w:val="uk-UA"/>
        </w:rPr>
        <w:t>Обов’язок надавати інформацію</w:t>
      </w:r>
    </w:p>
    <w:p w:rsidR="005613AB" w:rsidRPr="00BE1959" w:rsidRDefault="008D5656" w:rsidP="008D5656">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Фірма з третьої країни, що має намір отримати дозвіл на надання інвестиційних послуг або ведення інвестиційної діяльності із наданням або без надання додаткових послуг на території держави-члена через філію, надає компетентному органові цієї держави-члена наступну інформацію:</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9093"/>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1576DE" w:rsidP="001576DE">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назву органу, відповідального за нагляд за цією фірмою у відповідній третій країні. Якщо за нагляд відповідають декілька органів, то надаються відомості про відповідні сфери їхньої компетенції;</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1576DE" w:rsidP="007B22A6">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усі доречні дані про фірму (назва, правова форма, зареєстрована контора і юридична адреса, склад керівного органу, відповідні акціонери)</w:t>
            </w:r>
            <w:r w:rsidR="006C41B0" w:rsidRPr="00BE1959">
              <w:rPr>
                <w:rFonts w:ascii="Times New Roman" w:eastAsia="Times New Roman" w:hAnsi="Times New Roman" w:cs="Times New Roman"/>
                <w:sz w:val="24"/>
                <w:szCs w:val="24"/>
                <w:lang w:val="uk-UA"/>
              </w:rPr>
              <w:t>,</w:t>
            </w:r>
            <w:r w:rsidRPr="00BE1959">
              <w:rPr>
                <w:rFonts w:ascii="Times New Roman" w:eastAsia="Times New Roman" w:hAnsi="Times New Roman" w:cs="Times New Roman"/>
                <w:sz w:val="24"/>
                <w:szCs w:val="24"/>
                <w:lang w:val="uk-UA"/>
              </w:rPr>
              <w:t xml:space="preserve"> програму діяльності, в якій зазначено </w:t>
            </w:r>
            <w:r w:rsidR="006C41B0" w:rsidRPr="00BE1959">
              <w:rPr>
                <w:rFonts w:ascii="Times New Roman" w:eastAsia="Times New Roman" w:hAnsi="Times New Roman" w:cs="Times New Roman"/>
                <w:sz w:val="24"/>
                <w:szCs w:val="24"/>
                <w:lang w:val="uk-UA"/>
              </w:rPr>
              <w:t xml:space="preserve">передбачені </w:t>
            </w:r>
            <w:r w:rsidRPr="00BE1959">
              <w:rPr>
                <w:rFonts w:ascii="Times New Roman" w:eastAsia="Times New Roman" w:hAnsi="Times New Roman" w:cs="Times New Roman"/>
                <w:sz w:val="24"/>
                <w:szCs w:val="24"/>
                <w:lang w:val="uk-UA"/>
              </w:rPr>
              <w:t>інвестиційні послуги і (або) види інвестиційної діяльності, а також додаткові послуги</w:t>
            </w:r>
            <w:r w:rsidR="006C41B0" w:rsidRPr="00BE1959">
              <w:rPr>
                <w:rFonts w:ascii="Times New Roman" w:eastAsia="Times New Roman" w:hAnsi="Times New Roman" w:cs="Times New Roman"/>
                <w:sz w:val="24"/>
                <w:szCs w:val="24"/>
                <w:lang w:val="uk-UA"/>
              </w:rPr>
              <w:t xml:space="preserve">, і організаційну </w:t>
            </w:r>
            <w:r w:rsidR="007B22A6" w:rsidRPr="00BE1959">
              <w:rPr>
                <w:rFonts w:ascii="Times New Roman" w:eastAsia="Times New Roman" w:hAnsi="Times New Roman" w:cs="Times New Roman"/>
                <w:sz w:val="24"/>
                <w:szCs w:val="24"/>
                <w:lang w:val="uk-UA"/>
              </w:rPr>
              <w:t>структуру філії, зокрема опис основних оперативних функцій, які передано для виконання на сторону;</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9093"/>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20269A" w:rsidP="0020269A">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прізвища осіб, відповідальних за управління філією, та відповідні документи, що </w:t>
            </w:r>
            <w:r w:rsidRPr="00BE1959">
              <w:rPr>
                <w:rFonts w:ascii="Times New Roman" w:eastAsia="Times New Roman" w:hAnsi="Times New Roman" w:cs="Times New Roman"/>
                <w:sz w:val="24"/>
                <w:szCs w:val="24"/>
                <w:lang w:val="uk-UA"/>
              </w:rPr>
              <w:lastRenderedPageBreak/>
              <w:t>демонструють виконання вимог, викладених у статті 9(1);</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48"/>
        <w:gridCol w:w="9017"/>
      </w:tblGrid>
      <w:tr w:rsidR="00DE3173"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20269A" w:rsidP="0020269A">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інформацію про початковий капітал, що є у вільному розпорядженні філії.</w:t>
            </w:r>
          </w:p>
        </w:tc>
      </w:tr>
    </w:tbl>
    <w:p w:rsidR="005613AB" w:rsidRPr="00BE1959" w:rsidRDefault="00162A11" w:rsidP="005613AB">
      <w:pPr>
        <w:spacing w:before="360" w:after="120" w:line="312" w:lineRule="atLeast"/>
        <w:jc w:val="center"/>
        <w:textAlignment w:val="baseline"/>
        <w:rPr>
          <w:rFonts w:ascii="Times New Roman" w:eastAsia="Times New Roman" w:hAnsi="Times New Roman" w:cs="Times New Roman"/>
          <w:i/>
          <w:iCs/>
          <w:sz w:val="24"/>
          <w:szCs w:val="24"/>
          <w:lang w:val="uk-UA"/>
        </w:rPr>
      </w:pPr>
      <w:r w:rsidRPr="00BE1959">
        <w:rPr>
          <w:rFonts w:ascii="Times New Roman" w:eastAsia="Times New Roman" w:hAnsi="Times New Roman" w:cs="Times New Roman"/>
          <w:i/>
          <w:iCs/>
          <w:sz w:val="24"/>
          <w:szCs w:val="24"/>
          <w:lang w:val="uk-UA"/>
        </w:rPr>
        <w:t>Стаття</w:t>
      </w:r>
      <w:r w:rsidR="005613AB" w:rsidRPr="00BE1959">
        <w:rPr>
          <w:rFonts w:ascii="Times New Roman" w:eastAsia="Times New Roman" w:hAnsi="Times New Roman" w:cs="Times New Roman"/>
          <w:i/>
          <w:iCs/>
          <w:sz w:val="24"/>
          <w:szCs w:val="24"/>
          <w:lang w:val="uk-UA"/>
        </w:rPr>
        <w:t xml:space="preserve"> 41</w:t>
      </w:r>
    </w:p>
    <w:p w:rsidR="005613AB" w:rsidRPr="00BE1959" w:rsidRDefault="00A11DC0" w:rsidP="005613AB">
      <w:pPr>
        <w:spacing w:before="60" w:after="120" w:line="312" w:lineRule="atLeast"/>
        <w:jc w:val="center"/>
        <w:textAlignment w:val="baseline"/>
        <w:rPr>
          <w:rFonts w:ascii="Times New Roman" w:eastAsia="Times New Roman" w:hAnsi="Times New Roman" w:cs="Times New Roman"/>
          <w:b/>
          <w:bCs/>
          <w:sz w:val="24"/>
          <w:szCs w:val="24"/>
          <w:lang w:val="uk-UA"/>
        </w:rPr>
      </w:pPr>
      <w:r w:rsidRPr="00BE1959">
        <w:rPr>
          <w:rFonts w:ascii="Times New Roman" w:eastAsia="Times New Roman" w:hAnsi="Times New Roman" w:cs="Times New Roman"/>
          <w:b/>
          <w:bCs/>
          <w:sz w:val="24"/>
          <w:szCs w:val="24"/>
          <w:lang w:val="uk-UA"/>
        </w:rPr>
        <w:t>Видача дозволу</w:t>
      </w:r>
    </w:p>
    <w:p w:rsidR="005613AB" w:rsidRPr="00BE1959" w:rsidRDefault="005613AB" w:rsidP="00A84B14">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1.   </w:t>
      </w:r>
      <w:r w:rsidR="003A5348" w:rsidRPr="00BE1959">
        <w:rPr>
          <w:rFonts w:ascii="Times New Roman" w:eastAsia="Times New Roman" w:hAnsi="Times New Roman" w:cs="Times New Roman"/>
          <w:sz w:val="24"/>
          <w:szCs w:val="24"/>
          <w:lang w:val="uk-UA"/>
        </w:rPr>
        <w:t>Компетентний орган</w:t>
      </w:r>
      <w:r w:rsidRPr="00BE1959">
        <w:rPr>
          <w:rFonts w:ascii="Times New Roman" w:eastAsia="Times New Roman" w:hAnsi="Times New Roman" w:cs="Times New Roman"/>
          <w:sz w:val="24"/>
          <w:szCs w:val="24"/>
          <w:lang w:val="uk-UA"/>
        </w:rPr>
        <w:t xml:space="preserve"> </w:t>
      </w:r>
      <w:r w:rsidR="00856ECB" w:rsidRPr="00BE1959">
        <w:rPr>
          <w:rFonts w:ascii="Times New Roman" w:eastAsia="Times New Roman" w:hAnsi="Times New Roman" w:cs="Times New Roman"/>
          <w:sz w:val="24"/>
          <w:szCs w:val="24"/>
          <w:lang w:val="uk-UA"/>
        </w:rPr>
        <w:t>держави-члена</w:t>
      </w:r>
      <w:r w:rsidR="00A84B14" w:rsidRPr="00BE1959">
        <w:rPr>
          <w:rFonts w:ascii="Times New Roman" w:eastAsia="Times New Roman" w:hAnsi="Times New Roman" w:cs="Times New Roman"/>
          <w:sz w:val="24"/>
          <w:szCs w:val="24"/>
          <w:lang w:val="uk-UA"/>
        </w:rPr>
        <w:t>, у якій фірма з третьої країни створила чи має намір створити філію, видає дозвіл тільки після того, як переконається, що:</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3"/>
        <w:gridCol w:w="9092"/>
      </w:tblGrid>
      <w:tr w:rsidR="00E96F0E" w:rsidRPr="0043174D" w:rsidTr="005665B9">
        <w:tc>
          <w:tcPr>
            <w:tcW w:w="197"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(a)</w:t>
            </w:r>
          </w:p>
        </w:tc>
        <w:tc>
          <w:tcPr>
            <w:tcW w:w="4803"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E96F0E" w:rsidP="00E96F0E">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виконані умови, викладені у статті 39;</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10"/>
        <w:gridCol w:w="9055"/>
      </w:tblGrid>
      <w:tr w:rsidR="00DE3173"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BE1203" w:rsidP="00BE1203">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філія фірми з третьої країни зможе дотримуватися положень, згаданих у пункті 2.</w:t>
            </w:r>
          </w:p>
        </w:tc>
      </w:tr>
    </w:tbl>
    <w:p w:rsidR="00BE1203" w:rsidRPr="00BE1959" w:rsidRDefault="00AF288E"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Компетентний орган</w:t>
      </w:r>
      <w:r w:rsidR="005613AB" w:rsidRPr="00BE1959">
        <w:rPr>
          <w:rFonts w:ascii="Times New Roman" w:eastAsia="Times New Roman" w:hAnsi="Times New Roman" w:cs="Times New Roman"/>
          <w:sz w:val="24"/>
          <w:szCs w:val="24"/>
          <w:lang w:val="uk-UA"/>
        </w:rPr>
        <w:t xml:space="preserve"> </w:t>
      </w:r>
      <w:r w:rsidR="00BE1203" w:rsidRPr="00BE1959">
        <w:rPr>
          <w:rFonts w:ascii="Times New Roman" w:eastAsia="Times New Roman" w:hAnsi="Times New Roman" w:cs="Times New Roman"/>
          <w:sz w:val="24"/>
          <w:szCs w:val="24"/>
          <w:lang w:val="uk-UA"/>
        </w:rPr>
        <w:t>у шестимісячний термін із дати подання повної заяви</w:t>
      </w:r>
      <w:r w:rsidR="00B1493E" w:rsidRPr="00BE1959">
        <w:rPr>
          <w:rFonts w:ascii="Times New Roman" w:eastAsia="Times New Roman" w:hAnsi="Times New Roman" w:cs="Times New Roman"/>
          <w:sz w:val="24"/>
          <w:szCs w:val="24"/>
          <w:lang w:val="uk-UA"/>
        </w:rPr>
        <w:t xml:space="preserve"> повідомляє фірму з третьої країни про видачу чи невидачу дозволу.</w:t>
      </w:r>
    </w:p>
    <w:p w:rsidR="005613AB" w:rsidRPr="00BE1959" w:rsidRDefault="005613AB" w:rsidP="00B1493E">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2.   </w:t>
      </w:r>
      <w:r w:rsidR="00B1493E" w:rsidRPr="00BE1959">
        <w:rPr>
          <w:rFonts w:ascii="Times New Roman" w:eastAsia="Times New Roman" w:hAnsi="Times New Roman" w:cs="Times New Roman"/>
          <w:sz w:val="24"/>
          <w:szCs w:val="24"/>
          <w:lang w:val="uk-UA"/>
        </w:rPr>
        <w:t>Філія фірми з третьої країни, що отримала дозвіл відповідно до пункту 1, дотримується зобов’язань, викладених у статтях</w:t>
      </w:r>
      <w:r w:rsidRPr="00BE1959">
        <w:rPr>
          <w:rFonts w:ascii="Times New Roman" w:eastAsia="Times New Roman" w:hAnsi="Times New Roman" w:cs="Times New Roman"/>
          <w:sz w:val="24"/>
          <w:szCs w:val="24"/>
          <w:lang w:val="uk-UA"/>
        </w:rPr>
        <w:t xml:space="preserve"> 16</w:t>
      </w:r>
      <w:r w:rsidR="00B1493E" w:rsidRPr="00BE1959">
        <w:rPr>
          <w:rFonts w:ascii="Times New Roman" w:eastAsia="Times New Roman" w:hAnsi="Times New Roman" w:cs="Times New Roman"/>
          <w:sz w:val="24"/>
          <w:szCs w:val="24"/>
          <w:lang w:val="uk-UA"/>
        </w:rPr>
        <w:t>-</w:t>
      </w:r>
      <w:r w:rsidRPr="00BE1959">
        <w:rPr>
          <w:rFonts w:ascii="Times New Roman" w:eastAsia="Times New Roman" w:hAnsi="Times New Roman" w:cs="Times New Roman"/>
          <w:sz w:val="24"/>
          <w:szCs w:val="24"/>
          <w:lang w:val="uk-UA"/>
        </w:rPr>
        <w:t xml:space="preserve">20, 23, 24, 25 </w:t>
      </w:r>
      <w:r w:rsidR="00B1493E" w:rsidRPr="00BE1959">
        <w:rPr>
          <w:rFonts w:ascii="Times New Roman" w:eastAsia="Times New Roman" w:hAnsi="Times New Roman" w:cs="Times New Roman"/>
          <w:sz w:val="24"/>
          <w:szCs w:val="24"/>
          <w:lang w:val="uk-UA"/>
        </w:rPr>
        <w:t>та</w:t>
      </w:r>
      <w:r w:rsidRPr="00BE1959">
        <w:rPr>
          <w:rFonts w:ascii="Times New Roman" w:eastAsia="Times New Roman" w:hAnsi="Times New Roman" w:cs="Times New Roman"/>
          <w:sz w:val="24"/>
          <w:szCs w:val="24"/>
          <w:lang w:val="uk-UA"/>
        </w:rPr>
        <w:t xml:space="preserve"> 27, </w:t>
      </w:r>
      <w:r w:rsidR="00B1493E" w:rsidRPr="00BE1959">
        <w:rPr>
          <w:rFonts w:ascii="Times New Roman" w:eastAsia="Times New Roman" w:hAnsi="Times New Roman" w:cs="Times New Roman"/>
          <w:sz w:val="24"/>
          <w:szCs w:val="24"/>
          <w:lang w:val="uk-UA"/>
        </w:rPr>
        <w:t>с</w:t>
      </w:r>
      <w:r w:rsidR="00162A11" w:rsidRPr="00BE1959">
        <w:rPr>
          <w:rFonts w:ascii="Times New Roman" w:eastAsia="Times New Roman" w:hAnsi="Times New Roman" w:cs="Times New Roman"/>
          <w:sz w:val="24"/>
          <w:szCs w:val="24"/>
          <w:lang w:val="uk-UA"/>
        </w:rPr>
        <w:t>татт</w:t>
      </w:r>
      <w:r w:rsidR="00B1493E" w:rsidRPr="00BE1959">
        <w:rPr>
          <w:rFonts w:ascii="Times New Roman" w:eastAsia="Times New Roman" w:hAnsi="Times New Roman" w:cs="Times New Roman"/>
          <w:sz w:val="24"/>
          <w:szCs w:val="24"/>
          <w:lang w:val="uk-UA"/>
        </w:rPr>
        <w:t>і</w:t>
      </w:r>
      <w:r w:rsidRPr="00BE1959">
        <w:rPr>
          <w:rFonts w:ascii="Times New Roman" w:eastAsia="Times New Roman" w:hAnsi="Times New Roman" w:cs="Times New Roman"/>
          <w:sz w:val="24"/>
          <w:szCs w:val="24"/>
          <w:lang w:val="uk-UA"/>
        </w:rPr>
        <w:t xml:space="preserve"> 28(1)</w:t>
      </w:r>
      <w:r w:rsidR="00B1493E" w:rsidRPr="00BE1959">
        <w:rPr>
          <w:rFonts w:ascii="Times New Roman" w:eastAsia="Times New Roman" w:hAnsi="Times New Roman" w:cs="Times New Roman"/>
          <w:sz w:val="24"/>
          <w:szCs w:val="24"/>
          <w:lang w:val="uk-UA"/>
        </w:rPr>
        <w:t xml:space="preserve"> і статтях</w:t>
      </w:r>
      <w:r w:rsidRPr="00BE1959">
        <w:rPr>
          <w:rFonts w:ascii="Times New Roman" w:eastAsia="Times New Roman" w:hAnsi="Times New Roman" w:cs="Times New Roman"/>
          <w:sz w:val="24"/>
          <w:szCs w:val="24"/>
          <w:lang w:val="uk-UA"/>
        </w:rPr>
        <w:t xml:space="preserve"> 30, 31 </w:t>
      </w:r>
      <w:r w:rsidR="00B1493E" w:rsidRPr="00BE1959">
        <w:rPr>
          <w:rFonts w:ascii="Times New Roman" w:eastAsia="Times New Roman" w:hAnsi="Times New Roman" w:cs="Times New Roman"/>
          <w:sz w:val="24"/>
          <w:szCs w:val="24"/>
          <w:lang w:val="uk-UA"/>
        </w:rPr>
        <w:t>і</w:t>
      </w:r>
      <w:r w:rsidRPr="00BE1959">
        <w:rPr>
          <w:rFonts w:ascii="Times New Roman" w:eastAsia="Times New Roman" w:hAnsi="Times New Roman" w:cs="Times New Roman"/>
          <w:sz w:val="24"/>
          <w:szCs w:val="24"/>
          <w:lang w:val="uk-UA"/>
        </w:rPr>
        <w:t xml:space="preserve"> 32 </w:t>
      </w:r>
      <w:r w:rsidR="00432567" w:rsidRPr="00BE1959">
        <w:rPr>
          <w:rFonts w:ascii="Times New Roman" w:eastAsia="Times New Roman" w:hAnsi="Times New Roman" w:cs="Times New Roman"/>
          <w:sz w:val="24"/>
          <w:szCs w:val="24"/>
          <w:lang w:val="uk-UA"/>
        </w:rPr>
        <w:t>цієї директиви</w:t>
      </w:r>
      <w:r w:rsidRPr="00BE1959">
        <w:rPr>
          <w:rFonts w:ascii="Times New Roman" w:eastAsia="Times New Roman" w:hAnsi="Times New Roman" w:cs="Times New Roman"/>
          <w:sz w:val="24"/>
          <w:szCs w:val="24"/>
          <w:lang w:val="uk-UA"/>
        </w:rPr>
        <w:t xml:space="preserve"> </w:t>
      </w:r>
      <w:r w:rsidR="00B1493E" w:rsidRPr="00BE1959">
        <w:rPr>
          <w:rFonts w:ascii="Times New Roman" w:eastAsia="Times New Roman" w:hAnsi="Times New Roman" w:cs="Times New Roman"/>
          <w:sz w:val="24"/>
          <w:szCs w:val="24"/>
          <w:lang w:val="uk-UA"/>
        </w:rPr>
        <w:t xml:space="preserve">та у статтях 3-26 </w:t>
      </w:r>
      <w:r w:rsidR="008824AE" w:rsidRPr="00BE1959">
        <w:rPr>
          <w:rFonts w:ascii="Times New Roman" w:eastAsia="Times New Roman" w:hAnsi="Times New Roman" w:cs="Times New Roman"/>
          <w:sz w:val="24"/>
          <w:szCs w:val="24"/>
          <w:lang w:val="uk-UA"/>
        </w:rPr>
        <w:t>Регламенту</w:t>
      </w:r>
      <w:r w:rsidRPr="00BE1959">
        <w:rPr>
          <w:rFonts w:ascii="Times New Roman" w:eastAsia="Times New Roman" w:hAnsi="Times New Roman" w:cs="Times New Roman"/>
          <w:sz w:val="24"/>
          <w:szCs w:val="24"/>
          <w:lang w:val="uk-UA"/>
        </w:rPr>
        <w:t xml:space="preserve"> </w:t>
      </w:r>
      <w:r w:rsidR="007B0149" w:rsidRPr="00BE1959">
        <w:rPr>
          <w:rFonts w:ascii="Times New Roman" w:eastAsia="Times New Roman" w:hAnsi="Times New Roman" w:cs="Times New Roman"/>
          <w:sz w:val="24"/>
          <w:szCs w:val="24"/>
          <w:lang w:val="uk-UA"/>
        </w:rPr>
        <w:t>(EU) № 600/2014</w:t>
      </w:r>
      <w:r w:rsidR="00B1493E" w:rsidRPr="00BE1959">
        <w:rPr>
          <w:rFonts w:ascii="Times New Roman" w:eastAsia="Times New Roman" w:hAnsi="Times New Roman" w:cs="Times New Roman"/>
          <w:sz w:val="24"/>
          <w:szCs w:val="24"/>
          <w:lang w:val="uk-UA"/>
        </w:rPr>
        <w:t>, а також заходів, ужитих на виконання цих статей, і підлягає наглядові з боку компетентного органу в державі-члені, де був виданий дозвіл.</w:t>
      </w:r>
    </w:p>
    <w:p w:rsidR="005613AB" w:rsidRPr="00BE1959" w:rsidRDefault="001F5C90" w:rsidP="00460926">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Держави-члени</w:t>
      </w:r>
      <w:r w:rsidR="005613AB" w:rsidRPr="00BE1959">
        <w:rPr>
          <w:rFonts w:ascii="Times New Roman" w:eastAsia="Times New Roman" w:hAnsi="Times New Roman" w:cs="Times New Roman"/>
          <w:sz w:val="24"/>
          <w:szCs w:val="24"/>
          <w:lang w:val="uk-UA"/>
        </w:rPr>
        <w:t xml:space="preserve"> </w:t>
      </w:r>
      <w:r w:rsidR="00460926" w:rsidRPr="00BE1959">
        <w:rPr>
          <w:rFonts w:ascii="Times New Roman" w:eastAsia="Times New Roman" w:hAnsi="Times New Roman" w:cs="Times New Roman"/>
          <w:sz w:val="24"/>
          <w:szCs w:val="24"/>
          <w:lang w:val="uk-UA"/>
        </w:rPr>
        <w:t>не встановлюють додаткових вимог до організації та діяльності філії щодо питань, охоплених цією директивою, і не відносяться до філій фірм із третьої країни сприятливіше, ніж до фірм із Союзу.</w:t>
      </w:r>
    </w:p>
    <w:p w:rsidR="005613AB" w:rsidRPr="00BE1959" w:rsidRDefault="00162A11" w:rsidP="005613AB">
      <w:pPr>
        <w:spacing w:before="360" w:after="120" w:line="312" w:lineRule="atLeast"/>
        <w:jc w:val="center"/>
        <w:textAlignment w:val="baseline"/>
        <w:rPr>
          <w:rFonts w:ascii="Times New Roman" w:eastAsia="Times New Roman" w:hAnsi="Times New Roman" w:cs="Times New Roman"/>
          <w:i/>
          <w:iCs/>
          <w:sz w:val="24"/>
          <w:szCs w:val="24"/>
          <w:lang w:val="uk-UA"/>
        </w:rPr>
      </w:pPr>
      <w:r w:rsidRPr="00BE1959">
        <w:rPr>
          <w:rFonts w:ascii="Times New Roman" w:eastAsia="Times New Roman" w:hAnsi="Times New Roman" w:cs="Times New Roman"/>
          <w:i/>
          <w:iCs/>
          <w:sz w:val="24"/>
          <w:szCs w:val="24"/>
          <w:lang w:val="uk-UA"/>
        </w:rPr>
        <w:t>Стаття</w:t>
      </w:r>
      <w:r w:rsidR="005613AB" w:rsidRPr="00BE1959">
        <w:rPr>
          <w:rFonts w:ascii="Times New Roman" w:eastAsia="Times New Roman" w:hAnsi="Times New Roman" w:cs="Times New Roman"/>
          <w:i/>
          <w:iCs/>
          <w:sz w:val="24"/>
          <w:szCs w:val="24"/>
          <w:lang w:val="uk-UA"/>
        </w:rPr>
        <w:t xml:space="preserve"> 42</w:t>
      </w:r>
    </w:p>
    <w:p w:rsidR="005613AB" w:rsidRPr="00BE1959" w:rsidRDefault="001668E1" w:rsidP="005613AB">
      <w:pPr>
        <w:spacing w:before="60" w:after="120" w:line="312" w:lineRule="atLeast"/>
        <w:jc w:val="center"/>
        <w:textAlignment w:val="baseline"/>
        <w:rPr>
          <w:rFonts w:ascii="Times New Roman" w:eastAsia="Times New Roman" w:hAnsi="Times New Roman" w:cs="Times New Roman"/>
          <w:b/>
          <w:bCs/>
          <w:sz w:val="24"/>
          <w:szCs w:val="24"/>
          <w:lang w:val="uk-UA"/>
        </w:rPr>
      </w:pPr>
      <w:r w:rsidRPr="00BE1959">
        <w:rPr>
          <w:rFonts w:ascii="Times New Roman" w:eastAsia="Times New Roman" w:hAnsi="Times New Roman" w:cs="Times New Roman"/>
          <w:b/>
          <w:bCs/>
          <w:sz w:val="24"/>
          <w:szCs w:val="24"/>
          <w:lang w:val="uk-UA"/>
        </w:rPr>
        <w:t>Надання послуг виключно за ініціативою клієнта</w:t>
      </w:r>
    </w:p>
    <w:p w:rsidR="005613AB" w:rsidRPr="00BE1959" w:rsidRDefault="001F5C90" w:rsidP="00AE1E86">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Держави-члени</w:t>
      </w:r>
      <w:r w:rsidR="005613AB" w:rsidRPr="00BE1959">
        <w:rPr>
          <w:rFonts w:ascii="Times New Roman" w:eastAsia="Times New Roman" w:hAnsi="Times New Roman" w:cs="Times New Roman"/>
          <w:sz w:val="24"/>
          <w:szCs w:val="24"/>
          <w:lang w:val="uk-UA"/>
        </w:rPr>
        <w:t xml:space="preserve"> </w:t>
      </w:r>
      <w:r w:rsidR="00FB2FD5" w:rsidRPr="00BE1959">
        <w:rPr>
          <w:rFonts w:ascii="Times New Roman" w:eastAsia="Times New Roman" w:hAnsi="Times New Roman" w:cs="Times New Roman"/>
          <w:sz w:val="24"/>
          <w:szCs w:val="24"/>
          <w:lang w:val="uk-UA"/>
        </w:rPr>
        <w:t xml:space="preserve">забезпечують, щоб у випадках, де роздрібний клієнт або професійний клієнт у значенні розділу ІІ Додатку ІІ, створений або розташований у Союзі, ініціює виключно за власною ініціативою надання інвестиційної послуги або ведення інвестиційної діяльності фірмою з третьої країни, вимога щодо наявності дозволу згідно зі статтею 39 не поширювалася на надання цієї послуги чи ведення цієї діяльності фірмою з третьої країни для цієї особи, включаючи відносини, що конкретно стосуються </w:t>
      </w:r>
      <w:r w:rsidR="00910409" w:rsidRPr="00BE1959">
        <w:rPr>
          <w:rFonts w:ascii="Times New Roman" w:eastAsia="Times New Roman" w:hAnsi="Times New Roman" w:cs="Times New Roman"/>
          <w:sz w:val="24"/>
          <w:szCs w:val="24"/>
          <w:lang w:val="uk-UA"/>
        </w:rPr>
        <w:t>надання цієї послуги або ведення цієї діяльності. Ініціатива таких клієнтів не надає фірмі з третьої країни права н</w:t>
      </w:r>
      <w:r w:rsidR="00AE1E86" w:rsidRPr="00BE1959">
        <w:rPr>
          <w:rFonts w:ascii="Times New Roman" w:eastAsia="Times New Roman" w:hAnsi="Times New Roman" w:cs="Times New Roman"/>
          <w:sz w:val="24"/>
          <w:szCs w:val="24"/>
          <w:lang w:val="uk-UA"/>
        </w:rPr>
        <w:t xml:space="preserve">а продаж даному клієнтові нових категорій інвестиційних продуктів або інвестиційних послуг </w:t>
      </w:r>
      <w:r w:rsidR="00910409" w:rsidRPr="00BE1959">
        <w:rPr>
          <w:rFonts w:ascii="Times New Roman" w:eastAsia="Times New Roman" w:hAnsi="Times New Roman" w:cs="Times New Roman"/>
          <w:sz w:val="24"/>
          <w:szCs w:val="24"/>
          <w:lang w:val="uk-UA"/>
        </w:rPr>
        <w:t>в інший спосіб, ніж через філію, якщо створення філії вим</w:t>
      </w:r>
      <w:r w:rsidR="00AE1E86" w:rsidRPr="00BE1959">
        <w:rPr>
          <w:rFonts w:ascii="Times New Roman" w:eastAsia="Times New Roman" w:hAnsi="Times New Roman" w:cs="Times New Roman"/>
          <w:sz w:val="24"/>
          <w:szCs w:val="24"/>
          <w:lang w:val="uk-UA"/>
        </w:rPr>
        <w:t>агає національне законодавство.</w:t>
      </w:r>
    </w:p>
    <w:p w:rsidR="00A11DC0" w:rsidRPr="00BE1959" w:rsidRDefault="00A11DC0" w:rsidP="005613AB">
      <w:pPr>
        <w:spacing w:after="0" w:line="312" w:lineRule="atLeast"/>
        <w:jc w:val="center"/>
        <w:textAlignment w:val="baseline"/>
        <w:rPr>
          <w:rFonts w:ascii="Times New Roman" w:eastAsia="Times New Roman" w:hAnsi="Times New Roman" w:cs="Times New Roman"/>
          <w:b/>
          <w:bCs/>
          <w:sz w:val="24"/>
          <w:szCs w:val="24"/>
          <w:bdr w:val="none" w:sz="0" w:space="0" w:color="auto" w:frame="1"/>
          <w:lang w:val="uk-UA"/>
        </w:rPr>
      </w:pPr>
    </w:p>
    <w:p w:rsidR="005613AB" w:rsidRPr="00BE1959" w:rsidRDefault="001668E1" w:rsidP="005613AB">
      <w:pPr>
        <w:spacing w:after="0" w:line="312" w:lineRule="atLeast"/>
        <w:jc w:val="center"/>
        <w:textAlignment w:val="baseline"/>
        <w:rPr>
          <w:rFonts w:ascii="Times New Roman" w:eastAsia="Times New Roman" w:hAnsi="Times New Roman" w:cs="Times New Roman"/>
          <w:b/>
          <w:bCs/>
          <w:sz w:val="24"/>
          <w:szCs w:val="24"/>
          <w:lang w:val="uk-UA"/>
        </w:rPr>
      </w:pPr>
      <w:r w:rsidRPr="00BE1959">
        <w:rPr>
          <w:rFonts w:ascii="Times New Roman" w:eastAsia="Times New Roman" w:hAnsi="Times New Roman" w:cs="Times New Roman"/>
          <w:b/>
          <w:bCs/>
          <w:sz w:val="24"/>
          <w:szCs w:val="24"/>
          <w:bdr w:val="none" w:sz="0" w:space="0" w:color="auto" w:frame="1"/>
          <w:lang w:val="uk-UA"/>
        </w:rPr>
        <w:t>Підрозділ</w:t>
      </w:r>
      <w:r w:rsidR="005613AB" w:rsidRPr="00BE1959">
        <w:rPr>
          <w:rFonts w:ascii="Times New Roman" w:eastAsia="Times New Roman" w:hAnsi="Times New Roman" w:cs="Times New Roman"/>
          <w:b/>
          <w:bCs/>
          <w:sz w:val="24"/>
          <w:szCs w:val="24"/>
          <w:bdr w:val="none" w:sz="0" w:space="0" w:color="auto" w:frame="1"/>
          <w:lang w:val="uk-UA"/>
        </w:rPr>
        <w:t xml:space="preserve"> 2</w:t>
      </w:r>
    </w:p>
    <w:p w:rsidR="001668E1" w:rsidRPr="00BE1959" w:rsidRDefault="002E519B" w:rsidP="001668E1">
      <w:pPr>
        <w:spacing w:after="0" w:line="312" w:lineRule="atLeast"/>
        <w:jc w:val="center"/>
        <w:textAlignment w:val="baseline"/>
        <w:rPr>
          <w:rFonts w:ascii="Times New Roman" w:eastAsia="Times New Roman" w:hAnsi="Times New Roman" w:cs="Times New Roman"/>
          <w:b/>
          <w:bCs/>
          <w:sz w:val="24"/>
          <w:szCs w:val="24"/>
          <w:lang w:val="uk-UA"/>
        </w:rPr>
      </w:pPr>
      <w:r w:rsidRPr="00BE1959">
        <w:rPr>
          <w:rFonts w:ascii="Times New Roman" w:eastAsia="Times New Roman" w:hAnsi="Times New Roman" w:cs="Times New Roman"/>
          <w:b/>
          <w:bCs/>
          <w:sz w:val="24"/>
          <w:szCs w:val="24"/>
          <w:bdr w:val="none" w:sz="0" w:space="0" w:color="auto" w:frame="1"/>
          <w:lang w:val="uk-UA"/>
        </w:rPr>
        <w:t>Відкликання дозволів</w:t>
      </w:r>
    </w:p>
    <w:p w:rsidR="005613AB" w:rsidRPr="00BE1959" w:rsidRDefault="00162A11" w:rsidP="005613AB">
      <w:pPr>
        <w:spacing w:before="360" w:after="120" w:line="312" w:lineRule="atLeast"/>
        <w:jc w:val="center"/>
        <w:textAlignment w:val="baseline"/>
        <w:rPr>
          <w:rFonts w:ascii="Times New Roman" w:eastAsia="Times New Roman" w:hAnsi="Times New Roman" w:cs="Times New Roman"/>
          <w:i/>
          <w:iCs/>
          <w:sz w:val="24"/>
          <w:szCs w:val="24"/>
          <w:lang w:val="uk-UA"/>
        </w:rPr>
      </w:pPr>
      <w:r w:rsidRPr="00BE1959">
        <w:rPr>
          <w:rFonts w:ascii="Times New Roman" w:eastAsia="Times New Roman" w:hAnsi="Times New Roman" w:cs="Times New Roman"/>
          <w:i/>
          <w:iCs/>
          <w:sz w:val="24"/>
          <w:szCs w:val="24"/>
          <w:lang w:val="uk-UA"/>
        </w:rPr>
        <w:lastRenderedPageBreak/>
        <w:t>Стаття</w:t>
      </w:r>
      <w:r w:rsidR="005613AB" w:rsidRPr="00BE1959">
        <w:rPr>
          <w:rFonts w:ascii="Times New Roman" w:eastAsia="Times New Roman" w:hAnsi="Times New Roman" w:cs="Times New Roman"/>
          <w:i/>
          <w:iCs/>
          <w:sz w:val="24"/>
          <w:szCs w:val="24"/>
          <w:lang w:val="uk-UA"/>
        </w:rPr>
        <w:t xml:space="preserve"> 43</w:t>
      </w:r>
    </w:p>
    <w:p w:rsidR="005613AB" w:rsidRPr="00BE1959" w:rsidRDefault="002E519B" w:rsidP="005613AB">
      <w:pPr>
        <w:spacing w:before="60" w:after="120" w:line="312" w:lineRule="atLeast"/>
        <w:jc w:val="center"/>
        <w:textAlignment w:val="baseline"/>
        <w:rPr>
          <w:rFonts w:ascii="Times New Roman" w:eastAsia="Times New Roman" w:hAnsi="Times New Roman" w:cs="Times New Roman"/>
          <w:b/>
          <w:bCs/>
          <w:sz w:val="24"/>
          <w:szCs w:val="24"/>
          <w:lang w:val="uk-UA"/>
        </w:rPr>
      </w:pPr>
      <w:r w:rsidRPr="00BE1959">
        <w:rPr>
          <w:rFonts w:ascii="Times New Roman" w:eastAsia="Times New Roman" w:hAnsi="Times New Roman" w:cs="Times New Roman"/>
          <w:b/>
          <w:bCs/>
          <w:sz w:val="24"/>
          <w:szCs w:val="24"/>
          <w:bdr w:val="none" w:sz="0" w:space="0" w:color="auto" w:frame="1"/>
          <w:lang w:val="uk-UA"/>
        </w:rPr>
        <w:t>Відкликання дозволів</w:t>
      </w:r>
    </w:p>
    <w:p w:rsidR="005613AB" w:rsidRPr="00BE1959" w:rsidRDefault="002E519B" w:rsidP="00AE1E86">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Компетентний орган</w:t>
      </w:r>
      <w:r w:rsidR="00AE1E86" w:rsidRPr="00BE1959">
        <w:rPr>
          <w:rFonts w:ascii="Times New Roman" w:eastAsia="Times New Roman" w:hAnsi="Times New Roman" w:cs="Times New Roman"/>
          <w:sz w:val="24"/>
          <w:szCs w:val="24"/>
          <w:lang w:val="uk-UA"/>
        </w:rPr>
        <w:t xml:space="preserve">, який видав дозвіл відповідно до статті 41, </w:t>
      </w:r>
      <w:r w:rsidRPr="00BE1959">
        <w:rPr>
          <w:rFonts w:ascii="Times New Roman" w:eastAsia="Times New Roman" w:hAnsi="Times New Roman" w:cs="Times New Roman"/>
          <w:sz w:val="24"/>
          <w:szCs w:val="24"/>
          <w:lang w:val="uk-UA"/>
        </w:rPr>
        <w:t xml:space="preserve">може відкликати дозвіл, виданий </w:t>
      </w:r>
      <w:r w:rsidR="00AE1E86" w:rsidRPr="00BE1959">
        <w:rPr>
          <w:rFonts w:ascii="Times New Roman" w:eastAsia="Times New Roman" w:hAnsi="Times New Roman" w:cs="Times New Roman"/>
          <w:sz w:val="24"/>
          <w:szCs w:val="24"/>
          <w:lang w:val="uk-UA"/>
        </w:rPr>
        <w:t>фірмі з третьої країни, якщо така фірма:</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9093"/>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FD5C2B" w:rsidP="00342823">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не використовує дозвіл упродовж 12 місяців, прямо відмовляється від дозволу або не надавала інвестиційні послуги чи не вела інвестиційну діяльність упродовж попередніх шести місяців, якщо відповідна держава-член не передбачила для таких випадків втрату дозволом чинності;</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FD5C2B" w:rsidP="00E836E6">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отримала дозвіл шляхом надання неправдивих заяв або будь-якими іншими незаконними засобами;</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78"/>
        <w:gridCol w:w="8887"/>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FD5C2B" w:rsidP="00E836E6">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вже не відповідає умовам, на яких був виданий дозвіл;</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3741B2" w:rsidP="00E836E6">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серйозно і систематично порушувала положення, прийняті на виконання цієї директиви, які регламентують умови діяльності інвестиційних фірм і застосовні до фірм із третіх країн;</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9093"/>
      </w:tblGrid>
      <w:tr w:rsidR="00DE3173"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(e)</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3741B2" w:rsidP="005F72C5">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потрапляє у будь-яку з категорій випадків, у яких національним законодавством, стосовно питань, які виходять за рамки сфери дії цієї директиви, передбачено відкликання дозволу.</w:t>
            </w:r>
          </w:p>
        </w:tc>
      </w:tr>
    </w:tbl>
    <w:p w:rsidR="005613AB" w:rsidRPr="00BE1959" w:rsidRDefault="00B45D3B" w:rsidP="005613AB">
      <w:pPr>
        <w:spacing w:before="480" w:after="0" w:line="312" w:lineRule="atLeast"/>
        <w:jc w:val="center"/>
        <w:textAlignment w:val="baseline"/>
        <w:rPr>
          <w:rFonts w:ascii="Times New Roman" w:eastAsia="Times New Roman" w:hAnsi="Times New Roman" w:cs="Times New Roman"/>
          <w:b/>
          <w:bCs/>
          <w:sz w:val="24"/>
          <w:szCs w:val="24"/>
          <w:lang w:val="uk-UA"/>
        </w:rPr>
      </w:pPr>
      <w:r w:rsidRPr="00BE1959">
        <w:rPr>
          <w:rFonts w:ascii="Times New Roman" w:eastAsia="Times New Roman" w:hAnsi="Times New Roman" w:cs="Times New Roman"/>
          <w:b/>
          <w:bCs/>
          <w:sz w:val="24"/>
          <w:szCs w:val="24"/>
          <w:lang w:val="uk-UA"/>
        </w:rPr>
        <w:t>РОЗДІЛ</w:t>
      </w:r>
      <w:r w:rsidR="005613AB" w:rsidRPr="00BE1959">
        <w:rPr>
          <w:rFonts w:ascii="Times New Roman" w:eastAsia="Times New Roman" w:hAnsi="Times New Roman" w:cs="Times New Roman"/>
          <w:b/>
          <w:bCs/>
          <w:sz w:val="24"/>
          <w:szCs w:val="24"/>
          <w:lang w:val="uk-UA"/>
        </w:rPr>
        <w:t xml:space="preserve"> III</w:t>
      </w:r>
    </w:p>
    <w:p w:rsidR="005613AB" w:rsidRPr="00BE1959" w:rsidRDefault="00B45D3B" w:rsidP="005613AB">
      <w:pPr>
        <w:spacing w:after="0" w:line="312" w:lineRule="atLeast"/>
        <w:jc w:val="center"/>
        <w:textAlignment w:val="baseline"/>
        <w:rPr>
          <w:rFonts w:ascii="Times New Roman" w:eastAsia="Times New Roman" w:hAnsi="Times New Roman" w:cs="Times New Roman"/>
          <w:b/>
          <w:bCs/>
          <w:sz w:val="24"/>
          <w:szCs w:val="24"/>
          <w:lang w:val="uk-UA"/>
        </w:rPr>
      </w:pPr>
      <w:r w:rsidRPr="00BE1959">
        <w:rPr>
          <w:rFonts w:ascii="Times New Roman" w:eastAsia="Times New Roman" w:hAnsi="Times New Roman" w:cs="Times New Roman"/>
          <w:b/>
          <w:bCs/>
          <w:sz w:val="24"/>
          <w:szCs w:val="24"/>
          <w:bdr w:val="none" w:sz="0" w:space="0" w:color="auto" w:frame="1"/>
          <w:lang w:val="uk-UA"/>
        </w:rPr>
        <w:t>РЕГУЛЬОВАНІ РИНКИ</w:t>
      </w:r>
    </w:p>
    <w:p w:rsidR="005613AB" w:rsidRPr="00BE1959" w:rsidRDefault="00162A11" w:rsidP="005613AB">
      <w:pPr>
        <w:spacing w:before="360" w:after="120" w:line="312" w:lineRule="atLeast"/>
        <w:jc w:val="center"/>
        <w:textAlignment w:val="baseline"/>
        <w:rPr>
          <w:rFonts w:ascii="Times New Roman" w:eastAsia="Times New Roman" w:hAnsi="Times New Roman" w:cs="Times New Roman"/>
          <w:i/>
          <w:iCs/>
          <w:sz w:val="24"/>
          <w:szCs w:val="24"/>
          <w:lang w:val="uk-UA"/>
        </w:rPr>
      </w:pPr>
      <w:r w:rsidRPr="00BE1959">
        <w:rPr>
          <w:rFonts w:ascii="Times New Roman" w:eastAsia="Times New Roman" w:hAnsi="Times New Roman" w:cs="Times New Roman"/>
          <w:i/>
          <w:iCs/>
          <w:sz w:val="24"/>
          <w:szCs w:val="24"/>
          <w:lang w:val="uk-UA"/>
        </w:rPr>
        <w:t>Стаття</w:t>
      </w:r>
      <w:r w:rsidR="005613AB" w:rsidRPr="00BE1959">
        <w:rPr>
          <w:rFonts w:ascii="Times New Roman" w:eastAsia="Times New Roman" w:hAnsi="Times New Roman" w:cs="Times New Roman"/>
          <w:i/>
          <w:iCs/>
          <w:sz w:val="24"/>
          <w:szCs w:val="24"/>
          <w:lang w:val="uk-UA"/>
        </w:rPr>
        <w:t xml:space="preserve"> 44</w:t>
      </w:r>
    </w:p>
    <w:p w:rsidR="005613AB" w:rsidRPr="00BE1959" w:rsidRDefault="00B45D3B" w:rsidP="005613AB">
      <w:pPr>
        <w:spacing w:before="60" w:after="120" w:line="312" w:lineRule="atLeast"/>
        <w:jc w:val="center"/>
        <w:textAlignment w:val="baseline"/>
        <w:rPr>
          <w:rFonts w:ascii="Times New Roman" w:eastAsia="Times New Roman" w:hAnsi="Times New Roman" w:cs="Times New Roman"/>
          <w:b/>
          <w:bCs/>
          <w:sz w:val="24"/>
          <w:szCs w:val="24"/>
          <w:lang w:val="uk-UA"/>
        </w:rPr>
      </w:pPr>
      <w:r w:rsidRPr="00BE1959">
        <w:rPr>
          <w:rFonts w:ascii="Times New Roman" w:eastAsia="Times New Roman" w:hAnsi="Times New Roman" w:cs="Times New Roman"/>
          <w:b/>
          <w:bCs/>
          <w:sz w:val="24"/>
          <w:szCs w:val="24"/>
          <w:lang w:val="uk-UA"/>
        </w:rPr>
        <w:t>Видача дозволів і застосовне законодавство</w:t>
      </w:r>
    </w:p>
    <w:p w:rsidR="005613AB" w:rsidRPr="00BE1959" w:rsidRDefault="005613AB" w:rsidP="00866303">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1.   </w:t>
      </w:r>
      <w:r w:rsidR="001F5C90" w:rsidRPr="00BE1959">
        <w:rPr>
          <w:rFonts w:ascii="Times New Roman" w:eastAsia="Times New Roman" w:hAnsi="Times New Roman" w:cs="Times New Roman"/>
          <w:sz w:val="24"/>
          <w:szCs w:val="24"/>
          <w:lang w:val="uk-UA"/>
        </w:rPr>
        <w:t>Держави-члени</w:t>
      </w:r>
      <w:r w:rsidRPr="00BE1959">
        <w:rPr>
          <w:rFonts w:ascii="Times New Roman" w:eastAsia="Times New Roman" w:hAnsi="Times New Roman" w:cs="Times New Roman"/>
          <w:sz w:val="24"/>
          <w:szCs w:val="24"/>
          <w:lang w:val="uk-UA"/>
        </w:rPr>
        <w:t xml:space="preserve"> </w:t>
      </w:r>
      <w:r w:rsidR="00866303" w:rsidRPr="00BE1959">
        <w:rPr>
          <w:rFonts w:ascii="Times New Roman" w:eastAsia="Times New Roman" w:hAnsi="Times New Roman" w:cs="Times New Roman"/>
          <w:sz w:val="24"/>
          <w:szCs w:val="24"/>
          <w:lang w:val="uk-UA"/>
        </w:rPr>
        <w:t>надають дозвіл як регульованому ринку тільки тим системам, які відповідають положенням цього розділу даної директиви.</w:t>
      </w:r>
    </w:p>
    <w:p w:rsidR="005613AB" w:rsidRPr="00BE1959" w:rsidRDefault="00866303" w:rsidP="004328C3">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Дозвіл як регульованому ринку надається тільки за умови, що компетентний орган </w:t>
      </w:r>
      <w:r w:rsidR="004328C3" w:rsidRPr="00BE1959">
        <w:rPr>
          <w:rFonts w:ascii="Times New Roman" w:eastAsia="Times New Roman" w:hAnsi="Times New Roman" w:cs="Times New Roman"/>
          <w:sz w:val="24"/>
          <w:szCs w:val="24"/>
          <w:lang w:val="uk-UA"/>
        </w:rPr>
        <w:t>переконався в тому, що і оператор ринку, і системи регульованого ринку відповідають як мінімум вимогам, викладеним у цьому розділі директиви.</w:t>
      </w:r>
    </w:p>
    <w:p w:rsidR="005613AB" w:rsidRPr="00BE1959" w:rsidRDefault="004328C3" w:rsidP="004328C3">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У випадку регульованого ринку, що є юридичною особою, а їм керує або управляє інший оператор ринку, ніж сам регульований ринок, держави-члени визначають порядок розподілу різних зобов’язань, установлених для оператора ринку за цією директивою, між регульованим ринком і оператором ринку.</w:t>
      </w:r>
    </w:p>
    <w:p w:rsidR="005613AB" w:rsidRPr="00BE1959" w:rsidRDefault="00157E15" w:rsidP="00157E15">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Оператор ринку надає всю інформацію, зокрема програму діяльності, де зазначається, серед іншого, передбачений вид діяльності і організаційна структура, необхідну для того, </w:t>
      </w:r>
      <w:r w:rsidRPr="00BE1959">
        <w:rPr>
          <w:rFonts w:ascii="Times New Roman" w:eastAsia="Times New Roman" w:hAnsi="Times New Roman" w:cs="Times New Roman"/>
          <w:sz w:val="24"/>
          <w:szCs w:val="24"/>
          <w:lang w:val="uk-UA"/>
        </w:rPr>
        <w:lastRenderedPageBreak/>
        <w:t>щоб компетентний орган переконався в тому, що регульований ринок створив, на момент видачі початкового дозволу, всі необхідні механізми для виконання своїх зобов’язань за цим розділом директиви.</w:t>
      </w:r>
    </w:p>
    <w:p w:rsidR="005613AB" w:rsidRPr="00BE1959" w:rsidRDefault="005613AB" w:rsidP="00C5742F">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2.   </w:t>
      </w:r>
      <w:r w:rsidR="001F5C90" w:rsidRPr="00BE1959">
        <w:rPr>
          <w:rFonts w:ascii="Times New Roman" w:eastAsia="Times New Roman" w:hAnsi="Times New Roman" w:cs="Times New Roman"/>
          <w:sz w:val="24"/>
          <w:szCs w:val="24"/>
          <w:lang w:val="uk-UA"/>
        </w:rPr>
        <w:t>Держави-члени</w:t>
      </w:r>
      <w:r w:rsidR="00C5742F" w:rsidRPr="00BE1959">
        <w:rPr>
          <w:rFonts w:ascii="Times New Roman" w:eastAsia="Times New Roman" w:hAnsi="Times New Roman" w:cs="Times New Roman"/>
          <w:sz w:val="24"/>
          <w:szCs w:val="24"/>
          <w:lang w:val="uk-UA"/>
        </w:rPr>
        <w:t xml:space="preserve"> вимагають, щоб оператор ринку виконував задачі, що стосуються організації та діяльності регульованого ринку, під наглядом компетентного органу. Держави-члени забезпечують, щоб компетентні органи регулярно перевіряли відповідність регульованих ринків вимогам цього розділу директиви. Вони також забезпечують, щоб компетентні органи контролювали незмінне виконання регульованими ринками умов видачі початкового дозволу, встановлених згідно з цим розділом директиви.</w:t>
      </w:r>
    </w:p>
    <w:p w:rsidR="005613AB" w:rsidRPr="00BE1959" w:rsidRDefault="005613AB" w:rsidP="00FD3A68">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3.   </w:t>
      </w:r>
      <w:r w:rsidR="001F5C90" w:rsidRPr="00BE1959">
        <w:rPr>
          <w:rFonts w:ascii="Times New Roman" w:eastAsia="Times New Roman" w:hAnsi="Times New Roman" w:cs="Times New Roman"/>
          <w:sz w:val="24"/>
          <w:szCs w:val="24"/>
          <w:lang w:val="uk-UA"/>
        </w:rPr>
        <w:t>Держави-члени</w:t>
      </w:r>
      <w:r w:rsidRPr="00BE1959">
        <w:rPr>
          <w:rFonts w:ascii="Times New Roman" w:eastAsia="Times New Roman" w:hAnsi="Times New Roman" w:cs="Times New Roman"/>
          <w:sz w:val="24"/>
          <w:szCs w:val="24"/>
          <w:lang w:val="uk-UA"/>
        </w:rPr>
        <w:t xml:space="preserve"> </w:t>
      </w:r>
      <w:r w:rsidR="00FD3A68" w:rsidRPr="00BE1959">
        <w:rPr>
          <w:rFonts w:ascii="Times New Roman" w:eastAsia="Times New Roman" w:hAnsi="Times New Roman" w:cs="Times New Roman"/>
          <w:sz w:val="24"/>
          <w:szCs w:val="24"/>
          <w:lang w:val="uk-UA"/>
        </w:rPr>
        <w:t>забезпечують, щоб оператор ринку відповідав за забезпечення дотримання регульованим ринком, яким він управляє, вимог, викладених у цьому розділі директиви.</w:t>
      </w:r>
    </w:p>
    <w:p w:rsidR="005613AB" w:rsidRPr="00BE1959" w:rsidRDefault="001F5C90" w:rsidP="006350D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Держави-члени</w:t>
      </w:r>
      <w:r w:rsidR="005613AB" w:rsidRPr="00BE1959">
        <w:rPr>
          <w:rFonts w:ascii="Times New Roman" w:eastAsia="Times New Roman" w:hAnsi="Times New Roman" w:cs="Times New Roman"/>
          <w:sz w:val="24"/>
          <w:szCs w:val="24"/>
          <w:lang w:val="uk-UA"/>
        </w:rPr>
        <w:t xml:space="preserve"> </w:t>
      </w:r>
      <w:r w:rsidR="00FD3A68" w:rsidRPr="00BE1959">
        <w:rPr>
          <w:rFonts w:ascii="Times New Roman" w:eastAsia="Times New Roman" w:hAnsi="Times New Roman" w:cs="Times New Roman"/>
          <w:sz w:val="24"/>
          <w:szCs w:val="24"/>
          <w:lang w:val="uk-UA"/>
        </w:rPr>
        <w:t>забезпечують також, щоб оператор ринку мав право здійснювати права, які відповідають регульованому ринку, яким він управляє на підставі цієї</w:t>
      </w:r>
      <w:r w:rsidR="006350DB" w:rsidRPr="00BE1959">
        <w:rPr>
          <w:rFonts w:ascii="Times New Roman" w:eastAsia="Times New Roman" w:hAnsi="Times New Roman" w:cs="Times New Roman"/>
          <w:sz w:val="24"/>
          <w:szCs w:val="24"/>
          <w:lang w:val="uk-UA"/>
        </w:rPr>
        <w:t xml:space="preserve"> директиви.</w:t>
      </w:r>
    </w:p>
    <w:p w:rsidR="005613AB" w:rsidRPr="00BE1959" w:rsidRDefault="005613AB" w:rsidP="00FD5C2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4.   </w:t>
      </w:r>
      <w:r w:rsidR="005F6FA4" w:rsidRPr="00BE1959">
        <w:rPr>
          <w:rFonts w:ascii="Times New Roman" w:eastAsia="Times New Roman" w:hAnsi="Times New Roman" w:cs="Times New Roman"/>
          <w:sz w:val="24"/>
          <w:szCs w:val="24"/>
          <w:lang w:val="uk-UA"/>
        </w:rPr>
        <w:t>Без шкоди для всіх доречних положень</w:t>
      </w:r>
      <w:r w:rsidRPr="00BE1959">
        <w:rPr>
          <w:rFonts w:ascii="Times New Roman" w:eastAsia="Times New Roman" w:hAnsi="Times New Roman" w:cs="Times New Roman"/>
          <w:sz w:val="24"/>
          <w:szCs w:val="24"/>
          <w:lang w:val="uk-UA"/>
        </w:rPr>
        <w:t xml:space="preserve"> </w:t>
      </w:r>
      <w:r w:rsidR="008824AE" w:rsidRPr="00BE1959">
        <w:rPr>
          <w:rFonts w:ascii="Times New Roman" w:eastAsia="Times New Roman" w:hAnsi="Times New Roman" w:cs="Times New Roman"/>
          <w:sz w:val="24"/>
          <w:szCs w:val="24"/>
          <w:lang w:val="uk-UA"/>
        </w:rPr>
        <w:t>Регламенту</w:t>
      </w:r>
      <w:r w:rsidRPr="00BE1959">
        <w:rPr>
          <w:rFonts w:ascii="Times New Roman" w:eastAsia="Times New Roman" w:hAnsi="Times New Roman" w:cs="Times New Roman"/>
          <w:sz w:val="24"/>
          <w:szCs w:val="24"/>
          <w:lang w:val="uk-UA"/>
        </w:rPr>
        <w:t xml:space="preserve"> </w:t>
      </w:r>
      <w:r w:rsidR="00DB4825" w:rsidRPr="00BE1959">
        <w:rPr>
          <w:rFonts w:ascii="Times New Roman" w:eastAsia="Times New Roman" w:hAnsi="Times New Roman" w:cs="Times New Roman"/>
          <w:sz w:val="24"/>
          <w:szCs w:val="24"/>
          <w:lang w:val="uk-UA"/>
        </w:rPr>
        <w:t>(EU) №</w:t>
      </w:r>
      <w:r w:rsidRPr="00BE1959">
        <w:rPr>
          <w:rFonts w:ascii="Times New Roman" w:eastAsia="Times New Roman" w:hAnsi="Times New Roman" w:cs="Times New Roman"/>
          <w:sz w:val="24"/>
          <w:szCs w:val="24"/>
          <w:lang w:val="uk-UA"/>
        </w:rPr>
        <w:t xml:space="preserve"> 596/2014 </w:t>
      </w:r>
      <w:r w:rsidR="005F6FA4" w:rsidRPr="00BE1959">
        <w:rPr>
          <w:rFonts w:ascii="Times New Roman" w:eastAsia="Times New Roman" w:hAnsi="Times New Roman" w:cs="Times New Roman"/>
          <w:sz w:val="24"/>
          <w:szCs w:val="24"/>
          <w:lang w:val="uk-UA"/>
        </w:rPr>
        <w:t>або</w:t>
      </w:r>
      <w:r w:rsidRPr="00BE1959">
        <w:rPr>
          <w:rFonts w:ascii="Times New Roman" w:eastAsia="Times New Roman" w:hAnsi="Times New Roman" w:cs="Times New Roman"/>
          <w:sz w:val="24"/>
          <w:szCs w:val="24"/>
          <w:lang w:val="uk-UA"/>
        </w:rPr>
        <w:t xml:space="preserve"> </w:t>
      </w:r>
      <w:r w:rsidR="00016E03" w:rsidRPr="00BE1959">
        <w:rPr>
          <w:rFonts w:ascii="Times New Roman" w:eastAsia="Times New Roman" w:hAnsi="Times New Roman" w:cs="Times New Roman"/>
          <w:sz w:val="24"/>
          <w:szCs w:val="24"/>
          <w:lang w:val="uk-UA"/>
        </w:rPr>
        <w:t>Директиви</w:t>
      </w:r>
      <w:r w:rsidRPr="00BE1959">
        <w:rPr>
          <w:rFonts w:ascii="Times New Roman" w:eastAsia="Times New Roman" w:hAnsi="Times New Roman" w:cs="Times New Roman"/>
          <w:sz w:val="24"/>
          <w:szCs w:val="24"/>
          <w:lang w:val="uk-UA"/>
        </w:rPr>
        <w:t xml:space="preserve"> 2014/57/EU</w:t>
      </w:r>
      <w:r w:rsidR="004249F3" w:rsidRPr="00BE1959">
        <w:rPr>
          <w:rFonts w:ascii="Times New Roman" w:eastAsia="Times New Roman" w:hAnsi="Times New Roman" w:cs="Times New Roman"/>
          <w:sz w:val="24"/>
          <w:szCs w:val="24"/>
          <w:lang w:val="uk-UA"/>
        </w:rPr>
        <w:t xml:space="preserve"> </w:t>
      </w:r>
      <w:r w:rsidR="00FD5C2B" w:rsidRPr="00BE1959">
        <w:rPr>
          <w:rFonts w:ascii="Times New Roman" w:eastAsia="Times New Roman" w:hAnsi="Times New Roman" w:cs="Times New Roman"/>
          <w:sz w:val="24"/>
          <w:szCs w:val="24"/>
          <w:lang w:val="uk-UA"/>
        </w:rPr>
        <w:t>торгівля, що здійснюється у системах регульованого ринку, повинна регулюватися публічним правом</w:t>
      </w:r>
      <w:r w:rsidR="004249F3" w:rsidRPr="00BE1959">
        <w:rPr>
          <w:rFonts w:ascii="Times New Roman" w:eastAsia="Times New Roman" w:hAnsi="Times New Roman" w:cs="Times New Roman"/>
          <w:sz w:val="24"/>
          <w:szCs w:val="24"/>
          <w:lang w:val="uk-UA"/>
        </w:rPr>
        <w:t xml:space="preserve"> держави-члена походження регульованого ринку.</w:t>
      </w:r>
    </w:p>
    <w:p w:rsidR="005613AB" w:rsidRPr="00BE1959" w:rsidRDefault="005613AB" w:rsidP="00FD5C2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5.   </w:t>
      </w:r>
      <w:r w:rsidR="001E74E1" w:rsidRPr="00BE1959">
        <w:rPr>
          <w:rFonts w:ascii="Times New Roman" w:eastAsia="Times New Roman" w:hAnsi="Times New Roman" w:cs="Times New Roman"/>
          <w:sz w:val="24"/>
          <w:szCs w:val="24"/>
          <w:lang w:val="uk-UA"/>
        </w:rPr>
        <w:t>Компетентний орган може</w:t>
      </w:r>
      <w:r w:rsidRPr="00BE1959">
        <w:rPr>
          <w:rFonts w:ascii="Times New Roman" w:eastAsia="Times New Roman" w:hAnsi="Times New Roman" w:cs="Times New Roman"/>
          <w:sz w:val="24"/>
          <w:szCs w:val="24"/>
          <w:lang w:val="uk-UA"/>
        </w:rPr>
        <w:t xml:space="preserve"> </w:t>
      </w:r>
      <w:r w:rsidR="00FD5C2B" w:rsidRPr="00BE1959">
        <w:rPr>
          <w:rFonts w:ascii="Times New Roman" w:eastAsia="Times New Roman" w:hAnsi="Times New Roman" w:cs="Times New Roman"/>
          <w:sz w:val="24"/>
          <w:szCs w:val="24"/>
          <w:lang w:val="uk-UA"/>
        </w:rPr>
        <w:t>відкликати дозвіл, виданий регульованому ринку, якщо регульований ринок:</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9093"/>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D5C2B" w:rsidRPr="00BE1959" w:rsidRDefault="00FD5C2B" w:rsidP="00FB6ECC">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не використовує дозвіл упродовж 12 місяців, прямо відмовляється від дозволу або не </w:t>
            </w:r>
            <w:r w:rsidR="00FB6ECC" w:rsidRPr="00BE1959">
              <w:rPr>
                <w:rFonts w:ascii="Times New Roman" w:eastAsia="Times New Roman" w:hAnsi="Times New Roman" w:cs="Times New Roman"/>
                <w:sz w:val="24"/>
                <w:szCs w:val="24"/>
                <w:lang w:val="uk-UA"/>
              </w:rPr>
              <w:t xml:space="preserve">діяв </w:t>
            </w:r>
            <w:r w:rsidRPr="00BE1959">
              <w:rPr>
                <w:rFonts w:ascii="Times New Roman" w:eastAsia="Times New Roman" w:hAnsi="Times New Roman" w:cs="Times New Roman"/>
                <w:sz w:val="24"/>
                <w:szCs w:val="24"/>
                <w:lang w:val="uk-UA"/>
              </w:rPr>
              <w:t>упродовж попередніх шести місяців, якщо відповідна держава-член не передбачила для таких випадків втрату дозволом чинності;</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FD5C2B" w:rsidP="00FB6ECC">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отрима</w:t>
            </w:r>
            <w:r w:rsidR="00FB6ECC" w:rsidRPr="00BE1959">
              <w:rPr>
                <w:rFonts w:ascii="Times New Roman" w:eastAsia="Times New Roman" w:hAnsi="Times New Roman" w:cs="Times New Roman"/>
                <w:sz w:val="24"/>
                <w:szCs w:val="24"/>
                <w:lang w:val="uk-UA"/>
              </w:rPr>
              <w:t>в</w:t>
            </w:r>
            <w:r w:rsidRPr="00BE1959">
              <w:rPr>
                <w:rFonts w:ascii="Times New Roman" w:eastAsia="Times New Roman" w:hAnsi="Times New Roman" w:cs="Times New Roman"/>
                <w:sz w:val="24"/>
                <w:szCs w:val="24"/>
                <w:lang w:val="uk-UA"/>
              </w:rPr>
              <w:t xml:space="preserve"> дозвіл шляхом надання неправдивих заяв або будь-якими іншими незаконними засобами;</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78"/>
        <w:gridCol w:w="8887"/>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3741B2" w:rsidP="00FB6ECC">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вже не відповідає умовам, на яких був виданий дозвіл;</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3741B2" w:rsidP="00FB6ECC">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серйозно і систематично порушува</w:t>
            </w:r>
            <w:r w:rsidR="00FB6ECC" w:rsidRPr="00BE1959">
              <w:rPr>
                <w:rFonts w:ascii="Times New Roman" w:eastAsia="Times New Roman" w:hAnsi="Times New Roman" w:cs="Times New Roman"/>
                <w:sz w:val="24"/>
                <w:szCs w:val="24"/>
                <w:lang w:val="uk-UA"/>
              </w:rPr>
              <w:t>в</w:t>
            </w:r>
            <w:r w:rsidRPr="00BE1959">
              <w:rPr>
                <w:rFonts w:ascii="Times New Roman" w:eastAsia="Times New Roman" w:hAnsi="Times New Roman" w:cs="Times New Roman"/>
                <w:sz w:val="24"/>
                <w:szCs w:val="24"/>
                <w:lang w:val="uk-UA"/>
              </w:rPr>
              <w:t xml:space="preserve"> положення, прийняті на виконання цієї директиви</w:t>
            </w:r>
            <w:r w:rsidR="00FB6ECC" w:rsidRPr="00BE1959">
              <w:rPr>
                <w:rFonts w:ascii="Times New Roman" w:eastAsia="Times New Roman" w:hAnsi="Times New Roman" w:cs="Times New Roman"/>
                <w:sz w:val="24"/>
                <w:szCs w:val="24"/>
                <w:lang w:val="uk-UA"/>
              </w:rPr>
              <w:t xml:space="preserve"> або Регламенту</w:t>
            </w:r>
            <w:r w:rsidR="005613AB" w:rsidRPr="00BE1959">
              <w:rPr>
                <w:rFonts w:ascii="Times New Roman" w:eastAsia="Times New Roman" w:hAnsi="Times New Roman" w:cs="Times New Roman"/>
                <w:sz w:val="24"/>
                <w:szCs w:val="24"/>
                <w:lang w:val="uk-UA"/>
              </w:rPr>
              <w:t xml:space="preserve"> </w:t>
            </w:r>
            <w:r w:rsidR="007B0149" w:rsidRPr="00BE1959">
              <w:rPr>
                <w:rFonts w:ascii="Times New Roman" w:eastAsia="Times New Roman" w:hAnsi="Times New Roman" w:cs="Times New Roman"/>
                <w:sz w:val="24"/>
                <w:szCs w:val="24"/>
                <w:lang w:val="uk-UA"/>
              </w:rPr>
              <w:t>(EU) № 600/2014</w:t>
            </w:r>
            <w:r w:rsidR="005613AB" w:rsidRPr="00BE1959">
              <w:rPr>
                <w:rFonts w:ascii="Times New Roman" w:eastAsia="Times New Roman" w:hAnsi="Times New Roman" w:cs="Times New Roman"/>
                <w:sz w:val="24"/>
                <w:szCs w:val="24"/>
                <w:lang w:val="uk-UA"/>
              </w:rPr>
              <w:t>;</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9093"/>
      </w:tblGrid>
      <w:tr w:rsidR="00DE3173"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(e)</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3741B2" w:rsidP="00C7449D">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потрапляє у будь-яку з категорій випадків, у яких національним законодавством</w:t>
            </w:r>
            <w:r w:rsidR="00C7449D" w:rsidRPr="00BE1959">
              <w:rPr>
                <w:rFonts w:ascii="Times New Roman" w:eastAsia="Times New Roman" w:hAnsi="Times New Roman" w:cs="Times New Roman"/>
                <w:sz w:val="24"/>
                <w:szCs w:val="24"/>
                <w:lang w:val="uk-UA"/>
              </w:rPr>
              <w:t xml:space="preserve"> </w:t>
            </w:r>
            <w:r w:rsidRPr="00BE1959">
              <w:rPr>
                <w:rFonts w:ascii="Times New Roman" w:eastAsia="Times New Roman" w:hAnsi="Times New Roman" w:cs="Times New Roman"/>
                <w:sz w:val="24"/>
                <w:szCs w:val="24"/>
                <w:lang w:val="uk-UA"/>
              </w:rPr>
              <w:t>передбачено відкликання дозволу.</w:t>
            </w:r>
          </w:p>
        </w:tc>
      </w:tr>
    </w:tbl>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6.   </w:t>
      </w:r>
      <w:r w:rsidR="003741B2" w:rsidRPr="00BE1959">
        <w:rPr>
          <w:rFonts w:ascii="Times New Roman" w:eastAsia="Times New Roman" w:hAnsi="Times New Roman" w:cs="Times New Roman"/>
          <w:sz w:val="24"/>
          <w:szCs w:val="24"/>
          <w:lang w:val="uk-UA"/>
        </w:rPr>
        <w:t>Інформація про кожний випадок відкликання дозволу доводиться до відома ESMA.</w:t>
      </w:r>
    </w:p>
    <w:p w:rsidR="005613AB" w:rsidRPr="00BE1959" w:rsidRDefault="00162A11" w:rsidP="005613AB">
      <w:pPr>
        <w:spacing w:before="360" w:after="120" w:line="312" w:lineRule="atLeast"/>
        <w:jc w:val="center"/>
        <w:textAlignment w:val="baseline"/>
        <w:rPr>
          <w:rFonts w:ascii="Times New Roman" w:eastAsia="Times New Roman" w:hAnsi="Times New Roman" w:cs="Times New Roman"/>
          <w:i/>
          <w:iCs/>
          <w:sz w:val="24"/>
          <w:szCs w:val="24"/>
          <w:lang w:val="uk-UA"/>
        </w:rPr>
      </w:pPr>
      <w:r w:rsidRPr="00BE1959">
        <w:rPr>
          <w:rFonts w:ascii="Times New Roman" w:eastAsia="Times New Roman" w:hAnsi="Times New Roman" w:cs="Times New Roman"/>
          <w:i/>
          <w:iCs/>
          <w:sz w:val="24"/>
          <w:szCs w:val="24"/>
          <w:lang w:val="uk-UA"/>
        </w:rPr>
        <w:t>Стаття</w:t>
      </w:r>
      <w:r w:rsidR="005613AB" w:rsidRPr="00BE1959">
        <w:rPr>
          <w:rFonts w:ascii="Times New Roman" w:eastAsia="Times New Roman" w:hAnsi="Times New Roman" w:cs="Times New Roman"/>
          <w:i/>
          <w:iCs/>
          <w:sz w:val="24"/>
          <w:szCs w:val="24"/>
          <w:lang w:val="uk-UA"/>
        </w:rPr>
        <w:t xml:space="preserve"> 45</w:t>
      </w:r>
    </w:p>
    <w:p w:rsidR="005613AB" w:rsidRPr="00BE1959" w:rsidRDefault="000316BC" w:rsidP="005613AB">
      <w:pPr>
        <w:spacing w:before="60" w:after="120" w:line="312" w:lineRule="atLeast"/>
        <w:jc w:val="center"/>
        <w:textAlignment w:val="baseline"/>
        <w:rPr>
          <w:rFonts w:ascii="Times New Roman" w:eastAsia="Times New Roman" w:hAnsi="Times New Roman" w:cs="Times New Roman"/>
          <w:b/>
          <w:bCs/>
          <w:sz w:val="24"/>
          <w:szCs w:val="24"/>
          <w:lang w:val="uk-UA"/>
        </w:rPr>
      </w:pPr>
      <w:r w:rsidRPr="00BE1959">
        <w:rPr>
          <w:rFonts w:ascii="Times New Roman" w:eastAsia="Times New Roman" w:hAnsi="Times New Roman" w:cs="Times New Roman"/>
          <w:b/>
          <w:bCs/>
          <w:sz w:val="24"/>
          <w:szCs w:val="24"/>
          <w:lang w:val="uk-UA"/>
        </w:rPr>
        <w:t>Вимоги до керівного органу оператора ринку</w:t>
      </w:r>
    </w:p>
    <w:p w:rsidR="005613AB" w:rsidRPr="00BE1959" w:rsidRDefault="005613AB" w:rsidP="000316BC">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lastRenderedPageBreak/>
        <w:t>1.   </w:t>
      </w:r>
      <w:r w:rsidR="00511D52" w:rsidRPr="00BE1959">
        <w:rPr>
          <w:rFonts w:ascii="Times New Roman" w:eastAsia="Times New Roman" w:hAnsi="Times New Roman" w:cs="Times New Roman"/>
          <w:sz w:val="24"/>
          <w:szCs w:val="24"/>
          <w:lang w:val="uk-UA"/>
        </w:rPr>
        <w:t>Держави-члени вимагають, щоб</w:t>
      </w:r>
      <w:r w:rsidRPr="00BE1959">
        <w:rPr>
          <w:rFonts w:ascii="Times New Roman" w:eastAsia="Times New Roman" w:hAnsi="Times New Roman" w:cs="Times New Roman"/>
          <w:sz w:val="24"/>
          <w:szCs w:val="24"/>
          <w:lang w:val="uk-UA"/>
        </w:rPr>
        <w:t xml:space="preserve"> </w:t>
      </w:r>
      <w:r w:rsidR="000316BC" w:rsidRPr="00BE1959">
        <w:rPr>
          <w:rFonts w:ascii="Times New Roman" w:eastAsia="Times New Roman" w:hAnsi="Times New Roman" w:cs="Times New Roman"/>
          <w:sz w:val="24"/>
          <w:szCs w:val="24"/>
          <w:lang w:val="uk-UA"/>
        </w:rPr>
        <w:t>усі керівного органу будь-якого оператора ринку незмінно мали достатньо хорошу репутацію та володіли достатніми знаннями, навичками та досвідом для виконання своїх функцій. Загальний склад керівного органу повинен відображати достатньо широкий спектр досвіду.</w:t>
      </w:r>
    </w:p>
    <w:p w:rsidR="005613AB" w:rsidRPr="00BE1959" w:rsidRDefault="005613AB" w:rsidP="004B29E4">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2.   </w:t>
      </w:r>
      <w:r w:rsidR="004B29E4" w:rsidRPr="00BE1959">
        <w:rPr>
          <w:rFonts w:ascii="Times New Roman" w:eastAsia="Times New Roman" w:hAnsi="Times New Roman" w:cs="Times New Roman"/>
          <w:sz w:val="24"/>
          <w:szCs w:val="24"/>
          <w:lang w:val="uk-UA"/>
        </w:rPr>
        <w:t>Члени керівного органу повинні, зокрема, відповідати наступним вимогам:</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9093"/>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4B29E4" w:rsidRPr="00BE1959" w:rsidRDefault="004B29E4"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Усі члени </w:t>
            </w:r>
            <w:r w:rsidR="00FA5441" w:rsidRPr="00BE1959">
              <w:rPr>
                <w:rFonts w:ascii="Times New Roman" w:eastAsia="Times New Roman" w:hAnsi="Times New Roman" w:cs="Times New Roman"/>
                <w:sz w:val="24"/>
                <w:szCs w:val="24"/>
                <w:lang w:val="uk-UA"/>
              </w:rPr>
              <w:t>керівного органу повинні витрачати достатньо часу на виконання своїх функцій в операторі ринку. Кількість директорських посад, яку член керівного органу може одночасно займати у будь-якій юридичній особі, повинна враховувати індивідувальні обставини та характер, масштаб і складність діяльності оператора ринку.</w:t>
            </w:r>
          </w:p>
          <w:p w:rsidR="00FA5441" w:rsidRPr="00BE1959" w:rsidRDefault="007E0433" w:rsidP="007E0433">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Крім випадків, коли члени керівного органу представляють державу-член, члени керівного органу операторів ринку, значних за розміром, внутрішньою організацію і характером, масштабом і складністю діяльності, не повинні одночасно займати посади, кількість яких перевищує більше одної з наступних комбінацій:</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32"/>
              <w:gridCol w:w="8640"/>
            </w:tblGrid>
            <w:tr w:rsidR="00DE3173" w:rsidRPr="0043174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15063E" w:rsidP="0015063E">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одна виконавча директорська посада з двома невиконавчими директорськими посадами;</w:t>
                  </w:r>
                </w:p>
              </w:tc>
            </w:tr>
          </w:tbl>
          <w:p w:rsidR="005613AB" w:rsidRPr="00BE1959" w:rsidRDefault="005613AB" w:rsidP="005613AB">
            <w:pPr>
              <w:spacing w:after="0" w:line="240" w:lineRule="auto"/>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99"/>
              <w:gridCol w:w="8573"/>
            </w:tblGrid>
            <w:tr w:rsidR="00DE3173" w:rsidRPr="0043174D" w:rsidTr="0015063E">
              <w:tc>
                <w:tcPr>
                  <w:tcW w:w="183"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(ii)</w:t>
                  </w:r>
                </w:p>
              </w:tc>
              <w:tc>
                <w:tcPr>
                  <w:tcW w:w="4817"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15063E"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чотири невиконавчі директорські посади.</w:t>
                  </w:r>
                </w:p>
              </w:tc>
            </w:tr>
          </w:tbl>
          <w:p w:rsidR="005613AB" w:rsidRPr="00BE1959" w:rsidRDefault="0015063E" w:rsidP="0015063E">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Виконавчі або невиконавчі директорські посади в одній і тій самій групі підприємств, де оператор ринку володіє кваліфікованою часткою участі, вважаються однією директорською посадою.</w:t>
            </w:r>
          </w:p>
          <w:p w:rsidR="0047515A" w:rsidRPr="00BE1959" w:rsidRDefault="0047515A"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Компетентні органи можуть уповноважувати членів керівного органу на зайняття ще однієї невиконавчої директорської посади. Компетентні органи регулярно інформують ESMA про такі дозволи.</w:t>
            </w:r>
          </w:p>
          <w:p w:rsidR="00B506EE" w:rsidRPr="00BE1959" w:rsidRDefault="00B506EE" w:rsidP="005B070E">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Директорські посади в організаціях, які не переслідують переважно комерційні цілі, повинні бути звільнені від обмеження на кількість директорських посад, </w:t>
            </w:r>
            <w:r w:rsidR="005B070E" w:rsidRPr="00BE1959">
              <w:rPr>
                <w:rFonts w:ascii="Times New Roman" w:eastAsia="Times New Roman" w:hAnsi="Times New Roman" w:cs="Times New Roman"/>
                <w:sz w:val="24"/>
                <w:szCs w:val="24"/>
                <w:lang w:val="uk-UA"/>
              </w:rPr>
              <w:t>яку може займати член керівного органу.</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B070E" w:rsidP="00C33163">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Керівний орган повинен володіти належними </w:t>
            </w:r>
            <w:r w:rsidR="00C33163" w:rsidRPr="00BE1959">
              <w:rPr>
                <w:rFonts w:ascii="Times New Roman" w:eastAsia="Times New Roman" w:hAnsi="Times New Roman" w:cs="Times New Roman"/>
                <w:sz w:val="24"/>
                <w:szCs w:val="24"/>
                <w:lang w:val="uk-UA"/>
              </w:rPr>
              <w:t>колективними знаннями, навичками й досвідом, щоб бути здатним розуміти діяльність оператора ринку, включаючи основні ризики.</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9093"/>
      </w:tblGrid>
      <w:tr w:rsidR="00DE3173"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4B4DB1" w:rsidP="004B4DB1">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Кожний член керівного органу повинен діяти чесно, об’єктивно і незалежно, щоб ефективно оцінювати та оспорювати рішення вищого керівництва, де це необхідно, і здійснювати дієвий нагляд і контроль за прийняттям рішень.</w:t>
            </w:r>
          </w:p>
        </w:tc>
      </w:tr>
    </w:tbl>
    <w:p w:rsidR="005613AB" w:rsidRPr="00BE1959" w:rsidRDefault="005613AB" w:rsidP="005B3B83">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3.   </w:t>
      </w:r>
      <w:r w:rsidR="004B4DB1" w:rsidRPr="00BE1959">
        <w:rPr>
          <w:rFonts w:ascii="Times New Roman" w:eastAsia="Times New Roman" w:hAnsi="Times New Roman" w:cs="Times New Roman"/>
          <w:sz w:val="24"/>
          <w:szCs w:val="24"/>
          <w:lang w:val="uk-UA"/>
        </w:rPr>
        <w:t xml:space="preserve">Оператори ринків виділяють </w:t>
      </w:r>
      <w:r w:rsidR="00B2666D" w:rsidRPr="00BE1959">
        <w:rPr>
          <w:rFonts w:ascii="Times New Roman" w:eastAsia="Times New Roman" w:hAnsi="Times New Roman" w:cs="Times New Roman"/>
          <w:sz w:val="24"/>
          <w:szCs w:val="24"/>
          <w:lang w:val="uk-UA"/>
        </w:rPr>
        <w:t>достатні людські та фінансові ресурси на інструктаж і підготовку членів керівного органу.</w:t>
      </w:r>
    </w:p>
    <w:p w:rsidR="005613AB" w:rsidRPr="00BE1959" w:rsidRDefault="005613AB" w:rsidP="005B3B83">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lastRenderedPageBreak/>
        <w:t>4.   </w:t>
      </w:r>
      <w:r w:rsidR="001F5C90" w:rsidRPr="00BE1959">
        <w:rPr>
          <w:rFonts w:ascii="Times New Roman" w:eastAsia="Times New Roman" w:hAnsi="Times New Roman" w:cs="Times New Roman"/>
          <w:sz w:val="24"/>
          <w:szCs w:val="24"/>
          <w:lang w:val="uk-UA"/>
        </w:rPr>
        <w:t>Держави-члени</w:t>
      </w:r>
      <w:r w:rsidRPr="00BE1959">
        <w:rPr>
          <w:rFonts w:ascii="Times New Roman" w:eastAsia="Times New Roman" w:hAnsi="Times New Roman" w:cs="Times New Roman"/>
          <w:sz w:val="24"/>
          <w:szCs w:val="24"/>
          <w:lang w:val="uk-UA"/>
        </w:rPr>
        <w:t xml:space="preserve"> </w:t>
      </w:r>
      <w:r w:rsidR="005B3B83" w:rsidRPr="00BE1959">
        <w:rPr>
          <w:rFonts w:ascii="Times New Roman" w:eastAsia="Times New Roman" w:hAnsi="Times New Roman" w:cs="Times New Roman"/>
          <w:sz w:val="24"/>
          <w:szCs w:val="24"/>
          <w:lang w:val="uk-UA"/>
        </w:rPr>
        <w:t>забезпечують, щоб оператори ринків, що є значним за розміром, внутрішньою організацією та характером, масштабом і складністю діяльності, створювали комітет із висування кандидатур у складі членів керівного органу, які не виконують жодних виконавчих функцій у відповідному операторі ринку.</w:t>
      </w:r>
    </w:p>
    <w:p w:rsidR="005613AB" w:rsidRPr="00BE1959" w:rsidRDefault="005B3B83"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Комітет із висування кандидатур виконує наступні функції</w:t>
      </w:r>
      <w:r w:rsidR="005613AB" w:rsidRPr="00BE1959">
        <w:rPr>
          <w:rFonts w:ascii="Times New Roman" w:eastAsia="Times New Roman" w:hAnsi="Times New Roman" w:cs="Times New Roman"/>
          <w:sz w:val="24"/>
          <w:szCs w:val="24"/>
          <w:lang w:val="uk-UA"/>
        </w:rP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9093"/>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154D61" w:rsidP="00E91FDC">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визначає та рекомендує для затвердженням керівним органом або загальними зборами кандидатів </w:t>
            </w:r>
            <w:r w:rsidR="00E91FDC" w:rsidRPr="00BE1959">
              <w:rPr>
                <w:rFonts w:ascii="Times New Roman" w:eastAsia="Times New Roman" w:hAnsi="Times New Roman" w:cs="Times New Roman"/>
                <w:sz w:val="24"/>
                <w:szCs w:val="24"/>
                <w:lang w:val="uk-UA"/>
              </w:rPr>
              <w:t>на вакантні місця у керівному органі. При цьому комітет оцінює баланс знань, навичок, різноманіття та досвіду керівного органу. Крім того, комітет готує опис ролей та спроможностей для конкретного призначення і оцінює необхідні витрати часу на цій посаді. Комітет із висування кандидатур ухвалює рішення щодо контрольного показника представництва статі, недостатньо представленої у керівному органі, та розробляє політику щодо збільшення числа представників недостатньо представленої статі у керівному органі для досягнення визначеного контрольного показника;</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3C1BFC" w:rsidP="009D2229">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періодично, але як мінімум щорічно, оцінює структур, розмір, склад і результати роботи керівного органу та</w:t>
            </w:r>
            <w:r w:rsidR="009D2229" w:rsidRPr="00BE1959">
              <w:rPr>
                <w:rFonts w:ascii="Times New Roman" w:eastAsia="Times New Roman" w:hAnsi="Times New Roman" w:cs="Times New Roman"/>
                <w:sz w:val="24"/>
                <w:szCs w:val="24"/>
                <w:lang w:val="uk-UA"/>
              </w:rPr>
              <w:t xml:space="preserve"> надає</w:t>
            </w:r>
            <w:r w:rsidRPr="00BE1959">
              <w:rPr>
                <w:rFonts w:ascii="Times New Roman" w:eastAsia="Times New Roman" w:hAnsi="Times New Roman" w:cs="Times New Roman"/>
                <w:sz w:val="24"/>
                <w:szCs w:val="24"/>
                <w:lang w:val="uk-UA"/>
              </w:rPr>
              <w:t xml:space="preserve"> рекомендації керівному органові щодо внесення потрібних змін;</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9093"/>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9D2229" w:rsidP="009D2229">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періодично, але як мінімум щорічно, оцінює знання, навички та досвід окремих членів керівного органу і всього керівного органу в цілому та подає відповідний звіт керівному органові;</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DE3173"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9D2229" w:rsidP="009D2229">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періодично переглядає політику керівного органу щодо добору та призначення вищого керівництва та надає відповідні рекомендації керівному органові.</w:t>
            </w:r>
          </w:p>
        </w:tc>
      </w:tr>
    </w:tbl>
    <w:p w:rsidR="005613AB" w:rsidRPr="00BE1959" w:rsidRDefault="00DA3683" w:rsidP="00DA3683">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При виконанні своїх обов’язків комітет із висування кандидатур ураховує, можливою мірою та постійно, необхідність забезпечення того, щоб у прийнятті рішень керівним органом не домінувала жодна окрема особа або невелика група осіб у спосіб, що зашкоджує інтересам оператора ринку в цілому.</w:t>
      </w:r>
    </w:p>
    <w:p w:rsidR="005613AB" w:rsidRPr="00BE1959" w:rsidRDefault="001F0DC1" w:rsidP="001F0DC1">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При виконанні своїх обов’язків комітет із висування кандидатур може використовувати будь-які форми ресурсів, які він вважає доречними, зокрема поради сторонніх осіб.</w:t>
      </w:r>
    </w:p>
    <w:p w:rsidR="005613AB" w:rsidRPr="00BE1959" w:rsidRDefault="001F0DC1" w:rsidP="001F0DC1">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Якщо за національним законодавством до сфери компетенції керівного органу не входить процес добору та призначення будь-кого з його членів, цей пункт не застосовується.</w:t>
      </w:r>
    </w:p>
    <w:p w:rsidR="005613AB" w:rsidRPr="00BE1959" w:rsidRDefault="005613AB" w:rsidP="00D5306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5.   </w:t>
      </w:r>
      <w:r w:rsidR="001F0DC1" w:rsidRPr="00BE1959">
        <w:rPr>
          <w:rFonts w:ascii="Times New Roman" w:eastAsia="Times New Roman" w:hAnsi="Times New Roman" w:cs="Times New Roman"/>
          <w:sz w:val="24"/>
          <w:szCs w:val="24"/>
          <w:lang w:val="uk-UA"/>
        </w:rPr>
        <w:t xml:space="preserve">Держави-члени або компетентні органи вимагають від операторів ринку та їхніх відповідних комітетів із висування кандидатур </w:t>
      </w:r>
      <w:r w:rsidR="00B2666D" w:rsidRPr="00BE1959">
        <w:rPr>
          <w:rFonts w:ascii="Times New Roman" w:eastAsia="Times New Roman" w:hAnsi="Times New Roman" w:cs="Times New Roman"/>
          <w:sz w:val="24"/>
          <w:szCs w:val="24"/>
          <w:lang w:val="uk-UA"/>
        </w:rPr>
        <w:t>передбачати залучення широкого спектру якостей та компетенцій у процесі добору членів керівного органу й з цією метою запроваджувати політику, яка сприяє різноманітності складу керівного органу.</w:t>
      </w:r>
    </w:p>
    <w:p w:rsidR="005613AB" w:rsidRPr="00BE1959" w:rsidRDefault="005613AB" w:rsidP="005F0369">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6.   </w:t>
      </w:r>
      <w:r w:rsidR="001F5C90" w:rsidRPr="00BE1959">
        <w:rPr>
          <w:rFonts w:ascii="Times New Roman" w:eastAsia="Times New Roman" w:hAnsi="Times New Roman" w:cs="Times New Roman"/>
          <w:sz w:val="24"/>
          <w:szCs w:val="24"/>
          <w:lang w:val="uk-UA"/>
        </w:rPr>
        <w:t>Держави-члени</w:t>
      </w:r>
      <w:r w:rsidRPr="00BE1959">
        <w:rPr>
          <w:rFonts w:ascii="Times New Roman" w:eastAsia="Times New Roman" w:hAnsi="Times New Roman" w:cs="Times New Roman"/>
          <w:sz w:val="24"/>
          <w:szCs w:val="24"/>
          <w:lang w:val="uk-UA"/>
        </w:rPr>
        <w:t xml:space="preserve"> </w:t>
      </w:r>
      <w:r w:rsidR="00996CA6" w:rsidRPr="00BE1959">
        <w:rPr>
          <w:rFonts w:ascii="Times New Roman" w:eastAsia="Times New Roman" w:hAnsi="Times New Roman" w:cs="Times New Roman"/>
          <w:sz w:val="24"/>
          <w:szCs w:val="24"/>
          <w:lang w:val="uk-UA"/>
        </w:rPr>
        <w:t>забезпечують, щоб керівний орган оператора ринку визначив механізми управління</w:t>
      </w:r>
      <w:r w:rsidR="005F0369" w:rsidRPr="00BE1959">
        <w:rPr>
          <w:rFonts w:ascii="Times New Roman" w:eastAsia="Times New Roman" w:hAnsi="Times New Roman" w:cs="Times New Roman"/>
          <w:sz w:val="24"/>
          <w:szCs w:val="24"/>
          <w:lang w:val="uk-UA"/>
        </w:rPr>
        <w:t xml:space="preserve">, які забезпечують ефективне і раціональне керівництво </w:t>
      </w:r>
      <w:r w:rsidR="005F0369" w:rsidRPr="00BE1959">
        <w:rPr>
          <w:rFonts w:ascii="Times New Roman" w:eastAsia="Times New Roman" w:hAnsi="Times New Roman" w:cs="Times New Roman"/>
          <w:sz w:val="24"/>
          <w:szCs w:val="24"/>
          <w:lang w:val="uk-UA"/>
        </w:rPr>
        <w:lastRenderedPageBreak/>
        <w:t>організацією, включаючи розподіл обов’язків у організації та запобігання конфліктів інтересів, причому в спосіб, який сприяє цілісності ринку, а також наглядав за впровадженням цих механізмів.</w:t>
      </w:r>
    </w:p>
    <w:p w:rsidR="005613AB" w:rsidRPr="00BE1959" w:rsidRDefault="001F5C90" w:rsidP="00401F85">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Держави-члени</w:t>
      </w:r>
      <w:r w:rsidR="005613AB" w:rsidRPr="00BE1959">
        <w:rPr>
          <w:rFonts w:ascii="Times New Roman" w:eastAsia="Times New Roman" w:hAnsi="Times New Roman" w:cs="Times New Roman"/>
          <w:sz w:val="24"/>
          <w:szCs w:val="24"/>
          <w:lang w:val="uk-UA"/>
        </w:rPr>
        <w:t xml:space="preserve"> </w:t>
      </w:r>
      <w:r w:rsidR="00401F85" w:rsidRPr="00BE1959">
        <w:rPr>
          <w:rFonts w:ascii="Times New Roman" w:eastAsia="Times New Roman" w:hAnsi="Times New Roman" w:cs="Times New Roman"/>
          <w:sz w:val="24"/>
          <w:szCs w:val="24"/>
          <w:lang w:val="uk-UA"/>
        </w:rPr>
        <w:t>забезпечують, щоб керівний орган контролював і періодично оцінював ефективність механізмів управління оператора ринку і вживав належних заходів для усунення будь-яких недоліків.</w:t>
      </w:r>
    </w:p>
    <w:p w:rsidR="00401F85" w:rsidRPr="00BE1959" w:rsidRDefault="00401F85"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Члени керівного органу мають достатній доступ до інформації та документації, потрібної їм для нагляду і контролю за прийняттям управлінських рішень.</w:t>
      </w:r>
    </w:p>
    <w:p w:rsidR="00183554"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7.   </w:t>
      </w:r>
      <w:r w:rsidR="00183554" w:rsidRPr="00BE1959">
        <w:rPr>
          <w:rFonts w:ascii="Times New Roman" w:eastAsia="Times New Roman" w:hAnsi="Times New Roman" w:cs="Times New Roman"/>
          <w:sz w:val="24"/>
          <w:szCs w:val="24"/>
          <w:lang w:val="uk-UA"/>
        </w:rPr>
        <w:t>Компетентний орган відмовляє у видачі дозволу, якщо він не переконався в тому, що члени керівного органу оператора ринку мають достатньо високу репутацію, володіють достатніми знаннями, навичками та досвідом і витрачають достатньо часу на виконання своїх функцій, або якщо існують об’єктивні та очевидні підстави вважати, що керівний орган оператора ринку може становити загрозу для ефективного, раціонального і розумного управління ним і для належного врахування цілісності ринку.</w:t>
      </w:r>
    </w:p>
    <w:p w:rsidR="005613AB" w:rsidRPr="00BE1959" w:rsidRDefault="001F5C90" w:rsidP="005A47E1">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Держави-члени</w:t>
      </w:r>
      <w:r w:rsidR="005613AB" w:rsidRPr="00BE1959">
        <w:rPr>
          <w:rFonts w:ascii="Times New Roman" w:eastAsia="Times New Roman" w:hAnsi="Times New Roman" w:cs="Times New Roman"/>
          <w:sz w:val="24"/>
          <w:szCs w:val="24"/>
          <w:lang w:val="uk-UA"/>
        </w:rPr>
        <w:t xml:space="preserve"> </w:t>
      </w:r>
      <w:r w:rsidR="005A47E1" w:rsidRPr="00BE1959">
        <w:rPr>
          <w:rFonts w:ascii="Times New Roman" w:eastAsia="Times New Roman" w:hAnsi="Times New Roman" w:cs="Times New Roman"/>
          <w:sz w:val="24"/>
          <w:szCs w:val="24"/>
          <w:lang w:val="uk-UA"/>
        </w:rPr>
        <w:t>забезпечують, щоб у процесі видачі дозволу регульованому ринку особа чи особи, які фактично керують діяльністю та операціями регульованого ринку, що вже отримав дозвіл відповідно до цієї директиви, вважалися такими, що відповідають вимогам, викладеним у пункті 1.</w:t>
      </w:r>
    </w:p>
    <w:p w:rsidR="005613AB" w:rsidRPr="00BE1959" w:rsidRDefault="005613AB" w:rsidP="005A47E1">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8.   </w:t>
      </w:r>
      <w:r w:rsidR="001F5C90" w:rsidRPr="00BE1959">
        <w:rPr>
          <w:rFonts w:ascii="Times New Roman" w:eastAsia="Times New Roman" w:hAnsi="Times New Roman" w:cs="Times New Roman"/>
          <w:sz w:val="24"/>
          <w:szCs w:val="24"/>
          <w:lang w:val="uk-UA"/>
        </w:rPr>
        <w:t>Держави-члени</w:t>
      </w:r>
      <w:r w:rsidRPr="00BE1959">
        <w:rPr>
          <w:rFonts w:ascii="Times New Roman" w:eastAsia="Times New Roman" w:hAnsi="Times New Roman" w:cs="Times New Roman"/>
          <w:sz w:val="24"/>
          <w:szCs w:val="24"/>
          <w:lang w:val="uk-UA"/>
        </w:rPr>
        <w:t xml:space="preserve"> </w:t>
      </w:r>
      <w:r w:rsidR="005A47E1" w:rsidRPr="00BE1959">
        <w:rPr>
          <w:rFonts w:ascii="Times New Roman" w:eastAsia="Times New Roman" w:hAnsi="Times New Roman" w:cs="Times New Roman"/>
          <w:sz w:val="24"/>
          <w:szCs w:val="24"/>
          <w:lang w:val="uk-UA"/>
        </w:rPr>
        <w:t>вимагають, щоб оператор ринку повідомив компетентному органові дані всіх членів його керівного органу та інформацію про всі зміни у його складі, поряд з інформацією, потрібною для оцінки дотримання оператором ринку вимог пунктів 1-5 цієї статті.</w:t>
      </w:r>
    </w:p>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9.   ESMA </w:t>
      </w:r>
      <w:r w:rsidR="005A47E1" w:rsidRPr="00BE1959">
        <w:rPr>
          <w:rFonts w:ascii="Times New Roman" w:eastAsia="Times New Roman" w:hAnsi="Times New Roman" w:cs="Times New Roman"/>
          <w:sz w:val="24"/>
          <w:szCs w:val="24"/>
          <w:lang w:val="uk-UA"/>
        </w:rPr>
        <w:t>видає настанови з наступних питань</w:t>
      </w:r>
      <w:r w:rsidRPr="00BE1959">
        <w:rPr>
          <w:rFonts w:ascii="Times New Roman" w:eastAsia="Times New Roman" w:hAnsi="Times New Roman" w:cs="Times New Roman"/>
          <w:sz w:val="24"/>
          <w:szCs w:val="24"/>
          <w:lang w:val="uk-UA"/>
        </w:rP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9093"/>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C33163" w:rsidP="00C33163">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поняття достатнього часу, що його член керівного органу витрачає на виконання своїх функцій, відносно індивідуальних обставин і характеру, масштабу та складності діяльності оператора ринку;</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5613AB" w:rsidRPr="00BE1959"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C33163" w:rsidP="00B2666D">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поняття належних колективних знань, навичок і досвіду керівного органу, </w:t>
            </w:r>
            <w:r w:rsidR="00B2666D" w:rsidRPr="00BE1959">
              <w:rPr>
                <w:rFonts w:ascii="Times New Roman" w:eastAsia="Times New Roman" w:hAnsi="Times New Roman" w:cs="Times New Roman"/>
                <w:sz w:val="24"/>
                <w:szCs w:val="24"/>
                <w:lang w:val="uk-UA"/>
              </w:rPr>
              <w:t>згаданих</w:t>
            </w:r>
            <w:r w:rsidRPr="00BE1959">
              <w:rPr>
                <w:rFonts w:ascii="Times New Roman" w:eastAsia="Times New Roman" w:hAnsi="Times New Roman" w:cs="Times New Roman"/>
                <w:sz w:val="24"/>
                <w:szCs w:val="24"/>
                <w:lang w:val="uk-UA"/>
              </w:rPr>
              <w:t xml:space="preserve"> у пп.</w:t>
            </w:r>
            <w:r w:rsidR="005613AB" w:rsidRPr="00BE1959">
              <w:rPr>
                <w:rFonts w:ascii="Times New Roman" w:eastAsia="Times New Roman" w:hAnsi="Times New Roman" w:cs="Times New Roman"/>
                <w:sz w:val="24"/>
                <w:szCs w:val="24"/>
                <w:lang w:val="uk-UA"/>
              </w:rPr>
              <w:t xml:space="preserve"> (b) </w:t>
            </w:r>
            <w:r w:rsidRPr="00BE1959">
              <w:rPr>
                <w:rFonts w:ascii="Times New Roman" w:eastAsia="Times New Roman" w:hAnsi="Times New Roman" w:cs="Times New Roman"/>
                <w:sz w:val="24"/>
                <w:szCs w:val="24"/>
                <w:lang w:val="uk-UA"/>
              </w:rPr>
              <w:t>пункту 2</w:t>
            </w:r>
            <w:r w:rsidR="005613AB" w:rsidRPr="00BE1959">
              <w:rPr>
                <w:rFonts w:ascii="Times New Roman" w:eastAsia="Times New Roman" w:hAnsi="Times New Roman" w:cs="Times New Roman"/>
                <w:sz w:val="24"/>
                <w:szCs w:val="24"/>
                <w:lang w:val="uk-UA"/>
              </w:rPr>
              <w:t>;</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9093"/>
      </w:tblGrid>
      <w:tr w:rsidR="005613AB" w:rsidRPr="00BE1959"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C33163" w:rsidP="00B2666D">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поняття чесності, об’єктивності та незалежності члена керівного органу</w:t>
            </w:r>
            <w:r w:rsidR="00B2666D" w:rsidRPr="00BE1959">
              <w:rPr>
                <w:rFonts w:ascii="Times New Roman" w:eastAsia="Times New Roman" w:hAnsi="Times New Roman" w:cs="Times New Roman"/>
                <w:sz w:val="24"/>
                <w:szCs w:val="24"/>
                <w:lang w:val="uk-UA"/>
              </w:rPr>
              <w:t>, згаданих у пп. (с) пункту 2;</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B2666D" w:rsidP="00B2666D">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поняття достатніх людських та фінансових ресурсів, що виділяються на інструктаж і підготовку членів керівного органу, згаданих у пункті 3;</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9093"/>
      </w:tblGrid>
      <w:tr w:rsidR="00DE3173"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(e)</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B2666D" w:rsidRPr="00BE1959" w:rsidRDefault="00B2666D" w:rsidP="00B2666D">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поняття різноманітності, що має враховуватися при доборі членів керівного органу, згаданої у пункті 5.</w:t>
            </w:r>
          </w:p>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p>
        </w:tc>
      </w:tr>
    </w:tbl>
    <w:p w:rsidR="005613AB" w:rsidRPr="00BE1959" w:rsidRDefault="005613AB" w:rsidP="00B2666D">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lastRenderedPageBreak/>
        <w:t xml:space="preserve">ESMA </w:t>
      </w:r>
      <w:r w:rsidR="00B2666D" w:rsidRPr="00BE1959">
        <w:rPr>
          <w:rFonts w:ascii="Times New Roman" w:eastAsia="Times New Roman" w:hAnsi="Times New Roman" w:cs="Times New Roman"/>
          <w:sz w:val="24"/>
          <w:szCs w:val="24"/>
          <w:lang w:val="uk-UA"/>
        </w:rPr>
        <w:t>видає ці настанови до 3 січня 2016 року.</w:t>
      </w:r>
    </w:p>
    <w:p w:rsidR="005613AB" w:rsidRPr="00BE1959" w:rsidRDefault="00162A11" w:rsidP="005613AB">
      <w:pPr>
        <w:spacing w:before="360" w:after="120" w:line="312" w:lineRule="atLeast"/>
        <w:jc w:val="center"/>
        <w:textAlignment w:val="baseline"/>
        <w:rPr>
          <w:rFonts w:ascii="Times New Roman" w:eastAsia="Times New Roman" w:hAnsi="Times New Roman" w:cs="Times New Roman"/>
          <w:i/>
          <w:iCs/>
          <w:sz w:val="24"/>
          <w:szCs w:val="24"/>
          <w:lang w:val="uk-UA"/>
        </w:rPr>
      </w:pPr>
      <w:r w:rsidRPr="00BE1959">
        <w:rPr>
          <w:rFonts w:ascii="Times New Roman" w:eastAsia="Times New Roman" w:hAnsi="Times New Roman" w:cs="Times New Roman"/>
          <w:i/>
          <w:iCs/>
          <w:sz w:val="24"/>
          <w:szCs w:val="24"/>
          <w:lang w:val="uk-UA"/>
        </w:rPr>
        <w:t>Стаття</w:t>
      </w:r>
      <w:r w:rsidR="005613AB" w:rsidRPr="00BE1959">
        <w:rPr>
          <w:rFonts w:ascii="Times New Roman" w:eastAsia="Times New Roman" w:hAnsi="Times New Roman" w:cs="Times New Roman"/>
          <w:i/>
          <w:iCs/>
          <w:sz w:val="24"/>
          <w:szCs w:val="24"/>
          <w:lang w:val="uk-UA"/>
        </w:rPr>
        <w:t xml:space="preserve"> 46</w:t>
      </w:r>
    </w:p>
    <w:p w:rsidR="005613AB" w:rsidRPr="00BE1959" w:rsidRDefault="00311E29" w:rsidP="006D6FBF">
      <w:pPr>
        <w:spacing w:before="60" w:after="120" w:line="312" w:lineRule="atLeast"/>
        <w:jc w:val="center"/>
        <w:textAlignment w:val="baseline"/>
        <w:rPr>
          <w:rFonts w:ascii="Times New Roman" w:eastAsia="Times New Roman" w:hAnsi="Times New Roman" w:cs="Times New Roman"/>
          <w:b/>
          <w:bCs/>
          <w:sz w:val="24"/>
          <w:szCs w:val="24"/>
          <w:lang w:val="uk-UA"/>
        </w:rPr>
      </w:pPr>
      <w:r w:rsidRPr="00BE1959">
        <w:rPr>
          <w:rFonts w:ascii="Times New Roman" w:eastAsia="Times New Roman" w:hAnsi="Times New Roman" w:cs="Times New Roman"/>
          <w:b/>
          <w:bCs/>
          <w:sz w:val="24"/>
          <w:szCs w:val="24"/>
          <w:lang w:val="uk-UA"/>
        </w:rPr>
        <w:t xml:space="preserve">Вимоги до осіб, які здійснюють значний вплив на </w:t>
      </w:r>
      <w:r w:rsidR="005D06D5" w:rsidRPr="00BE1959">
        <w:rPr>
          <w:rFonts w:ascii="Times New Roman" w:eastAsia="Times New Roman" w:hAnsi="Times New Roman" w:cs="Times New Roman"/>
          <w:b/>
          <w:bCs/>
          <w:sz w:val="24"/>
          <w:szCs w:val="24"/>
          <w:lang w:val="uk-UA"/>
        </w:rPr>
        <w:t>управління регульованим ринком</w:t>
      </w:r>
    </w:p>
    <w:p w:rsidR="005613AB" w:rsidRPr="00BE1959" w:rsidRDefault="005613AB" w:rsidP="005D06D5">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1.   </w:t>
      </w:r>
      <w:r w:rsidR="001F5C90" w:rsidRPr="00BE1959">
        <w:rPr>
          <w:rFonts w:ascii="Times New Roman" w:eastAsia="Times New Roman" w:hAnsi="Times New Roman" w:cs="Times New Roman"/>
          <w:sz w:val="24"/>
          <w:szCs w:val="24"/>
          <w:lang w:val="uk-UA"/>
        </w:rPr>
        <w:t>Держави-члени</w:t>
      </w:r>
      <w:r w:rsidRPr="00BE1959">
        <w:rPr>
          <w:rFonts w:ascii="Times New Roman" w:eastAsia="Times New Roman" w:hAnsi="Times New Roman" w:cs="Times New Roman"/>
          <w:sz w:val="24"/>
          <w:szCs w:val="24"/>
          <w:lang w:val="uk-UA"/>
        </w:rPr>
        <w:t xml:space="preserve"> </w:t>
      </w:r>
      <w:r w:rsidR="005D06D5" w:rsidRPr="00BE1959">
        <w:rPr>
          <w:rFonts w:ascii="Times New Roman" w:eastAsia="Times New Roman" w:hAnsi="Times New Roman" w:cs="Times New Roman"/>
          <w:sz w:val="24"/>
          <w:szCs w:val="24"/>
          <w:lang w:val="uk-UA"/>
        </w:rPr>
        <w:t xml:space="preserve">вимагають, щоб особи, які </w:t>
      </w:r>
      <w:r w:rsidR="00F03F38" w:rsidRPr="00BE1959">
        <w:rPr>
          <w:rFonts w:ascii="Times New Roman" w:eastAsia="Times New Roman" w:hAnsi="Times New Roman" w:cs="Times New Roman"/>
          <w:sz w:val="24"/>
          <w:szCs w:val="24"/>
          <w:lang w:val="uk-UA"/>
        </w:rPr>
        <w:t>здатні</w:t>
      </w:r>
      <w:r w:rsidR="005D06D5" w:rsidRPr="00BE1959">
        <w:rPr>
          <w:rFonts w:ascii="Times New Roman" w:eastAsia="Times New Roman" w:hAnsi="Times New Roman" w:cs="Times New Roman"/>
          <w:sz w:val="24"/>
          <w:szCs w:val="24"/>
          <w:lang w:val="uk-UA"/>
        </w:rPr>
        <w:t xml:space="preserve"> здійснювати, прямо чи опосередковано, значний вплив на управління регульованим ринком, відповідали </w:t>
      </w:r>
      <w:r w:rsidR="00F03F38" w:rsidRPr="00BE1959">
        <w:rPr>
          <w:rFonts w:ascii="Times New Roman" w:eastAsia="Times New Roman" w:hAnsi="Times New Roman" w:cs="Times New Roman"/>
          <w:sz w:val="24"/>
          <w:szCs w:val="24"/>
          <w:lang w:val="uk-UA"/>
        </w:rPr>
        <w:t>встановленим</w:t>
      </w:r>
      <w:r w:rsidR="005D06D5" w:rsidRPr="00BE1959">
        <w:rPr>
          <w:rFonts w:ascii="Times New Roman" w:eastAsia="Times New Roman" w:hAnsi="Times New Roman" w:cs="Times New Roman"/>
          <w:sz w:val="24"/>
          <w:szCs w:val="24"/>
          <w:lang w:val="uk-UA"/>
        </w:rPr>
        <w:t xml:space="preserve"> вимогам.</w:t>
      </w:r>
    </w:p>
    <w:p w:rsidR="005613AB" w:rsidRPr="00BE1959" w:rsidRDefault="005613AB" w:rsidP="005D06D5">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2.   </w:t>
      </w:r>
      <w:r w:rsidR="001F5C90" w:rsidRPr="00BE1959">
        <w:rPr>
          <w:rFonts w:ascii="Times New Roman" w:eastAsia="Times New Roman" w:hAnsi="Times New Roman" w:cs="Times New Roman"/>
          <w:sz w:val="24"/>
          <w:szCs w:val="24"/>
          <w:lang w:val="uk-UA"/>
        </w:rPr>
        <w:t>Держави-члени</w:t>
      </w:r>
      <w:r w:rsidRPr="00BE1959">
        <w:rPr>
          <w:rFonts w:ascii="Times New Roman" w:eastAsia="Times New Roman" w:hAnsi="Times New Roman" w:cs="Times New Roman"/>
          <w:sz w:val="24"/>
          <w:szCs w:val="24"/>
          <w:lang w:val="uk-UA"/>
        </w:rPr>
        <w:t xml:space="preserve"> </w:t>
      </w:r>
      <w:r w:rsidR="005D06D5" w:rsidRPr="00BE1959">
        <w:rPr>
          <w:rFonts w:ascii="Times New Roman" w:eastAsia="Times New Roman" w:hAnsi="Times New Roman" w:cs="Times New Roman"/>
          <w:sz w:val="24"/>
          <w:szCs w:val="24"/>
          <w:lang w:val="uk-UA"/>
        </w:rPr>
        <w:t>вимагають, щоб оператор регульованого ринку:</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9093"/>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D06D5" w:rsidP="00631894">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надав</w:t>
            </w:r>
            <w:r w:rsidR="00F03F38" w:rsidRPr="00BE1959">
              <w:rPr>
                <w:rFonts w:ascii="Times New Roman" w:eastAsia="Times New Roman" w:hAnsi="Times New Roman" w:cs="Times New Roman"/>
                <w:sz w:val="24"/>
                <w:szCs w:val="24"/>
                <w:lang w:val="uk-UA"/>
              </w:rPr>
              <w:t>ав</w:t>
            </w:r>
            <w:r w:rsidRPr="00BE1959">
              <w:rPr>
                <w:rFonts w:ascii="Times New Roman" w:eastAsia="Times New Roman" w:hAnsi="Times New Roman" w:cs="Times New Roman"/>
                <w:sz w:val="24"/>
                <w:szCs w:val="24"/>
                <w:lang w:val="uk-UA"/>
              </w:rPr>
              <w:t xml:space="preserve"> компетентному органові та оприлюдн</w:t>
            </w:r>
            <w:r w:rsidR="00F03F38" w:rsidRPr="00BE1959">
              <w:rPr>
                <w:rFonts w:ascii="Times New Roman" w:eastAsia="Times New Roman" w:hAnsi="Times New Roman" w:cs="Times New Roman"/>
                <w:sz w:val="24"/>
                <w:szCs w:val="24"/>
                <w:lang w:val="uk-UA"/>
              </w:rPr>
              <w:t>ював</w:t>
            </w:r>
            <w:r w:rsidRPr="00BE1959">
              <w:rPr>
                <w:rFonts w:ascii="Times New Roman" w:eastAsia="Times New Roman" w:hAnsi="Times New Roman" w:cs="Times New Roman"/>
                <w:sz w:val="24"/>
                <w:szCs w:val="24"/>
                <w:lang w:val="uk-UA"/>
              </w:rPr>
              <w:t xml:space="preserve"> інформацію </w:t>
            </w:r>
            <w:r w:rsidR="00F03F38" w:rsidRPr="00BE1959">
              <w:rPr>
                <w:rFonts w:ascii="Times New Roman" w:eastAsia="Times New Roman" w:hAnsi="Times New Roman" w:cs="Times New Roman"/>
                <w:sz w:val="24"/>
                <w:szCs w:val="24"/>
                <w:lang w:val="uk-UA"/>
              </w:rPr>
              <w:t>про право</w:t>
            </w:r>
            <w:r w:rsidRPr="00BE1959">
              <w:rPr>
                <w:rFonts w:ascii="Times New Roman" w:eastAsia="Times New Roman" w:hAnsi="Times New Roman" w:cs="Times New Roman"/>
                <w:sz w:val="24"/>
                <w:szCs w:val="24"/>
                <w:lang w:val="uk-UA"/>
              </w:rPr>
              <w:t xml:space="preserve"> власності на регульований ринок і (або) оператора ринку, зокрема про </w:t>
            </w:r>
            <w:r w:rsidR="00F03F38" w:rsidRPr="00BE1959">
              <w:rPr>
                <w:rFonts w:ascii="Times New Roman" w:eastAsia="Times New Roman" w:hAnsi="Times New Roman" w:cs="Times New Roman"/>
                <w:sz w:val="24"/>
                <w:szCs w:val="24"/>
                <w:lang w:val="uk-UA"/>
              </w:rPr>
              <w:t>персональні дані  та обсяг часток будь-яких осіб, які здатні здійснюват</w:t>
            </w:r>
            <w:r w:rsidR="00631894" w:rsidRPr="00BE1959">
              <w:rPr>
                <w:rFonts w:ascii="Times New Roman" w:eastAsia="Times New Roman" w:hAnsi="Times New Roman" w:cs="Times New Roman"/>
                <w:sz w:val="24"/>
                <w:szCs w:val="24"/>
                <w:lang w:val="uk-UA"/>
              </w:rPr>
              <w:t>и значний вплив на управління;</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DE3173"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31894" w:rsidRPr="00BE1959" w:rsidRDefault="00631894" w:rsidP="00631894">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надавав компетентному органові та оприлюднював інформацію про передачу права власності, яка зумовлює зміну осіб, які здатні здійснювати значний вплив на діяльність регульованого ринку.</w:t>
            </w:r>
          </w:p>
        </w:tc>
      </w:tr>
    </w:tbl>
    <w:p w:rsidR="00721029"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3.   </w:t>
      </w:r>
      <w:r w:rsidR="00AF288E" w:rsidRPr="00BE1959">
        <w:rPr>
          <w:rFonts w:ascii="Times New Roman" w:eastAsia="Times New Roman" w:hAnsi="Times New Roman" w:cs="Times New Roman"/>
          <w:sz w:val="24"/>
          <w:szCs w:val="24"/>
          <w:lang w:val="uk-UA"/>
        </w:rPr>
        <w:t>Компетентний орган</w:t>
      </w:r>
      <w:r w:rsidRPr="00BE1959">
        <w:rPr>
          <w:rFonts w:ascii="Times New Roman" w:eastAsia="Times New Roman" w:hAnsi="Times New Roman" w:cs="Times New Roman"/>
          <w:sz w:val="24"/>
          <w:szCs w:val="24"/>
          <w:lang w:val="uk-UA"/>
        </w:rPr>
        <w:t xml:space="preserve"> </w:t>
      </w:r>
      <w:r w:rsidR="00631894" w:rsidRPr="00BE1959">
        <w:rPr>
          <w:rFonts w:ascii="Times New Roman" w:eastAsia="Times New Roman" w:hAnsi="Times New Roman" w:cs="Times New Roman"/>
          <w:sz w:val="24"/>
          <w:szCs w:val="24"/>
          <w:lang w:val="uk-UA"/>
        </w:rPr>
        <w:t>відмовляється затвердити запропоновані</w:t>
      </w:r>
      <w:r w:rsidR="00721029" w:rsidRPr="00BE1959">
        <w:rPr>
          <w:rFonts w:ascii="Times New Roman" w:eastAsia="Times New Roman" w:hAnsi="Times New Roman" w:cs="Times New Roman"/>
          <w:sz w:val="24"/>
          <w:szCs w:val="24"/>
          <w:lang w:val="uk-UA"/>
        </w:rPr>
        <w:t xml:space="preserve"> зміни щодо осіб, які контролюють регульований ринок і (або) ринкового оператора, якщо існують об’єктивні та очевидні підстави вважати, що ці зміни становитимуть загрозу для раціонального і розумного управління регульованим ринком.</w:t>
      </w:r>
    </w:p>
    <w:p w:rsidR="005613AB" w:rsidRPr="00BE1959" w:rsidRDefault="00162A11" w:rsidP="005613AB">
      <w:pPr>
        <w:spacing w:before="360" w:after="120" w:line="312" w:lineRule="atLeast"/>
        <w:jc w:val="center"/>
        <w:textAlignment w:val="baseline"/>
        <w:rPr>
          <w:rFonts w:ascii="Times New Roman" w:eastAsia="Times New Roman" w:hAnsi="Times New Roman" w:cs="Times New Roman"/>
          <w:i/>
          <w:iCs/>
          <w:sz w:val="24"/>
          <w:szCs w:val="24"/>
          <w:lang w:val="uk-UA"/>
        </w:rPr>
      </w:pPr>
      <w:r w:rsidRPr="00BE1959">
        <w:rPr>
          <w:rFonts w:ascii="Times New Roman" w:eastAsia="Times New Roman" w:hAnsi="Times New Roman" w:cs="Times New Roman"/>
          <w:i/>
          <w:iCs/>
          <w:sz w:val="24"/>
          <w:szCs w:val="24"/>
          <w:lang w:val="uk-UA"/>
        </w:rPr>
        <w:t>Стаття</w:t>
      </w:r>
      <w:r w:rsidR="005613AB" w:rsidRPr="00BE1959">
        <w:rPr>
          <w:rFonts w:ascii="Times New Roman" w:eastAsia="Times New Roman" w:hAnsi="Times New Roman" w:cs="Times New Roman"/>
          <w:i/>
          <w:iCs/>
          <w:sz w:val="24"/>
          <w:szCs w:val="24"/>
          <w:lang w:val="uk-UA"/>
        </w:rPr>
        <w:t xml:space="preserve"> 47</w:t>
      </w:r>
    </w:p>
    <w:p w:rsidR="005613AB" w:rsidRPr="00BE1959" w:rsidRDefault="006E334F" w:rsidP="005613AB">
      <w:pPr>
        <w:spacing w:before="60" w:after="120" w:line="312" w:lineRule="atLeast"/>
        <w:jc w:val="center"/>
        <w:textAlignment w:val="baseline"/>
        <w:rPr>
          <w:rFonts w:ascii="Times New Roman" w:eastAsia="Times New Roman" w:hAnsi="Times New Roman" w:cs="Times New Roman"/>
          <w:b/>
          <w:bCs/>
          <w:sz w:val="24"/>
          <w:szCs w:val="24"/>
          <w:lang w:val="uk-UA"/>
        </w:rPr>
      </w:pPr>
      <w:r w:rsidRPr="00BE1959">
        <w:rPr>
          <w:rFonts w:ascii="Times New Roman" w:eastAsia="Times New Roman" w:hAnsi="Times New Roman" w:cs="Times New Roman"/>
          <w:b/>
          <w:bCs/>
          <w:sz w:val="24"/>
          <w:szCs w:val="24"/>
          <w:lang w:val="uk-UA"/>
        </w:rPr>
        <w:t>Організаційні вимоги</w:t>
      </w:r>
    </w:p>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1.   </w:t>
      </w:r>
      <w:r w:rsidR="001F5C90" w:rsidRPr="00BE1959">
        <w:rPr>
          <w:rFonts w:ascii="Times New Roman" w:eastAsia="Times New Roman" w:hAnsi="Times New Roman" w:cs="Times New Roman"/>
          <w:sz w:val="24"/>
          <w:szCs w:val="24"/>
          <w:lang w:val="uk-UA"/>
        </w:rPr>
        <w:t>Держави-члени</w:t>
      </w:r>
      <w:r w:rsidRPr="00BE1959">
        <w:rPr>
          <w:rFonts w:ascii="Times New Roman" w:eastAsia="Times New Roman" w:hAnsi="Times New Roman" w:cs="Times New Roman"/>
          <w:sz w:val="24"/>
          <w:szCs w:val="24"/>
          <w:lang w:val="uk-UA"/>
        </w:rPr>
        <w:t xml:space="preserve"> </w:t>
      </w:r>
      <w:r w:rsidR="009859E3" w:rsidRPr="00BE1959">
        <w:rPr>
          <w:rFonts w:ascii="Times New Roman" w:eastAsia="Times New Roman" w:hAnsi="Times New Roman" w:cs="Times New Roman"/>
          <w:sz w:val="24"/>
          <w:szCs w:val="24"/>
          <w:lang w:val="uk-UA"/>
        </w:rPr>
        <w:t>вимагають, щоб регульований ринок:</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9093"/>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9859E3" w:rsidP="00D570F5">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мав засоби для чіткого визначення </w:t>
            </w:r>
            <w:r w:rsidR="00D570F5" w:rsidRPr="00BE1959">
              <w:rPr>
                <w:rFonts w:ascii="Times New Roman" w:eastAsia="Times New Roman" w:hAnsi="Times New Roman" w:cs="Times New Roman"/>
                <w:sz w:val="24"/>
                <w:szCs w:val="24"/>
                <w:lang w:val="uk-UA"/>
              </w:rPr>
              <w:t xml:space="preserve">і усунення </w:t>
            </w:r>
            <w:r w:rsidRPr="00BE1959">
              <w:rPr>
                <w:rFonts w:ascii="Times New Roman" w:eastAsia="Times New Roman" w:hAnsi="Times New Roman" w:cs="Times New Roman"/>
                <w:sz w:val="24"/>
                <w:szCs w:val="24"/>
                <w:lang w:val="uk-UA"/>
              </w:rPr>
              <w:t xml:space="preserve">можливих несприятливих наслідків для діяльності регульованого ринку або для його членів або учасників будь-якого конфлікту інтересів між регульованим </w:t>
            </w:r>
            <w:r w:rsidR="0098580C" w:rsidRPr="00BE1959">
              <w:rPr>
                <w:rFonts w:ascii="Times New Roman" w:eastAsia="Times New Roman" w:hAnsi="Times New Roman" w:cs="Times New Roman"/>
                <w:sz w:val="24"/>
                <w:szCs w:val="24"/>
                <w:lang w:val="uk-UA"/>
              </w:rPr>
              <w:t>ринком</w:t>
            </w:r>
            <w:r w:rsidR="00D570F5" w:rsidRPr="00BE1959">
              <w:rPr>
                <w:rFonts w:ascii="Times New Roman" w:eastAsia="Times New Roman" w:hAnsi="Times New Roman" w:cs="Times New Roman"/>
                <w:sz w:val="24"/>
                <w:szCs w:val="24"/>
                <w:lang w:val="uk-UA"/>
              </w:rPr>
              <w:t>, його власниками або оператором ринку і для нормального функціонування регульованого ринку, зокрема у випадках, якщо такі конфлікти інтересів можуть виявитися шкідливими для виконання будь-яких функцій, делегованих регульованому ринку компетентним органом;</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69498D" w:rsidP="0069498D">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був належним чином готовий до управління ризиками, з якими він стикається, запровадив належні механізми та системи для виявлення всіх значних ризиків для його діяльності та вживав ефективних заходів для зменшення цих ризиків;</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9093"/>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93399C" w:rsidP="0093399C">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мав засоби раціонального управління технічними аспектами роботи системи, включаючи створення ефективних механізмів на випадок надзвичайних обставин для усунення ризиків перебоїв у роботі систем;</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lastRenderedPageBreak/>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93399C" w:rsidP="00AC23E8">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мав прозорі та недискреційні правила і процедури, які передбачають чес</w:t>
            </w:r>
            <w:r w:rsidR="00AC23E8" w:rsidRPr="00BE1959">
              <w:rPr>
                <w:rFonts w:ascii="Times New Roman" w:eastAsia="Times New Roman" w:hAnsi="Times New Roman" w:cs="Times New Roman"/>
                <w:sz w:val="24"/>
                <w:szCs w:val="24"/>
                <w:lang w:val="uk-UA"/>
              </w:rPr>
              <w:t>ну і впорядковану торгівлю, та встановив об’єктивні критерії для ефективного виконання замовлень;</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9093"/>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(e)</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ED06A3" w:rsidP="00ED06A3">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мав ефективні засоби сприяння ефективному і своєчасному завершенню угод, виконаних у його системах;</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9120"/>
      </w:tblGrid>
      <w:tr w:rsidR="00DE3173"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(f)</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AC23E8" w:rsidP="00AC23E8">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мав, на момент видачі дозволу і на постійній основі, достатні фінансові ресурси для забезпечення його впорядкованого функціонування, з урахуванням характеру і обсягу угод, укладених на ринку, та номенклатури й рівня ризиків, з якими він стикається.</w:t>
            </w:r>
          </w:p>
        </w:tc>
      </w:tr>
    </w:tbl>
    <w:p w:rsidR="005613AB" w:rsidRPr="00BE1959" w:rsidRDefault="005613AB" w:rsidP="00AC34B3">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2.   </w:t>
      </w:r>
      <w:r w:rsidR="001F5C90" w:rsidRPr="00BE1959">
        <w:rPr>
          <w:rFonts w:ascii="Times New Roman" w:eastAsia="Times New Roman" w:hAnsi="Times New Roman" w:cs="Times New Roman"/>
          <w:sz w:val="24"/>
          <w:szCs w:val="24"/>
          <w:lang w:val="uk-UA"/>
        </w:rPr>
        <w:t>Держави-члени</w:t>
      </w:r>
      <w:r w:rsidRPr="00BE1959">
        <w:rPr>
          <w:rFonts w:ascii="Times New Roman" w:eastAsia="Times New Roman" w:hAnsi="Times New Roman" w:cs="Times New Roman"/>
          <w:sz w:val="24"/>
          <w:szCs w:val="24"/>
          <w:lang w:val="uk-UA"/>
        </w:rPr>
        <w:t xml:space="preserve"> </w:t>
      </w:r>
      <w:r w:rsidR="00B25A7E" w:rsidRPr="00BE1959">
        <w:rPr>
          <w:rFonts w:ascii="Times New Roman" w:eastAsia="Times New Roman" w:hAnsi="Times New Roman" w:cs="Times New Roman"/>
          <w:sz w:val="24"/>
          <w:szCs w:val="24"/>
          <w:lang w:val="uk-UA"/>
        </w:rPr>
        <w:t>не дозволяють операторам ринку виконувати замовлення клієнтів за рахунок власного капіталу або займатися зустрічн</w:t>
      </w:r>
      <w:r w:rsidR="00AC34B3" w:rsidRPr="00BE1959">
        <w:rPr>
          <w:rFonts w:ascii="Times New Roman" w:eastAsia="Times New Roman" w:hAnsi="Times New Roman" w:cs="Times New Roman"/>
          <w:sz w:val="24"/>
          <w:szCs w:val="24"/>
          <w:lang w:val="uk-UA"/>
        </w:rPr>
        <w:t>ою торгівлею за власний рахунок на будь-якому з регульованих ринків, якими вони управляють.</w:t>
      </w:r>
    </w:p>
    <w:p w:rsidR="005613AB" w:rsidRPr="00BE1959" w:rsidRDefault="00162A11" w:rsidP="005613AB">
      <w:pPr>
        <w:spacing w:before="360" w:after="120" w:line="312" w:lineRule="atLeast"/>
        <w:jc w:val="center"/>
        <w:textAlignment w:val="baseline"/>
        <w:rPr>
          <w:rFonts w:ascii="Times New Roman" w:eastAsia="Times New Roman" w:hAnsi="Times New Roman" w:cs="Times New Roman"/>
          <w:i/>
          <w:iCs/>
          <w:sz w:val="24"/>
          <w:szCs w:val="24"/>
          <w:lang w:val="uk-UA"/>
        </w:rPr>
      </w:pPr>
      <w:r w:rsidRPr="00BE1959">
        <w:rPr>
          <w:rFonts w:ascii="Times New Roman" w:eastAsia="Times New Roman" w:hAnsi="Times New Roman" w:cs="Times New Roman"/>
          <w:i/>
          <w:iCs/>
          <w:sz w:val="24"/>
          <w:szCs w:val="24"/>
          <w:lang w:val="uk-UA"/>
        </w:rPr>
        <w:t>Стаття</w:t>
      </w:r>
      <w:r w:rsidR="005613AB" w:rsidRPr="00BE1959">
        <w:rPr>
          <w:rFonts w:ascii="Times New Roman" w:eastAsia="Times New Roman" w:hAnsi="Times New Roman" w:cs="Times New Roman"/>
          <w:i/>
          <w:iCs/>
          <w:sz w:val="24"/>
          <w:szCs w:val="24"/>
          <w:lang w:val="uk-UA"/>
        </w:rPr>
        <w:t xml:space="preserve"> 48</w:t>
      </w:r>
    </w:p>
    <w:p w:rsidR="005613AB" w:rsidRPr="00BE1959" w:rsidRDefault="009976A2" w:rsidP="005613AB">
      <w:pPr>
        <w:spacing w:before="60" w:after="120" w:line="312" w:lineRule="atLeast"/>
        <w:jc w:val="center"/>
        <w:textAlignment w:val="baseline"/>
        <w:rPr>
          <w:rFonts w:ascii="Times New Roman" w:eastAsia="Times New Roman" w:hAnsi="Times New Roman" w:cs="Times New Roman"/>
          <w:b/>
          <w:bCs/>
          <w:sz w:val="24"/>
          <w:szCs w:val="24"/>
          <w:lang w:val="uk-UA"/>
        </w:rPr>
      </w:pPr>
      <w:r w:rsidRPr="00BE1959">
        <w:rPr>
          <w:rFonts w:ascii="Times New Roman" w:eastAsia="Times New Roman" w:hAnsi="Times New Roman" w:cs="Times New Roman"/>
          <w:b/>
          <w:bCs/>
          <w:sz w:val="24"/>
          <w:szCs w:val="24"/>
          <w:lang w:val="uk-UA"/>
        </w:rPr>
        <w:t>Стійкість систем, «вимикачі» та електронна торгівля</w:t>
      </w:r>
    </w:p>
    <w:p w:rsidR="009369C7"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1.   </w:t>
      </w:r>
      <w:r w:rsidR="001F5C90" w:rsidRPr="00BE1959">
        <w:rPr>
          <w:rFonts w:ascii="Times New Roman" w:eastAsia="Times New Roman" w:hAnsi="Times New Roman" w:cs="Times New Roman"/>
          <w:sz w:val="24"/>
          <w:szCs w:val="24"/>
          <w:lang w:val="uk-UA"/>
        </w:rPr>
        <w:t>Держави-члени</w:t>
      </w:r>
      <w:r w:rsidRPr="00BE1959">
        <w:rPr>
          <w:rFonts w:ascii="Times New Roman" w:eastAsia="Times New Roman" w:hAnsi="Times New Roman" w:cs="Times New Roman"/>
          <w:sz w:val="24"/>
          <w:szCs w:val="24"/>
          <w:lang w:val="uk-UA"/>
        </w:rPr>
        <w:t xml:space="preserve"> </w:t>
      </w:r>
      <w:r w:rsidR="009369C7" w:rsidRPr="00BE1959">
        <w:rPr>
          <w:rFonts w:ascii="Times New Roman" w:eastAsia="Times New Roman" w:hAnsi="Times New Roman" w:cs="Times New Roman"/>
          <w:sz w:val="24"/>
          <w:szCs w:val="24"/>
          <w:lang w:val="uk-UA"/>
        </w:rPr>
        <w:t xml:space="preserve">вимагають, щоб регульований ринок мав у наявності ефективні системи, процедури </w:t>
      </w:r>
      <w:r w:rsidR="00AE533D" w:rsidRPr="00BE1959">
        <w:rPr>
          <w:rFonts w:ascii="Times New Roman" w:eastAsia="Times New Roman" w:hAnsi="Times New Roman" w:cs="Times New Roman"/>
          <w:sz w:val="24"/>
          <w:szCs w:val="24"/>
          <w:lang w:val="uk-UA"/>
        </w:rPr>
        <w:t>та засоби, які забезпечують, щоб його системи торгівлі були стійкими, мали достатню спроможність для оброблення п</w:t>
      </w:r>
      <w:r w:rsidR="0095160B" w:rsidRPr="00BE1959">
        <w:rPr>
          <w:rFonts w:ascii="Times New Roman" w:eastAsia="Times New Roman" w:hAnsi="Times New Roman" w:cs="Times New Roman"/>
          <w:sz w:val="24"/>
          <w:szCs w:val="24"/>
          <w:lang w:val="uk-UA"/>
        </w:rPr>
        <w:t>іко</w:t>
      </w:r>
      <w:r w:rsidR="00F97ACE" w:rsidRPr="00BE1959">
        <w:rPr>
          <w:rFonts w:ascii="Times New Roman" w:eastAsia="Times New Roman" w:hAnsi="Times New Roman" w:cs="Times New Roman"/>
          <w:sz w:val="24"/>
          <w:szCs w:val="24"/>
          <w:lang w:val="uk-UA"/>
        </w:rPr>
        <w:t xml:space="preserve">вих обсягів замовлень і повідомлень, були здатні забезпечити впорядковану торгівлю в умовах сильного ринкового стресу, були повністю випробовані </w:t>
      </w:r>
      <w:r w:rsidR="00C34140" w:rsidRPr="00BE1959">
        <w:rPr>
          <w:rFonts w:ascii="Times New Roman" w:eastAsia="Times New Roman" w:hAnsi="Times New Roman" w:cs="Times New Roman"/>
          <w:sz w:val="24"/>
          <w:szCs w:val="24"/>
          <w:lang w:val="uk-UA"/>
        </w:rPr>
        <w:t>для того, щоб забезпечити виконання цих умов, та підпадали під дію ефективних механізмів забезпечення безперервності надання послуг у випадку збою його систем торгівлі</w:t>
      </w:r>
      <w:r w:rsidR="00E427CD" w:rsidRPr="00BE1959">
        <w:rPr>
          <w:rFonts w:ascii="Times New Roman" w:eastAsia="Times New Roman" w:hAnsi="Times New Roman" w:cs="Times New Roman"/>
          <w:sz w:val="24"/>
          <w:szCs w:val="24"/>
          <w:lang w:val="uk-UA"/>
        </w:rPr>
        <w:t>.</w:t>
      </w:r>
    </w:p>
    <w:p w:rsidR="005613AB" w:rsidRPr="00BE1959" w:rsidRDefault="005613AB" w:rsidP="00E427CD">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2.   </w:t>
      </w:r>
      <w:r w:rsidR="001F5C90" w:rsidRPr="00BE1959">
        <w:rPr>
          <w:rFonts w:ascii="Times New Roman" w:eastAsia="Times New Roman" w:hAnsi="Times New Roman" w:cs="Times New Roman"/>
          <w:sz w:val="24"/>
          <w:szCs w:val="24"/>
          <w:lang w:val="uk-UA"/>
        </w:rPr>
        <w:t>Держави-члени</w:t>
      </w:r>
      <w:r w:rsidRPr="00BE1959">
        <w:rPr>
          <w:rFonts w:ascii="Times New Roman" w:eastAsia="Times New Roman" w:hAnsi="Times New Roman" w:cs="Times New Roman"/>
          <w:sz w:val="24"/>
          <w:szCs w:val="24"/>
          <w:lang w:val="uk-UA"/>
        </w:rPr>
        <w:t xml:space="preserve"> </w:t>
      </w:r>
      <w:r w:rsidR="00E427CD" w:rsidRPr="00BE1959">
        <w:rPr>
          <w:rFonts w:ascii="Times New Roman" w:eastAsia="Times New Roman" w:hAnsi="Times New Roman" w:cs="Times New Roman"/>
          <w:sz w:val="24"/>
          <w:szCs w:val="24"/>
          <w:lang w:val="uk-UA"/>
        </w:rPr>
        <w:t>вимагають, щоб регульований ринок мав:</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9093"/>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E427CD" w:rsidP="00E427CD">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письмові угоди з усіма інвестиційними фірмами, які реалізують стратегію формування ринку на регульованому ринку;</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DE3173"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E427CD" w:rsidP="001848E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схеми, що п</w:t>
            </w:r>
            <w:r w:rsidR="00355F37" w:rsidRPr="00BE1959">
              <w:rPr>
                <w:rFonts w:ascii="Times New Roman" w:eastAsia="Times New Roman" w:hAnsi="Times New Roman" w:cs="Times New Roman"/>
                <w:sz w:val="24"/>
                <w:szCs w:val="24"/>
                <w:lang w:val="uk-UA"/>
              </w:rPr>
              <w:t xml:space="preserve">овинні забезпечити участь достатнього числа інвестиційних фірм у таких угодах, </w:t>
            </w:r>
            <w:r w:rsidR="007E73FC" w:rsidRPr="00BE1959">
              <w:rPr>
                <w:rFonts w:ascii="Times New Roman" w:eastAsia="Times New Roman" w:hAnsi="Times New Roman" w:cs="Times New Roman"/>
                <w:sz w:val="24"/>
                <w:szCs w:val="24"/>
                <w:lang w:val="uk-UA"/>
              </w:rPr>
              <w:t>які вимагають, щоб вони оприлюднювали тверді котирування за конкурентними цінами, результатом чого є регулярне і прогнозоване надання ліквідності ринкові, де така вимога доречна для характеру</w:t>
            </w:r>
            <w:r w:rsidR="001848EB" w:rsidRPr="00BE1959">
              <w:rPr>
                <w:rFonts w:ascii="Times New Roman" w:eastAsia="Times New Roman" w:hAnsi="Times New Roman" w:cs="Times New Roman"/>
                <w:sz w:val="24"/>
                <w:szCs w:val="24"/>
                <w:lang w:val="uk-UA"/>
              </w:rPr>
              <w:t xml:space="preserve"> і обсягу торгівлі на цьому регульованому ринку.</w:t>
            </w:r>
          </w:p>
        </w:tc>
      </w:tr>
    </w:tbl>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3.   </w:t>
      </w:r>
      <w:r w:rsidR="001848EB" w:rsidRPr="00BE1959">
        <w:rPr>
          <w:rFonts w:ascii="Times New Roman" w:eastAsia="Times New Roman" w:hAnsi="Times New Roman" w:cs="Times New Roman"/>
          <w:sz w:val="24"/>
          <w:szCs w:val="24"/>
          <w:lang w:val="uk-UA"/>
        </w:rPr>
        <w:t>У письмовій угоді, згаданій у пункті 2, зазначаються, як мінімум:</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9093"/>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CB4C48" w:rsidP="00CB4C48">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зобов’язання </w:t>
            </w:r>
            <w:r w:rsidR="003A5348" w:rsidRPr="00BE1959">
              <w:rPr>
                <w:rFonts w:ascii="Times New Roman" w:eastAsia="Times New Roman" w:hAnsi="Times New Roman" w:cs="Times New Roman"/>
                <w:sz w:val="24"/>
                <w:szCs w:val="24"/>
                <w:lang w:val="uk-UA"/>
              </w:rPr>
              <w:t>інвестиційної фірми</w:t>
            </w:r>
            <w:r w:rsidRPr="00BE1959">
              <w:rPr>
                <w:rFonts w:ascii="Times New Roman" w:eastAsia="Times New Roman" w:hAnsi="Times New Roman" w:cs="Times New Roman"/>
                <w:sz w:val="24"/>
                <w:szCs w:val="24"/>
                <w:lang w:val="uk-UA"/>
              </w:rPr>
              <w:t xml:space="preserve"> щодо надання ліквідності та, де доречно, інші зобов’язання, що випливають з участі у схемі, згаданій у пункті</w:t>
            </w:r>
            <w:r w:rsidR="005613AB" w:rsidRPr="00BE1959">
              <w:rPr>
                <w:rFonts w:ascii="Times New Roman" w:eastAsia="Times New Roman" w:hAnsi="Times New Roman" w:cs="Times New Roman"/>
                <w:sz w:val="24"/>
                <w:szCs w:val="24"/>
                <w:lang w:val="uk-UA"/>
              </w:rPr>
              <w:t xml:space="preserve"> 2(b);</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DE3173"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C750FA" w:rsidP="008E2DD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будь-які стимули у формі знижок тощо, пропоновані регульованим ринком інвестиційній фірмі з тим, щоб вона регулярно і прогнозовано надавала ліквідність </w:t>
            </w:r>
            <w:r w:rsidRPr="00BE1959">
              <w:rPr>
                <w:rFonts w:ascii="Times New Roman" w:eastAsia="Times New Roman" w:hAnsi="Times New Roman" w:cs="Times New Roman"/>
                <w:sz w:val="24"/>
                <w:szCs w:val="24"/>
                <w:lang w:val="uk-UA"/>
              </w:rPr>
              <w:lastRenderedPageBreak/>
              <w:t>ринкові</w:t>
            </w:r>
            <w:r w:rsidR="008E2DDB" w:rsidRPr="00BE1959">
              <w:rPr>
                <w:rFonts w:ascii="Times New Roman" w:eastAsia="Times New Roman" w:hAnsi="Times New Roman" w:cs="Times New Roman"/>
                <w:sz w:val="24"/>
                <w:szCs w:val="24"/>
                <w:lang w:val="uk-UA"/>
              </w:rPr>
              <w:t>, та, де доречно, інші права, що надаються інвестиційній фірмі в результаті участі у схемі, згаданій у пункті</w:t>
            </w:r>
            <w:r w:rsidR="005613AB" w:rsidRPr="00BE1959">
              <w:rPr>
                <w:rFonts w:ascii="Times New Roman" w:eastAsia="Times New Roman" w:hAnsi="Times New Roman" w:cs="Times New Roman"/>
                <w:sz w:val="24"/>
                <w:szCs w:val="24"/>
                <w:lang w:val="uk-UA"/>
              </w:rPr>
              <w:t xml:space="preserve"> 2(b).</w:t>
            </w:r>
          </w:p>
        </w:tc>
      </w:tr>
    </w:tbl>
    <w:p w:rsidR="005613AB" w:rsidRPr="00BE1959" w:rsidRDefault="008E2DDB" w:rsidP="00FF19FA">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lastRenderedPageBreak/>
        <w:t xml:space="preserve">Регульований ринок контролює і забезпечує дотримання інвестиційних фірм вимог таких обов’язкових письмових угод. Регульований ринок інформує </w:t>
      </w:r>
      <w:r w:rsidR="00FF19FA" w:rsidRPr="00BE1959">
        <w:rPr>
          <w:rFonts w:ascii="Times New Roman" w:eastAsia="Times New Roman" w:hAnsi="Times New Roman" w:cs="Times New Roman"/>
          <w:sz w:val="24"/>
          <w:szCs w:val="24"/>
          <w:lang w:val="uk-UA"/>
        </w:rPr>
        <w:t>компетентний орган про зміст обов’язкової письмової угоди і на вимогу надає компетентному органові всю додаткову інформацію, необхідну для того, щоб компетентний орган переконався у дотриманні регульованим ринком вимог цього пункту.</w:t>
      </w:r>
    </w:p>
    <w:p w:rsidR="005613AB" w:rsidRPr="00BE1959" w:rsidRDefault="005613AB" w:rsidP="00517C57">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4.   </w:t>
      </w:r>
      <w:r w:rsidR="001F5C90" w:rsidRPr="00BE1959">
        <w:rPr>
          <w:rFonts w:ascii="Times New Roman" w:eastAsia="Times New Roman" w:hAnsi="Times New Roman" w:cs="Times New Roman"/>
          <w:sz w:val="24"/>
          <w:szCs w:val="24"/>
          <w:lang w:val="uk-UA"/>
        </w:rPr>
        <w:t>Держави-члени</w:t>
      </w:r>
      <w:r w:rsidRPr="00BE1959">
        <w:rPr>
          <w:rFonts w:ascii="Times New Roman" w:eastAsia="Times New Roman" w:hAnsi="Times New Roman" w:cs="Times New Roman"/>
          <w:sz w:val="24"/>
          <w:szCs w:val="24"/>
          <w:lang w:val="uk-UA"/>
        </w:rPr>
        <w:t xml:space="preserve"> </w:t>
      </w:r>
      <w:r w:rsidR="00F75BDA" w:rsidRPr="00BE1959">
        <w:rPr>
          <w:rFonts w:ascii="Times New Roman" w:eastAsia="Times New Roman" w:hAnsi="Times New Roman" w:cs="Times New Roman"/>
          <w:sz w:val="24"/>
          <w:szCs w:val="24"/>
          <w:lang w:val="uk-UA"/>
        </w:rPr>
        <w:t>вимагають, щоб регульований ринок мав ефективні системи, процедури та засоби для відхилення замовлень, які пер</w:t>
      </w:r>
      <w:r w:rsidR="00517C57" w:rsidRPr="00BE1959">
        <w:rPr>
          <w:rFonts w:ascii="Times New Roman" w:eastAsia="Times New Roman" w:hAnsi="Times New Roman" w:cs="Times New Roman"/>
          <w:sz w:val="24"/>
          <w:szCs w:val="24"/>
          <w:lang w:val="uk-UA"/>
        </w:rPr>
        <w:t>евищують установлений обсяг і порогові ціни або є явно помилковими.</w:t>
      </w:r>
    </w:p>
    <w:p w:rsidR="005613AB" w:rsidRPr="00BE1959" w:rsidRDefault="005613AB" w:rsidP="0013779F">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5.   </w:t>
      </w:r>
      <w:r w:rsidR="00953474" w:rsidRPr="00BE1959">
        <w:rPr>
          <w:rFonts w:ascii="Times New Roman" w:eastAsia="Times New Roman" w:hAnsi="Times New Roman" w:cs="Times New Roman"/>
          <w:sz w:val="24"/>
          <w:szCs w:val="24"/>
          <w:lang w:val="uk-UA"/>
        </w:rPr>
        <w:t>Держави-члени вимагають, щоб регульований ринок</w:t>
      </w:r>
      <w:r w:rsidR="00517C57" w:rsidRPr="00BE1959">
        <w:rPr>
          <w:rFonts w:ascii="Times New Roman" w:eastAsia="Times New Roman" w:hAnsi="Times New Roman" w:cs="Times New Roman"/>
          <w:sz w:val="24"/>
          <w:szCs w:val="24"/>
          <w:lang w:val="uk-UA"/>
        </w:rPr>
        <w:t xml:space="preserve"> був здатен тимчасового зупиняти або обмежувати торгівлю у випадку значного коливання цін на фінансовий інструмент на даному ринку або на пов'язаному з ним ринку впродовж короткого періоду, а у виняткових випадках був здатен </w:t>
      </w:r>
      <w:r w:rsidR="00E11DF4" w:rsidRPr="00BE1959">
        <w:rPr>
          <w:rFonts w:ascii="Times New Roman" w:eastAsia="Times New Roman" w:hAnsi="Times New Roman" w:cs="Times New Roman"/>
          <w:sz w:val="24"/>
          <w:szCs w:val="24"/>
          <w:lang w:val="uk-UA"/>
        </w:rPr>
        <w:t xml:space="preserve">скасувати, змінити або відкоригувати будь-яку угоду. </w:t>
      </w:r>
      <w:r w:rsidR="001F5C90" w:rsidRPr="00BE1959">
        <w:rPr>
          <w:rFonts w:ascii="Times New Roman" w:eastAsia="Times New Roman" w:hAnsi="Times New Roman" w:cs="Times New Roman"/>
          <w:sz w:val="24"/>
          <w:szCs w:val="24"/>
          <w:lang w:val="uk-UA"/>
        </w:rPr>
        <w:t>Держави-члени</w:t>
      </w:r>
      <w:r w:rsidRPr="00BE1959">
        <w:rPr>
          <w:rFonts w:ascii="Times New Roman" w:eastAsia="Times New Roman" w:hAnsi="Times New Roman" w:cs="Times New Roman"/>
          <w:sz w:val="24"/>
          <w:szCs w:val="24"/>
          <w:lang w:val="uk-UA"/>
        </w:rPr>
        <w:t xml:space="preserve"> </w:t>
      </w:r>
      <w:r w:rsidR="00E11DF4" w:rsidRPr="00BE1959">
        <w:rPr>
          <w:rFonts w:ascii="Times New Roman" w:eastAsia="Times New Roman" w:hAnsi="Times New Roman" w:cs="Times New Roman"/>
          <w:sz w:val="24"/>
          <w:szCs w:val="24"/>
          <w:lang w:val="uk-UA"/>
        </w:rPr>
        <w:t>вимагають, щоб регульований ринок забезпечив, щоб параметри для зупинення торгівлі відповідним чином коригувалися у спосіб, який ураховує ліквідність різних класів та підкласів активів, характер ринкової моделі та типи користувачів</w:t>
      </w:r>
      <w:r w:rsidR="0013779F" w:rsidRPr="00BE1959">
        <w:rPr>
          <w:rFonts w:ascii="Times New Roman" w:eastAsia="Times New Roman" w:hAnsi="Times New Roman" w:cs="Times New Roman"/>
          <w:sz w:val="24"/>
          <w:szCs w:val="24"/>
          <w:lang w:val="uk-UA"/>
        </w:rPr>
        <w:t xml:space="preserve"> і є достатнім для уникнення істотних порушень у впорядкованості торгівлі.</w:t>
      </w:r>
    </w:p>
    <w:p w:rsidR="00FF28DE" w:rsidRPr="00BE1959" w:rsidRDefault="001F5C90"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Держави-члени</w:t>
      </w:r>
      <w:r w:rsidR="00953474" w:rsidRPr="00BE1959">
        <w:rPr>
          <w:rFonts w:ascii="Times New Roman" w:eastAsia="Times New Roman" w:hAnsi="Times New Roman" w:cs="Times New Roman"/>
          <w:sz w:val="24"/>
          <w:szCs w:val="24"/>
          <w:lang w:val="uk-UA"/>
        </w:rPr>
        <w:t xml:space="preserve"> забезпечують, щоб регульований ринок повідомляв параметри </w:t>
      </w:r>
      <w:r w:rsidR="007759E3" w:rsidRPr="00BE1959">
        <w:rPr>
          <w:rFonts w:ascii="Times New Roman" w:eastAsia="Times New Roman" w:hAnsi="Times New Roman" w:cs="Times New Roman"/>
          <w:sz w:val="24"/>
          <w:szCs w:val="24"/>
          <w:lang w:val="uk-UA"/>
        </w:rPr>
        <w:t>для зупинення торгівлі та будь-які зміни у цих параметрах компетентному органові в узгоджений спосіб, що забезпечує порівняння, і щоб компетентний орган у свою чергу повідомляв</w:t>
      </w:r>
      <w:r w:rsidR="00FF28DE" w:rsidRPr="00BE1959">
        <w:rPr>
          <w:rFonts w:ascii="Times New Roman" w:eastAsia="Times New Roman" w:hAnsi="Times New Roman" w:cs="Times New Roman"/>
          <w:sz w:val="24"/>
          <w:szCs w:val="24"/>
          <w:lang w:val="uk-UA"/>
        </w:rPr>
        <w:t xml:space="preserve"> їх ESMA.</w:t>
      </w:r>
      <w:r w:rsidR="005613AB" w:rsidRPr="00BE1959">
        <w:rPr>
          <w:rFonts w:ascii="Times New Roman" w:eastAsia="Times New Roman" w:hAnsi="Times New Roman" w:cs="Times New Roman"/>
          <w:sz w:val="24"/>
          <w:szCs w:val="24"/>
          <w:lang w:val="uk-UA"/>
        </w:rPr>
        <w:t xml:space="preserve"> </w:t>
      </w:r>
      <w:r w:rsidR="00511D52" w:rsidRPr="00BE1959">
        <w:rPr>
          <w:rFonts w:ascii="Times New Roman" w:eastAsia="Times New Roman" w:hAnsi="Times New Roman" w:cs="Times New Roman"/>
          <w:sz w:val="24"/>
          <w:szCs w:val="24"/>
          <w:lang w:val="uk-UA"/>
        </w:rPr>
        <w:t>Держави-члени вимагають, щоб</w:t>
      </w:r>
      <w:r w:rsidR="005613AB" w:rsidRPr="00BE1959">
        <w:rPr>
          <w:rFonts w:ascii="Times New Roman" w:eastAsia="Times New Roman" w:hAnsi="Times New Roman" w:cs="Times New Roman"/>
          <w:sz w:val="24"/>
          <w:szCs w:val="24"/>
          <w:lang w:val="uk-UA"/>
        </w:rPr>
        <w:t xml:space="preserve"> </w:t>
      </w:r>
      <w:r w:rsidR="00FF28DE" w:rsidRPr="00BE1959">
        <w:rPr>
          <w:rFonts w:ascii="Times New Roman" w:eastAsia="Times New Roman" w:hAnsi="Times New Roman" w:cs="Times New Roman"/>
          <w:sz w:val="24"/>
          <w:szCs w:val="24"/>
          <w:lang w:val="uk-UA"/>
        </w:rPr>
        <w:t>у випадках, де регульований ринок, що є істотним за ліквідністю щодо цього фінансового інструменту, зупиняє торгівлю в будь-якій державі-члені, цей торговельний майданчик мав необхідні системи та процедури для того, щоб він повідомляв компетентні органи з метою координації ними загальноринкових заходів і визначення доцільності зупинення торгівлі на інших майданчиках, на яких здійснюється торгівля цим фінансовим інструментом, поки не буде відновлено торгівлю на основному ринку.</w:t>
      </w:r>
    </w:p>
    <w:p w:rsidR="005613AB" w:rsidRPr="00BE1959" w:rsidRDefault="005613AB" w:rsidP="00551701">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6.   </w:t>
      </w:r>
      <w:r w:rsidR="00953474" w:rsidRPr="00BE1959">
        <w:rPr>
          <w:rFonts w:ascii="Times New Roman" w:eastAsia="Times New Roman" w:hAnsi="Times New Roman" w:cs="Times New Roman"/>
          <w:sz w:val="24"/>
          <w:szCs w:val="24"/>
          <w:lang w:val="uk-UA"/>
        </w:rPr>
        <w:t>Держави-члени вимагають, щоб регульований ринок</w:t>
      </w:r>
      <w:r w:rsidRPr="00BE1959">
        <w:rPr>
          <w:rFonts w:ascii="Times New Roman" w:eastAsia="Times New Roman" w:hAnsi="Times New Roman" w:cs="Times New Roman"/>
          <w:sz w:val="24"/>
          <w:szCs w:val="24"/>
          <w:lang w:val="uk-UA"/>
        </w:rPr>
        <w:t xml:space="preserve"> </w:t>
      </w:r>
      <w:r w:rsidR="00EF2085" w:rsidRPr="00BE1959">
        <w:rPr>
          <w:rFonts w:ascii="Times New Roman" w:eastAsia="Times New Roman" w:hAnsi="Times New Roman" w:cs="Times New Roman"/>
          <w:sz w:val="24"/>
          <w:szCs w:val="24"/>
          <w:lang w:val="uk-UA"/>
        </w:rPr>
        <w:t>мав ефективні системи, процедури та засоби, включаючи вимогу до членів або учасників щодо проведення належного тестування алгоритмів і надання умов для сприяння так</w:t>
      </w:r>
      <w:r w:rsidR="00106F23" w:rsidRPr="00BE1959">
        <w:rPr>
          <w:rFonts w:ascii="Times New Roman" w:eastAsia="Times New Roman" w:hAnsi="Times New Roman" w:cs="Times New Roman"/>
          <w:sz w:val="24"/>
          <w:szCs w:val="24"/>
          <w:lang w:val="uk-UA"/>
        </w:rPr>
        <w:t xml:space="preserve">ому тестуванню, які забезпечують, щоб </w:t>
      </w:r>
      <w:r w:rsidR="000A47FF" w:rsidRPr="00BE1959">
        <w:rPr>
          <w:rFonts w:ascii="Times New Roman" w:eastAsia="Times New Roman" w:hAnsi="Times New Roman" w:cs="Times New Roman"/>
          <w:sz w:val="24"/>
          <w:szCs w:val="24"/>
          <w:lang w:val="uk-UA"/>
        </w:rPr>
        <w:t xml:space="preserve">системи алгоритмічної торгівлі не могли спричиняти невпорядкованість умов торгівлі на ринку чи сприяти такій невпорядкованості, та </w:t>
      </w:r>
      <w:r w:rsidR="00106F23" w:rsidRPr="00BE1959">
        <w:rPr>
          <w:rFonts w:ascii="Times New Roman" w:eastAsia="Times New Roman" w:hAnsi="Times New Roman" w:cs="Times New Roman"/>
          <w:sz w:val="24"/>
          <w:szCs w:val="24"/>
          <w:lang w:val="uk-UA"/>
        </w:rPr>
        <w:t xml:space="preserve">усувають </w:t>
      </w:r>
      <w:r w:rsidR="00E8375C" w:rsidRPr="00BE1959">
        <w:rPr>
          <w:rFonts w:ascii="Times New Roman" w:eastAsia="Times New Roman" w:hAnsi="Times New Roman" w:cs="Times New Roman"/>
          <w:sz w:val="24"/>
          <w:szCs w:val="24"/>
          <w:lang w:val="uk-UA"/>
        </w:rPr>
        <w:t xml:space="preserve">невпорядковані умови торгівлі, які все ж виникають через такі системи алгоритмічної торгівлі, включаючи системи, обмежуючі співвідношення кількості невиконаних замовлень і кількості угод, які можуть бути введені у систему членом або учасником, з метою </w:t>
      </w:r>
      <w:r w:rsidR="004140D1" w:rsidRPr="00BE1959">
        <w:rPr>
          <w:rFonts w:ascii="Times New Roman" w:eastAsia="Times New Roman" w:hAnsi="Times New Roman" w:cs="Times New Roman"/>
          <w:sz w:val="24"/>
          <w:szCs w:val="24"/>
          <w:lang w:val="uk-UA"/>
        </w:rPr>
        <w:t xml:space="preserve">уповільнення потоку замовлень за наявності ризику досягнення максимальної потужності системи та обмеження і запровадження мінімальної величини </w:t>
      </w:r>
      <w:r w:rsidR="00551701" w:rsidRPr="00BE1959">
        <w:rPr>
          <w:rFonts w:ascii="Times New Roman" w:eastAsia="Times New Roman" w:hAnsi="Times New Roman" w:cs="Times New Roman"/>
          <w:sz w:val="24"/>
          <w:szCs w:val="24"/>
          <w:lang w:val="uk-UA"/>
        </w:rPr>
        <w:t>тіку, яка може бути реалізована на ринку.</w:t>
      </w:r>
    </w:p>
    <w:p w:rsidR="005613AB" w:rsidRPr="00BE1959" w:rsidRDefault="005613AB" w:rsidP="00BF585D">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lastRenderedPageBreak/>
        <w:t>7.   </w:t>
      </w:r>
      <w:r w:rsidR="00953474" w:rsidRPr="00BE1959">
        <w:rPr>
          <w:rFonts w:ascii="Times New Roman" w:eastAsia="Times New Roman" w:hAnsi="Times New Roman" w:cs="Times New Roman"/>
          <w:sz w:val="24"/>
          <w:szCs w:val="24"/>
          <w:lang w:val="uk-UA"/>
        </w:rPr>
        <w:t>Держави-члени вимагають, щоб регульований ринок</w:t>
      </w:r>
      <w:r w:rsidR="00551701" w:rsidRPr="00BE1959">
        <w:rPr>
          <w:rFonts w:ascii="Times New Roman" w:eastAsia="Times New Roman" w:hAnsi="Times New Roman" w:cs="Times New Roman"/>
          <w:sz w:val="24"/>
          <w:szCs w:val="24"/>
          <w:lang w:val="uk-UA"/>
        </w:rPr>
        <w:t>, який дозволяє прямий електронний доступ, мав ефективні системи, процедури та засоби для забезпечення того, щоб членам або учасникам дозволялося надавати такі послуги тільки за умови, що вони є інвестиційними фірмами, уповноваженими за цією директивою, або кредитними установами, уповноваженими за Директивою</w:t>
      </w:r>
      <w:r w:rsidRPr="00BE1959">
        <w:rPr>
          <w:rFonts w:ascii="Times New Roman" w:eastAsia="Times New Roman" w:hAnsi="Times New Roman" w:cs="Times New Roman"/>
          <w:sz w:val="24"/>
          <w:szCs w:val="24"/>
          <w:lang w:val="uk-UA"/>
        </w:rPr>
        <w:t xml:space="preserve"> 2013/36/EU, </w:t>
      </w:r>
      <w:r w:rsidR="00551701" w:rsidRPr="00BE1959">
        <w:rPr>
          <w:rFonts w:ascii="Times New Roman" w:eastAsia="Times New Roman" w:hAnsi="Times New Roman" w:cs="Times New Roman"/>
          <w:sz w:val="24"/>
          <w:szCs w:val="24"/>
          <w:lang w:val="uk-UA"/>
        </w:rPr>
        <w:t xml:space="preserve">щоб установлювалися і застосовувалися відповідні критерії щодо відповідності осіб, яким </w:t>
      </w:r>
      <w:r w:rsidR="00BF585D" w:rsidRPr="00BE1959">
        <w:rPr>
          <w:rFonts w:ascii="Times New Roman" w:eastAsia="Times New Roman" w:hAnsi="Times New Roman" w:cs="Times New Roman"/>
          <w:sz w:val="24"/>
          <w:szCs w:val="24"/>
          <w:lang w:val="uk-UA"/>
        </w:rPr>
        <w:t>може бути наданий такий доступ, і щоб член або учасник зберігав відповідальність за замовлення і угоди, виконані за допомогою цієї послуги, відповідно до вимог</w:t>
      </w:r>
      <w:r w:rsidRPr="00BE1959">
        <w:rPr>
          <w:rFonts w:ascii="Times New Roman" w:eastAsia="Times New Roman" w:hAnsi="Times New Roman" w:cs="Times New Roman"/>
          <w:sz w:val="24"/>
          <w:szCs w:val="24"/>
          <w:lang w:val="uk-UA"/>
        </w:rPr>
        <w:t xml:space="preserve"> </w:t>
      </w:r>
      <w:r w:rsidR="00432567" w:rsidRPr="00BE1959">
        <w:rPr>
          <w:rFonts w:ascii="Times New Roman" w:eastAsia="Times New Roman" w:hAnsi="Times New Roman" w:cs="Times New Roman"/>
          <w:sz w:val="24"/>
          <w:szCs w:val="24"/>
          <w:lang w:val="uk-UA"/>
        </w:rPr>
        <w:t>цієї директиви</w:t>
      </w:r>
      <w:r w:rsidRPr="00BE1959">
        <w:rPr>
          <w:rFonts w:ascii="Times New Roman" w:eastAsia="Times New Roman" w:hAnsi="Times New Roman" w:cs="Times New Roman"/>
          <w:sz w:val="24"/>
          <w:szCs w:val="24"/>
          <w:lang w:val="uk-UA"/>
        </w:rPr>
        <w:t>.</w:t>
      </w:r>
    </w:p>
    <w:p w:rsidR="005613AB" w:rsidRPr="00BE1959" w:rsidRDefault="001F5C90" w:rsidP="00753D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Держави-члени</w:t>
      </w:r>
      <w:r w:rsidR="005613AB" w:rsidRPr="00BE1959">
        <w:rPr>
          <w:rFonts w:ascii="Times New Roman" w:eastAsia="Times New Roman" w:hAnsi="Times New Roman" w:cs="Times New Roman"/>
          <w:sz w:val="24"/>
          <w:szCs w:val="24"/>
          <w:lang w:val="uk-UA"/>
        </w:rPr>
        <w:t xml:space="preserve"> </w:t>
      </w:r>
      <w:r w:rsidR="004577EC" w:rsidRPr="00BE1959">
        <w:rPr>
          <w:rFonts w:ascii="Times New Roman" w:eastAsia="Times New Roman" w:hAnsi="Times New Roman" w:cs="Times New Roman"/>
          <w:sz w:val="24"/>
          <w:szCs w:val="24"/>
          <w:lang w:val="uk-UA"/>
        </w:rPr>
        <w:t>вимагають також, щоб регульований ринок установив відповідні стандарти стосовно засобів контролю ризику та порогів торгівлі</w:t>
      </w:r>
      <w:r w:rsidR="00753DAB" w:rsidRPr="00BE1959">
        <w:rPr>
          <w:rFonts w:ascii="Times New Roman" w:eastAsia="Times New Roman" w:hAnsi="Times New Roman" w:cs="Times New Roman"/>
          <w:sz w:val="24"/>
          <w:szCs w:val="24"/>
          <w:lang w:val="uk-UA"/>
        </w:rPr>
        <w:t xml:space="preserve"> на основі такого доступу і міг відрізняти, а за потреби – зупиняти замовлення або торгівлю з боку особи, яка застосовує прямий електронний доступ, окремо від інших замовлень або угод члена або учасника.</w:t>
      </w:r>
    </w:p>
    <w:p w:rsidR="005613AB" w:rsidRPr="00BE1959" w:rsidRDefault="00753DAB" w:rsidP="00753D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Регульований ринок повинен мати засоби для призупинення чи припинення надання членом або учасником прямого електронного доступу клієнтові у випадку невиконання вимог цього пункту.</w:t>
      </w:r>
    </w:p>
    <w:p w:rsidR="005613AB" w:rsidRPr="00BE1959" w:rsidRDefault="005613AB" w:rsidP="00F53023">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8.   </w:t>
      </w:r>
      <w:r w:rsidR="00953474" w:rsidRPr="00BE1959">
        <w:rPr>
          <w:rFonts w:ascii="Times New Roman" w:eastAsia="Times New Roman" w:hAnsi="Times New Roman" w:cs="Times New Roman"/>
          <w:sz w:val="24"/>
          <w:szCs w:val="24"/>
          <w:lang w:val="uk-UA"/>
        </w:rPr>
        <w:t>Держави-члени вимагають, щоб регульований ринок</w:t>
      </w:r>
      <w:r w:rsidRPr="00BE1959">
        <w:rPr>
          <w:rFonts w:ascii="Times New Roman" w:eastAsia="Times New Roman" w:hAnsi="Times New Roman" w:cs="Times New Roman"/>
          <w:sz w:val="24"/>
          <w:szCs w:val="24"/>
          <w:lang w:val="uk-UA"/>
        </w:rPr>
        <w:t xml:space="preserve"> </w:t>
      </w:r>
      <w:r w:rsidR="00753DAB" w:rsidRPr="00BE1959">
        <w:rPr>
          <w:rFonts w:ascii="Times New Roman" w:eastAsia="Times New Roman" w:hAnsi="Times New Roman" w:cs="Times New Roman"/>
          <w:sz w:val="24"/>
          <w:szCs w:val="24"/>
          <w:lang w:val="uk-UA"/>
        </w:rPr>
        <w:t xml:space="preserve">забезпечив </w:t>
      </w:r>
      <w:r w:rsidR="00F53023" w:rsidRPr="00BE1959">
        <w:rPr>
          <w:rFonts w:ascii="Times New Roman" w:eastAsia="Times New Roman" w:hAnsi="Times New Roman" w:cs="Times New Roman"/>
          <w:sz w:val="24"/>
          <w:szCs w:val="24"/>
          <w:lang w:val="uk-UA"/>
        </w:rPr>
        <w:t>прозорість, об’єктивність і недискримінаційний характер його правил щодо послуг із спільного розміщення.</w:t>
      </w:r>
    </w:p>
    <w:p w:rsidR="005613AB" w:rsidRPr="00BE1959" w:rsidRDefault="005613AB" w:rsidP="007C1042">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9.   </w:t>
      </w:r>
      <w:r w:rsidR="00953474" w:rsidRPr="00BE1959">
        <w:rPr>
          <w:rFonts w:ascii="Times New Roman" w:eastAsia="Times New Roman" w:hAnsi="Times New Roman" w:cs="Times New Roman"/>
          <w:sz w:val="24"/>
          <w:szCs w:val="24"/>
          <w:lang w:val="uk-UA"/>
        </w:rPr>
        <w:t>Держави-члени вимагають, щоб регульований ринок</w:t>
      </w:r>
      <w:r w:rsidRPr="00BE1959">
        <w:rPr>
          <w:rFonts w:ascii="Times New Roman" w:eastAsia="Times New Roman" w:hAnsi="Times New Roman" w:cs="Times New Roman"/>
          <w:sz w:val="24"/>
          <w:szCs w:val="24"/>
          <w:lang w:val="uk-UA"/>
        </w:rPr>
        <w:t xml:space="preserve"> </w:t>
      </w:r>
      <w:r w:rsidR="00F53023" w:rsidRPr="00BE1959">
        <w:rPr>
          <w:rFonts w:ascii="Times New Roman" w:eastAsia="Times New Roman" w:hAnsi="Times New Roman" w:cs="Times New Roman"/>
          <w:sz w:val="24"/>
          <w:szCs w:val="24"/>
          <w:lang w:val="uk-UA"/>
        </w:rPr>
        <w:t>забезпечив, щоб структур</w:t>
      </w:r>
      <w:r w:rsidR="00745690" w:rsidRPr="00BE1959">
        <w:rPr>
          <w:rFonts w:ascii="Times New Roman" w:eastAsia="Times New Roman" w:hAnsi="Times New Roman" w:cs="Times New Roman"/>
          <w:sz w:val="24"/>
          <w:szCs w:val="24"/>
          <w:lang w:val="uk-UA"/>
        </w:rPr>
        <w:t>а</w:t>
      </w:r>
      <w:r w:rsidR="00F53023" w:rsidRPr="00BE1959">
        <w:rPr>
          <w:rFonts w:ascii="Times New Roman" w:eastAsia="Times New Roman" w:hAnsi="Times New Roman" w:cs="Times New Roman"/>
          <w:sz w:val="24"/>
          <w:szCs w:val="24"/>
          <w:lang w:val="uk-UA"/>
        </w:rPr>
        <w:t xml:space="preserve"> його </w:t>
      </w:r>
      <w:r w:rsidR="00745690" w:rsidRPr="00BE1959">
        <w:rPr>
          <w:rFonts w:ascii="Times New Roman" w:eastAsia="Times New Roman" w:hAnsi="Times New Roman" w:cs="Times New Roman"/>
          <w:sz w:val="24"/>
          <w:szCs w:val="24"/>
          <w:lang w:val="uk-UA"/>
        </w:rPr>
        <w:t>комісійних,</w:t>
      </w:r>
      <w:r w:rsidR="003573B5" w:rsidRPr="00BE1959">
        <w:rPr>
          <w:rFonts w:ascii="Times New Roman" w:eastAsia="Times New Roman" w:hAnsi="Times New Roman" w:cs="Times New Roman"/>
          <w:sz w:val="24"/>
          <w:szCs w:val="24"/>
          <w:lang w:val="uk-UA"/>
        </w:rPr>
        <w:t xml:space="preserve"> включаючи комісійні за виконання, комісійні за надання додаткових послуг та знижки, була </w:t>
      </w:r>
      <w:r w:rsidR="00745690" w:rsidRPr="00BE1959">
        <w:rPr>
          <w:rFonts w:ascii="Times New Roman" w:eastAsia="Times New Roman" w:hAnsi="Times New Roman" w:cs="Times New Roman"/>
          <w:sz w:val="24"/>
          <w:szCs w:val="24"/>
          <w:lang w:val="uk-UA"/>
        </w:rPr>
        <w:t xml:space="preserve">прозорою, </w:t>
      </w:r>
      <w:r w:rsidR="003573B5" w:rsidRPr="00BE1959">
        <w:rPr>
          <w:rFonts w:ascii="Times New Roman" w:eastAsia="Times New Roman" w:hAnsi="Times New Roman" w:cs="Times New Roman"/>
          <w:sz w:val="24"/>
          <w:szCs w:val="24"/>
          <w:lang w:val="uk-UA"/>
        </w:rPr>
        <w:t xml:space="preserve">справедливою та </w:t>
      </w:r>
      <w:r w:rsidR="00745690" w:rsidRPr="00BE1959">
        <w:rPr>
          <w:rFonts w:ascii="Times New Roman" w:eastAsia="Times New Roman" w:hAnsi="Times New Roman" w:cs="Times New Roman"/>
          <w:sz w:val="24"/>
          <w:szCs w:val="24"/>
          <w:lang w:val="uk-UA"/>
        </w:rPr>
        <w:t>недискримінаційною</w:t>
      </w:r>
      <w:r w:rsidR="003573B5" w:rsidRPr="00BE1959">
        <w:rPr>
          <w:rFonts w:ascii="Times New Roman" w:eastAsia="Times New Roman" w:hAnsi="Times New Roman" w:cs="Times New Roman"/>
          <w:sz w:val="24"/>
          <w:szCs w:val="24"/>
          <w:lang w:val="uk-UA"/>
        </w:rPr>
        <w:t xml:space="preserve"> й щоб вона не створювала стимули для розміщення, змінення або скасування замовлень чи виконання угод у спосіб, який сприяє виникненню безладних умов а</w:t>
      </w:r>
      <w:r w:rsidR="008F7386" w:rsidRPr="00BE1959">
        <w:rPr>
          <w:rFonts w:ascii="Times New Roman" w:eastAsia="Times New Roman" w:hAnsi="Times New Roman" w:cs="Times New Roman"/>
          <w:sz w:val="24"/>
          <w:szCs w:val="24"/>
          <w:lang w:val="uk-UA"/>
        </w:rPr>
        <w:t xml:space="preserve">бо зловживанню на ринку. Зокрема, держави-члени вимагають, щоб регульований ринок установив зобов’язання з формування ринку щодо окремих акцій або </w:t>
      </w:r>
      <w:r w:rsidR="007C1042" w:rsidRPr="00BE1959">
        <w:rPr>
          <w:rFonts w:ascii="Times New Roman" w:eastAsia="Times New Roman" w:hAnsi="Times New Roman" w:cs="Times New Roman"/>
          <w:sz w:val="24"/>
          <w:szCs w:val="24"/>
          <w:lang w:val="uk-UA"/>
        </w:rPr>
        <w:t>відповідного пакету акцій в обмін на будь-які надавані знижки.</w:t>
      </w:r>
    </w:p>
    <w:p w:rsidR="007C1042" w:rsidRPr="00BE1959" w:rsidRDefault="001F5C90"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Держави-члени</w:t>
      </w:r>
      <w:r w:rsidR="005613AB" w:rsidRPr="00BE1959">
        <w:rPr>
          <w:rFonts w:ascii="Times New Roman" w:eastAsia="Times New Roman" w:hAnsi="Times New Roman" w:cs="Times New Roman"/>
          <w:sz w:val="24"/>
          <w:szCs w:val="24"/>
          <w:lang w:val="uk-UA"/>
        </w:rPr>
        <w:t xml:space="preserve"> </w:t>
      </w:r>
      <w:r w:rsidR="007C1042" w:rsidRPr="00BE1959">
        <w:rPr>
          <w:rFonts w:ascii="Times New Roman" w:eastAsia="Times New Roman" w:hAnsi="Times New Roman" w:cs="Times New Roman"/>
          <w:sz w:val="24"/>
          <w:szCs w:val="24"/>
          <w:lang w:val="uk-UA"/>
        </w:rPr>
        <w:t xml:space="preserve">дозволяють регульованому ринку </w:t>
      </w:r>
      <w:r w:rsidR="00CD473F" w:rsidRPr="00BE1959">
        <w:rPr>
          <w:rFonts w:ascii="Times New Roman" w:eastAsia="Times New Roman" w:hAnsi="Times New Roman" w:cs="Times New Roman"/>
          <w:sz w:val="24"/>
          <w:szCs w:val="24"/>
          <w:lang w:val="uk-UA"/>
        </w:rPr>
        <w:t>змінювати</w:t>
      </w:r>
      <w:r w:rsidR="007C1042" w:rsidRPr="00BE1959">
        <w:rPr>
          <w:rFonts w:ascii="Times New Roman" w:eastAsia="Times New Roman" w:hAnsi="Times New Roman" w:cs="Times New Roman"/>
          <w:sz w:val="24"/>
          <w:szCs w:val="24"/>
          <w:lang w:val="uk-UA"/>
        </w:rPr>
        <w:t xml:space="preserve"> </w:t>
      </w:r>
      <w:r w:rsidR="0050600F" w:rsidRPr="00BE1959">
        <w:rPr>
          <w:rFonts w:ascii="Times New Roman" w:eastAsia="Times New Roman" w:hAnsi="Times New Roman" w:cs="Times New Roman"/>
          <w:sz w:val="24"/>
          <w:szCs w:val="24"/>
          <w:lang w:val="uk-UA"/>
        </w:rPr>
        <w:t xml:space="preserve">свої комісійні </w:t>
      </w:r>
      <w:r w:rsidR="00CD473F" w:rsidRPr="00BE1959">
        <w:rPr>
          <w:rFonts w:ascii="Times New Roman" w:eastAsia="Times New Roman" w:hAnsi="Times New Roman" w:cs="Times New Roman"/>
          <w:sz w:val="24"/>
          <w:szCs w:val="24"/>
          <w:lang w:val="uk-UA"/>
        </w:rPr>
        <w:t>за скасовані замовлення залежно від тривалості періоду часу, протягом якого зберігалося замовлення, та коригувати комісійні під кожний конкретний фінансовий інструмент, до якого вони застосовуються.</w:t>
      </w:r>
    </w:p>
    <w:p w:rsidR="005613AB" w:rsidRPr="00BE1959" w:rsidRDefault="00C87244"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Держави-члени можуть</w:t>
      </w:r>
      <w:r w:rsidR="00961CDC" w:rsidRPr="00BE1959">
        <w:rPr>
          <w:rFonts w:ascii="Times New Roman" w:eastAsia="Times New Roman" w:hAnsi="Times New Roman" w:cs="Times New Roman"/>
          <w:sz w:val="24"/>
          <w:szCs w:val="24"/>
          <w:lang w:val="uk-UA"/>
        </w:rPr>
        <w:t xml:space="preserve"> дозволити регульованому ринку встановлювати більші комісійні за розміщення замовлень, які потім скасовуються, ніж за вже виконані замовлення, та</w:t>
      </w:r>
      <w:r w:rsidR="00DB0A8B" w:rsidRPr="00BE1959">
        <w:rPr>
          <w:rFonts w:ascii="Times New Roman" w:eastAsia="Times New Roman" w:hAnsi="Times New Roman" w:cs="Times New Roman"/>
          <w:sz w:val="24"/>
          <w:szCs w:val="24"/>
          <w:lang w:val="uk-UA"/>
        </w:rPr>
        <w:t xml:space="preserve"> встановлювати більші комісійні </w:t>
      </w:r>
      <w:r w:rsidR="00961CDC" w:rsidRPr="00BE1959">
        <w:rPr>
          <w:rFonts w:ascii="Times New Roman" w:eastAsia="Times New Roman" w:hAnsi="Times New Roman" w:cs="Times New Roman"/>
          <w:sz w:val="24"/>
          <w:szCs w:val="24"/>
          <w:lang w:val="uk-UA"/>
        </w:rPr>
        <w:t xml:space="preserve">для учасників, у яких </w:t>
      </w:r>
      <w:r w:rsidR="00DB0A8B" w:rsidRPr="00BE1959">
        <w:rPr>
          <w:rFonts w:ascii="Times New Roman" w:eastAsia="Times New Roman" w:hAnsi="Times New Roman" w:cs="Times New Roman"/>
          <w:sz w:val="24"/>
          <w:szCs w:val="24"/>
          <w:lang w:val="uk-UA"/>
        </w:rPr>
        <w:t>велике співвідношення скасованих і виконаних замовлень, і учасників,</w:t>
      </w:r>
      <w:r w:rsidR="00961CDC" w:rsidRPr="00BE1959">
        <w:rPr>
          <w:rFonts w:ascii="Times New Roman" w:eastAsia="Times New Roman" w:hAnsi="Times New Roman" w:cs="Times New Roman"/>
          <w:sz w:val="24"/>
          <w:szCs w:val="24"/>
          <w:lang w:val="uk-UA"/>
        </w:rPr>
        <w:t xml:space="preserve"> які застосовують високочастотні методи алгоритмічної торгівлі, щоб відобразити додаткове навантаження на потужності системи</w:t>
      </w:r>
      <w:r w:rsidR="005613AB" w:rsidRPr="00BE1959">
        <w:rPr>
          <w:rFonts w:ascii="Times New Roman" w:eastAsia="Times New Roman" w:hAnsi="Times New Roman" w:cs="Times New Roman"/>
          <w:sz w:val="24"/>
          <w:szCs w:val="24"/>
          <w:lang w:val="uk-UA"/>
        </w:rPr>
        <w:t>.</w:t>
      </w:r>
    </w:p>
    <w:p w:rsidR="006408E0"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10.   </w:t>
      </w:r>
      <w:r w:rsidR="00953474" w:rsidRPr="00BE1959">
        <w:rPr>
          <w:rFonts w:ascii="Times New Roman" w:eastAsia="Times New Roman" w:hAnsi="Times New Roman" w:cs="Times New Roman"/>
          <w:sz w:val="24"/>
          <w:szCs w:val="24"/>
          <w:lang w:val="uk-UA"/>
        </w:rPr>
        <w:t>Держави-члени вимагають, щоб регульований ринок</w:t>
      </w:r>
      <w:r w:rsidRPr="00BE1959">
        <w:rPr>
          <w:rFonts w:ascii="Times New Roman" w:eastAsia="Times New Roman" w:hAnsi="Times New Roman" w:cs="Times New Roman"/>
          <w:sz w:val="24"/>
          <w:szCs w:val="24"/>
          <w:lang w:val="uk-UA"/>
        </w:rPr>
        <w:t xml:space="preserve"> </w:t>
      </w:r>
      <w:r w:rsidR="006408E0" w:rsidRPr="00BE1959">
        <w:rPr>
          <w:rFonts w:ascii="Times New Roman" w:eastAsia="Times New Roman" w:hAnsi="Times New Roman" w:cs="Times New Roman"/>
          <w:sz w:val="24"/>
          <w:szCs w:val="24"/>
          <w:lang w:val="uk-UA"/>
        </w:rPr>
        <w:t xml:space="preserve">міг виявляти замовлення, шляхом позначення цих замовлень членами та учасниками, сформовані методом </w:t>
      </w:r>
      <w:r w:rsidR="006408E0" w:rsidRPr="00BE1959">
        <w:rPr>
          <w:rFonts w:ascii="Times New Roman" w:eastAsia="Times New Roman" w:hAnsi="Times New Roman" w:cs="Times New Roman"/>
          <w:sz w:val="24"/>
          <w:szCs w:val="24"/>
          <w:lang w:val="uk-UA"/>
        </w:rPr>
        <w:lastRenderedPageBreak/>
        <w:t>алгоритмічної торгівлі, інш</w:t>
      </w:r>
      <w:r w:rsidR="005464D1" w:rsidRPr="00BE1959">
        <w:rPr>
          <w:rFonts w:ascii="Times New Roman" w:eastAsia="Times New Roman" w:hAnsi="Times New Roman" w:cs="Times New Roman"/>
          <w:sz w:val="24"/>
          <w:szCs w:val="24"/>
          <w:lang w:val="uk-UA"/>
        </w:rPr>
        <w:t>і</w:t>
      </w:r>
      <w:r w:rsidR="006408E0" w:rsidRPr="00BE1959">
        <w:rPr>
          <w:rFonts w:ascii="Times New Roman" w:eastAsia="Times New Roman" w:hAnsi="Times New Roman" w:cs="Times New Roman"/>
          <w:sz w:val="24"/>
          <w:szCs w:val="24"/>
          <w:lang w:val="uk-UA"/>
        </w:rPr>
        <w:t xml:space="preserve"> </w:t>
      </w:r>
      <w:r w:rsidR="005464D1" w:rsidRPr="00BE1959">
        <w:rPr>
          <w:rFonts w:ascii="Times New Roman" w:eastAsia="Times New Roman" w:hAnsi="Times New Roman" w:cs="Times New Roman"/>
          <w:sz w:val="24"/>
          <w:szCs w:val="24"/>
          <w:lang w:val="uk-UA"/>
        </w:rPr>
        <w:t>алгоритми створення замовлень та відповідних осіб, які ініціюють ці замовлення. Ця інформація надається компетентним органам на вимогу.</w:t>
      </w:r>
    </w:p>
    <w:p w:rsidR="005613AB" w:rsidRPr="00BE1959" w:rsidRDefault="005613AB" w:rsidP="00393AE5">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11.   </w:t>
      </w:r>
      <w:r w:rsidR="00511D52" w:rsidRPr="00BE1959">
        <w:rPr>
          <w:rFonts w:ascii="Times New Roman" w:eastAsia="Times New Roman" w:hAnsi="Times New Roman" w:cs="Times New Roman"/>
          <w:sz w:val="24"/>
          <w:szCs w:val="24"/>
          <w:lang w:val="uk-UA"/>
        </w:rPr>
        <w:t>Держави-члени вимагають, щоб</w:t>
      </w:r>
      <w:r w:rsidRPr="00BE1959">
        <w:rPr>
          <w:rFonts w:ascii="Times New Roman" w:eastAsia="Times New Roman" w:hAnsi="Times New Roman" w:cs="Times New Roman"/>
          <w:sz w:val="24"/>
          <w:szCs w:val="24"/>
          <w:lang w:val="uk-UA"/>
        </w:rPr>
        <w:t xml:space="preserve"> </w:t>
      </w:r>
      <w:r w:rsidR="004326EC" w:rsidRPr="00BE1959">
        <w:rPr>
          <w:rFonts w:ascii="Times New Roman" w:eastAsia="Times New Roman" w:hAnsi="Times New Roman" w:cs="Times New Roman"/>
          <w:sz w:val="24"/>
          <w:szCs w:val="24"/>
          <w:lang w:val="uk-UA"/>
        </w:rPr>
        <w:t>на вимогу компетентного органу</w:t>
      </w:r>
      <w:r w:rsidRPr="00BE1959">
        <w:rPr>
          <w:rFonts w:ascii="Times New Roman" w:eastAsia="Times New Roman" w:hAnsi="Times New Roman" w:cs="Times New Roman"/>
          <w:sz w:val="24"/>
          <w:szCs w:val="24"/>
          <w:lang w:val="uk-UA"/>
        </w:rPr>
        <w:t xml:space="preserve"> </w:t>
      </w:r>
      <w:r w:rsidR="003A5348" w:rsidRPr="00BE1959">
        <w:rPr>
          <w:rFonts w:ascii="Times New Roman" w:eastAsia="Times New Roman" w:hAnsi="Times New Roman" w:cs="Times New Roman"/>
          <w:sz w:val="24"/>
          <w:szCs w:val="24"/>
          <w:lang w:val="uk-UA"/>
        </w:rPr>
        <w:t>держави-члена походження</w:t>
      </w:r>
      <w:r w:rsidRPr="00BE1959">
        <w:rPr>
          <w:rFonts w:ascii="Times New Roman" w:eastAsia="Times New Roman" w:hAnsi="Times New Roman" w:cs="Times New Roman"/>
          <w:sz w:val="24"/>
          <w:szCs w:val="24"/>
          <w:lang w:val="uk-UA"/>
        </w:rPr>
        <w:t xml:space="preserve"> </w:t>
      </w:r>
      <w:r w:rsidR="004326EC" w:rsidRPr="00BE1959">
        <w:rPr>
          <w:rFonts w:ascii="Times New Roman" w:eastAsia="Times New Roman" w:hAnsi="Times New Roman" w:cs="Times New Roman"/>
          <w:sz w:val="24"/>
          <w:szCs w:val="24"/>
          <w:lang w:val="uk-UA"/>
        </w:rPr>
        <w:t xml:space="preserve">регульованого ринку регульовані ринки надавали цьому компетентному органу дані стосовно </w:t>
      </w:r>
      <w:r w:rsidR="00393AE5" w:rsidRPr="00BE1959">
        <w:rPr>
          <w:rFonts w:ascii="Times New Roman" w:eastAsia="Times New Roman" w:hAnsi="Times New Roman" w:cs="Times New Roman"/>
          <w:sz w:val="24"/>
          <w:szCs w:val="24"/>
          <w:lang w:val="uk-UA"/>
        </w:rPr>
        <w:t>книги</w:t>
      </w:r>
      <w:r w:rsidR="004326EC" w:rsidRPr="00BE1959">
        <w:rPr>
          <w:rFonts w:ascii="Times New Roman" w:eastAsia="Times New Roman" w:hAnsi="Times New Roman" w:cs="Times New Roman"/>
          <w:sz w:val="24"/>
          <w:szCs w:val="24"/>
          <w:lang w:val="uk-UA"/>
        </w:rPr>
        <w:t xml:space="preserve"> замовлень або </w:t>
      </w:r>
      <w:r w:rsidR="00393AE5" w:rsidRPr="00BE1959">
        <w:rPr>
          <w:rFonts w:ascii="Times New Roman" w:eastAsia="Times New Roman" w:hAnsi="Times New Roman" w:cs="Times New Roman"/>
          <w:sz w:val="24"/>
          <w:szCs w:val="24"/>
          <w:lang w:val="uk-UA"/>
        </w:rPr>
        <w:t>доступ до книги замовлень з тим, щоб цей орган міг контролювати торгівлю.</w:t>
      </w:r>
    </w:p>
    <w:p w:rsidR="005613AB" w:rsidRPr="00BE1959" w:rsidRDefault="005613AB" w:rsidP="00393AE5">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12.   ESMA </w:t>
      </w:r>
      <w:r w:rsidR="00393AE5" w:rsidRPr="00BE1959">
        <w:rPr>
          <w:rFonts w:ascii="Times New Roman" w:eastAsia="Times New Roman" w:hAnsi="Times New Roman" w:cs="Times New Roman"/>
          <w:sz w:val="24"/>
          <w:szCs w:val="24"/>
          <w:lang w:val="uk-UA"/>
        </w:rPr>
        <w:t>розробляє проекти нормативно-технічних стандартів, де зазначає:</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9093"/>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B650FF" w:rsidP="00B650FF">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вимоги щодо забезпечення стійкості систем торгівлі регульованих ринків і наявності у них достатньої спроможності;</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B650FF" w:rsidP="00730C58">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співвідношення, згадане у пункті 6, з урахуванням таких факторів, як </w:t>
            </w:r>
            <w:r w:rsidR="00730C58" w:rsidRPr="00BE1959">
              <w:rPr>
                <w:rFonts w:ascii="Times New Roman" w:eastAsia="Times New Roman" w:hAnsi="Times New Roman" w:cs="Times New Roman"/>
                <w:sz w:val="24"/>
                <w:szCs w:val="24"/>
                <w:lang w:val="uk-UA"/>
              </w:rPr>
              <w:t>вартість</w:t>
            </w:r>
            <w:r w:rsidRPr="00BE1959">
              <w:rPr>
                <w:rFonts w:ascii="Times New Roman" w:eastAsia="Times New Roman" w:hAnsi="Times New Roman" w:cs="Times New Roman"/>
                <w:sz w:val="24"/>
                <w:szCs w:val="24"/>
                <w:lang w:val="uk-UA"/>
              </w:rPr>
              <w:t xml:space="preserve"> невиконаних замовлень відносно </w:t>
            </w:r>
            <w:r w:rsidR="00730C58" w:rsidRPr="00BE1959">
              <w:rPr>
                <w:rFonts w:ascii="Times New Roman" w:eastAsia="Times New Roman" w:hAnsi="Times New Roman" w:cs="Times New Roman"/>
                <w:sz w:val="24"/>
                <w:szCs w:val="24"/>
                <w:lang w:val="uk-UA"/>
              </w:rPr>
              <w:t>вартості виконаних угод;</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9093"/>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730C58" w:rsidP="001777BA">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засоби контролю за прямим електронним доступом – у такий спосіб, щоб засоби контролю, застосовувані до спонсорованого доступу були як мінімум еквівалентні засобам, застосовуваним</w:t>
            </w:r>
            <w:r w:rsidR="001777BA" w:rsidRPr="00BE1959">
              <w:rPr>
                <w:rFonts w:ascii="Times New Roman" w:eastAsia="Times New Roman" w:hAnsi="Times New Roman" w:cs="Times New Roman"/>
                <w:sz w:val="24"/>
                <w:szCs w:val="24"/>
                <w:lang w:val="uk-UA"/>
              </w:rPr>
              <w:t xml:space="preserve"> до прямого доступу до ринку;</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1777BA" w:rsidP="00904C08">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вимоги щодо забезпечення справедливого і недискриминаційного характеру послуг із спільного розміщення та структури комісійних, а також неможливості створення структурою комісійних стимулів для невпорядкованих </w:t>
            </w:r>
            <w:r w:rsidR="00904C08" w:rsidRPr="00BE1959">
              <w:rPr>
                <w:rFonts w:ascii="Times New Roman" w:eastAsia="Times New Roman" w:hAnsi="Times New Roman" w:cs="Times New Roman"/>
                <w:sz w:val="24"/>
                <w:szCs w:val="24"/>
                <w:lang w:val="uk-UA"/>
              </w:rPr>
              <w:t>умов торгівлі чи зловживань на ринку;</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9093"/>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(e)</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904C08" w:rsidP="00904C08">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випадки, в яких регульований ринок вважається істотним за ліквідністю щодо даного фінансового інструмента;</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912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(f)</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04487" w:rsidP="00504487">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вимоги щодо забезпечення справедливого і недискримінаційного характеру схем формування ринку та щодо встановлення мінімальних зобов’язань із формування ринку, які регульовані ринки повинні передбачати при розробленні схеми формування ринку, та умов, за яких вимога щодо наявності схеми формування ринку не є доречною, з урахуванням характеру і обсягу торгівлі на даному регульованому ринку, зокрема чи дозволяє регульований ринок здійснення алгоритмічної торгівлі через його системи або сприяє такій торгівлі;</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DE3173"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(g)</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0A47FF" w:rsidP="00D929F5">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вимоги щодо забезпечення належного тестування алгоритмів із тим, щоб забезпечити неможливість спричинення системами алгоритмічної торгівлі невпорядкованості умов торгівлі на ринку чи сприя</w:t>
            </w:r>
            <w:r w:rsidR="00D929F5" w:rsidRPr="00BE1959">
              <w:rPr>
                <w:rFonts w:ascii="Times New Roman" w:eastAsia="Times New Roman" w:hAnsi="Times New Roman" w:cs="Times New Roman"/>
                <w:sz w:val="24"/>
                <w:szCs w:val="24"/>
                <w:lang w:val="uk-UA"/>
              </w:rPr>
              <w:t xml:space="preserve">ння ними </w:t>
            </w:r>
            <w:r w:rsidRPr="00BE1959">
              <w:rPr>
                <w:rFonts w:ascii="Times New Roman" w:eastAsia="Times New Roman" w:hAnsi="Times New Roman" w:cs="Times New Roman"/>
                <w:sz w:val="24"/>
                <w:szCs w:val="24"/>
                <w:lang w:val="uk-UA"/>
              </w:rPr>
              <w:t>такій невпорядкованості</w:t>
            </w:r>
            <w:r w:rsidR="005613AB" w:rsidRPr="00BE1959">
              <w:rPr>
                <w:rFonts w:ascii="Times New Roman" w:eastAsia="Times New Roman" w:hAnsi="Times New Roman" w:cs="Times New Roman"/>
                <w:sz w:val="24"/>
                <w:szCs w:val="24"/>
                <w:lang w:val="uk-UA"/>
              </w:rPr>
              <w:t>.</w:t>
            </w:r>
          </w:p>
        </w:tc>
      </w:tr>
    </w:tbl>
    <w:p w:rsidR="00CE4A1D" w:rsidRPr="00BE1959" w:rsidRDefault="00CE4A1D" w:rsidP="00CE4A1D">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ESMA подає проекти цих нормативно-технічних стандартів Комісії до 3 липня 2015 року.</w:t>
      </w:r>
    </w:p>
    <w:p w:rsidR="00393AE5" w:rsidRPr="00BE1959" w:rsidRDefault="00CE4A1D" w:rsidP="00CE4A1D">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Комісії делегується повноваження на прийняття нормативно-технічних стандартів, згаданих у першому абзаці цього пункту, згідно зі статтями 10-14 Регламенту (EU) № 1095/2010.</w:t>
      </w:r>
    </w:p>
    <w:p w:rsidR="005613AB" w:rsidRPr="00BE1959" w:rsidRDefault="005613AB" w:rsidP="00D929F5">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lastRenderedPageBreak/>
        <w:t xml:space="preserve">13.   ESMA </w:t>
      </w:r>
      <w:r w:rsidR="00D929F5" w:rsidRPr="00BE1959">
        <w:rPr>
          <w:rFonts w:ascii="Times New Roman" w:eastAsia="Times New Roman" w:hAnsi="Times New Roman" w:cs="Times New Roman"/>
          <w:sz w:val="24"/>
          <w:szCs w:val="24"/>
          <w:lang w:val="uk-UA"/>
        </w:rPr>
        <w:t>до 3 січня 2016 року розробляє настанови щодо належного коригування зупинок торгівлі згідно з пунктом 5, ураховуючи фактори, наведені у цьому пункті.</w:t>
      </w:r>
    </w:p>
    <w:p w:rsidR="005613AB" w:rsidRPr="00BE1959" w:rsidRDefault="00162A11" w:rsidP="005613AB">
      <w:pPr>
        <w:spacing w:before="360" w:after="120" w:line="312" w:lineRule="atLeast"/>
        <w:jc w:val="center"/>
        <w:textAlignment w:val="baseline"/>
        <w:rPr>
          <w:rFonts w:ascii="Times New Roman" w:eastAsia="Times New Roman" w:hAnsi="Times New Roman" w:cs="Times New Roman"/>
          <w:i/>
          <w:iCs/>
          <w:sz w:val="24"/>
          <w:szCs w:val="24"/>
          <w:lang w:val="uk-UA"/>
        </w:rPr>
      </w:pPr>
      <w:r w:rsidRPr="00BE1959">
        <w:rPr>
          <w:rFonts w:ascii="Times New Roman" w:eastAsia="Times New Roman" w:hAnsi="Times New Roman" w:cs="Times New Roman"/>
          <w:i/>
          <w:iCs/>
          <w:sz w:val="24"/>
          <w:szCs w:val="24"/>
          <w:lang w:val="uk-UA"/>
        </w:rPr>
        <w:t>Стаття</w:t>
      </w:r>
      <w:r w:rsidR="005613AB" w:rsidRPr="00BE1959">
        <w:rPr>
          <w:rFonts w:ascii="Times New Roman" w:eastAsia="Times New Roman" w:hAnsi="Times New Roman" w:cs="Times New Roman"/>
          <w:i/>
          <w:iCs/>
          <w:sz w:val="24"/>
          <w:szCs w:val="24"/>
          <w:lang w:val="uk-UA"/>
        </w:rPr>
        <w:t xml:space="preserve"> 49</w:t>
      </w:r>
    </w:p>
    <w:p w:rsidR="005613AB" w:rsidRPr="00BE1959" w:rsidRDefault="00355D4A" w:rsidP="005613AB">
      <w:pPr>
        <w:spacing w:before="60" w:after="120" w:line="312" w:lineRule="atLeast"/>
        <w:jc w:val="center"/>
        <w:textAlignment w:val="baseline"/>
        <w:rPr>
          <w:rFonts w:ascii="Times New Roman" w:eastAsia="Times New Roman" w:hAnsi="Times New Roman" w:cs="Times New Roman"/>
          <w:b/>
          <w:bCs/>
          <w:sz w:val="24"/>
          <w:szCs w:val="24"/>
          <w:lang w:val="uk-UA"/>
        </w:rPr>
      </w:pPr>
      <w:r w:rsidRPr="00BE1959">
        <w:rPr>
          <w:rFonts w:ascii="Times New Roman" w:eastAsia="Times New Roman" w:hAnsi="Times New Roman" w:cs="Times New Roman"/>
          <w:b/>
          <w:bCs/>
          <w:sz w:val="24"/>
          <w:szCs w:val="24"/>
          <w:lang w:val="uk-UA"/>
        </w:rPr>
        <w:t>Величини тіків</w:t>
      </w:r>
    </w:p>
    <w:p w:rsidR="005613AB" w:rsidRPr="00BE1959" w:rsidRDefault="005613AB" w:rsidP="008E2094">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1.   </w:t>
      </w:r>
      <w:r w:rsidR="001F5C90" w:rsidRPr="00BE1959">
        <w:rPr>
          <w:rFonts w:ascii="Times New Roman" w:eastAsia="Times New Roman" w:hAnsi="Times New Roman" w:cs="Times New Roman"/>
          <w:sz w:val="24"/>
          <w:szCs w:val="24"/>
          <w:lang w:val="uk-UA"/>
        </w:rPr>
        <w:t>Держави-члени</w:t>
      </w:r>
      <w:r w:rsidRPr="00BE1959">
        <w:rPr>
          <w:rFonts w:ascii="Times New Roman" w:eastAsia="Times New Roman" w:hAnsi="Times New Roman" w:cs="Times New Roman"/>
          <w:sz w:val="24"/>
          <w:szCs w:val="24"/>
          <w:lang w:val="uk-UA"/>
        </w:rPr>
        <w:t xml:space="preserve"> </w:t>
      </w:r>
      <w:r w:rsidR="00CE505B" w:rsidRPr="00BE1959">
        <w:rPr>
          <w:rFonts w:ascii="Times New Roman" w:eastAsia="Times New Roman" w:hAnsi="Times New Roman" w:cs="Times New Roman"/>
          <w:sz w:val="24"/>
          <w:szCs w:val="24"/>
          <w:lang w:val="uk-UA"/>
        </w:rPr>
        <w:t>вимагають, щоб регульовані ринки встановлювали режими щодо величин тіків для акцій, депозитарних розписок, біржових торгованих фондів, сертифікатів та</w:t>
      </w:r>
      <w:r w:rsidR="008E2094" w:rsidRPr="00BE1959">
        <w:rPr>
          <w:rFonts w:ascii="Times New Roman" w:eastAsia="Times New Roman" w:hAnsi="Times New Roman" w:cs="Times New Roman"/>
          <w:sz w:val="24"/>
          <w:szCs w:val="24"/>
          <w:lang w:val="uk-UA"/>
        </w:rPr>
        <w:t xml:space="preserve"> інших аналогічних фінансових інструментів, а також для будь-якого іншого фінансового інструмента, для яких розроблено нормативно-технічні стандарти відповідно до пункту 4.</w:t>
      </w:r>
    </w:p>
    <w:p w:rsidR="005613AB" w:rsidRPr="00BE1959" w:rsidRDefault="005613AB" w:rsidP="001C5C45">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2.   </w:t>
      </w:r>
      <w:r w:rsidR="008E2094" w:rsidRPr="00BE1959">
        <w:rPr>
          <w:rFonts w:ascii="Times New Roman" w:eastAsia="Times New Roman" w:hAnsi="Times New Roman" w:cs="Times New Roman"/>
          <w:sz w:val="24"/>
          <w:szCs w:val="24"/>
          <w:lang w:val="uk-UA"/>
        </w:rPr>
        <w:t>Режими величин тіків</w:t>
      </w:r>
      <w:r w:rsidR="001C5C45" w:rsidRPr="00BE1959">
        <w:rPr>
          <w:rFonts w:ascii="Times New Roman" w:eastAsia="Times New Roman" w:hAnsi="Times New Roman" w:cs="Times New Roman"/>
          <w:sz w:val="24"/>
          <w:szCs w:val="24"/>
          <w:lang w:val="uk-UA"/>
        </w:rPr>
        <w:t>, згадані у пункті 1:</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9093"/>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1C5C45" w:rsidP="000C589C">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коригуються так, щоб відображати профіль ліквідності даного фінансового інструмента на різних ринках і </w:t>
            </w:r>
            <w:r w:rsidR="00B82E44" w:rsidRPr="00BE1959">
              <w:rPr>
                <w:rFonts w:ascii="Times New Roman" w:eastAsia="Times New Roman" w:hAnsi="Times New Roman" w:cs="Times New Roman"/>
                <w:sz w:val="24"/>
                <w:szCs w:val="24"/>
                <w:lang w:val="uk-UA"/>
              </w:rPr>
              <w:t>середню різницю між цінами продавця і покупця</w:t>
            </w:r>
            <w:r w:rsidR="00F84C0D" w:rsidRPr="00BE1959">
              <w:rPr>
                <w:rFonts w:ascii="Times New Roman" w:eastAsia="Times New Roman" w:hAnsi="Times New Roman" w:cs="Times New Roman"/>
                <w:sz w:val="24"/>
                <w:szCs w:val="24"/>
                <w:lang w:val="uk-UA"/>
              </w:rPr>
              <w:t>, з урахуванням бажаності обґрунтовано стабільних цін без неналежного обмеження</w:t>
            </w:r>
            <w:r w:rsidR="000C589C" w:rsidRPr="00BE1959">
              <w:rPr>
                <w:rFonts w:ascii="Times New Roman" w:eastAsia="Times New Roman" w:hAnsi="Times New Roman" w:cs="Times New Roman"/>
                <w:sz w:val="24"/>
                <w:szCs w:val="24"/>
                <w:lang w:val="uk-UA"/>
              </w:rPr>
              <w:t xml:space="preserve"> подальшого зменшення цієї різниці;</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DE3173"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BE776D" w:rsidP="00B75741">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передбачають відповідне коригування величин тіків для кожного фінансового інструмента.</w:t>
            </w:r>
          </w:p>
        </w:tc>
      </w:tr>
    </w:tbl>
    <w:p w:rsidR="005613AB" w:rsidRPr="00BE1959" w:rsidRDefault="005613AB" w:rsidP="00817AA6">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3.   </w:t>
      </w:r>
      <w:r w:rsidR="00E16B68" w:rsidRPr="00BE1959">
        <w:rPr>
          <w:rFonts w:ascii="Times New Roman" w:eastAsia="Times New Roman" w:hAnsi="Times New Roman" w:cs="Times New Roman"/>
          <w:sz w:val="24"/>
          <w:szCs w:val="24"/>
          <w:lang w:val="uk-UA"/>
        </w:rPr>
        <w:t>ESMA розробляє проекти нормативно-технічних стандартів, де зазначаються</w:t>
      </w:r>
      <w:r w:rsidR="008A1A9A" w:rsidRPr="00BE1959">
        <w:rPr>
          <w:rFonts w:ascii="Times New Roman" w:eastAsia="Times New Roman" w:hAnsi="Times New Roman" w:cs="Times New Roman"/>
          <w:sz w:val="24"/>
          <w:szCs w:val="24"/>
          <w:lang w:val="uk-UA"/>
        </w:rPr>
        <w:t xml:space="preserve"> мінімальні величини тіків або режими величин тіків для конкретних акцій, депозитарних розписок, біржових торгованих фондів, сертифікатів та інших аналогічних фінансових інструментів, де це необхідно для забезпечення впорядкованого функціонування ринків, відповідно до факторів, зазначених у пункті 2, та ціни, спредів і глибини ліквідності фінансових інструментів.</w:t>
      </w:r>
    </w:p>
    <w:p w:rsidR="005613AB" w:rsidRPr="00BE1959" w:rsidRDefault="00817AA6"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ESMA подає проекти цих нормативно-технічних стандартів Комісії до 3 липня 2015 року.</w:t>
      </w:r>
    </w:p>
    <w:p w:rsidR="005613AB" w:rsidRPr="00BE1959" w:rsidRDefault="00817AA6"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Комісії делегується повноваження на прийняття нормативно-технічних стандартів, згаданих у першому абзаці цього пункту, згідно зі статтями 10-14 Регламенту (EU) № 1095/2010.</w:t>
      </w:r>
    </w:p>
    <w:p w:rsidR="008A1A9A"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4.   </w:t>
      </w:r>
      <w:r w:rsidR="008A1A9A" w:rsidRPr="00BE1959">
        <w:rPr>
          <w:rFonts w:ascii="Times New Roman" w:eastAsia="Times New Roman" w:hAnsi="Times New Roman" w:cs="Times New Roman"/>
          <w:sz w:val="24"/>
          <w:szCs w:val="24"/>
          <w:lang w:val="uk-UA"/>
        </w:rPr>
        <w:t>ESMA може розробити проекти нормативно-технічних стандартів, де зазначаються мінімальні величини тіків або режими величин тіків для інших фінансових інструментів, ніж зазначені у пункті 3, де це необхідно для забезпечення впорядкованого функціонування ринків, відповідно до факторів, зазначених у пункті 2, та ціни, спредів і глибини ліквідності фінансових інструментів.</w:t>
      </w:r>
    </w:p>
    <w:p w:rsidR="005613AB" w:rsidRPr="00BE1959" w:rsidRDefault="00162A11" w:rsidP="005613AB">
      <w:pPr>
        <w:spacing w:before="360" w:after="120" w:line="312" w:lineRule="atLeast"/>
        <w:jc w:val="center"/>
        <w:textAlignment w:val="baseline"/>
        <w:rPr>
          <w:rFonts w:ascii="Times New Roman" w:eastAsia="Times New Roman" w:hAnsi="Times New Roman" w:cs="Times New Roman"/>
          <w:i/>
          <w:iCs/>
          <w:sz w:val="24"/>
          <w:szCs w:val="24"/>
          <w:lang w:val="uk-UA"/>
        </w:rPr>
      </w:pPr>
      <w:r w:rsidRPr="00BE1959">
        <w:rPr>
          <w:rFonts w:ascii="Times New Roman" w:eastAsia="Times New Roman" w:hAnsi="Times New Roman" w:cs="Times New Roman"/>
          <w:i/>
          <w:iCs/>
          <w:sz w:val="24"/>
          <w:szCs w:val="24"/>
          <w:lang w:val="uk-UA"/>
        </w:rPr>
        <w:t>Стаття</w:t>
      </w:r>
      <w:r w:rsidR="005613AB" w:rsidRPr="00BE1959">
        <w:rPr>
          <w:rFonts w:ascii="Times New Roman" w:eastAsia="Times New Roman" w:hAnsi="Times New Roman" w:cs="Times New Roman"/>
          <w:i/>
          <w:iCs/>
          <w:sz w:val="24"/>
          <w:szCs w:val="24"/>
          <w:lang w:val="uk-UA"/>
        </w:rPr>
        <w:t xml:space="preserve"> 50</w:t>
      </w:r>
    </w:p>
    <w:p w:rsidR="005613AB" w:rsidRPr="00BE1959" w:rsidRDefault="00355D4A" w:rsidP="005613AB">
      <w:pPr>
        <w:spacing w:before="60" w:after="120" w:line="312" w:lineRule="atLeast"/>
        <w:jc w:val="center"/>
        <w:textAlignment w:val="baseline"/>
        <w:rPr>
          <w:rFonts w:ascii="Times New Roman" w:eastAsia="Times New Roman" w:hAnsi="Times New Roman" w:cs="Times New Roman"/>
          <w:b/>
          <w:bCs/>
          <w:sz w:val="24"/>
          <w:szCs w:val="24"/>
          <w:lang w:val="uk-UA"/>
        </w:rPr>
      </w:pPr>
      <w:r w:rsidRPr="00BE1959">
        <w:rPr>
          <w:rFonts w:ascii="Times New Roman" w:eastAsia="Times New Roman" w:hAnsi="Times New Roman" w:cs="Times New Roman"/>
          <w:b/>
          <w:bCs/>
          <w:sz w:val="24"/>
          <w:szCs w:val="24"/>
          <w:lang w:val="uk-UA"/>
        </w:rPr>
        <w:t xml:space="preserve">Синхронізація ділових годинників </w:t>
      </w:r>
    </w:p>
    <w:p w:rsidR="005613AB" w:rsidRPr="00BE1959" w:rsidRDefault="005613AB" w:rsidP="00E16B68">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lastRenderedPageBreak/>
        <w:t>1.   </w:t>
      </w:r>
      <w:r w:rsidR="00511D52" w:rsidRPr="00BE1959">
        <w:rPr>
          <w:rFonts w:ascii="Times New Roman" w:eastAsia="Times New Roman" w:hAnsi="Times New Roman" w:cs="Times New Roman"/>
          <w:sz w:val="24"/>
          <w:szCs w:val="24"/>
          <w:lang w:val="uk-UA"/>
        </w:rPr>
        <w:t>Держави-члени вимагають, щоб</w:t>
      </w:r>
      <w:r w:rsidRPr="00BE1959">
        <w:rPr>
          <w:rFonts w:ascii="Times New Roman" w:eastAsia="Times New Roman" w:hAnsi="Times New Roman" w:cs="Times New Roman"/>
          <w:sz w:val="24"/>
          <w:szCs w:val="24"/>
          <w:lang w:val="uk-UA"/>
        </w:rPr>
        <w:t xml:space="preserve"> </w:t>
      </w:r>
      <w:r w:rsidR="00FA0DA2" w:rsidRPr="00BE1959">
        <w:rPr>
          <w:rFonts w:ascii="Times New Roman" w:eastAsia="Times New Roman" w:hAnsi="Times New Roman" w:cs="Times New Roman"/>
          <w:sz w:val="24"/>
          <w:szCs w:val="24"/>
          <w:lang w:val="uk-UA"/>
        </w:rPr>
        <w:t>усі торговельні майданчики та їхні члени або учасники синхронізували ділові годинники, що їх вони використовують для реє</w:t>
      </w:r>
      <w:r w:rsidR="00E16B68" w:rsidRPr="00BE1959">
        <w:rPr>
          <w:rFonts w:ascii="Times New Roman" w:eastAsia="Times New Roman" w:hAnsi="Times New Roman" w:cs="Times New Roman"/>
          <w:sz w:val="24"/>
          <w:szCs w:val="24"/>
          <w:lang w:val="uk-UA"/>
        </w:rPr>
        <w:t>страції дати й часу всіх звітних подій.</w:t>
      </w:r>
    </w:p>
    <w:p w:rsidR="005613AB" w:rsidRPr="00BE1959" w:rsidRDefault="005613AB" w:rsidP="00E16B68">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2.   </w:t>
      </w:r>
      <w:r w:rsidR="00E16B68" w:rsidRPr="00BE1959">
        <w:rPr>
          <w:rFonts w:ascii="Times New Roman" w:eastAsia="Times New Roman" w:hAnsi="Times New Roman" w:cs="Times New Roman"/>
          <w:sz w:val="24"/>
          <w:szCs w:val="24"/>
          <w:lang w:val="uk-UA"/>
        </w:rPr>
        <w:t>ESMA розробляє проекти нормативно-технічних стандартів, де зазначається рівень точності, до якої ділові годинники повинні бути синхронізовані відповідно до міжнародних стандартів.</w:t>
      </w:r>
    </w:p>
    <w:p w:rsidR="00CE4A1D" w:rsidRPr="00BE1959" w:rsidRDefault="00CE4A1D" w:rsidP="00CE4A1D">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ESMA подає проекти цих нормативно-технічних стандартів Комісії до 3 липня 2015 року.</w:t>
      </w:r>
    </w:p>
    <w:p w:rsidR="00CE4A1D" w:rsidRPr="00BE1959" w:rsidRDefault="00CE4A1D" w:rsidP="00CE4A1D">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Комісії делегується повноваження на прийняття нормативно-технічних стандартів, згаданих у першому абзаці цього пункту, згідно зі статтями 10-14 Регламенту (EU) № 1095/2010.</w:t>
      </w:r>
    </w:p>
    <w:p w:rsidR="005613AB" w:rsidRPr="00BE1959" w:rsidRDefault="00162A11" w:rsidP="005613AB">
      <w:pPr>
        <w:spacing w:before="360" w:after="120" w:line="312" w:lineRule="atLeast"/>
        <w:jc w:val="center"/>
        <w:textAlignment w:val="baseline"/>
        <w:rPr>
          <w:rFonts w:ascii="Times New Roman" w:eastAsia="Times New Roman" w:hAnsi="Times New Roman" w:cs="Times New Roman"/>
          <w:i/>
          <w:iCs/>
          <w:sz w:val="24"/>
          <w:szCs w:val="24"/>
          <w:lang w:val="uk-UA"/>
        </w:rPr>
      </w:pPr>
      <w:r w:rsidRPr="00BE1959">
        <w:rPr>
          <w:rFonts w:ascii="Times New Roman" w:eastAsia="Times New Roman" w:hAnsi="Times New Roman" w:cs="Times New Roman"/>
          <w:i/>
          <w:iCs/>
          <w:sz w:val="24"/>
          <w:szCs w:val="24"/>
          <w:lang w:val="uk-UA"/>
        </w:rPr>
        <w:t>Стаття</w:t>
      </w:r>
      <w:r w:rsidR="005613AB" w:rsidRPr="00BE1959">
        <w:rPr>
          <w:rFonts w:ascii="Times New Roman" w:eastAsia="Times New Roman" w:hAnsi="Times New Roman" w:cs="Times New Roman"/>
          <w:i/>
          <w:iCs/>
          <w:sz w:val="24"/>
          <w:szCs w:val="24"/>
          <w:lang w:val="uk-UA"/>
        </w:rPr>
        <w:t xml:space="preserve"> 51</w:t>
      </w:r>
    </w:p>
    <w:p w:rsidR="005613AB" w:rsidRPr="00BE1959" w:rsidRDefault="00187EBD" w:rsidP="00187EBD">
      <w:pPr>
        <w:spacing w:before="60" w:after="120" w:line="312" w:lineRule="atLeast"/>
        <w:jc w:val="center"/>
        <w:textAlignment w:val="baseline"/>
        <w:rPr>
          <w:rFonts w:ascii="Times New Roman" w:eastAsia="Times New Roman" w:hAnsi="Times New Roman" w:cs="Times New Roman"/>
          <w:b/>
          <w:bCs/>
          <w:sz w:val="24"/>
          <w:szCs w:val="24"/>
          <w:lang w:val="uk-UA"/>
        </w:rPr>
      </w:pPr>
      <w:r w:rsidRPr="00BE1959">
        <w:rPr>
          <w:rFonts w:ascii="Times New Roman" w:eastAsia="Times New Roman" w:hAnsi="Times New Roman" w:cs="Times New Roman"/>
          <w:b/>
          <w:bCs/>
          <w:sz w:val="24"/>
          <w:szCs w:val="24"/>
          <w:lang w:val="uk-UA"/>
        </w:rPr>
        <w:t>Допуск фінансових інструментів до торгівлі</w:t>
      </w:r>
    </w:p>
    <w:p w:rsidR="005613AB" w:rsidRPr="00BE1959" w:rsidRDefault="005613AB" w:rsidP="00655BE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1.   </w:t>
      </w:r>
      <w:r w:rsidR="00655BEB" w:rsidRPr="00BE1959">
        <w:rPr>
          <w:rFonts w:ascii="Times New Roman" w:eastAsia="Times New Roman" w:hAnsi="Times New Roman" w:cs="Times New Roman"/>
          <w:sz w:val="24"/>
          <w:szCs w:val="24"/>
          <w:lang w:val="uk-UA"/>
        </w:rPr>
        <w:t xml:space="preserve">Держави-члени вимагають, щоб регульовані ринки </w:t>
      </w:r>
      <w:r w:rsidR="00860433" w:rsidRPr="00BE1959">
        <w:rPr>
          <w:rFonts w:ascii="Times New Roman" w:eastAsia="Times New Roman" w:hAnsi="Times New Roman" w:cs="Times New Roman"/>
          <w:sz w:val="24"/>
          <w:szCs w:val="24"/>
          <w:lang w:val="uk-UA"/>
        </w:rPr>
        <w:t>запровадили</w:t>
      </w:r>
      <w:r w:rsidR="00655BEB" w:rsidRPr="00BE1959">
        <w:rPr>
          <w:rFonts w:ascii="Times New Roman" w:eastAsia="Times New Roman" w:hAnsi="Times New Roman" w:cs="Times New Roman"/>
          <w:sz w:val="24"/>
          <w:szCs w:val="24"/>
          <w:lang w:val="uk-UA"/>
        </w:rPr>
        <w:t xml:space="preserve"> чіткі та прозорі правила стосовно доступу фінансових інструментів до торгівлі.</w:t>
      </w:r>
    </w:p>
    <w:p w:rsidR="005613AB" w:rsidRPr="00BE1959" w:rsidRDefault="00655BEB" w:rsidP="00860433">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Ці правила забезпечують, щоб торгівля будь-якими фінансовими інструментами, допущеними до торгівлі на регульованому ринку, могла здійснюватися чесно, вп</w:t>
      </w:r>
      <w:r w:rsidR="000339F7" w:rsidRPr="00BE1959">
        <w:rPr>
          <w:rFonts w:ascii="Times New Roman" w:eastAsia="Times New Roman" w:hAnsi="Times New Roman" w:cs="Times New Roman"/>
          <w:sz w:val="24"/>
          <w:szCs w:val="24"/>
          <w:lang w:val="uk-UA"/>
        </w:rPr>
        <w:t>орядковано і ефективно, а у випадку оборотних цінних паперів</w:t>
      </w:r>
      <w:r w:rsidR="00860433" w:rsidRPr="00BE1959">
        <w:rPr>
          <w:rFonts w:ascii="Times New Roman" w:eastAsia="Times New Roman" w:hAnsi="Times New Roman" w:cs="Times New Roman"/>
          <w:sz w:val="24"/>
          <w:szCs w:val="24"/>
          <w:lang w:val="uk-UA"/>
        </w:rPr>
        <w:t xml:space="preserve"> – на основі вільного обігу.</w:t>
      </w:r>
    </w:p>
    <w:p w:rsidR="00860433"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2.   </w:t>
      </w:r>
      <w:r w:rsidR="00860433" w:rsidRPr="00BE1959">
        <w:rPr>
          <w:rFonts w:ascii="Times New Roman" w:eastAsia="Times New Roman" w:hAnsi="Times New Roman" w:cs="Times New Roman"/>
          <w:sz w:val="24"/>
          <w:szCs w:val="24"/>
          <w:lang w:val="uk-UA"/>
        </w:rPr>
        <w:t>Що стосується деривативів, то правила, згадані у пунк</w:t>
      </w:r>
      <w:r w:rsidR="006808D2" w:rsidRPr="00BE1959">
        <w:rPr>
          <w:rFonts w:ascii="Times New Roman" w:eastAsia="Times New Roman" w:hAnsi="Times New Roman" w:cs="Times New Roman"/>
          <w:sz w:val="24"/>
          <w:szCs w:val="24"/>
          <w:lang w:val="uk-UA"/>
        </w:rPr>
        <w:t xml:space="preserve">ті 1, забезпечують, зокрема, щоб </w:t>
      </w:r>
      <w:r w:rsidR="00860433" w:rsidRPr="00BE1959">
        <w:rPr>
          <w:rFonts w:ascii="Times New Roman" w:eastAsia="Times New Roman" w:hAnsi="Times New Roman" w:cs="Times New Roman"/>
          <w:sz w:val="24"/>
          <w:szCs w:val="24"/>
          <w:lang w:val="uk-UA"/>
        </w:rPr>
        <w:t>форма</w:t>
      </w:r>
      <w:r w:rsidR="006808D2" w:rsidRPr="00BE1959">
        <w:rPr>
          <w:rFonts w:ascii="Times New Roman" w:eastAsia="Times New Roman" w:hAnsi="Times New Roman" w:cs="Times New Roman"/>
          <w:sz w:val="24"/>
          <w:szCs w:val="24"/>
          <w:lang w:val="uk-UA"/>
        </w:rPr>
        <w:t xml:space="preserve"> контракту на дериватив передбачала належне ціноутворення, а також наявність ефективних умов розрахунку за контрактом.</w:t>
      </w:r>
    </w:p>
    <w:p w:rsidR="005613AB" w:rsidRPr="00BE1959" w:rsidRDefault="005613AB" w:rsidP="006808D2">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3.   </w:t>
      </w:r>
      <w:r w:rsidR="006808D2" w:rsidRPr="00BE1959">
        <w:rPr>
          <w:rFonts w:ascii="Times New Roman" w:eastAsia="Times New Roman" w:hAnsi="Times New Roman" w:cs="Times New Roman"/>
          <w:sz w:val="24"/>
          <w:szCs w:val="24"/>
          <w:lang w:val="uk-UA"/>
        </w:rPr>
        <w:t>На додаток до зобов’язань, передбачених пунктами 1 і 2, держави-члени</w:t>
      </w:r>
      <w:r w:rsidR="00655BEB" w:rsidRPr="00BE1959">
        <w:rPr>
          <w:rFonts w:ascii="Times New Roman" w:eastAsia="Times New Roman" w:hAnsi="Times New Roman" w:cs="Times New Roman"/>
          <w:sz w:val="24"/>
          <w:szCs w:val="24"/>
          <w:lang w:val="uk-UA"/>
        </w:rPr>
        <w:t xml:space="preserve"> вимагають, щоб регульовані ринки</w:t>
      </w:r>
      <w:r w:rsidR="006808D2" w:rsidRPr="00BE1959">
        <w:rPr>
          <w:rFonts w:ascii="Times New Roman" w:eastAsia="Times New Roman" w:hAnsi="Times New Roman" w:cs="Times New Roman"/>
          <w:sz w:val="24"/>
          <w:szCs w:val="24"/>
          <w:lang w:val="uk-UA"/>
        </w:rPr>
        <w:t xml:space="preserve"> запровадили та підтримували ефективні засоби перевірки виконання емітентами оборотних цінних паперів, допущених до торгівлі на регульованому ринку, їхніх обов’язків відповідно до законодавства Союзу щодо</w:t>
      </w:r>
      <w:r w:rsidR="00F73146" w:rsidRPr="00BE1959">
        <w:rPr>
          <w:rFonts w:ascii="Times New Roman" w:eastAsia="Times New Roman" w:hAnsi="Times New Roman" w:cs="Times New Roman"/>
          <w:sz w:val="24"/>
          <w:szCs w:val="24"/>
          <w:lang w:val="uk-UA"/>
        </w:rPr>
        <w:t xml:space="preserve"> розголошення інформації в процесі створення, діяльності або в разі потреби</w:t>
      </w:r>
      <w:r w:rsidR="006808D2" w:rsidRPr="00BE1959">
        <w:rPr>
          <w:rFonts w:ascii="Times New Roman" w:eastAsia="Times New Roman" w:hAnsi="Times New Roman" w:cs="Times New Roman"/>
          <w:sz w:val="24"/>
          <w:szCs w:val="24"/>
          <w:lang w:val="uk-UA"/>
        </w:rPr>
        <w:t>.</w:t>
      </w:r>
    </w:p>
    <w:p w:rsidR="005613AB" w:rsidRPr="00BE1959" w:rsidRDefault="00655BEB" w:rsidP="00090537">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Держави-члени </w:t>
      </w:r>
      <w:r w:rsidR="006808D2" w:rsidRPr="00BE1959">
        <w:rPr>
          <w:rFonts w:ascii="Times New Roman" w:eastAsia="Times New Roman" w:hAnsi="Times New Roman" w:cs="Times New Roman"/>
          <w:sz w:val="24"/>
          <w:szCs w:val="24"/>
          <w:lang w:val="uk-UA"/>
        </w:rPr>
        <w:t xml:space="preserve">забезпечує запровадження регульованим ринком заходів, які </w:t>
      </w:r>
      <w:r w:rsidR="00E4693B" w:rsidRPr="00BE1959">
        <w:rPr>
          <w:rFonts w:ascii="Times New Roman" w:eastAsia="Times New Roman" w:hAnsi="Times New Roman" w:cs="Times New Roman"/>
          <w:sz w:val="24"/>
          <w:szCs w:val="24"/>
          <w:lang w:val="uk-UA"/>
        </w:rPr>
        <w:t xml:space="preserve">сприяють отриманню його членами або учасниками доступу до інформації, оприлюдненої відповідно до </w:t>
      </w:r>
      <w:r w:rsidR="00090537" w:rsidRPr="00BE1959">
        <w:rPr>
          <w:rFonts w:ascii="Times New Roman" w:eastAsia="Times New Roman" w:hAnsi="Times New Roman" w:cs="Times New Roman"/>
          <w:sz w:val="24"/>
          <w:szCs w:val="24"/>
          <w:lang w:val="uk-UA"/>
        </w:rPr>
        <w:t>законодавства Союзу.</w:t>
      </w:r>
    </w:p>
    <w:p w:rsidR="005613AB" w:rsidRPr="00BE1959" w:rsidRDefault="005613AB" w:rsidP="00B12E2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4.   </w:t>
      </w:r>
      <w:r w:rsidR="00090537" w:rsidRPr="00BE1959">
        <w:rPr>
          <w:rFonts w:ascii="Times New Roman" w:eastAsia="Times New Roman" w:hAnsi="Times New Roman" w:cs="Times New Roman"/>
          <w:sz w:val="24"/>
          <w:szCs w:val="24"/>
          <w:lang w:val="uk-UA"/>
        </w:rPr>
        <w:t xml:space="preserve">Держави-члени вимагають запровадження регульованими ринками необхідних засобів для регулярної перевірки відповідності фінансових інструментів, допущених ними до торгівлі, </w:t>
      </w:r>
      <w:r w:rsidR="00B12E2B" w:rsidRPr="00BE1959">
        <w:rPr>
          <w:rFonts w:ascii="Times New Roman" w:eastAsia="Times New Roman" w:hAnsi="Times New Roman" w:cs="Times New Roman"/>
          <w:sz w:val="24"/>
          <w:szCs w:val="24"/>
          <w:lang w:val="uk-UA"/>
        </w:rPr>
        <w:t>вимогам щодо допуску.</w:t>
      </w:r>
    </w:p>
    <w:p w:rsidR="00BD13DD" w:rsidRPr="00BE1959" w:rsidRDefault="005613AB" w:rsidP="00B12E2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5.   </w:t>
      </w:r>
      <w:r w:rsidR="00B12E2B" w:rsidRPr="00BE1959">
        <w:rPr>
          <w:rFonts w:ascii="Times New Roman" w:eastAsia="Times New Roman" w:hAnsi="Times New Roman" w:cs="Times New Roman"/>
          <w:sz w:val="24"/>
          <w:szCs w:val="24"/>
          <w:lang w:val="uk-UA"/>
        </w:rPr>
        <w:t>Оборотний цінний папір, допущений до торгівлі на регульованому ринку, може згодом бути допущений до торгівлі на інших регульованих ринках, навіть без згоди емітента і згідно з відповідними положеннями</w:t>
      </w:r>
      <w:r w:rsidRPr="00BE1959">
        <w:rPr>
          <w:rFonts w:ascii="Times New Roman" w:eastAsia="Times New Roman" w:hAnsi="Times New Roman" w:cs="Times New Roman"/>
          <w:sz w:val="24"/>
          <w:szCs w:val="24"/>
          <w:lang w:val="uk-UA"/>
        </w:rPr>
        <w:t xml:space="preserve"> </w:t>
      </w:r>
      <w:r w:rsidR="00016E03" w:rsidRPr="00BE1959">
        <w:rPr>
          <w:rFonts w:ascii="Times New Roman" w:eastAsia="Times New Roman" w:hAnsi="Times New Roman" w:cs="Times New Roman"/>
          <w:sz w:val="24"/>
          <w:szCs w:val="24"/>
          <w:lang w:val="uk-UA"/>
        </w:rPr>
        <w:t>Директиви</w:t>
      </w:r>
      <w:r w:rsidRPr="00BE1959">
        <w:rPr>
          <w:rFonts w:ascii="Times New Roman" w:eastAsia="Times New Roman" w:hAnsi="Times New Roman" w:cs="Times New Roman"/>
          <w:sz w:val="24"/>
          <w:szCs w:val="24"/>
          <w:lang w:val="uk-UA"/>
        </w:rPr>
        <w:t xml:space="preserve"> 2003/71/EC. </w:t>
      </w:r>
      <w:r w:rsidR="00BD13DD" w:rsidRPr="00BE1959">
        <w:rPr>
          <w:rFonts w:ascii="Times New Roman" w:eastAsia="Times New Roman" w:hAnsi="Times New Roman" w:cs="Times New Roman"/>
          <w:sz w:val="24"/>
          <w:szCs w:val="24"/>
          <w:lang w:val="uk-UA"/>
        </w:rPr>
        <w:t xml:space="preserve">Регульований ринок повідомляє емітента про те, що торгівля емітованими ним цінними паперами здійснюється </w:t>
      </w:r>
      <w:r w:rsidR="00BD13DD" w:rsidRPr="00BE1959">
        <w:rPr>
          <w:rFonts w:ascii="Times New Roman" w:eastAsia="Times New Roman" w:hAnsi="Times New Roman" w:cs="Times New Roman"/>
          <w:sz w:val="24"/>
          <w:szCs w:val="24"/>
          <w:lang w:val="uk-UA"/>
        </w:rPr>
        <w:lastRenderedPageBreak/>
        <w:t>на цьому регульованому ринку. На емітента не поширюється обов’язок щодо безпосереднього надання інформації, потрібної згідно з пунктом 3, будь-якому регульованому ринку, що без згоди емітента допустив до торгівлі емітовані останнім цінні папери.</w:t>
      </w:r>
    </w:p>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6.   ESMA </w:t>
      </w:r>
      <w:r w:rsidR="00BD13DD" w:rsidRPr="00BE1959">
        <w:rPr>
          <w:rFonts w:ascii="Times New Roman" w:eastAsia="Times New Roman" w:hAnsi="Times New Roman" w:cs="Times New Roman"/>
          <w:sz w:val="24"/>
          <w:szCs w:val="24"/>
          <w:lang w:val="uk-UA"/>
        </w:rPr>
        <w:t>розробляє проекти нормативно-технічних стандартів, у яких:</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9093"/>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916741" w:rsidP="00F73146">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зазначаються характеристики різних класів фінансових інструментів, що їх регульований ринок має ураховувати, оцінюючи, чи фінансовий інструмент емітований відповідно до умов, викладених у другому абзаці пункту 1</w:t>
            </w:r>
            <w:r w:rsidR="00F73146" w:rsidRPr="00BE1959">
              <w:rPr>
                <w:rFonts w:ascii="Times New Roman" w:eastAsia="Times New Roman" w:hAnsi="Times New Roman" w:cs="Times New Roman"/>
                <w:sz w:val="24"/>
                <w:szCs w:val="24"/>
                <w:lang w:val="uk-UA"/>
              </w:rPr>
              <w:t xml:space="preserve"> щодо допуску до торгівлі у різних сегментах ринку, якими він управляє;</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F73146" w:rsidP="0078455F">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уточнюються засоби, що їх регульований ринок повинен запровадити для того, щоб вважатися таким, що виконав свій обов’язок щодо перевірки дотримання емітентом оборотного цінного паперу його обов’язків відповідно законодавства Союзу щодо розголошення інформації в процесі створення, діяльності або в разі потреби</w:t>
            </w:r>
            <w:r w:rsidR="0078455F" w:rsidRPr="00BE1959">
              <w:rPr>
                <w:rFonts w:ascii="Times New Roman" w:eastAsia="Times New Roman" w:hAnsi="Times New Roman" w:cs="Times New Roman"/>
                <w:sz w:val="24"/>
                <w:szCs w:val="24"/>
                <w:lang w:val="uk-UA"/>
              </w:rPr>
              <w:t>;</w:t>
            </w:r>
            <w:r w:rsidRPr="00BE1959">
              <w:rPr>
                <w:rFonts w:ascii="Times New Roman" w:eastAsia="Times New Roman" w:hAnsi="Times New Roman" w:cs="Times New Roman"/>
                <w:sz w:val="24"/>
                <w:szCs w:val="24"/>
                <w:lang w:val="uk-UA"/>
              </w:rPr>
              <w:t xml:space="preserve"> </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9093"/>
      </w:tblGrid>
      <w:tr w:rsidR="00DE3173"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78455F" w:rsidP="0078455F">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уточнюються засоби, що їх регульований ринок повинен запровадити відповідно до пункту 3 з метою сприяти отриманню його членами або учасниками доступу до інформації, яку він оприлюднив на умовах, установлених законодавством Союзу.</w:t>
            </w:r>
          </w:p>
        </w:tc>
      </w:tr>
    </w:tbl>
    <w:p w:rsidR="009B6C0F" w:rsidRPr="00BE1959" w:rsidRDefault="009B6C0F" w:rsidP="009B6C0F">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ESMA подає проекти цих нормативно-технічних стандартів Комісії до 3 липня 2015 року.</w:t>
      </w:r>
    </w:p>
    <w:p w:rsidR="009B6C0F" w:rsidRPr="00BE1959" w:rsidRDefault="009B6C0F" w:rsidP="009B6C0F">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Комісії делегується повноваження на прийняття нормативно-технічних стандартів, згаданих у першому абзаці цього пункту, згідно зі статтями 10-14 Регламенту (EU) № 1095/2010.</w:t>
      </w:r>
    </w:p>
    <w:p w:rsidR="005613AB" w:rsidRPr="00BE1959" w:rsidRDefault="00162A11" w:rsidP="005613AB">
      <w:pPr>
        <w:spacing w:before="360" w:after="120" w:line="312" w:lineRule="atLeast"/>
        <w:jc w:val="center"/>
        <w:textAlignment w:val="baseline"/>
        <w:rPr>
          <w:rFonts w:ascii="Times New Roman" w:eastAsia="Times New Roman" w:hAnsi="Times New Roman" w:cs="Times New Roman"/>
          <w:i/>
          <w:iCs/>
          <w:sz w:val="24"/>
          <w:szCs w:val="24"/>
          <w:lang w:val="uk-UA"/>
        </w:rPr>
      </w:pPr>
      <w:r w:rsidRPr="00BE1959">
        <w:rPr>
          <w:rFonts w:ascii="Times New Roman" w:eastAsia="Times New Roman" w:hAnsi="Times New Roman" w:cs="Times New Roman"/>
          <w:i/>
          <w:iCs/>
          <w:sz w:val="24"/>
          <w:szCs w:val="24"/>
          <w:lang w:val="uk-UA"/>
        </w:rPr>
        <w:t>Стаття</w:t>
      </w:r>
      <w:r w:rsidR="005613AB" w:rsidRPr="00BE1959">
        <w:rPr>
          <w:rFonts w:ascii="Times New Roman" w:eastAsia="Times New Roman" w:hAnsi="Times New Roman" w:cs="Times New Roman"/>
          <w:i/>
          <w:iCs/>
          <w:sz w:val="24"/>
          <w:szCs w:val="24"/>
          <w:lang w:val="uk-UA"/>
        </w:rPr>
        <w:t xml:space="preserve"> 52</w:t>
      </w:r>
    </w:p>
    <w:p w:rsidR="005613AB" w:rsidRPr="00BE1959" w:rsidRDefault="00187EBD" w:rsidP="00187EBD">
      <w:pPr>
        <w:spacing w:before="60" w:after="120" w:line="312" w:lineRule="atLeast"/>
        <w:jc w:val="center"/>
        <w:textAlignment w:val="baseline"/>
        <w:rPr>
          <w:rFonts w:ascii="Times New Roman" w:eastAsia="Times New Roman" w:hAnsi="Times New Roman" w:cs="Times New Roman"/>
          <w:b/>
          <w:bCs/>
          <w:sz w:val="24"/>
          <w:szCs w:val="24"/>
          <w:lang w:val="uk-UA"/>
        </w:rPr>
      </w:pPr>
      <w:r w:rsidRPr="00BE1959">
        <w:rPr>
          <w:rFonts w:ascii="Times New Roman" w:eastAsia="Times New Roman" w:hAnsi="Times New Roman" w:cs="Times New Roman"/>
          <w:b/>
          <w:bCs/>
          <w:sz w:val="24"/>
          <w:szCs w:val="24"/>
          <w:lang w:val="uk-UA"/>
        </w:rPr>
        <w:t>Призупинення торгівлі фінансовими інструментами та вилучення їх з торгівлі на регульованому ринку</w:t>
      </w:r>
    </w:p>
    <w:p w:rsidR="00187EBD"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1.   </w:t>
      </w:r>
      <w:r w:rsidR="00187EBD" w:rsidRPr="00BE1959">
        <w:rPr>
          <w:rFonts w:ascii="Times New Roman" w:eastAsia="Times New Roman" w:hAnsi="Times New Roman" w:cs="Times New Roman"/>
          <w:sz w:val="24"/>
          <w:szCs w:val="24"/>
          <w:lang w:val="uk-UA"/>
        </w:rPr>
        <w:t>Без шкоди для права компетентного органу за статтею 69(2) вимагати призупинення торгівлі фінансовим інструментом або вилучати його з торгівлі оператор ринку</w:t>
      </w:r>
      <w:r w:rsidR="00530D8D" w:rsidRPr="00BE1959">
        <w:rPr>
          <w:rFonts w:ascii="Times New Roman" w:eastAsia="Times New Roman" w:hAnsi="Times New Roman" w:cs="Times New Roman"/>
          <w:sz w:val="24"/>
          <w:szCs w:val="24"/>
          <w:lang w:val="uk-UA"/>
        </w:rPr>
        <w:t xml:space="preserve"> </w:t>
      </w:r>
      <w:r w:rsidR="00187EBD" w:rsidRPr="00BE1959">
        <w:rPr>
          <w:rFonts w:ascii="Times New Roman" w:eastAsia="Times New Roman" w:hAnsi="Times New Roman" w:cs="Times New Roman"/>
          <w:sz w:val="24"/>
          <w:szCs w:val="24"/>
          <w:lang w:val="uk-UA"/>
        </w:rPr>
        <w:t xml:space="preserve">може призупинити торгівлю фінансовим інструментом або вилучити з торгівлі фінансовий інструмент, який вже не відповідає правилам </w:t>
      </w:r>
      <w:r w:rsidR="00530D8D" w:rsidRPr="00BE1959">
        <w:rPr>
          <w:rFonts w:ascii="Times New Roman" w:eastAsia="Times New Roman" w:hAnsi="Times New Roman" w:cs="Times New Roman"/>
          <w:sz w:val="24"/>
          <w:szCs w:val="24"/>
          <w:lang w:val="uk-UA"/>
        </w:rPr>
        <w:t>регульованого ринку</w:t>
      </w:r>
      <w:r w:rsidR="00187EBD" w:rsidRPr="00BE1959">
        <w:rPr>
          <w:rFonts w:ascii="Times New Roman" w:eastAsia="Times New Roman" w:hAnsi="Times New Roman" w:cs="Times New Roman"/>
          <w:sz w:val="24"/>
          <w:szCs w:val="24"/>
          <w:lang w:val="uk-UA"/>
        </w:rPr>
        <w:t>, якщо таке призупинення або вилучення не завдасть істотної шкоди інтересам інвесторів або впорядкованому функціонуванню ринку.</w:t>
      </w:r>
    </w:p>
    <w:p w:rsidR="00187EBD"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2.    </w:t>
      </w:r>
      <w:r w:rsidR="00187EBD" w:rsidRPr="00BE1959">
        <w:rPr>
          <w:rFonts w:ascii="Times New Roman" w:eastAsia="Times New Roman" w:hAnsi="Times New Roman" w:cs="Times New Roman"/>
          <w:sz w:val="24"/>
          <w:szCs w:val="24"/>
          <w:lang w:val="uk-UA"/>
        </w:rPr>
        <w:t>Держави-члени вимагають, щоб оператор ринку, щ</w:t>
      </w:r>
      <w:r w:rsidR="00DB1777" w:rsidRPr="00BE1959">
        <w:rPr>
          <w:rFonts w:ascii="Times New Roman" w:eastAsia="Times New Roman" w:hAnsi="Times New Roman" w:cs="Times New Roman"/>
          <w:sz w:val="24"/>
          <w:szCs w:val="24"/>
          <w:lang w:val="uk-UA"/>
        </w:rPr>
        <w:t>о</w:t>
      </w:r>
      <w:r w:rsidR="00187EBD" w:rsidRPr="00BE1959">
        <w:rPr>
          <w:rFonts w:ascii="Times New Roman" w:eastAsia="Times New Roman" w:hAnsi="Times New Roman" w:cs="Times New Roman"/>
          <w:sz w:val="24"/>
          <w:szCs w:val="24"/>
          <w:lang w:val="uk-UA"/>
        </w:rPr>
        <w:t xml:space="preserve"> призупиняє торгівлю фінансовим інструментом або вилучає з торгівлі фінансовий інструмент, також призупиня</w:t>
      </w:r>
      <w:r w:rsidR="00DB1777" w:rsidRPr="00BE1959">
        <w:rPr>
          <w:rFonts w:ascii="Times New Roman" w:eastAsia="Times New Roman" w:hAnsi="Times New Roman" w:cs="Times New Roman"/>
          <w:sz w:val="24"/>
          <w:szCs w:val="24"/>
          <w:lang w:val="uk-UA"/>
        </w:rPr>
        <w:t>в</w:t>
      </w:r>
      <w:r w:rsidR="00187EBD" w:rsidRPr="00BE1959">
        <w:rPr>
          <w:rFonts w:ascii="Times New Roman" w:eastAsia="Times New Roman" w:hAnsi="Times New Roman" w:cs="Times New Roman"/>
          <w:sz w:val="24"/>
          <w:szCs w:val="24"/>
          <w:lang w:val="uk-UA"/>
        </w:rPr>
        <w:t xml:space="preserve"> торгівлю або вилуча</w:t>
      </w:r>
      <w:r w:rsidR="00DB1777" w:rsidRPr="00BE1959">
        <w:rPr>
          <w:rFonts w:ascii="Times New Roman" w:eastAsia="Times New Roman" w:hAnsi="Times New Roman" w:cs="Times New Roman"/>
          <w:sz w:val="24"/>
          <w:szCs w:val="24"/>
          <w:lang w:val="uk-UA"/>
        </w:rPr>
        <w:t>в</w:t>
      </w:r>
      <w:r w:rsidR="00187EBD" w:rsidRPr="00BE1959">
        <w:rPr>
          <w:rFonts w:ascii="Times New Roman" w:eastAsia="Times New Roman" w:hAnsi="Times New Roman" w:cs="Times New Roman"/>
          <w:sz w:val="24"/>
          <w:szCs w:val="24"/>
          <w:lang w:val="uk-UA"/>
        </w:rPr>
        <w:t xml:space="preserve"> </w:t>
      </w:r>
      <w:r w:rsidR="00DB1777" w:rsidRPr="00BE1959">
        <w:rPr>
          <w:rFonts w:ascii="Times New Roman" w:eastAsia="Times New Roman" w:hAnsi="Times New Roman" w:cs="Times New Roman"/>
          <w:sz w:val="24"/>
          <w:szCs w:val="24"/>
          <w:lang w:val="uk-UA"/>
        </w:rPr>
        <w:t>і</w:t>
      </w:r>
      <w:r w:rsidR="00187EBD" w:rsidRPr="00BE1959">
        <w:rPr>
          <w:rFonts w:ascii="Times New Roman" w:eastAsia="Times New Roman" w:hAnsi="Times New Roman" w:cs="Times New Roman"/>
          <w:sz w:val="24"/>
          <w:szCs w:val="24"/>
          <w:lang w:val="uk-UA"/>
        </w:rPr>
        <w:t xml:space="preserve">з торгівлі деривативи, згадані у пп. (4)-(10) розділу С Додатку І, які стосуються цього фінансового інструменту або містять посилання на нього, де це необхідно для сприяння досягненню цілей призупинення торгівлі або вилучення з торгівлі базового фінансового інструмента. </w:t>
      </w:r>
      <w:r w:rsidR="00DB1777" w:rsidRPr="00BE1959">
        <w:rPr>
          <w:rFonts w:ascii="Times New Roman" w:eastAsia="Times New Roman" w:hAnsi="Times New Roman" w:cs="Times New Roman"/>
          <w:sz w:val="24"/>
          <w:szCs w:val="24"/>
          <w:lang w:val="uk-UA"/>
        </w:rPr>
        <w:t>О</w:t>
      </w:r>
      <w:r w:rsidR="00187EBD" w:rsidRPr="00BE1959">
        <w:rPr>
          <w:rFonts w:ascii="Times New Roman" w:eastAsia="Times New Roman" w:hAnsi="Times New Roman" w:cs="Times New Roman"/>
          <w:sz w:val="24"/>
          <w:szCs w:val="24"/>
          <w:lang w:val="uk-UA"/>
        </w:rPr>
        <w:t>ператор ринку</w:t>
      </w:r>
      <w:r w:rsidR="00DB1777" w:rsidRPr="00BE1959">
        <w:rPr>
          <w:rFonts w:ascii="Times New Roman" w:eastAsia="Times New Roman" w:hAnsi="Times New Roman" w:cs="Times New Roman"/>
          <w:sz w:val="24"/>
          <w:szCs w:val="24"/>
          <w:lang w:val="uk-UA"/>
        </w:rPr>
        <w:t xml:space="preserve"> </w:t>
      </w:r>
      <w:r w:rsidR="00187EBD" w:rsidRPr="00BE1959">
        <w:rPr>
          <w:rFonts w:ascii="Times New Roman" w:eastAsia="Times New Roman" w:hAnsi="Times New Roman" w:cs="Times New Roman"/>
          <w:sz w:val="24"/>
          <w:szCs w:val="24"/>
          <w:lang w:val="uk-UA"/>
        </w:rPr>
        <w:t xml:space="preserve">оприлюднює свої рішення про призупинення торгівлі або вилучення з торгівлі фінансового інструмента і будь-якого </w:t>
      </w:r>
      <w:r w:rsidR="00187EBD" w:rsidRPr="00BE1959">
        <w:rPr>
          <w:rFonts w:ascii="Times New Roman" w:eastAsia="Times New Roman" w:hAnsi="Times New Roman" w:cs="Times New Roman"/>
          <w:sz w:val="24"/>
          <w:szCs w:val="24"/>
          <w:lang w:val="uk-UA"/>
        </w:rPr>
        <w:lastRenderedPageBreak/>
        <w:t>пов'язаного з ним дериватива та доводить відповідні рішення до відома свого компетентного органу.</w:t>
      </w:r>
    </w:p>
    <w:p w:rsidR="00187EBD" w:rsidRPr="00BE1959" w:rsidRDefault="00187EBD"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Компетентний орган, у юрисдикції якого здійснюється призупинення або вилучення, вимагає, щоб </w:t>
      </w:r>
      <w:r w:rsidR="003307D8" w:rsidRPr="00BE1959">
        <w:rPr>
          <w:rFonts w:ascii="Times New Roman" w:eastAsia="Times New Roman" w:hAnsi="Times New Roman" w:cs="Times New Roman"/>
          <w:sz w:val="24"/>
          <w:szCs w:val="24"/>
          <w:lang w:val="uk-UA"/>
        </w:rPr>
        <w:t xml:space="preserve">інші </w:t>
      </w:r>
      <w:r w:rsidRPr="00BE1959">
        <w:rPr>
          <w:rFonts w:ascii="Times New Roman" w:eastAsia="Times New Roman" w:hAnsi="Times New Roman" w:cs="Times New Roman"/>
          <w:sz w:val="24"/>
          <w:szCs w:val="24"/>
          <w:lang w:val="uk-UA"/>
        </w:rPr>
        <w:t>регульовані ринки,  БТМ, ОТМ і систематичні учасники, на яких поширюється його юрисдикція і які торгують тим самим фінансовим інструментом або деривативами, згаданими у пп. (4)-(10) розділу С Додатку І до цієї директиви, які стосуються цього фінансового інструменту або містять посилання на нього, також призупиняли торгівлю або вилучали з торгівлі цей фінансовий інструмент або ці деривативи, якщо призупинення чи вилучення обумовлено можливими зловживаннями на ринку, пропозицією про поглинання або нерозкриттям внутрішньої інформації про емітента чи фінансовий інструмент, що порушує статті 7 і 17 Регламенту (EU) № 596/2014, крім випадків, де таке призупинення або вилучення може завдати істотної шкоди інтересам інвесторів або впорядкованому функціонуванню ринку.</w:t>
      </w:r>
    </w:p>
    <w:p w:rsidR="00503839" w:rsidRPr="00BE1959" w:rsidRDefault="00503839"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Кожний повідомлений компетентний орган доводить своє рішення до відома ESMA та інших компетентних органів, надаючи при цьому відповідне повідомлення, якщо вищезгадане рішення не було спрямовано на призупинення торгівлі чи вилучення з торгівлі фінансового інструмента чи деривативів, згаданих у пп. (4)-(10) розділу С Додатку І, які стосуються цього фінансового інструмента або містять посилання на нього.</w:t>
      </w:r>
    </w:p>
    <w:p w:rsidR="005613AB" w:rsidRPr="00BE1959" w:rsidRDefault="00187EBD"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Компетентний орган негайно оприлюднює таке рішення і доводить його до відома ESMA та компетентних органів інших держав-членів.</w:t>
      </w:r>
    </w:p>
    <w:p w:rsidR="00187EBD" w:rsidRPr="00BE1959" w:rsidRDefault="00187EBD"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Повідомлені компетентні органи інших держав-членів вимагають, щоб регульовані ринки, інші БТМ, інші ОТМ і систематичні учасники, на яких поширюється їхня юрисдикція і які торгують тим самим фінансовим інструментом або деривативами, згаданими у пп. (4)-(10) розділу С Додатку І до цієї директиви, які стосуються цього фінансового інструменту або містять посилання на нього, також призупиняли торгівлю або вилучали з торгівлі цей фінансовий інструмент або ці деривативи, якщо призупинення чи вилучення обумовлено можливими зловживаннями на ринку, пропозицією про поглинання або нерозкриттям внутрішньої інформації про емітента чи фінансовий інструмент, що порушує статті 7 і 17 Регламенту (EU) № 596/2014, крім випадків, де таке призупинення або вилучення може завдати істотної шкоди інтересам інвесторів або впорядкованому функціонуванню ринку.</w:t>
      </w:r>
    </w:p>
    <w:p w:rsidR="00187EBD" w:rsidRPr="00BE1959" w:rsidRDefault="00187EBD"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Дія цього пункту поширюється також на випадки, де призупинення торгівлі фінансовим інструментом або деривативами, згаданими у пп. (4)-(10) розділу С Додатку І, які стосуються цього фінансового інструмента або містять посилання на нього, скасовується.</w:t>
      </w:r>
    </w:p>
    <w:p w:rsidR="00187EBD" w:rsidRPr="00BE1959" w:rsidRDefault="00187EBD"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Порядок повідомлення, згаданий у цьому пункті, також діє у випадках, де рішення пропризупинення торгівлі чи вилучення з торгівлі фінансового інструмента чи деривативів, згаданих у пп. (4)-(10) розділу С Додатку І, які стосуються цього фінансового інструмента або містять посилання на нього, ухвалено компетентним органом відповідно до пп. (m) та (n) статті 69(2).</w:t>
      </w:r>
    </w:p>
    <w:p w:rsidR="00187EBD" w:rsidRPr="00BE1959" w:rsidRDefault="00187EBD"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lastRenderedPageBreak/>
        <w:t>Щоб забезпечити сумірне застосування обов’язку щодо призупинення торгівлі чи вилучення з торгівлі таких деривативів, ESMA розробляє проекти нормативно-технічних стандартів, де уточнює випадки, в яких зв'язок між деривативом, згаданим у пп. (4)-(10) розділу С Додатку І, який стосується фінансового інструмента або містить посилання на фінансовий інструмент, торгівля яким призупинена або який вилучено з торгівлі, та вихідним фінансовим інструментом означає, що торгівля даним деривативом також має бути призупинена або він має бути вилучений з торгівлі для досягнення мети призупинення торгівлі або вилучення з торгівлі базового фінансового інструменту.</w:t>
      </w:r>
    </w:p>
    <w:p w:rsidR="005613AB" w:rsidRPr="00BE1959" w:rsidRDefault="00187EBD"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ESMA подає проекти цих нормативно-технічних стандартів Комісії до 3 липня 2015 року.</w:t>
      </w:r>
    </w:p>
    <w:p w:rsidR="005613AB" w:rsidRPr="00BE1959" w:rsidRDefault="006D40F5"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Комісії делегується повноваження на прийняття нормативно-технічних стандартів, згаданих у першому абзаці цього пункту, згідно зі статтями 10-14 Регламенту (EU) № 1095/2010.</w:t>
      </w:r>
    </w:p>
    <w:p w:rsidR="005613AB" w:rsidRPr="00BE1959" w:rsidRDefault="005613AB" w:rsidP="006D40F5">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3.   </w:t>
      </w:r>
      <w:r w:rsidR="006D40F5" w:rsidRPr="00BE1959">
        <w:rPr>
          <w:rFonts w:ascii="Times New Roman" w:eastAsia="Times New Roman" w:hAnsi="Times New Roman" w:cs="Times New Roman"/>
          <w:sz w:val="24"/>
          <w:szCs w:val="24"/>
          <w:lang w:val="uk-UA"/>
        </w:rPr>
        <w:t>ESMA розробляє проекти виконавчих технічних стандартів, де визначає формат і строки повідомлення та оприлюднення, згаданого у пункті 2.</w:t>
      </w:r>
    </w:p>
    <w:p w:rsidR="005613AB" w:rsidRPr="00BE1959" w:rsidRDefault="006D40F5"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ESMA подає проекти цих виконавчих технічних стандартів Комісії до 3 січня 2016 року.</w:t>
      </w:r>
    </w:p>
    <w:p w:rsidR="006D40F5" w:rsidRPr="00BE1959" w:rsidRDefault="006D40F5"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Комісії надається повноваження на прийняття виконавчих технічних стандартів, згаданих у першому абзаці цього пункту, згідно зі статтею 15 Регламенту (EU) № 1095/2010.</w:t>
      </w:r>
    </w:p>
    <w:p w:rsidR="006D40F5"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4.   </w:t>
      </w:r>
      <w:r w:rsidR="006D40F5" w:rsidRPr="00BE1959">
        <w:rPr>
          <w:rFonts w:ascii="Times New Roman" w:eastAsia="Times New Roman" w:hAnsi="Times New Roman" w:cs="Times New Roman"/>
          <w:sz w:val="24"/>
          <w:szCs w:val="24"/>
          <w:lang w:val="uk-UA"/>
        </w:rPr>
        <w:t>Комісії надається повноваження на прийняття делегованих актів відповідно до статті 89, у яких бу</w:t>
      </w:r>
      <w:r w:rsidR="00155ADB" w:rsidRPr="00BE1959">
        <w:rPr>
          <w:rFonts w:ascii="Times New Roman" w:eastAsia="Times New Roman" w:hAnsi="Times New Roman" w:cs="Times New Roman"/>
          <w:sz w:val="24"/>
          <w:szCs w:val="24"/>
          <w:lang w:val="uk-UA"/>
        </w:rPr>
        <w:t>де наведено перелік ситуацій</w:t>
      </w:r>
      <w:r w:rsidR="006D40F5" w:rsidRPr="00BE1959">
        <w:rPr>
          <w:rFonts w:ascii="Times New Roman" w:eastAsia="Times New Roman" w:hAnsi="Times New Roman" w:cs="Times New Roman"/>
          <w:sz w:val="24"/>
          <w:szCs w:val="24"/>
          <w:lang w:val="uk-UA"/>
        </w:rPr>
        <w:t>, що становлять істотну шкоду для інтересів інвесторів і впорядкованого функціонування ринку, згаданих у пунктах 1 і 2 цієї статті.</w:t>
      </w:r>
    </w:p>
    <w:p w:rsidR="005613AB" w:rsidRPr="00BE1959" w:rsidRDefault="00162A11" w:rsidP="005613AB">
      <w:pPr>
        <w:spacing w:before="360" w:after="120" w:line="312" w:lineRule="atLeast"/>
        <w:jc w:val="center"/>
        <w:textAlignment w:val="baseline"/>
        <w:rPr>
          <w:rFonts w:ascii="Times New Roman" w:eastAsia="Times New Roman" w:hAnsi="Times New Roman" w:cs="Times New Roman"/>
          <w:i/>
          <w:iCs/>
          <w:sz w:val="24"/>
          <w:szCs w:val="24"/>
          <w:lang w:val="uk-UA"/>
        </w:rPr>
      </w:pPr>
      <w:r w:rsidRPr="00BE1959">
        <w:rPr>
          <w:rFonts w:ascii="Times New Roman" w:eastAsia="Times New Roman" w:hAnsi="Times New Roman" w:cs="Times New Roman"/>
          <w:i/>
          <w:iCs/>
          <w:sz w:val="24"/>
          <w:szCs w:val="24"/>
          <w:lang w:val="uk-UA"/>
        </w:rPr>
        <w:t>Стаття</w:t>
      </w:r>
      <w:r w:rsidR="005613AB" w:rsidRPr="00BE1959">
        <w:rPr>
          <w:rFonts w:ascii="Times New Roman" w:eastAsia="Times New Roman" w:hAnsi="Times New Roman" w:cs="Times New Roman"/>
          <w:i/>
          <w:iCs/>
          <w:sz w:val="24"/>
          <w:szCs w:val="24"/>
          <w:lang w:val="uk-UA"/>
        </w:rPr>
        <w:t xml:space="preserve"> 53</w:t>
      </w:r>
    </w:p>
    <w:p w:rsidR="005613AB" w:rsidRPr="00BE1959" w:rsidRDefault="00155ADB" w:rsidP="005613AB">
      <w:pPr>
        <w:spacing w:before="60" w:after="120" w:line="312" w:lineRule="atLeast"/>
        <w:jc w:val="center"/>
        <w:textAlignment w:val="baseline"/>
        <w:rPr>
          <w:rFonts w:ascii="Times New Roman" w:eastAsia="Times New Roman" w:hAnsi="Times New Roman" w:cs="Times New Roman"/>
          <w:b/>
          <w:bCs/>
          <w:sz w:val="24"/>
          <w:szCs w:val="24"/>
          <w:lang w:val="uk-UA"/>
        </w:rPr>
      </w:pPr>
      <w:r w:rsidRPr="00BE1959">
        <w:rPr>
          <w:rFonts w:ascii="Times New Roman" w:eastAsia="Times New Roman" w:hAnsi="Times New Roman" w:cs="Times New Roman"/>
          <w:b/>
          <w:bCs/>
          <w:sz w:val="24"/>
          <w:szCs w:val="24"/>
          <w:lang w:val="uk-UA"/>
        </w:rPr>
        <w:t>Доступ до регульованого ринку</w:t>
      </w:r>
    </w:p>
    <w:p w:rsidR="002D6D3F"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1.   </w:t>
      </w:r>
      <w:r w:rsidR="001F5C90" w:rsidRPr="00BE1959">
        <w:rPr>
          <w:rFonts w:ascii="Times New Roman" w:eastAsia="Times New Roman" w:hAnsi="Times New Roman" w:cs="Times New Roman"/>
          <w:sz w:val="24"/>
          <w:szCs w:val="24"/>
          <w:lang w:val="uk-UA"/>
        </w:rPr>
        <w:t>Держави-члени</w:t>
      </w:r>
      <w:r w:rsidRPr="00BE1959">
        <w:rPr>
          <w:rFonts w:ascii="Times New Roman" w:eastAsia="Times New Roman" w:hAnsi="Times New Roman" w:cs="Times New Roman"/>
          <w:sz w:val="24"/>
          <w:szCs w:val="24"/>
          <w:lang w:val="uk-UA"/>
        </w:rPr>
        <w:t xml:space="preserve"> </w:t>
      </w:r>
      <w:r w:rsidR="002D6D3F" w:rsidRPr="00BE1959">
        <w:rPr>
          <w:rFonts w:ascii="Times New Roman" w:eastAsia="Times New Roman" w:hAnsi="Times New Roman" w:cs="Times New Roman"/>
          <w:sz w:val="24"/>
          <w:szCs w:val="24"/>
          <w:lang w:val="uk-UA"/>
        </w:rPr>
        <w:t>вимагають від регульованого ринку розроблення, запровадження та підтримання прозорих і недискреційних правил, основаних на об’єктивних критеріях, регулюючих доступ до регульованого ринку та членство у ньому.</w:t>
      </w:r>
    </w:p>
    <w:p w:rsidR="005613AB" w:rsidRPr="00BE1959" w:rsidRDefault="005613AB" w:rsidP="002D6D3F">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2.   </w:t>
      </w:r>
      <w:r w:rsidR="002D6D3F" w:rsidRPr="00BE1959">
        <w:rPr>
          <w:rFonts w:ascii="Times New Roman" w:eastAsia="Times New Roman" w:hAnsi="Times New Roman" w:cs="Times New Roman"/>
          <w:sz w:val="24"/>
          <w:szCs w:val="24"/>
          <w:lang w:val="uk-UA"/>
        </w:rPr>
        <w:t>Правила, згадані у пункті 1, встановлюють будь-які обов’язки членів або учасників, що випливають з:</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13"/>
        <w:gridCol w:w="8852"/>
      </w:tblGrid>
      <w:tr w:rsidR="002D6D3F"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D6D3F" w:rsidRPr="00BE1959" w:rsidRDefault="002D6D3F" w:rsidP="002D6D3F">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структури регульованого ринку та управління ним;</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68"/>
        <w:gridCol w:w="8797"/>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D6D3F" w:rsidRPr="00BE1959" w:rsidRDefault="00024159" w:rsidP="00024159">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правил, що регулюють операції на цьому ринку;</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9093"/>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D6D3F" w:rsidRPr="00BE1959" w:rsidRDefault="00024159" w:rsidP="00024159">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професійних стандартів, установлених для персоналу інвестиційних фірм або кредитних установ, які діють на ринку;</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D6D3F" w:rsidRPr="00BE1959" w:rsidRDefault="00024159" w:rsidP="00FE541D">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умов, установлених для </w:t>
            </w:r>
            <w:r w:rsidR="00FE541D" w:rsidRPr="00BE1959">
              <w:rPr>
                <w:rFonts w:ascii="Times New Roman" w:eastAsia="Times New Roman" w:hAnsi="Times New Roman" w:cs="Times New Roman"/>
                <w:sz w:val="24"/>
                <w:szCs w:val="24"/>
                <w:lang w:val="uk-UA"/>
              </w:rPr>
              <w:t>інших членів або учасників, ніж інвестиційні фірми та кредитні установи, відповідно до пункту 3;</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9093"/>
      </w:tblGrid>
      <w:tr w:rsidR="00DE3173"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lastRenderedPageBreak/>
              <w:t>(e)</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D6D3F" w:rsidRPr="00BE1959" w:rsidRDefault="00FE541D" w:rsidP="00FE541D">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правил та процедур щодо клірингу та розрахунків за угодами, укладеними на регульованому ринку.</w:t>
            </w:r>
          </w:p>
        </w:tc>
      </w:tr>
    </w:tbl>
    <w:p w:rsidR="002D6D3F"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3.   </w:t>
      </w:r>
      <w:r w:rsidR="00FE541D" w:rsidRPr="00BE1959">
        <w:rPr>
          <w:rFonts w:ascii="Times New Roman" w:eastAsia="Times New Roman" w:hAnsi="Times New Roman" w:cs="Times New Roman"/>
          <w:sz w:val="24"/>
          <w:szCs w:val="24"/>
          <w:lang w:val="uk-UA"/>
        </w:rPr>
        <w:t>Регульовані ринки можуть допустити</w:t>
      </w:r>
      <w:r w:rsidR="00FF6853" w:rsidRPr="00BE1959">
        <w:rPr>
          <w:rFonts w:ascii="Times New Roman" w:eastAsia="Times New Roman" w:hAnsi="Times New Roman" w:cs="Times New Roman"/>
          <w:sz w:val="24"/>
          <w:szCs w:val="24"/>
          <w:lang w:val="uk-UA"/>
        </w:rPr>
        <w:t xml:space="preserve"> в якості членів або учасників інвестиційні фірми, кредитні установи, що отримали дозвіл відповідно до Директиви</w:t>
      </w:r>
      <w:r w:rsidRPr="00BE1959">
        <w:rPr>
          <w:rFonts w:ascii="Times New Roman" w:eastAsia="Times New Roman" w:hAnsi="Times New Roman" w:cs="Times New Roman"/>
          <w:sz w:val="24"/>
          <w:szCs w:val="24"/>
          <w:lang w:val="uk-UA"/>
        </w:rPr>
        <w:t xml:space="preserve"> 2013/36/EU</w:t>
      </w:r>
      <w:r w:rsidR="00FF6853" w:rsidRPr="00BE1959">
        <w:rPr>
          <w:rFonts w:ascii="Times New Roman" w:eastAsia="Times New Roman" w:hAnsi="Times New Roman" w:cs="Times New Roman"/>
          <w:sz w:val="24"/>
          <w:szCs w:val="24"/>
          <w:lang w:val="uk-UA"/>
        </w:rPr>
        <w:t xml:space="preserve">, </w:t>
      </w:r>
      <w:r w:rsidR="00B02396" w:rsidRPr="00BE1959">
        <w:rPr>
          <w:rFonts w:ascii="Times New Roman" w:eastAsia="Times New Roman" w:hAnsi="Times New Roman" w:cs="Times New Roman"/>
          <w:sz w:val="24"/>
          <w:szCs w:val="24"/>
          <w:lang w:val="uk-UA"/>
        </w:rPr>
        <w:t>та інших осіб, які:</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2"/>
        <w:gridCol w:w="8963"/>
      </w:tblGrid>
      <w:tr w:rsidR="005613AB" w:rsidRPr="00BE1959" w:rsidTr="00B02396">
        <w:tc>
          <w:tcPr>
            <w:tcW w:w="265"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(a)</w:t>
            </w:r>
          </w:p>
        </w:tc>
        <w:tc>
          <w:tcPr>
            <w:tcW w:w="4735"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B02396" w:rsidP="00B02396">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мають достатньо високу репутацію;</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16"/>
        <w:gridCol w:w="9049"/>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B02396" w:rsidP="00AC2492">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мають достатній рівень </w:t>
            </w:r>
            <w:r w:rsidR="00AC2492" w:rsidRPr="00BE1959">
              <w:rPr>
                <w:rFonts w:ascii="Times New Roman" w:eastAsia="Times New Roman" w:hAnsi="Times New Roman" w:cs="Times New Roman"/>
                <w:sz w:val="24"/>
                <w:szCs w:val="24"/>
                <w:lang w:val="uk-UA"/>
              </w:rPr>
              <w:t>спроможності, компетентності та досвіду щодо торгівлі;</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10"/>
        <w:gridCol w:w="8855"/>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AC2492" w:rsidP="00AC2492">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мають, де необхідно, відповідні організацій засоби;</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DE3173"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C2492" w:rsidRPr="00BE1959" w:rsidRDefault="00AC2492" w:rsidP="00AC2492">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мають достатні ресурси для виконання покладених на них завдань, ураховуючи різні фінансові механізми, що можуть бути запроваджені регульованим ринком з метою гарантування належного розрахунку за угодами.</w:t>
            </w:r>
          </w:p>
        </w:tc>
      </w:tr>
    </w:tbl>
    <w:p w:rsidR="008366AE"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4.   </w:t>
      </w:r>
      <w:r w:rsidR="001F5C90" w:rsidRPr="00BE1959">
        <w:rPr>
          <w:rFonts w:ascii="Times New Roman" w:eastAsia="Times New Roman" w:hAnsi="Times New Roman" w:cs="Times New Roman"/>
          <w:sz w:val="24"/>
          <w:szCs w:val="24"/>
          <w:lang w:val="uk-UA"/>
        </w:rPr>
        <w:t>Держави-члени</w:t>
      </w:r>
      <w:r w:rsidRPr="00BE1959">
        <w:rPr>
          <w:rFonts w:ascii="Times New Roman" w:eastAsia="Times New Roman" w:hAnsi="Times New Roman" w:cs="Times New Roman"/>
          <w:sz w:val="24"/>
          <w:szCs w:val="24"/>
          <w:lang w:val="uk-UA"/>
        </w:rPr>
        <w:t xml:space="preserve"> </w:t>
      </w:r>
      <w:r w:rsidR="005623C0" w:rsidRPr="00BE1959">
        <w:rPr>
          <w:rFonts w:ascii="Times New Roman" w:eastAsia="Times New Roman" w:hAnsi="Times New Roman" w:cs="Times New Roman"/>
          <w:sz w:val="24"/>
          <w:szCs w:val="24"/>
          <w:lang w:val="uk-UA"/>
        </w:rPr>
        <w:t>забезпечують, щоб стосовно угод, укладених на регульованому ринку, члени та учасники не були зобов’язані поширювати один на одного зобов’язання, встановленні у статтях 24, 25, 27 та 28. Проте, члени або учасники регульованого ринку поширюють зобов’язання, передбачені у статтях 24, 25, 27 та 28, на своїх клієнтів, коли вони, діючи від імені своїх клієнтів, виконують їхні замовлення на регульованому ринку.</w:t>
      </w:r>
    </w:p>
    <w:p w:rsidR="005623C0" w:rsidRPr="00BE1959" w:rsidRDefault="005613AB" w:rsidP="005623C0">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5.   </w:t>
      </w:r>
      <w:r w:rsidR="001F5C90" w:rsidRPr="00BE1959">
        <w:rPr>
          <w:rFonts w:ascii="Times New Roman" w:eastAsia="Times New Roman" w:hAnsi="Times New Roman" w:cs="Times New Roman"/>
          <w:sz w:val="24"/>
          <w:szCs w:val="24"/>
          <w:lang w:val="uk-UA"/>
        </w:rPr>
        <w:t>Держави-члени</w:t>
      </w:r>
      <w:r w:rsidRPr="00BE1959">
        <w:rPr>
          <w:rFonts w:ascii="Times New Roman" w:eastAsia="Times New Roman" w:hAnsi="Times New Roman" w:cs="Times New Roman"/>
          <w:sz w:val="24"/>
          <w:szCs w:val="24"/>
          <w:lang w:val="uk-UA"/>
        </w:rPr>
        <w:t xml:space="preserve"> </w:t>
      </w:r>
      <w:r w:rsidR="005623C0" w:rsidRPr="00BE1959">
        <w:rPr>
          <w:rFonts w:ascii="Times New Roman" w:eastAsia="Times New Roman" w:hAnsi="Times New Roman" w:cs="Times New Roman"/>
          <w:sz w:val="24"/>
          <w:szCs w:val="24"/>
          <w:lang w:val="uk-UA"/>
        </w:rPr>
        <w:t xml:space="preserve">забезпечують, щоб правила доступу до регульованого ринку або членства у ньому передбачали безпосередню або дистанційну участь інвестиційних фірм та кредитних установ. </w:t>
      </w:r>
    </w:p>
    <w:p w:rsidR="00525578"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6.   </w:t>
      </w:r>
      <w:r w:rsidR="001F5C90" w:rsidRPr="00BE1959">
        <w:rPr>
          <w:rFonts w:ascii="Times New Roman" w:eastAsia="Times New Roman" w:hAnsi="Times New Roman" w:cs="Times New Roman"/>
          <w:sz w:val="24"/>
          <w:szCs w:val="24"/>
          <w:lang w:val="uk-UA"/>
        </w:rPr>
        <w:t>Держави-члени</w:t>
      </w:r>
      <w:r w:rsidRPr="00BE1959">
        <w:rPr>
          <w:rFonts w:ascii="Times New Roman" w:eastAsia="Times New Roman" w:hAnsi="Times New Roman" w:cs="Times New Roman"/>
          <w:sz w:val="24"/>
          <w:szCs w:val="24"/>
          <w:lang w:val="uk-UA"/>
        </w:rPr>
        <w:t xml:space="preserve">, </w:t>
      </w:r>
      <w:r w:rsidR="00525578" w:rsidRPr="00BE1959">
        <w:rPr>
          <w:rFonts w:ascii="Times New Roman" w:eastAsia="Times New Roman" w:hAnsi="Times New Roman" w:cs="Times New Roman"/>
          <w:sz w:val="24"/>
          <w:szCs w:val="24"/>
          <w:lang w:val="uk-UA"/>
        </w:rPr>
        <w:t>без установлення подальших юридичних або адміністративних вимог, дозволяють регульованим ринкам інших держав-членів запроваджувати на своїй території відповідні механізми для полегшення доступу до цих ринків віддалених членів або учасників, створених на їхній території, та ведення ними торгівлі на цих ринках.</w:t>
      </w:r>
    </w:p>
    <w:p w:rsidR="005613AB" w:rsidRPr="00BE1959" w:rsidRDefault="00AF4495" w:rsidP="00510C99">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Регульований ринок повідомляє компетентному органові держави-члена свого походження державу-члена, в якій він має намір запровадити такі механізми. </w:t>
      </w:r>
      <w:r w:rsidR="003A5348" w:rsidRPr="00BE1959">
        <w:rPr>
          <w:rFonts w:ascii="Times New Roman" w:eastAsia="Times New Roman" w:hAnsi="Times New Roman" w:cs="Times New Roman"/>
          <w:sz w:val="24"/>
          <w:szCs w:val="24"/>
          <w:lang w:val="uk-UA"/>
        </w:rPr>
        <w:t>Компетентний орган</w:t>
      </w:r>
      <w:r w:rsidR="005613AB" w:rsidRPr="00BE1959">
        <w:rPr>
          <w:rFonts w:ascii="Times New Roman" w:eastAsia="Times New Roman" w:hAnsi="Times New Roman" w:cs="Times New Roman"/>
          <w:sz w:val="24"/>
          <w:szCs w:val="24"/>
          <w:lang w:val="uk-UA"/>
        </w:rPr>
        <w:t xml:space="preserve"> </w:t>
      </w:r>
      <w:r w:rsidR="003A5348" w:rsidRPr="00BE1959">
        <w:rPr>
          <w:rFonts w:ascii="Times New Roman" w:eastAsia="Times New Roman" w:hAnsi="Times New Roman" w:cs="Times New Roman"/>
          <w:sz w:val="24"/>
          <w:szCs w:val="24"/>
          <w:lang w:val="uk-UA"/>
        </w:rPr>
        <w:t>держави-члена походження</w:t>
      </w:r>
      <w:r w:rsidR="005613AB" w:rsidRPr="00BE1959">
        <w:rPr>
          <w:rFonts w:ascii="Times New Roman" w:eastAsia="Times New Roman" w:hAnsi="Times New Roman" w:cs="Times New Roman"/>
          <w:sz w:val="24"/>
          <w:szCs w:val="24"/>
          <w:lang w:val="uk-UA"/>
        </w:rPr>
        <w:t xml:space="preserve"> </w:t>
      </w:r>
      <w:r w:rsidRPr="00BE1959">
        <w:rPr>
          <w:rFonts w:ascii="Times New Roman" w:eastAsia="Times New Roman" w:hAnsi="Times New Roman" w:cs="Times New Roman"/>
          <w:sz w:val="24"/>
          <w:szCs w:val="24"/>
          <w:lang w:val="uk-UA"/>
        </w:rPr>
        <w:t xml:space="preserve">у місячний строк надає цю інформацію державі-члену, в якій регульований ринок має намір запровадити такі механізми. </w:t>
      </w:r>
      <w:r w:rsidR="00510C99" w:rsidRPr="00BE1959">
        <w:rPr>
          <w:rFonts w:ascii="Times New Roman" w:eastAsia="Times New Roman" w:hAnsi="Times New Roman" w:cs="Times New Roman"/>
          <w:sz w:val="24"/>
          <w:szCs w:val="24"/>
          <w:lang w:val="uk-UA"/>
        </w:rPr>
        <w:t>ESMA може вимагати доступу до цієї інформації у порядку і на умовах, установлених у статті</w:t>
      </w:r>
      <w:r w:rsidR="005613AB" w:rsidRPr="00BE1959">
        <w:rPr>
          <w:rFonts w:ascii="Times New Roman" w:eastAsia="Times New Roman" w:hAnsi="Times New Roman" w:cs="Times New Roman"/>
          <w:sz w:val="24"/>
          <w:szCs w:val="24"/>
          <w:lang w:val="uk-UA"/>
        </w:rPr>
        <w:t xml:space="preserve"> 35 </w:t>
      </w:r>
      <w:r w:rsidR="008824AE" w:rsidRPr="00BE1959">
        <w:rPr>
          <w:rFonts w:ascii="Times New Roman" w:eastAsia="Times New Roman" w:hAnsi="Times New Roman" w:cs="Times New Roman"/>
          <w:sz w:val="24"/>
          <w:szCs w:val="24"/>
          <w:lang w:val="uk-UA"/>
        </w:rPr>
        <w:t>Регламенту</w:t>
      </w:r>
      <w:r w:rsidR="005613AB" w:rsidRPr="00BE1959">
        <w:rPr>
          <w:rFonts w:ascii="Times New Roman" w:eastAsia="Times New Roman" w:hAnsi="Times New Roman" w:cs="Times New Roman"/>
          <w:sz w:val="24"/>
          <w:szCs w:val="24"/>
          <w:lang w:val="uk-UA"/>
        </w:rPr>
        <w:t xml:space="preserve"> </w:t>
      </w:r>
      <w:r w:rsidR="00DB4825" w:rsidRPr="00BE1959">
        <w:rPr>
          <w:rFonts w:ascii="Times New Roman" w:eastAsia="Times New Roman" w:hAnsi="Times New Roman" w:cs="Times New Roman"/>
          <w:sz w:val="24"/>
          <w:szCs w:val="24"/>
          <w:lang w:val="uk-UA"/>
        </w:rPr>
        <w:t>(EU) №</w:t>
      </w:r>
      <w:r w:rsidR="005613AB" w:rsidRPr="00BE1959">
        <w:rPr>
          <w:rFonts w:ascii="Times New Roman" w:eastAsia="Times New Roman" w:hAnsi="Times New Roman" w:cs="Times New Roman"/>
          <w:sz w:val="24"/>
          <w:szCs w:val="24"/>
          <w:lang w:val="uk-UA"/>
        </w:rPr>
        <w:t> 1095/2010.</w:t>
      </w:r>
    </w:p>
    <w:p w:rsidR="005623C0" w:rsidRPr="00BE1959" w:rsidRDefault="003A5348" w:rsidP="00F46B59">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Компетентний орган</w:t>
      </w:r>
      <w:r w:rsidR="005613AB" w:rsidRPr="00BE1959">
        <w:rPr>
          <w:rFonts w:ascii="Times New Roman" w:eastAsia="Times New Roman" w:hAnsi="Times New Roman" w:cs="Times New Roman"/>
          <w:sz w:val="24"/>
          <w:szCs w:val="24"/>
          <w:lang w:val="uk-UA"/>
        </w:rPr>
        <w:t xml:space="preserve"> </w:t>
      </w:r>
      <w:r w:rsidRPr="00BE1959">
        <w:rPr>
          <w:rFonts w:ascii="Times New Roman" w:eastAsia="Times New Roman" w:hAnsi="Times New Roman" w:cs="Times New Roman"/>
          <w:sz w:val="24"/>
          <w:szCs w:val="24"/>
          <w:lang w:val="uk-UA"/>
        </w:rPr>
        <w:t>держави-члена походження</w:t>
      </w:r>
      <w:r w:rsidR="005613AB" w:rsidRPr="00BE1959">
        <w:rPr>
          <w:rFonts w:ascii="Times New Roman" w:eastAsia="Times New Roman" w:hAnsi="Times New Roman" w:cs="Times New Roman"/>
          <w:sz w:val="24"/>
          <w:szCs w:val="24"/>
          <w:lang w:val="uk-UA"/>
        </w:rPr>
        <w:t xml:space="preserve"> </w:t>
      </w:r>
      <w:r w:rsidR="00C17A39" w:rsidRPr="00BE1959">
        <w:rPr>
          <w:rFonts w:ascii="Times New Roman" w:eastAsia="Times New Roman" w:hAnsi="Times New Roman" w:cs="Times New Roman"/>
          <w:sz w:val="24"/>
          <w:szCs w:val="24"/>
          <w:lang w:val="uk-UA"/>
        </w:rPr>
        <w:t>регульованого ринку на вимогу компетентного органу</w:t>
      </w:r>
      <w:r w:rsidR="005613AB" w:rsidRPr="00BE1959">
        <w:rPr>
          <w:rFonts w:ascii="Times New Roman" w:eastAsia="Times New Roman" w:hAnsi="Times New Roman" w:cs="Times New Roman"/>
          <w:sz w:val="24"/>
          <w:szCs w:val="24"/>
          <w:lang w:val="uk-UA"/>
        </w:rPr>
        <w:t xml:space="preserve"> </w:t>
      </w:r>
      <w:r w:rsidR="00066C23" w:rsidRPr="00BE1959">
        <w:rPr>
          <w:rFonts w:ascii="Times New Roman" w:eastAsia="Times New Roman" w:hAnsi="Times New Roman" w:cs="Times New Roman"/>
          <w:sz w:val="24"/>
          <w:szCs w:val="24"/>
          <w:lang w:val="uk-UA"/>
        </w:rPr>
        <w:t>приймаючої держави-члена</w:t>
      </w:r>
      <w:r w:rsidR="005613AB" w:rsidRPr="00BE1959">
        <w:rPr>
          <w:rFonts w:ascii="Times New Roman" w:eastAsia="Times New Roman" w:hAnsi="Times New Roman" w:cs="Times New Roman"/>
          <w:sz w:val="24"/>
          <w:szCs w:val="24"/>
          <w:lang w:val="uk-UA"/>
        </w:rPr>
        <w:t xml:space="preserve"> </w:t>
      </w:r>
      <w:r w:rsidR="00F46B59" w:rsidRPr="00BE1959">
        <w:rPr>
          <w:rFonts w:ascii="Times New Roman" w:eastAsia="Times New Roman" w:hAnsi="Times New Roman" w:cs="Times New Roman"/>
          <w:sz w:val="24"/>
          <w:szCs w:val="24"/>
          <w:lang w:val="uk-UA"/>
        </w:rPr>
        <w:t>та без неналежної затримки повідомляє персональні дані членів або учасників регульованого ринку, створеного у цій державі-члені.</w:t>
      </w:r>
    </w:p>
    <w:p w:rsidR="005623C0" w:rsidRPr="00BE1959" w:rsidRDefault="005613AB" w:rsidP="00F46B59">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lastRenderedPageBreak/>
        <w:t>7.   </w:t>
      </w:r>
      <w:r w:rsidR="001F5C90" w:rsidRPr="00BE1959">
        <w:rPr>
          <w:rFonts w:ascii="Times New Roman" w:eastAsia="Times New Roman" w:hAnsi="Times New Roman" w:cs="Times New Roman"/>
          <w:sz w:val="24"/>
          <w:szCs w:val="24"/>
          <w:lang w:val="uk-UA"/>
        </w:rPr>
        <w:t>Держави-члени</w:t>
      </w:r>
      <w:r w:rsidRPr="00BE1959">
        <w:rPr>
          <w:rFonts w:ascii="Times New Roman" w:eastAsia="Times New Roman" w:hAnsi="Times New Roman" w:cs="Times New Roman"/>
          <w:sz w:val="24"/>
          <w:szCs w:val="24"/>
          <w:lang w:val="uk-UA"/>
        </w:rPr>
        <w:t xml:space="preserve"> </w:t>
      </w:r>
      <w:r w:rsidR="00F46B59" w:rsidRPr="00BE1959">
        <w:rPr>
          <w:rFonts w:ascii="Times New Roman" w:eastAsia="Times New Roman" w:hAnsi="Times New Roman" w:cs="Times New Roman"/>
          <w:sz w:val="24"/>
          <w:szCs w:val="24"/>
          <w:lang w:val="uk-UA"/>
        </w:rPr>
        <w:t>вимагають від оператора ринку регулярного повідомлення компетентному органові регульованого ринку переліку членів або учасників цього регульованого ринку.</w:t>
      </w:r>
    </w:p>
    <w:p w:rsidR="005613AB" w:rsidRPr="00BE1959" w:rsidRDefault="00162A11" w:rsidP="005613AB">
      <w:pPr>
        <w:spacing w:before="360" w:after="120" w:line="312" w:lineRule="atLeast"/>
        <w:jc w:val="center"/>
        <w:textAlignment w:val="baseline"/>
        <w:rPr>
          <w:rFonts w:ascii="Times New Roman" w:eastAsia="Times New Roman" w:hAnsi="Times New Roman" w:cs="Times New Roman"/>
          <w:i/>
          <w:iCs/>
          <w:sz w:val="24"/>
          <w:szCs w:val="24"/>
          <w:lang w:val="uk-UA"/>
        </w:rPr>
      </w:pPr>
      <w:r w:rsidRPr="00BE1959">
        <w:rPr>
          <w:rFonts w:ascii="Times New Roman" w:eastAsia="Times New Roman" w:hAnsi="Times New Roman" w:cs="Times New Roman"/>
          <w:i/>
          <w:iCs/>
          <w:sz w:val="24"/>
          <w:szCs w:val="24"/>
          <w:lang w:val="uk-UA"/>
        </w:rPr>
        <w:t>Стаття</w:t>
      </w:r>
      <w:r w:rsidR="005613AB" w:rsidRPr="00BE1959">
        <w:rPr>
          <w:rFonts w:ascii="Times New Roman" w:eastAsia="Times New Roman" w:hAnsi="Times New Roman" w:cs="Times New Roman"/>
          <w:i/>
          <w:iCs/>
          <w:sz w:val="24"/>
          <w:szCs w:val="24"/>
          <w:lang w:val="uk-UA"/>
        </w:rPr>
        <w:t xml:space="preserve"> 54</w:t>
      </w:r>
    </w:p>
    <w:p w:rsidR="00F46B59" w:rsidRPr="00BE1959" w:rsidRDefault="00F46B59" w:rsidP="005613AB">
      <w:pPr>
        <w:spacing w:before="60" w:after="120" w:line="312" w:lineRule="atLeast"/>
        <w:jc w:val="center"/>
        <w:textAlignment w:val="baseline"/>
        <w:rPr>
          <w:rFonts w:ascii="Times New Roman" w:eastAsia="Times New Roman" w:hAnsi="Times New Roman" w:cs="Times New Roman"/>
          <w:b/>
          <w:bCs/>
          <w:sz w:val="24"/>
          <w:szCs w:val="24"/>
          <w:lang w:val="uk-UA"/>
        </w:rPr>
      </w:pPr>
      <w:r w:rsidRPr="00BE1959">
        <w:rPr>
          <w:rFonts w:ascii="Times New Roman" w:eastAsia="Times New Roman" w:hAnsi="Times New Roman" w:cs="Times New Roman"/>
          <w:b/>
          <w:bCs/>
          <w:sz w:val="24"/>
          <w:szCs w:val="24"/>
          <w:lang w:val="uk-UA"/>
        </w:rPr>
        <w:t>Контроль за дотриманням правил регульованого ринку та інших правових зобов’язань</w:t>
      </w:r>
    </w:p>
    <w:p w:rsidR="007E0DA4"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1.   </w:t>
      </w:r>
      <w:r w:rsidR="00511D52" w:rsidRPr="00BE1959">
        <w:rPr>
          <w:rFonts w:ascii="Times New Roman" w:eastAsia="Times New Roman" w:hAnsi="Times New Roman" w:cs="Times New Roman"/>
          <w:sz w:val="24"/>
          <w:szCs w:val="24"/>
          <w:lang w:val="uk-UA"/>
        </w:rPr>
        <w:t>Держави-члени вимагають, щоб</w:t>
      </w:r>
      <w:r w:rsidRPr="00BE1959">
        <w:rPr>
          <w:rFonts w:ascii="Times New Roman" w:eastAsia="Times New Roman" w:hAnsi="Times New Roman" w:cs="Times New Roman"/>
          <w:sz w:val="24"/>
          <w:szCs w:val="24"/>
          <w:lang w:val="uk-UA"/>
        </w:rPr>
        <w:t xml:space="preserve"> </w:t>
      </w:r>
      <w:r w:rsidR="007E0DA4" w:rsidRPr="00BE1959">
        <w:rPr>
          <w:rFonts w:ascii="Times New Roman" w:eastAsia="Times New Roman" w:hAnsi="Times New Roman" w:cs="Times New Roman"/>
          <w:sz w:val="24"/>
          <w:szCs w:val="24"/>
          <w:lang w:val="uk-UA"/>
        </w:rPr>
        <w:t xml:space="preserve">регульовані ринки розробляли та підтримували ефективні заходи та процедури, зокрема необхідні ресурси, </w:t>
      </w:r>
      <w:r w:rsidR="00DA7940" w:rsidRPr="00BE1959">
        <w:rPr>
          <w:rFonts w:ascii="Times New Roman" w:eastAsia="Times New Roman" w:hAnsi="Times New Roman" w:cs="Times New Roman"/>
          <w:sz w:val="24"/>
          <w:szCs w:val="24"/>
          <w:lang w:val="uk-UA"/>
        </w:rPr>
        <w:t>щодо</w:t>
      </w:r>
      <w:r w:rsidR="007E0DA4" w:rsidRPr="00BE1959">
        <w:rPr>
          <w:rFonts w:ascii="Times New Roman" w:eastAsia="Times New Roman" w:hAnsi="Times New Roman" w:cs="Times New Roman"/>
          <w:sz w:val="24"/>
          <w:szCs w:val="24"/>
          <w:lang w:val="uk-UA"/>
        </w:rPr>
        <w:t xml:space="preserve"> регулярного контролю</w:t>
      </w:r>
      <w:r w:rsidR="00DA7940" w:rsidRPr="00BE1959">
        <w:rPr>
          <w:rFonts w:ascii="Times New Roman" w:eastAsia="Times New Roman" w:hAnsi="Times New Roman" w:cs="Times New Roman"/>
          <w:sz w:val="24"/>
          <w:szCs w:val="24"/>
          <w:lang w:val="uk-UA"/>
        </w:rPr>
        <w:t xml:space="preserve"> за дотриманням їхніми членами або учасниками правил регульованих ринків. Регульовані ринки контролюють отримані замовлення, у тому числі скасовані, та угоди, уклаені їхніми членами або учасниками в їхніх системах, на предмет виявлення порушень цих правил, невпорядкованих умов торгівлі або поведінки, що може свідчити про дії, заборонені Регламентом </w:t>
      </w:r>
      <w:r w:rsidR="00DB4825" w:rsidRPr="00BE1959">
        <w:rPr>
          <w:rFonts w:ascii="Times New Roman" w:eastAsia="Times New Roman" w:hAnsi="Times New Roman" w:cs="Times New Roman"/>
          <w:sz w:val="24"/>
          <w:szCs w:val="24"/>
          <w:lang w:val="uk-UA"/>
        </w:rPr>
        <w:t>(EU) №</w:t>
      </w:r>
      <w:r w:rsidRPr="00BE1959">
        <w:rPr>
          <w:rFonts w:ascii="Times New Roman" w:eastAsia="Times New Roman" w:hAnsi="Times New Roman" w:cs="Times New Roman"/>
          <w:sz w:val="24"/>
          <w:szCs w:val="24"/>
          <w:lang w:val="uk-UA"/>
        </w:rPr>
        <w:t xml:space="preserve"> 596/2014</w:t>
      </w:r>
      <w:r w:rsidR="007410E9" w:rsidRPr="00BE1959">
        <w:rPr>
          <w:rFonts w:ascii="Times New Roman" w:eastAsia="Times New Roman" w:hAnsi="Times New Roman" w:cs="Times New Roman"/>
          <w:sz w:val="24"/>
          <w:szCs w:val="24"/>
          <w:lang w:val="uk-UA"/>
        </w:rPr>
        <w:t>, або перебоїв у роботі системи стосовно фінансового інструмента.</w:t>
      </w:r>
    </w:p>
    <w:p w:rsidR="00A56E1A" w:rsidRPr="00BE1959" w:rsidRDefault="005613AB" w:rsidP="00A56E1A">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2.   </w:t>
      </w:r>
      <w:r w:rsidR="001F5C90" w:rsidRPr="00BE1959">
        <w:rPr>
          <w:rFonts w:ascii="Times New Roman" w:eastAsia="Times New Roman" w:hAnsi="Times New Roman" w:cs="Times New Roman"/>
          <w:sz w:val="24"/>
          <w:szCs w:val="24"/>
          <w:lang w:val="uk-UA"/>
        </w:rPr>
        <w:t>Держави-члени</w:t>
      </w:r>
      <w:r w:rsidRPr="00BE1959">
        <w:rPr>
          <w:rFonts w:ascii="Times New Roman" w:eastAsia="Times New Roman" w:hAnsi="Times New Roman" w:cs="Times New Roman"/>
          <w:sz w:val="24"/>
          <w:szCs w:val="24"/>
          <w:lang w:val="uk-UA"/>
        </w:rPr>
        <w:t xml:space="preserve"> </w:t>
      </w:r>
      <w:r w:rsidR="007410E9" w:rsidRPr="00BE1959">
        <w:rPr>
          <w:rFonts w:ascii="Times New Roman" w:eastAsia="Times New Roman" w:hAnsi="Times New Roman" w:cs="Times New Roman"/>
          <w:sz w:val="24"/>
          <w:szCs w:val="24"/>
          <w:lang w:val="uk-UA"/>
        </w:rPr>
        <w:t xml:space="preserve">вимагають, щоб оператори регульованих ринків негайно інформували свої компетентні органи про значні порушення їхніх правил, невпорядковані умови торгівлі або поведінку, що може свідчити про дії, заборонені </w:t>
      </w:r>
      <w:r w:rsidR="00A56E1A" w:rsidRPr="00BE1959">
        <w:rPr>
          <w:rFonts w:ascii="Times New Roman" w:eastAsia="Times New Roman" w:hAnsi="Times New Roman" w:cs="Times New Roman"/>
          <w:sz w:val="24"/>
          <w:szCs w:val="24"/>
          <w:lang w:val="uk-UA"/>
        </w:rPr>
        <w:t>Регламентом</w:t>
      </w:r>
      <w:r w:rsidRPr="00BE1959">
        <w:rPr>
          <w:rFonts w:ascii="Times New Roman" w:eastAsia="Times New Roman" w:hAnsi="Times New Roman" w:cs="Times New Roman"/>
          <w:sz w:val="24"/>
          <w:szCs w:val="24"/>
          <w:lang w:val="uk-UA"/>
        </w:rPr>
        <w:t xml:space="preserve"> </w:t>
      </w:r>
      <w:r w:rsidR="00DB4825" w:rsidRPr="00BE1959">
        <w:rPr>
          <w:rFonts w:ascii="Times New Roman" w:eastAsia="Times New Roman" w:hAnsi="Times New Roman" w:cs="Times New Roman"/>
          <w:sz w:val="24"/>
          <w:szCs w:val="24"/>
          <w:lang w:val="uk-UA"/>
        </w:rPr>
        <w:t>(EU) №</w:t>
      </w:r>
      <w:r w:rsidRPr="00BE1959">
        <w:rPr>
          <w:rFonts w:ascii="Times New Roman" w:eastAsia="Times New Roman" w:hAnsi="Times New Roman" w:cs="Times New Roman"/>
          <w:sz w:val="24"/>
          <w:szCs w:val="24"/>
          <w:lang w:val="uk-UA"/>
        </w:rPr>
        <w:t xml:space="preserve"> 596/2014</w:t>
      </w:r>
      <w:r w:rsidR="00A56E1A" w:rsidRPr="00BE1959">
        <w:rPr>
          <w:rFonts w:ascii="Times New Roman" w:eastAsia="Times New Roman" w:hAnsi="Times New Roman" w:cs="Times New Roman"/>
          <w:sz w:val="24"/>
          <w:szCs w:val="24"/>
          <w:lang w:val="uk-UA"/>
        </w:rPr>
        <w:t>, або перебої у роботі системи стосовно фінансового інструмента.</w:t>
      </w:r>
    </w:p>
    <w:p w:rsidR="00A56E1A" w:rsidRPr="00BE1959" w:rsidRDefault="00A56E1A"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Компетентні органи регульованих ринків повідомляють ESMA та компетентним органам інших держав-членів інформацію, згадану в першому абзаці цього пункту.</w:t>
      </w:r>
    </w:p>
    <w:p w:rsidR="005613AB" w:rsidRPr="00BE1959" w:rsidRDefault="00A56E1A" w:rsidP="00134AFE">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Стосовно поведінки, що може свідчити про дії, заборонені Регламентом</w:t>
      </w:r>
      <w:r w:rsidR="005613AB" w:rsidRPr="00BE1959">
        <w:rPr>
          <w:rFonts w:ascii="Times New Roman" w:eastAsia="Times New Roman" w:hAnsi="Times New Roman" w:cs="Times New Roman"/>
          <w:sz w:val="24"/>
          <w:szCs w:val="24"/>
          <w:lang w:val="uk-UA"/>
        </w:rPr>
        <w:t xml:space="preserve"> </w:t>
      </w:r>
      <w:r w:rsidR="00DB4825" w:rsidRPr="00BE1959">
        <w:rPr>
          <w:rFonts w:ascii="Times New Roman" w:eastAsia="Times New Roman" w:hAnsi="Times New Roman" w:cs="Times New Roman"/>
          <w:sz w:val="24"/>
          <w:szCs w:val="24"/>
          <w:lang w:val="uk-UA"/>
        </w:rPr>
        <w:t>(EU) №</w:t>
      </w:r>
      <w:r w:rsidR="005613AB" w:rsidRPr="00BE1959">
        <w:rPr>
          <w:rFonts w:ascii="Times New Roman" w:eastAsia="Times New Roman" w:hAnsi="Times New Roman" w:cs="Times New Roman"/>
          <w:sz w:val="24"/>
          <w:szCs w:val="24"/>
          <w:lang w:val="uk-UA"/>
        </w:rPr>
        <w:t xml:space="preserve"> 596/2014, </w:t>
      </w:r>
      <w:r w:rsidR="00134AFE" w:rsidRPr="00BE1959">
        <w:rPr>
          <w:rFonts w:ascii="Times New Roman" w:eastAsia="Times New Roman" w:hAnsi="Times New Roman" w:cs="Times New Roman"/>
          <w:sz w:val="24"/>
          <w:szCs w:val="24"/>
          <w:lang w:val="uk-UA"/>
        </w:rPr>
        <w:t>компетентний орган повинен переконатися в тому, що такі дії мають або мали місце, перш ніж повідомляти компетентні органи інших держав-членів та</w:t>
      </w:r>
      <w:r w:rsidR="005613AB" w:rsidRPr="00BE1959">
        <w:rPr>
          <w:rFonts w:ascii="Times New Roman" w:eastAsia="Times New Roman" w:hAnsi="Times New Roman" w:cs="Times New Roman"/>
          <w:sz w:val="24"/>
          <w:szCs w:val="24"/>
          <w:lang w:val="uk-UA"/>
        </w:rPr>
        <w:t xml:space="preserve"> ESMA.</w:t>
      </w:r>
    </w:p>
    <w:p w:rsidR="00061342"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3.   </w:t>
      </w:r>
      <w:r w:rsidR="001F5C90" w:rsidRPr="00BE1959">
        <w:rPr>
          <w:rFonts w:ascii="Times New Roman" w:eastAsia="Times New Roman" w:hAnsi="Times New Roman" w:cs="Times New Roman"/>
          <w:sz w:val="24"/>
          <w:szCs w:val="24"/>
          <w:lang w:val="uk-UA"/>
        </w:rPr>
        <w:t>Держави-члени</w:t>
      </w:r>
      <w:r w:rsidRPr="00BE1959">
        <w:rPr>
          <w:rFonts w:ascii="Times New Roman" w:eastAsia="Times New Roman" w:hAnsi="Times New Roman" w:cs="Times New Roman"/>
          <w:sz w:val="24"/>
          <w:szCs w:val="24"/>
          <w:lang w:val="uk-UA"/>
        </w:rPr>
        <w:t xml:space="preserve"> </w:t>
      </w:r>
      <w:r w:rsidR="00061342" w:rsidRPr="00BE1959">
        <w:rPr>
          <w:rFonts w:ascii="Times New Roman" w:eastAsia="Times New Roman" w:hAnsi="Times New Roman" w:cs="Times New Roman"/>
          <w:sz w:val="24"/>
          <w:szCs w:val="24"/>
          <w:lang w:val="uk-UA"/>
        </w:rPr>
        <w:t>вимагають від оператора ринку надання без неналежної затримки необ</w:t>
      </w:r>
      <w:r w:rsidR="006F03A4" w:rsidRPr="00BE1959">
        <w:rPr>
          <w:rFonts w:ascii="Times New Roman" w:eastAsia="Times New Roman" w:hAnsi="Times New Roman" w:cs="Times New Roman"/>
          <w:sz w:val="24"/>
          <w:szCs w:val="24"/>
          <w:lang w:val="uk-UA"/>
        </w:rPr>
        <w:t xml:space="preserve">хідної інформації органу, уповноваженому на розслідування і кримінальне переслідування зловживань на регульованому ринку, і надання всебічної </w:t>
      </w:r>
      <w:r w:rsidR="00FF343A" w:rsidRPr="00BE1959">
        <w:rPr>
          <w:rFonts w:ascii="Times New Roman" w:eastAsia="Times New Roman" w:hAnsi="Times New Roman" w:cs="Times New Roman"/>
          <w:sz w:val="24"/>
          <w:szCs w:val="24"/>
          <w:lang w:val="uk-UA"/>
        </w:rPr>
        <w:t>допомоги цьому органу в розслідуванні та кримінальному переслідуванні зловживань на ринку, які здійснюються у системах або через системи регульованого ринку.</w:t>
      </w:r>
    </w:p>
    <w:p w:rsidR="005613AB" w:rsidRPr="00BE1959" w:rsidRDefault="005613AB" w:rsidP="0026510E">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4.   </w:t>
      </w:r>
      <w:r w:rsidR="00FF343A" w:rsidRPr="00BE1959">
        <w:rPr>
          <w:rFonts w:ascii="Times New Roman" w:eastAsia="Times New Roman" w:hAnsi="Times New Roman" w:cs="Times New Roman"/>
          <w:sz w:val="24"/>
          <w:szCs w:val="24"/>
          <w:lang w:val="uk-UA"/>
        </w:rPr>
        <w:t>Комісії надається повноваження на прийняття делегованих актів відповідно до статті 8</w:t>
      </w:r>
      <w:r w:rsidR="0026510E" w:rsidRPr="00BE1959">
        <w:rPr>
          <w:rFonts w:ascii="Times New Roman" w:eastAsia="Times New Roman" w:hAnsi="Times New Roman" w:cs="Times New Roman"/>
          <w:sz w:val="24"/>
          <w:szCs w:val="24"/>
          <w:lang w:val="uk-UA"/>
        </w:rPr>
        <w:t>9, де визначатимуться обставини, що спричиняють застосування вимоги щодо інформації, згаданої у пункті 2 цієї статті.</w:t>
      </w:r>
    </w:p>
    <w:p w:rsidR="005613AB" w:rsidRPr="00BE1959" w:rsidRDefault="00162A11" w:rsidP="005613AB">
      <w:pPr>
        <w:spacing w:before="360" w:after="120" w:line="312" w:lineRule="atLeast"/>
        <w:jc w:val="center"/>
        <w:textAlignment w:val="baseline"/>
        <w:rPr>
          <w:rFonts w:ascii="Times New Roman" w:eastAsia="Times New Roman" w:hAnsi="Times New Roman" w:cs="Times New Roman"/>
          <w:i/>
          <w:iCs/>
          <w:sz w:val="24"/>
          <w:szCs w:val="24"/>
          <w:lang w:val="uk-UA"/>
        </w:rPr>
      </w:pPr>
      <w:r w:rsidRPr="00BE1959">
        <w:rPr>
          <w:rFonts w:ascii="Times New Roman" w:eastAsia="Times New Roman" w:hAnsi="Times New Roman" w:cs="Times New Roman"/>
          <w:i/>
          <w:iCs/>
          <w:sz w:val="24"/>
          <w:szCs w:val="24"/>
          <w:lang w:val="uk-UA"/>
        </w:rPr>
        <w:t>Стаття</w:t>
      </w:r>
      <w:r w:rsidR="005613AB" w:rsidRPr="00BE1959">
        <w:rPr>
          <w:rFonts w:ascii="Times New Roman" w:eastAsia="Times New Roman" w:hAnsi="Times New Roman" w:cs="Times New Roman"/>
          <w:i/>
          <w:iCs/>
          <w:sz w:val="24"/>
          <w:szCs w:val="24"/>
          <w:lang w:val="uk-UA"/>
        </w:rPr>
        <w:t xml:space="preserve"> 55</w:t>
      </w:r>
    </w:p>
    <w:p w:rsidR="005613AB" w:rsidRPr="00BE1959" w:rsidRDefault="0026510E" w:rsidP="005613AB">
      <w:pPr>
        <w:spacing w:before="60" w:after="120" w:line="312" w:lineRule="atLeast"/>
        <w:jc w:val="center"/>
        <w:textAlignment w:val="baseline"/>
        <w:rPr>
          <w:rFonts w:ascii="Times New Roman" w:eastAsia="Times New Roman" w:hAnsi="Times New Roman" w:cs="Times New Roman"/>
          <w:b/>
          <w:bCs/>
          <w:sz w:val="24"/>
          <w:szCs w:val="24"/>
          <w:lang w:val="uk-UA"/>
        </w:rPr>
      </w:pPr>
      <w:r w:rsidRPr="00BE1959">
        <w:rPr>
          <w:rFonts w:ascii="Times New Roman" w:eastAsia="Times New Roman" w:hAnsi="Times New Roman" w:cs="Times New Roman"/>
          <w:b/>
          <w:bCs/>
          <w:sz w:val="24"/>
          <w:szCs w:val="24"/>
          <w:lang w:val="uk-UA"/>
        </w:rPr>
        <w:t xml:space="preserve">Положення стосовно ЦКА, </w:t>
      </w:r>
      <w:r w:rsidR="00A01589" w:rsidRPr="00BE1959">
        <w:rPr>
          <w:rFonts w:ascii="Times New Roman" w:eastAsia="Times New Roman" w:hAnsi="Times New Roman" w:cs="Times New Roman"/>
          <w:b/>
          <w:bCs/>
          <w:sz w:val="24"/>
          <w:szCs w:val="24"/>
          <w:lang w:val="uk-UA"/>
        </w:rPr>
        <w:t>клірингових і розрахункових механізмів</w:t>
      </w:r>
    </w:p>
    <w:p w:rsidR="005C20E2" w:rsidRPr="00BE1959" w:rsidRDefault="005C20E2" w:rsidP="005C20E2">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1.   </w:t>
      </w:r>
      <w:r w:rsidR="002B1330" w:rsidRPr="00BE1959">
        <w:rPr>
          <w:rFonts w:ascii="Times New Roman" w:eastAsia="Times New Roman" w:hAnsi="Times New Roman" w:cs="Times New Roman"/>
          <w:sz w:val="24"/>
          <w:szCs w:val="24"/>
          <w:lang w:val="uk-UA"/>
        </w:rPr>
        <w:t>Без шкоди для розділів III, IV або V Регламенту (EU) № 648/2012</w:t>
      </w:r>
      <w:r w:rsidRPr="00BE1959">
        <w:rPr>
          <w:rFonts w:ascii="Times New Roman" w:eastAsia="Times New Roman" w:hAnsi="Times New Roman" w:cs="Times New Roman"/>
          <w:sz w:val="24"/>
          <w:szCs w:val="24"/>
          <w:lang w:val="uk-UA"/>
        </w:rPr>
        <w:t xml:space="preserve"> держави-члени не заважають регульованим ринкам укладати відповідні домовленості з ЦКА чи кліринговою </w:t>
      </w:r>
      <w:r w:rsidRPr="00BE1959">
        <w:rPr>
          <w:rFonts w:ascii="Times New Roman" w:eastAsia="Times New Roman" w:hAnsi="Times New Roman" w:cs="Times New Roman"/>
          <w:sz w:val="24"/>
          <w:szCs w:val="24"/>
          <w:lang w:val="uk-UA"/>
        </w:rPr>
        <w:lastRenderedPageBreak/>
        <w:t xml:space="preserve">організацією та розрахунковою системою іншої держави-члена з метою забезпечення клірингу і (або) розрахунків за деякими чи всіма угодами, укладеними учасниками </w:t>
      </w:r>
      <w:r w:rsidR="002B1330" w:rsidRPr="00BE1959">
        <w:rPr>
          <w:rFonts w:ascii="Times New Roman" w:eastAsia="Times New Roman" w:hAnsi="Times New Roman" w:cs="Times New Roman"/>
          <w:sz w:val="24"/>
          <w:szCs w:val="24"/>
          <w:lang w:val="uk-UA"/>
        </w:rPr>
        <w:t xml:space="preserve">ринку </w:t>
      </w:r>
      <w:r w:rsidRPr="00BE1959">
        <w:rPr>
          <w:rFonts w:ascii="Times New Roman" w:eastAsia="Times New Roman" w:hAnsi="Times New Roman" w:cs="Times New Roman"/>
          <w:sz w:val="24"/>
          <w:szCs w:val="24"/>
          <w:lang w:val="uk-UA"/>
        </w:rPr>
        <w:t>в їхніх системах.</w:t>
      </w:r>
    </w:p>
    <w:p w:rsidR="005C20E2" w:rsidRPr="00BE1959" w:rsidRDefault="005C20E2" w:rsidP="005C20E2">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2.   </w:t>
      </w:r>
      <w:r w:rsidR="002B1330" w:rsidRPr="00BE1959">
        <w:rPr>
          <w:rFonts w:ascii="Times New Roman" w:eastAsia="Times New Roman" w:hAnsi="Times New Roman" w:cs="Times New Roman"/>
          <w:sz w:val="24"/>
          <w:szCs w:val="24"/>
          <w:lang w:val="uk-UA"/>
        </w:rPr>
        <w:t>Без шкоди для розділів III, IV або V Регламенту (EU) № 648/2012 к</w:t>
      </w:r>
      <w:r w:rsidRPr="00BE1959">
        <w:rPr>
          <w:rFonts w:ascii="Times New Roman" w:eastAsia="Times New Roman" w:hAnsi="Times New Roman" w:cs="Times New Roman"/>
          <w:sz w:val="24"/>
          <w:szCs w:val="24"/>
          <w:lang w:val="uk-UA"/>
        </w:rPr>
        <w:t xml:space="preserve">омпетентний орган </w:t>
      </w:r>
      <w:r w:rsidR="002B1330" w:rsidRPr="00BE1959">
        <w:rPr>
          <w:rFonts w:ascii="Times New Roman" w:eastAsia="Times New Roman" w:hAnsi="Times New Roman" w:cs="Times New Roman"/>
          <w:sz w:val="24"/>
          <w:szCs w:val="24"/>
          <w:lang w:val="uk-UA"/>
        </w:rPr>
        <w:t>регульованого ринку</w:t>
      </w:r>
      <w:r w:rsidRPr="00BE1959">
        <w:rPr>
          <w:rFonts w:ascii="Times New Roman" w:eastAsia="Times New Roman" w:hAnsi="Times New Roman" w:cs="Times New Roman"/>
          <w:sz w:val="24"/>
          <w:szCs w:val="24"/>
          <w:lang w:val="uk-UA"/>
        </w:rPr>
        <w:t xml:space="preserve"> не може заперечувати проти використання ЦКА, клірингових організацій і (або) розрахункових систем іншої держави-члена, крім випадків, де це є очевидно необхідним для підтримання впорядкованого функціонування даного </w:t>
      </w:r>
      <w:r w:rsidR="006E1CE5" w:rsidRPr="00BE1959">
        <w:rPr>
          <w:rFonts w:ascii="Times New Roman" w:eastAsia="Times New Roman" w:hAnsi="Times New Roman" w:cs="Times New Roman"/>
          <w:sz w:val="24"/>
          <w:szCs w:val="24"/>
          <w:lang w:val="uk-UA"/>
        </w:rPr>
        <w:t>регульованого ринку</w:t>
      </w:r>
      <w:r w:rsidRPr="00BE1959">
        <w:rPr>
          <w:rFonts w:ascii="Times New Roman" w:eastAsia="Times New Roman" w:hAnsi="Times New Roman" w:cs="Times New Roman"/>
          <w:sz w:val="24"/>
          <w:szCs w:val="24"/>
          <w:lang w:val="uk-UA"/>
        </w:rPr>
        <w:t>, та з урахуванням умов для розрахункових систем, установлених у статті 37(2)</w:t>
      </w:r>
      <w:r w:rsidR="006E1CE5" w:rsidRPr="00BE1959">
        <w:rPr>
          <w:rFonts w:ascii="Times New Roman" w:eastAsia="Times New Roman" w:hAnsi="Times New Roman" w:cs="Times New Roman"/>
          <w:sz w:val="24"/>
          <w:szCs w:val="24"/>
          <w:lang w:val="uk-UA"/>
        </w:rPr>
        <w:t xml:space="preserve"> цієї директиви</w:t>
      </w:r>
      <w:r w:rsidRPr="00BE1959">
        <w:rPr>
          <w:rFonts w:ascii="Times New Roman" w:eastAsia="Times New Roman" w:hAnsi="Times New Roman" w:cs="Times New Roman"/>
          <w:sz w:val="24"/>
          <w:szCs w:val="24"/>
          <w:lang w:val="uk-UA"/>
        </w:rPr>
        <w:t>.</w:t>
      </w:r>
    </w:p>
    <w:p w:rsidR="005C20E2" w:rsidRPr="00BE1959" w:rsidRDefault="005C20E2" w:rsidP="005C20E2">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Для того, щоб уникнути неналежного дублювання контролю, компетентний орган ураховує результати нагляду та контролю за діяльністю розрахунково-клірингової системи, здійсненого центральними банками як наглядачами за розрахунковими системами або іншими наглядовими органами, сфера компетенції яких стосується таких систем.</w:t>
      </w:r>
    </w:p>
    <w:p w:rsidR="005613AB" w:rsidRPr="00BE1959" w:rsidRDefault="00162A11" w:rsidP="005613AB">
      <w:pPr>
        <w:spacing w:before="360" w:after="120" w:line="312" w:lineRule="atLeast"/>
        <w:jc w:val="center"/>
        <w:textAlignment w:val="baseline"/>
        <w:rPr>
          <w:rFonts w:ascii="Times New Roman" w:eastAsia="Times New Roman" w:hAnsi="Times New Roman" w:cs="Times New Roman"/>
          <w:i/>
          <w:iCs/>
          <w:sz w:val="24"/>
          <w:szCs w:val="24"/>
          <w:lang w:val="uk-UA"/>
        </w:rPr>
      </w:pPr>
      <w:r w:rsidRPr="00BE1959">
        <w:rPr>
          <w:rFonts w:ascii="Times New Roman" w:eastAsia="Times New Roman" w:hAnsi="Times New Roman" w:cs="Times New Roman"/>
          <w:i/>
          <w:iCs/>
          <w:sz w:val="24"/>
          <w:szCs w:val="24"/>
          <w:lang w:val="uk-UA"/>
        </w:rPr>
        <w:t>Стаття</w:t>
      </w:r>
      <w:r w:rsidR="005613AB" w:rsidRPr="00BE1959">
        <w:rPr>
          <w:rFonts w:ascii="Times New Roman" w:eastAsia="Times New Roman" w:hAnsi="Times New Roman" w:cs="Times New Roman"/>
          <w:i/>
          <w:iCs/>
          <w:sz w:val="24"/>
          <w:szCs w:val="24"/>
          <w:lang w:val="uk-UA"/>
        </w:rPr>
        <w:t xml:space="preserve"> 56</w:t>
      </w:r>
    </w:p>
    <w:p w:rsidR="005613AB" w:rsidRPr="00BE1959" w:rsidRDefault="006E1CE5" w:rsidP="005613AB">
      <w:pPr>
        <w:spacing w:before="60" w:after="120" w:line="312" w:lineRule="atLeast"/>
        <w:jc w:val="center"/>
        <w:textAlignment w:val="baseline"/>
        <w:rPr>
          <w:rFonts w:ascii="Times New Roman" w:eastAsia="Times New Roman" w:hAnsi="Times New Roman" w:cs="Times New Roman"/>
          <w:b/>
          <w:bCs/>
          <w:sz w:val="24"/>
          <w:szCs w:val="24"/>
          <w:lang w:val="uk-UA"/>
        </w:rPr>
      </w:pPr>
      <w:r w:rsidRPr="00BE1959">
        <w:rPr>
          <w:rFonts w:ascii="Times New Roman" w:eastAsia="Times New Roman" w:hAnsi="Times New Roman" w:cs="Times New Roman"/>
          <w:b/>
          <w:bCs/>
          <w:sz w:val="24"/>
          <w:szCs w:val="24"/>
          <w:lang w:val="uk-UA"/>
        </w:rPr>
        <w:t>Перелік регульованих ринків</w:t>
      </w:r>
    </w:p>
    <w:p w:rsidR="005613AB" w:rsidRPr="00BE1959" w:rsidRDefault="006E1CE5"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Кожна держава-член складає перелік регульованих ринків, для яких вона є приймаючою державою-членом, і направляє цей перелік іншим державам-членам та ESMA. Аналогічне повідомлення направляється щодо кожної зміни, внесеної в цей перелік. ESMA публікує </w:t>
      </w:r>
      <w:r w:rsidR="00084043" w:rsidRPr="00BE1959">
        <w:rPr>
          <w:rFonts w:ascii="Times New Roman" w:eastAsia="Times New Roman" w:hAnsi="Times New Roman" w:cs="Times New Roman"/>
          <w:sz w:val="24"/>
          <w:szCs w:val="24"/>
          <w:lang w:val="uk-UA"/>
        </w:rPr>
        <w:t xml:space="preserve">і актуалізує </w:t>
      </w:r>
      <w:r w:rsidRPr="00BE1959">
        <w:rPr>
          <w:rFonts w:ascii="Times New Roman" w:eastAsia="Times New Roman" w:hAnsi="Times New Roman" w:cs="Times New Roman"/>
          <w:sz w:val="24"/>
          <w:szCs w:val="24"/>
          <w:lang w:val="uk-UA"/>
        </w:rPr>
        <w:t xml:space="preserve">перелік </w:t>
      </w:r>
      <w:r w:rsidR="00084043" w:rsidRPr="00BE1959">
        <w:rPr>
          <w:rFonts w:ascii="Times New Roman" w:eastAsia="Times New Roman" w:hAnsi="Times New Roman" w:cs="Times New Roman"/>
          <w:sz w:val="24"/>
          <w:szCs w:val="24"/>
          <w:lang w:val="uk-UA"/>
        </w:rPr>
        <w:t xml:space="preserve">усіх регульованих ринків на своєму веб-сайті. Цей перелік містить унікальний код, призначений ESMA відповідно до статті 65(6), яким регульовані ринки позначаються для використання у звітах відповідно до </w:t>
      </w:r>
      <w:r w:rsidR="00EB7A43" w:rsidRPr="00BE1959">
        <w:rPr>
          <w:rFonts w:ascii="Times New Roman" w:eastAsia="Times New Roman" w:hAnsi="Times New Roman" w:cs="Times New Roman"/>
          <w:sz w:val="24"/>
          <w:szCs w:val="24"/>
          <w:lang w:val="uk-UA"/>
        </w:rPr>
        <w:t xml:space="preserve">пп. (g) статті 65(1) і пп. (g) статті 65(2) цієї директиви та </w:t>
      </w:r>
      <w:r w:rsidR="00084043" w:rsidRPr="00BE1959">
        <w:rPr>
          <w:rFonts w:ascii="Times New Roman" w:eastAsia="Times New Roman" w:hAnsi="Times New Roman" w:cs="Times New Roman"/>
          <w:sz w:val="24"/>
          <w:szCs w:val="24"/>
          <w:lang w:val="uk-UA"/>
        </w:rPr>
        <w:t xml:space="preserve">статей 6, 10 і 26 Регламенту (EU) № 600/2014. </w:t>
      </w:r>
    </w:p>
    <w:p w:rsidR="005613AB" w:rsidRPr="00BE1959" w:rsidRDefault="004E78C2" w:rsidP="005613AB">
      <w:pPr>
        <w:spacing w:before="480" w:after="0" w:line="312" w:lineRule="atLeast"/>
        <w:jc w:val="center"/>
        <w:textAlignment w:val="baseline"/>
        <w:rPr>
          <w:rFonts w:ascii="Times New Roman" w:eastAsia="Times New Roman" w:hAnsi="Times New Roman" w:cs="Times New Roman"/>
          <w:b/>
          <w:bCs/>
          <w:sz w:val="24"/>
          <w:szCs w:val="24"/>
          <w:lang w:val="uk-UA"/>
        </w:rPr>
      </w:pPr>
      <w:r w:rsidRPr="00BE1959">
        <w:rPr>
          <w:rFonts w:ascii="Times New Roman" w:eastAsia="Times New Roman" w:hAnsi="Times New Roman" w:cs="Times New Roman"/>
          <w:b/>
          <w:bCs/>
          <w:sz w:val="24"/>
          <w:szCs w:val="24"/>
          <w:lang w:val="uk-UA"/>
        </w:rPr>
        <w:t>РОЗДІЛ</w:t>
      </w:r>
      <w:r w:rsidR="005613AB" w:rsidRPr="00BE1959">
        <w:rPr>
          <w:rFonts w:ascii="Times New Roman" w:eastAsia="Times New Roman" w:hAnsi="Times New Roman" w:cs="Times New Roman"/>
          <w:b/>
          <w:bCs/>
          <w:sz w:val="24"/>
          <w:szCs w:val="24"/>
          <w:lang w:val="uk-UA"/>
        </w:rPr>
        <w:t xml:space="preserve"> IV</w:t>
      </w:r>
    </w:p>
    <w:p w:rsidR="005613AB" w:rsidRPr="00BE1959" w:rsidRDefault="004E78C2" w:rsidP="004E78C2">
      <w:pPr>
        <w:spacing w:after="0" w:line="312" w:lineRule="atLeast"/>
        <w:jc w:val="center"/>
        <w:textAlignment w:val="baseline"/>
        <w:rPr>
          <w:rFonts w:ascii="Times New Roman" w:eastAsia="Times New Roman" w:hAnsi="Times New Roman" w:cs="Times New Roman"/>
          <w:b/>
          <w:bCs/>
          <w:sz w:val="24"/>
          <w:szCs w:val="24"/>
          <w:lang w:val="uk-UA"/>
        </w:rPr>
      </w:pPr>
      <w:r w:rsidRPr="00BE1959">
        <w:rPr>
          <w:rFonts w:ascii="Times New Roman" w:eastAsia="Times New Roman" w:hAnsi="Times New Roman" w:cs="Times New Roman"/>
          <w:b/>
          <w:bCs/>
          <w:sz w:val="24"/>
          <w:szCs w:val="24"/>
          <w:bdr w:val="none" w:sz="0" w:space="0" w:color="auto" w:frame="1"/>
          <w:lang w:val="uk-UA"/>
        </w:rPr>
        <w:t>ЛІМІТИ ПОЗИЦІЙ ТА ЗАСОБИ УПРАВЛІННЯ ПОЗИЦІЯМИ ЩОДО ТОВАРНИХ ДЕРИВАТИВІВ І ВІДПОВІДНА ЗВІТНІСТЬ</w:t>
      </w:r>
    </w:p>
    <w:p w:rsidR="005613AB" w:rsidRPr="00BE1959" w:rsidRDefault="00162A11" w:rsidP="005613AB">
      <w:pPr>
        <w:spacing w:before="360" w:after="120" w:line="312" w:lineRule="atLeast"/>
        <w:jc w:val="center"/>
        <w:textAlignment w:val="baseline"/>
        <w:rPr>
          <w:rFonts w:ascii="Times New Roman" w:eastAsia="Times New Roman" w:hAnsi="Times New Roman" w:cs="Times New Roman"/>
          <w:i/>
          <w:iCs/>
          <w:sz w:val="24"/>
          <w:szCs w:val="24"/>
          <w:lang w:val="uk-UA"/>
        </w:rPr>
      </w:pPr>
      <w:r w:rsidRPr="00BE1959">
        <w:rPr>
          <w:rFonts w:ascii="Times New Roman" w:eastAsia="Times New Roman" w:hAnsi="Times New Roman" w:cs="Times New Roman"/>
          <w:i/>
          <w:iCs/>
          <w:sz w:val="24"/>
          <w:szCs w:val="24"/>
          <w:lang w:val="uk-UA"/>
        </w:rPr>
        <w:t>Стаття</w:t>
      </w:r>
      <w:r w:rsidR="005613AB" w:rsidRPr="00BE1959">
        <w:rPr>
          <w:rFonts w:ascii="Times New Roman" w:eastAsia="Times New Roman" w:hAnsi="Times New Roman" w:cs="Times New Roman"/>
          <w:i/>
          <w:iCs/>
          <w:sz w:val="24"/>
          <w:szCs w:val="24"/>
          <w:lang w:val="uk-UA"/>
        </w:rPr>
        <w:t xml:space="preserve"> 57</w:t>
      </w:r>
    </w:p>
    <w:p w:rsidR="005613AB" w:rsidRPr="00BE1959" w:rsidRDefault="004A605B" w:rsidP="004A605B">
      <w:pPr>
        <w:spacing w:before="60" w:after="120" w:line="312" w:lineRule="atLeast"/>
        <w:jc w:val="center"/>
        <w:textAlignment w:val="baseline"/>
        <w:rPr>
          <w:rFonts w:ascii="Times New Roman" w:eastAsia="Times New Roman" w:hAnsi="Times New Roman" w:cs="Times New Roman"/>
          <w:b/>
          <w:bCs/>
          <w:sz w:val="24"/>
          <w:szCs w:val="24"/>
          <w:lang w:val="uk-UA"/>
        </w:rPr>
      </w:pPr>
      <w:r w:rsidRPr="00BE1959">
        <w:rPr>
          <w:rFonts w:ascii="Times New Roman" w:eastAsia="Times New Roman" w:hAnsi="Times New Roman" w:cs="Times New Roman"/>
          <w:b/>
          <w:bCs/>
          <w:sz w:val="24"/>
          <w:szCs w:val="24"/>
          <w:lang w:val="uk-UA"/>
        </w:rPr>
        <w:t>Ліміти позицій та засоби управління позиціями щодо товарних деривативів</w:t>
      </w:r>
    </w:p>
    <w:p w:rsidR="005613AB" w:rsidRPr="00BE1959" w:rsidRDefault="005613AB" w:rsidP="00855778">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1.   </w:t>
      </w:r>
      <w:r w:rsidR="001F5C90" w:rsidRPr="00BE1959">
        <w:rPr>
          <w:rFonts w:ascii="Times New Roman" w:eastAsia="Times New Roman" w:hAnsi="Times New Roman" w:cs="Times New Roman"/>
          <w:sz w:val="24"/>
          <w:szCs w:val="24"/>
          <w:lang w:val="uk-UA"/>
        </w:rPr>
        <w:t>Держави-члени</w:t>
      </w:r>
      <w:r w:rsidRPr="00BE1959">
        <w:rPr>
          <w:rFonts w:ascii="Times New Roman" w:eastAsia="Times New Roman" w:hAnsi="Times New Roman" w:cs="Times New Roman"/>
          <w:sz w:val="24"/>
          <w:szCs w:val="24"/>
          <w:lang w:val="uk-UA"/>
        </w:rPr>
        <w:t xml:space="preserve"> </w:t>
      </w:r>
      <w:r w:rsidR="0047182C" w:rsidRPr="00BE1959">
        <w:rPr>
          <w:rFonts w:ascii="Times New Roman" w:eastAsia="Times New Roman" w:hAnsi="Times New Roman" w:cs="Times New Roman"/>
          <w:sz w:val="24"/>
          <w:szCs w:val="24"/>
          <w:lang w:val="uk-UA"/>
        </w:rPr>
        <w:t>забезпечують, щоб компетентні органи, відповідно до методики розрахунку, визначеної ESMA, встановлювали та застосовували ліміти позицій щодо розміру чистої позиції, що її особа може у будь-який момент мати за товарними дер</w:t>
      </w:r>
      <w:r w:rsidR="00AB51E5" w:rsidRPr="00BE1959">
        <w:rPr>
          <w:rFonts w:ascii="Times New Roman" w:eastAsia="Times New Roman" w:hAnsi="Times New Roman" w:cs="Times New Roman"/>
          <w:sz w:val="24"/>
          <w:szCs w:val="24"/>
          <w:lang w:val="uk-UA"/>
        </w:rPr>
        <w:t>ивативам, якими здійснюється торгівля на торговельних майданчиках, та за еконо</w:t>
      </w:r>
      <w:r w:rsidR="00DA2AEF" w:rsidRPr="00BE1959">
        <w:rPr>
          <w:rFonts w:ascii="Times New Roman" w:eastAsia="Times New Roman" w:hAnsi="Times New Roman" w:cs="Times New Roman"/>
          <w:sz w:val="24"/>
          <w:szCs w:val="24"/>
          <w:lang w:val="uk-UA"/>
        </w:rPr>
        <w:t>мічно еквівалентними позабіржовими контрактами. Ці ліміти встановлюються на основі</w:t>
      </w:r>
      <w:r w:rsidR="00855778" w:rsidRPr="00BE1959">
        <w:rPr>
          <w:rFonts w:ascii="Times New Roman" w:eastAsia="Times New Roman" w:hAnsi="Times New Roman" w:cs="Times New Roman"/>
          <w:sz w:val="24"/>
          <w:szCs w:val="24"/>
          <w:lang w:val="uk-UA"/>
        </w:rPr>
        <w:t xml:space="preserve"> всіх позицій, утримуваних особою або від її імені на сукупному груповому рівні, з метою:</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2"/>
        <w:gridCol w:w="8963"/>
      </w:tblGrid>
      <w:tr w:rsidR="005613AB" w:rsidRPr="00BE1959" w:rsidTr="00855778">
        <w:tc>
          <w:tcPr>
            <w:tcW w:w="265"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lastRenderedPageBreak/>
              <w:t>(a)</w:t>
            </w:r>
          </w:p>
        </w:tc>
        <w:tc>
          <w:tcPr>
            <w:tcW w:w="4735"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855778" w:rsidP="00855778">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запобігання зловживанням на ринку;</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DE3173"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855778" w:rsidP="00B4148C">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підтримки впорядкованих умов ціноутворення і розрахунків, зокрема попередження виникнення позицій, що викривлюють ринок, і</w:t>
            </w:r>
            <w:r w:rsidR="00B4148C" w:rsidRPr="00BE1959">
              <w:rPr>
                <w:rFonts w:ascii="Times New Roman" w:eastAsia="Times New Roman" w:hAnsi="Times New Roman" w:cs="Times New Roman"/>
                <w:sz w:val="24"/>
                <w:szCs w:val="24"/>
                <w:lang w:val="uk-UA"/>
              </w:rPr>
              <w:t>, зокрема,</w:t>
            </w:r>
            <w:r w:rsidRPr="00BE1959">
              <w:rPr>
                <w:rFonts w:ascii="Times New Roman" w:eastAsia="Times New Roman" w:hAnsi="Times New Roman" w:cs="Times New Roman"/>
                <w:sz w:val="24"/>
                <w:szCs w:val="24"/>
                <w:lang w:val="uk-UA"/>
              </w:rPr>
              <w:t xml:space="preserve"> забезпечення</w:t>
            </w:r>
            <w:r w:rsidR="00B4148C" w:rsidRPr="00BE1959">
              <w:rPr>
                <w:rFonts w:ascii="Times New Roman" w:eastAsia="Times New Roman" w:hAnsi="Times New Roman" w:cs="Times New Roman"/>
                <w:sz w:val="24"/>
                <w:szCs w:val="24"/>
                <w:lang w:val="uk-UA"/>
              </w:rPr>
              <w:t xml:space="preserve"> </w:t>
            </w:r>
            <w:r w:rsidRPr="00BE1959">
              <w:rPr>
                <w:rFonts w:ascii="Times New Roman" w:eastAsia="Times New Roman" w:hAnsi="Times New Roman" w:cs="Times New Roman"/>
                <w:sz w:val="24"/>
                <w:szCs w:val="24"/>
                <w:lang w:val="uk-UA"/>
              </w:rPr>
              <w:t>зближення цін на деривативи у місяці</w:t>
            </w:r>
            <w:r w:rsidR="00CA62AC" w:rsidRPr="00BE1959">
              <w:rPr>
                <w:rFonts w:ascii="Times New Roman" w:eastAsia="Times New Roman" w:hAnsi="Times New Roman" w:cs="Times New Roman"/>
                <w:sz w:val="24"/>
                <w:szCs w:val="24"/>
                <w:lang w:val="uk-UA"/>
              </w:rPr>
              <w:t xml:space="preserve"> виконання та спотових цін на базовий товар, без </w:t>
            </w:r>
            <w:r w:rsidR="00B4148C" w:rsidRPr="00BE1959">
              <w:rPr>
                <w:rFonts w:ascii="Times New Roman" w:eastAsia="Times New Roman" w:hAnsi="Times New Roman" w:cs="Times New Roman"/>
                <w:sz w:val="24"/>
                <w:szCs w:val="24"/>
                <w:lang w:val="uk-UA"/>
              </w:rPr>
              <w:t>шкоди для відкриття цін на ринку на базовий товар.</w:t>
            </w:r>
          </w:p>
        </w:tc>
      </w:tr>
    </w:tbl>
    <w:p w:rsidR="005613AB" w:rsidRPr="00BE1959" w:rsidRDefault="00B4148C" w:rsidP="00174A76">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Ліміти позицій не застосовуються до позицій, які</w:t>
      </w:r>
      <w:r w:rsidR="00174A76" w:rsidRPr="00BE1959">
        <w:rPr>
          <w:rFonts w:ascii="Times New Roman" w:eastAsia="Times New Roman" w:hAnsi="Times New Roman" w:cs="Times New Roman"/>
          <w:sz w:val="24"/>
          <w:szCs w:val="24"/>
          <w:lang w:val="uk-UA"/>
        </w:rPr>
        <w:t xml:space="preserve"> </w:t>
      </w:r>
      <w:r w:rsidRPr="00BE1959">
        <w:rPr>
          <w:rFonts w:ascii="Times New Roman" w:eastAsia="Times New Roman" w:hAnsi="Times New Roman" w:cs="Times New Roman"/>
          <w:sz w:val="24"/>
          <w:szCs w:val="24"/>
          <w:lang w:val="uk-UA"/>
        </w:rPr>
        <w:t>утриму</w:t>
      </w:r>
      <w:r w:rsidR="00174A76" w:rsidRPr="00BE1959">
        <w:rPr>
          <w:rFonts w:ascii="Times New Roman" w:eastAsia="Times New Roman" w:hAnsi="Times New Roman" w:cs="Times New Roman"/>
          <w:sz w:val="24"/>
          <w:szCs w:val="24"/>
          <w:lang w:val="uk-UA"/>
        </w:rPr>
        <w:t>ються</w:t>
      </w:r>
      <w:r w:rsidRPr="00BE1959">
        <w:rPr>
          <w:rFonts w:ascii="Times New Roman" w:eastAsia="Times New Roman" w:hAnsi="Times New Roman" w:cs="Times New Roman"/>
          <w:sz w:val="24"/>
          <w:szCs w:val="24"/>
          <w:lang w:val="uk-UA"/>
        </w:rPr>
        <w:t xml:space="preserve"> нефінансовим суб’єктом або від його імені</w:t>
      </w:r>
      <w:r w:rsidR="00174A76" w:rsidRPr="00BE1959">
        <w:rPr>
          <w:rFonts w:ascii="Times New Roman" w:eastAsia="Times New Roman" w:hAnsi="Times New Roman" w:cs="Times New Roman"/>
          <w:sz w:val="24"/>
          <w:szCs w:val="24"/>
          <w:lang w:val="uk-UA"/>
        </w:rPr>
        <w:t xml:space="preserve"> й які вважаються об’єктивно вимірюваними як такі, що зменшують ризики, безпосередньо пов'язані з комерційною діяльністю цього нефінансового суб’єкта.</w:t>
      </w:r>
    </w:p>
    <w:p w:rsidR="005613AB" w:rsidRPr="00BE1959" w:rsidRDefault="005613AB" w:rsidP="003E74FF">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2.   </w:t>
      </w:r>
      <w:r w:rsidR="00EF413B" w:rsidRPr="00BE1959">
        <w:rPr>
          <w:rFonts w:ascii="Times New Roman" w:eastAsia="Times New Roman" w:hAnsi="Times New Roman" w:cs="Times New Roman"/>
          <w:sz w:val="24"/>
          <w:szCs w:val="24"/>
          <w:lang w:val="uk-UA"/>
        </w:rPr>
        <w:t>У лімітах позицій зазначаються чіткі кількісні пороги максимального розміру позиції за товарним деривативом, яку особи можуть утримувати.</w:t>
      </w:r>
    </w:p>
    <w:p w:rsidR="005613AB" w:rsidRPr="00BE1959" w:rsidRDefault="005613AB" w:rsidP="00853C6D">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3.   ESMA </w:t>
      </w:r>
      <w:r w:rsidR="007535EE" w:rsidRPr="00BE1959">
        <w:rPr>
          <w:rFonts w:ascii="Times New Roman" w:eastAsia="Times New Roman" w:hAnsi="Times New Roman" w:cs="Times New Roman"/>
          <w:sz w:val="24"/>
          <w:szCs w:val="24"/>
          <w:lang w:val="uk-UA"/>
        </w:rPr>
        <w:t>розробляє нормативно-технічні стандарти, де визначає методику розрахунку, що її компетентні органи повинні застосов</w:t>
      </w:r>
      <w:r w:rsidR="00F93BB9" w:rsidRPr="00BE1959">
        <w:rPr>
          <w:rFonts w:ascii="Times New Roman" w:eastAsia="Times New Roman" w:hAnsi="Times New Roman" w:cs="Times New Roman"/>
          <w:sz w:val="24"/>
          <w:szCs w:val="24"/>
          <w:lang w:val="uk-UA"/>
        </w:rPr>
        <w:t>увати для встановлення місячних лімітів спотових позицій і лімітів позицій на інші місяці для товарних де</w:t>
      </w:r>
      <w:r w:rsidR="00390617" w:rsidRPr="00BE1959">
        <w:rPr>
          <w:rFonts w:ascii="Times New Roman" w:eastAsia="Times New Roman" w:hAnsi="Times New Roman" w:cs="Times New Roman"/>
          <w:sz w:val="24"/>
          <w:szCs w:val="24"/>
          <w:lang w:val="uk-UA"/>
        </w:rPr>
        <w:t xml:space="preserve">ривативів, за якими здійснюються фізичні та готівкові розрахунки, виходячи з характеристик відповідного деривативу. </w:t>
      </w:r>
      <w:r w:rsidR="00853C6D" w:rsidRPr="00BE1959">
        <w:rPr>
          <w:rFonts w:ascii="Times New Roman" w:eastAsia="Times New Roman" w:hAnsi="Times New Roman" w:cs="Times New Roman"/>
          <w:sz w:val="24"/>
          <w:szCs w:val="24"/>
          <w:lang w:val="uk-UA"/>
        </w:rPr>
        <w:t>Методика розрахунку враховує щонайменше наступні фактори:</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97"/>
        <w:gridCol w:w="8868"/>
      </w:tblGrid>
      <w:tr w:rsidR="00AF07A6"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853C6D" w:rsidP="00AF07A6">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термі</w:t>
            </w:r>
            <w:r w:rsidR="00AF07A6" w:rsidRPr="00BE1959">
              <w:rPr>
                <w:rFonts w:ascii="Times New Roman" w:eastAsia="Times New Roman" w:hAnsi="Times New Roman" w:cs="Times New Roman"/>
                <w:sz w:val="24"/>
                <w:szCs w:val="24"/>
                <w:lang w:val="uk-UA"/>
              </w:rPr>
              <w:t>н закінчення контрактів на товарні деривативи;</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91"/>
        <w:gridCol w:w="8774"/>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095683" w:rsidP="00095683">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пропозиція на постачання за базовим товаром;</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9093"/>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095683" w:rsidP="00095683">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загальна сума відкритих позицій за цим контрактом і загальна сума відкритих позицій за іншими фінансовими інструментами з цим самим базовим товаром;</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095683" w:rsidP="00C62A35">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нестабільність відповідних ринків, включаючи </w:t>
            </w:r>
            <w:r w:rsidR="00C62A35" w:rsidRPr="00BE1959">
              <w:rPr>
                <w:rFonts w:ascii="Times New Roman" w:eastAsia="Times New Roman" w:hAnsi="Times New Roman" w:cs="Times New Roman"/>
                <w:sz w:val="24"/>
                <w:szCs w:val="24"/>
                <w:lang w:val="uk-UA"/>
              </w:rPr>
              <w:t>деривативи-замінники та ринки базових товарів;</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2"/>
        <w:gridCol w:w="8963"/>
      </w:tblGrid>
      <w:tr w:rsidR="005613AB" w:rsidRPr="0043174D" w:rsidTr="00912E17">
        <w:tc>
          <w:tcPr>
            <w:tcW w:w="265"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(e)</w:t>
            </w:r>
          </w:p>
        </w:tc>
        <w:tc>
          <w:tcPr>
            <w:tcW w:w="4735"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C62A35" w:rsidP="00C62A35">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кількість і розмір учасників ринку;</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912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(f)</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C62A35" w:rsidP="00912E17">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характеристики ринку базового товару, зокрема структура виробництва, попиту </w:t>
            </w:r>
            <w:r w:rsidR="00912E17" w:rsidRPr="00BE1959">
              <w:rPr>
                <w:rFonts w:ascii="Times New Roman" w:eastAsia="Times New Roman" w:hAnsi="Times New Roman" w:cs="Times New Roman"/>
                <w:sz w:val="24"/>
                <w:szCs w:val="24"/>
                <w:lang w:val="uk-UA"/>
              </w:rPr>
              <w:t>і доставки на ринок;</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2"/>
        <w:gridCol w:w="8963"/>
      </w:tblGrid>
      <w:tr w:rsidR="00DE3173" w:rsidRPr="00BE1959" w:rsidTr="00912E17">
        <w:tc>
          <w:tcPr>
            <w:tcW w:w="265"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(g)</w:t>
            </w:r>
          </w:p>
        </w:tc>
        <w:tc>
          <w:tcPr>
            <w:tcW w:w="4735"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912E17" w:rsidP="00912E17">
            <w:pPr>
              <w:spacing w:before="120" w:after="0" w:line="312" w:lineRule="atLeast"/>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розробка нових контрактів.</w:t>
            </w:r>
          </w:p>
        </w:tc>
      </w:tr>
    </w:tbl>
    <w:p w:rsidR="005613AB" w:rsidRPr="00BE1959" w:rsidRDefault="005613AB" w:rsidP="00912E17">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ESMA </w:t>
      </w:r>
      <w:r w:rsidR="00912E17" w:rsidRPr="00BE1959">
        <w:rPr>
          <w:rFonts w:ascii="Times New Roman" w:eastAsia="Times New Roman" w:hAnsi="Times New Roman" w:cs="Times New Roman"/>
          <w:sz w:val="24"/>
          <w:szCs w:val="24"/>
          <w:lang w:val="uk-UA"/>
        </w:rPr>
        <w:t>враховує досвід стосовно лімітів позицій інвестиційних фірм або операторів ринку, що управляють торговельним майданчиком, та інших юрисдикцій.</w:t>
      </w:r>
    </w:p>
    <w:p w:rsidR="0099408E" w:rsidRPr="00BE1959" w:rsidRDefault="0099408E" w:rsidP="0099408E">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ESMA подає проекти нормативно-технічних стандартів, згаданих у першому абзаці, Комісії до 3 липня 2015 року.</w:t>
      </w:r>
    </w:p>
    <w:p w:rsidR="00912E17" w:rsidRPr="00BE1959" w:rsidRDefault="0099408E" w:rsidP="0099408E">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Комісії делегується повноваження на прийняття нормативно-технічних стандартів, згаданих у першому абзаці цього пункту, згідно зі статтями 10-14 Регламенту (EU) № 1095/2010.</w:t>
      </w:r>
    </w:p>
    <w:p w:rsidR="005613AB" w:rsidRPr="00BE1959" w:rsidRDefault="005613AB" w:rsidP="006D451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lastRenderedPageBreak/>
        <w:t>4.   </w:t>
      </w:r>
      <w:r w:rsidR="006D451B" w:rsidRPr="00BE1959">
        <w:rPr>
          <w:rFonts w:ascii="Times New Roman" w:eastAsia="Times New Roman" w:hAnsi="Times New Roman" w:cs="Times New Roman"/>
          <w:sz w:val="24"/>
          <w:szCs w:val="24"/>
          <w:lang w:val="uk-UA"/>
        </w:rPr>
        <w:t>Компетентний орган установлює ліміт на кожний контракт на товарні деривативи, які знаходяться в обігу на торговельних майданчикам, на основі методики розрахунку, визначеної ESMA відповідно до пункту 3. Цей ліміт позиції також включає економічно еквівалентні позабіржові контракти.</w:t>
      </w:r>
    </w:p>
    <w:p w:rsidR="0085676C" w:rsidRPr="00BE1959" w:rsidRDefault="0085676C"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Компетентний орган переглядає ліміти позицій у випадку істотної зміни у пропозиції на постачання чи у сумі відкритих позицій або іншої істотної зміни на ринку, виходячи зі свого визначення пропозиції на постачання чи суми відкритих позицій, і </w:t>
      </w:r>
      <w:r w:rsidR="0099408E" w:rsidRPr="00BE1959">
        <w:rPr>
          <w:rFonts w:ascii="Times New Roman" w:eastAsia="Times New Roman" w:hAnsi="Times New Roman" w:cs="Times New Roman"/>
          <w:sz w:val="24"/>
          <w:szCs w:val="24"/>
          <w:lang w:val="uk-UA"/>
        </w:rPr>
        <w:t>коригує ліміт позиції відповідно до методики розрахунку, розробленої ESMA.</w:t>
      </w:r>
    </w:p>
    <w:p w:rsidR="005613AB" w:rsidRPr="00BE1959" w:rsidRDefault="005613AB" w:rsidP="007E4154">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5.   </w:t>
      </w:r>
      <w:r w:rsidR="002F01CB" w:rsidRPr="00BE1959">
        <w:rPr>
          <w:rFonts w:ascii="Times New Roman" w:eastAsia="Times New Roman" w:hAnsi="Times New Roman" w:cs="Times New Roman"/>
          <w:sz w:val="24"/>
          <w:szCs w:val="24"/>
          <w:lang w:val="uk-UA"/>
        </w:rPr>
        <w:t xml:space="preserve">Компетентні органи повідомляють ESMA точні ліміти позицій, які вони мають намір установити відповідно до методики розрахунку, встановленої ESMA відповідно до пункту 3. У двомісячний термін з дати отримання цього повідомлення ESMА видає </w:t>
      </w:r>
      <w:r w:rsidR="007E4154" w:rsidRPr="00BE1959">
        <w:rPr>
          <w:rFonts w:ascii="Times New Roman" w:eastAsia="Times New Roman" w:hAnsi="Times New Roman" w:cs="Times New Roman"/>
          <w:sz w:val="24"/>
          <w:szCs w:val="24"/>
          <w:lang w:val="uk-UA"/>
        </w:rPr>
        <w:t xml:space="preserve">відповідному </w:t>
      </w:r>
      <w:r w:rsidR="002F01CB" w:rsidRPr="00BE1959">
        <w:rPr>
          <w:rFonts w:ascii="Times New Roman" w:eastAsia="Times New Roman" w:hAnsi="Times New Roman" w:cs="Times New Roman"/>
          <w:sz w:val="24"/>
          <w:szCs w:val="24"/>
          <w:lang w:val="uk-UA"/>
        </w:rPr>
        <w:t xml:space="preserve">компетентному </w:t>
      </w:r>
      <w:r w:rsidR="004F7BD2" w:rsidRPr="00BE1959">
        <w:rPr>
          <w:rFonts w:ascii="Times New Roman" w:eastAsia="Times New Roman" w:hAnsi="Times New Roman" w:cs="Times New Roman"/>
          <w:sz w:val="24"/>
          <w:szCs w:val="24"/>
          <w:lang w:val="uk-UA"/>
        </w:rPr>
        <w:t>органові висновок з оцінкою сумісності лімітів позицій з цілями пункту 1 та з методикою розрахунку, встановленою ESMA відповідно до пункту 1. ESMA публікує цей висновок на своєму веб-сайті. Відповідний компетентний орган змінює ліміти позицій</w:t>
      </w:r>
      <w:r w:rsidR="007E4154" w:rsidRPr="00BE1959">
        <w:rPr>
          <w:rFonts w:ascii="Times New Roman" w:eastAsia="Times New Roman" w:hAnsi="Times New Roman" w:cs="Times New Roman"/>
          <w:sz w:val="24"/>
          <w:szCs w:val="24"/>
          <w:lang w:val="uk-UA"/>
        </w:rPr>
        <w:t xml:space="preserve"> згідно з висновком ESMA або надає ESMA обґрунтування того, чому вищезгадана зміна вважається непотрібною. </w:t>
      </w:r>
      <w:r w:rsidR="00727922" w:rsidRPr="00BE1959">
        <w:rPr>
          <w:rFonts w:ascii="Times New Roman" w:eastAsia="Times New Roman" w:hAnsi="Times New Roman" w:cs="Times New Roman"/>
          <w:sz w:val="24"/>
          <w:szCs w:val="24"/>
          <w:lang w:val="uk-UA"/>
        </w:rPr>
        <w:t>Якщо компетентний орган встановлює ліміти всупереч висновку ESMA, він негайно публікує на своєму веб-сайті повідомлення з повним поясненням підстав таких дій.</w:t>
      </w:r>
    </w:p>
    <w:p w:rsidR="005613AB" w:rsidRPr="00BE1959" w:rsidRDefault="007E4154" w:rsidP="0017294F">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Якщо ESMA визначає, що ліміт позиції не відповідає методики розрахунку, зазначеної у пункті 3, вона </w:t>
      </w:r>
      <w:r w:rsidR="0017294F" w:rsidRPr="00BE1959">
        <w:rPr>
          <w:rFonts w:ascii="Times New Roman" w:eastAsia="Times New Roman" w:hAnsi="Times New Roman" w:cs="Times New Roman"/>
          <w:sz w:val="24"/>
          <w:szCs w:val="24"/>
          <w:lang w:val="uk-UA"/>
        </w:rPr>
        <w:t xml:space="preserve">вживає заходів відповідно до своїх повноважень за статтею 17 </w:t>
      </w:r>
      <w:r w:rsidR="008824AE" w:rsidRPr="00BE1959">
        <w:rPr>
          <w:rFonts w:ascii="Times New Roman" w:eastAsia="Times New Roman" w:hAnsi="Times New Roman" w:cs="Times New Roman"/>
          <w:sz w:val="24"/>
          <w:szCs w:val="24"/>
          <w:lang w:val="uk-UA"/>
        </w:rPr>
        <w:t>Регламенту</w:t>
      </w:r>
      <w:r w:rsidR="005613AB" w:rsidRPr="00BE1959">
        <w:rPr>
          <w:rFonts w:ascii="Times New Roman" w:eastAsia="Times New Roman" w:hAnsi="Times New Roman" w:cs="Times New Roman"/>
          <w:sz w:val="24"/>
          <w:szCs w:val="24"/>
          <w:lang w:val="uk-UA"/>
        </w:rPr>
        <w:t xml:space="preserve"> </w:t>
      </w:r>
      <w:r w:rsidR="00DB4825" w:rsidRPr="00BE1959">
        <w:rPr>
          <w:rFonts w:ascii="Times New Roman" w:eastAsia="Times New Roman" w:hAnsi="Times New Roman" w:cs="Times New Roman"/>
          <w:sz w:val="24"/>
          <w:szCs w:val="24"/>
          <w:lang w:val="uk-UA"/>
        </w:rPr>
        <w:t>(EU) №</w:t>
      </w:r>
      <w:r w:rsidR="005613AB" w:rsidRPr="00BE1959">
        <w:rPr>
          <w:rFonts w:ascii="Times New Roman" w:eastAsia="Times New Roman" w:hAnsi="Times New Roman" w:cs="Times New Roman"/>
          <w:sz w:val="24"/>
          <w:szCs w:val="24"/>
          <w:lang w:val="uk-UA"/>
        </w:rPr>
        <w:t> 1095/2010.</w:t>
      </w:r>
    </w:p>
    <w:p w:rsidR="005613AB" w:rsidRPr="00BE1959" w:rsidRDefault="005613AB" w:rsidP="00974D60">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6.   </w:t>
      </w:r>
      <w:r w:rsidR="005C6AD5" w:rsidRPr="00BE1959">
        <w:rPr>
          <w:rFonts w:ascii="Times New Roman" w:eastAsia="Times New Roman" w:hAnsi="Times New Roman" w:cs="Times New Roman"/>
          <w:sz w:val="24"/>
          <w:szCs w:val="24"/>
          <w:lang w:val="uk-UA"/>
        </w:rPr>
        <w:t>Якщо один і той самий товарний дериватив знаходиться в обігу в значних обсягах на торговельних майданчиках у більш ніж одній юрисдикції, то к</w:t>
      </w:r>
      <w:r w:rsidR="003A5348" w:rsidRPr="00BE1959">
        <w:rPr>
          <w:rFonts w:ascii="Times New Roman" w:eastAsia="Times New Roman" w:hAnsi="Times New Roman" w:cs="Times New Roman"/>
          <w:sz w:val="24"/>
          <w:szCs w:val="24"/>
          <w:lang w:val="uk-UA"/>
        </w:rPr>
        <w:t>омпетентний орган</w:t>
      </w:r>
      <w:r w:rsidRPr="00BE1959">
        <w:rPr>
          <w:rFonts w:ascii="Times New Roman" w:eastAsia="Times New Roman" w:hAnsi="Times New Roman" w:cs="Times New Roman"/>
          <w:sz w:val="24"/>
          <w:szCs w:val="24"/>
          <w:lang w:val="uk-UA"/>
        </w:rPr>
        <w:t xml:space="preserve"> </w:t>
      </w:r>
      <w:r w:rsidR="005C6AD5" w:rsidRPr="00BE1959">
        <w:rPr>
          <w:rFonts w:ascii="Times New Roman" w:eastAsia="Times New Roman" w:hAnsi="Times New Roman" w:cs="Times New Roman"/>
          <w:sz w:val="24"/>
          <w:szCs w:val="24"/>
          <w:lang w:val="uk-UA"/>
        </w:rPr>
        <w:t xml:space="preserve">того </w:t>
      </w:r>
      <w:r w:rsidR="00DE1B9C" w:rsidRPr="00BE1959">
        <w:rPr>
          <w:rFonts w:ascii="Times New Roman" w:eastAsia="Times New Roman" w:hAnsi="Times New Roman" w:cs="Times New Roman"/>
          <w:sz w:val="24"/>
          <w:szCs w:val="24"/>
          <w:lang w:val="uk-UA"/>
        </w:rPr>
        <w:t>торговельного майданчика</w:t>
      </w:r>
      <w:r w:rsidR="005C6AD5" w:rsidRPr="00BE1959">
        <w:rPr>
          <w:rFonts w:ascii="Times New Roman" w:eastAsia="Times New Roman" w:hAnsi="Times New Roman" w:cs="Times New Roman"/>
          <w:sz w:val="24"/>
          <w:szCs w:val="24"/>
          <w:lang w:val="uk-UA"/>
        </w:rPr>
        <w:t>, де обсяг торгівлі найбільший (центральний компетентний орган), встановлює єдиний ліміт позиції, що має застосовуватися до всієї торгівлі цим контрактом. Центральний компетентний орган консультується з компетентними органами інших торговельних майданчиків, на яких здійснюється торгівля цим деривативом у значних обсягах, щодо єдиного ліміту позиції, що має застосовуватися, і щодо будь-яких змін цього ліміту.</w:t>
      </w:r>
      <w:r w:rsidR="004F0BF4" w:rsidRPr="00BE1959">
        <w:rPr>
          <w:rFonts w:ascii="Times New Roman" w:eastAsia="Times New Roman" w:hAnsi="Times New Roman" w:cs="Times New Roman"/>
          <w:sz w:val="24"/>
          <w:szCs w:val="24"/>
          <w:lang w:val="uk-UA"/>
        </w:rPr>
        <w:t xml:space="preserve"> Якщо компетентні органи не погоджуються, то вони письмово викладають </w:t>
      </w:r>
      <w:r w:rsidR="00974D60" w:rsidRPr="00BE1959">
        <w:rPr>
          <w:rFonts w:ascii="Times New Roman" w:eastAsia="Times New Roman" w:hAnsi="Times New Roman" w:cs="Times New Roman"/>
          <w:sz w:val="24"/>
          <w:szCs w:val="24"/>
          <w:lang w:val="uk-UA"/>
        </w:rPr>
        <w:t>повні та детальні причини того, чому вони вважають, що вимоги, викладені у пункті 1, не виконані. ESMA врегульовує всі спори, що виникають через незгоду між компетентними органами, відповідно до своїх повноважень за статтею 19</w:t>
      </w:r>
      <w:r w:rsidRPr="00BE1959">
        <w:rPr>
          <w:rFonts w:ascii="Times New Roman" w:eastAsia="Times New Roman" w:hAnsi="Times New Roman" w:cs="Times New Roman"/>
          <w:sz w:val="24"/>
          <w:szCs w:val="24"/>
          <w:lang w:val="uk-UA"/>
        </w:rPr>
        <w:t xml:space="preserve"> </w:t>
      </w:r>
      <w:r w:rsidR="008824AE" w:rsidRPr="00BE1959">
        <w:rPr>
          <w:rFonts w:ascii="Times New Roman" w:eastAsia="Times New Roman" w:hAnsi="Times New Roman" w:cs="Times New Roman"/>
          <w:sz w:val="24"/>
          <w:szCs w:val="24"/>
          <w:lang w:val="uk-UA"/>
        </w:rPr>
        <w:t>Регламенту</w:t>
      </w:r>
      <w:r w:rsidRPr="00BE1959">
        <w:rPr>
          <w:rFonts w:ascii="Times New Roman" w:eastAsia="Times New Roman" w:hAnsi="Times New Roman" w:cs="Times New Roman"/>
          <w:sz w:val="24"/>
          <w:szCs w:val="24"/>
          <w:lang w:val="uk-UA"/>
        </w:rPr>
        <w:t xml:space="preserve"> </w:t>
      </w:r>
      <w:r w:rsidR="00DB4825" w:rsidRPr="00BE1959">
        <w:rPr>
          <w:rFonts w:ascii="Times New Roman" w:eastAsia="Times New Roman" w:hAnsi="Times New Roman" w:cs="Times New Roman"/>
          <w:sz w:val="24"/>
          <w:szCs w:val="24"/>
          <w:lang w:val="uk-UA"/>
        </w:rPr>
        <w:t>(EU) №</w:t>
      </w:r>
      <w:r w:rsidRPr="00BE1959">
        <w:rPr>
          <w:rFonts w:ascii="Times New Roman" w:eastAsia="Times New Roman" w:hAnsi="Times New Roman" w:cs="Times New Roman"/>
          <w:sz w:val="24"/>
          <w:szCs w:val="24"/>
          <w:lang w:val="uk-UA"/>
        </w:rPr>
        <w:t> 1095/2010.</w:t>
      </w:r>
    </w:p>
    <w:p w:rsidR="005613AB" w:rsidRPr="00BE1959" w:rsidRDefault="00974D60" w:rsidP="007E2553">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Компетентні органи </w:t>
      </w:r>
      <w:r w:rsidR="00DE1B9C" w:rsidRPr="00BE1959">
        <w:rPr>
          <w:rFonts w:ascii="Times New Roman" w:eastAsia="Times New Roman" w:hAnsi="Times New Roman" w:cs="Times New Roman"/>
          <w:sz w:val="24"/>
          <w:szCs w:val="24"/>
          <w:lang w:val="uk-UA"/>
        </w:rPr>
        <w:t>торговельн</w:t>
      </w:r>
      <w:r w:rsidR="007E2553" w:rsidRPr="00BE1959">
        <w:rPr>
          <w:rFonts w:ascii="Times New Roman" w:eastAsia="Times New Roman" w:hAnsi="Times New Roman" w:cs="Times New Roman"/>
          <w:sz w:val="24"/>
          <w:szCs w:val="24"/>
          <w:lang w:val="uk-UA"/>
        </w:rPr>
        <w:t>их</w:t>
      </w:r>
      <w:r w:rsidR="00DE1B9C" w:rsidRPr="00BE1959">
        <w:rPr>
          <w:rFonts w:ascii="Times New Roman" w:eastAsia="Times New Roman" w:hAnsi="Times New Roman" w:cs="Times New Roman"/>
          <w:sz w:val="24"/>
          <w:szCs w:val="24"/>
          <w:lang w:val="uk-UA"/>
        </w:rPr>
        <w:t xml:space="preserve"> майданчик</w:t>
      </w:r>
      <w:r w:rsidR="007E2553" w:rsidRPr="00BE1959">
        <w:rPr>
          <w:rFonts w:ascii="Times New Roman" w:eastAsia="Times New Roman" w:hAnsi="Times New Roman" w:cs="Times New Roman"/>
          <w:sz w:val="24"/>
          <w:szCs w:val="24"/>
          <w:lang w:val="uk-UA"/>
        </w:rPr>
        <w:t>ів, на яких здійснюється торгівля одним товарним деривативом, і компетентні органи утримувачів позицій за цим товарним деривативом укладають угоди про співробітництво, зокрема про обмін відповідними даними між собою, з метою забезпечення контролю і дотримання єдиного ліміту позиції.</w:t>
      </w:r>
    </w:p>
    <w:p w:rsidR="005613AB" w:rsidRPr="00BE1959" w:rsidRDefault="005613AB" w:rsidP="004A78A4">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7.   ESMA </w:t>
      </w:r>
      <w:r w:rsidR="004A78A4" w:rsidRPr="00BE1959">
        <w:rPr>
          <w:rFonts w:ascii="Times New Roman" w:eastAsia="Times New Roman" w:hAnsi="Times New Roman" w:cs="Times New Roman"/>
          <w:sz w:val="24"/>
          <w:szCs w:val="24"/>
          <w:lang w:val="uk-UA"/>
        </w:rPr>
        <w:t xml:space="preserve">принаймні щорічно здійснює контроль за запровадженням компетентними органами лімітів позицій, встановлених відповідно до методики розрахунку, розробленої </w:t>
      </w:r>
      <w:r w:rsidR="004A78A4" w:rsidRPr="00BE1959">
        <w:rPr>
          <w:rFonts w:ascii="Times New Roman" w:eastAsia="Times New Roman" w:hAnsi="Times New Roman" w:cs="Times New Roman"/>
          <w:sz w:val="24"/>
          <w:szCs w:val="24"/>
          <w:lang w:val="uk-UA"/>
        </w:rPr>
        <w:lastRenderedPageBreak/>
        <w:t>ESMA відповідно до пункту 3. При цьому ESMA забезпечує ефективне застосування єдиного ліміту позиції до одного й того самого контракту незалежно від того, чи здійснюється ним торгівля згідно з пунктом 6.</w:t>
      </w:r>
    </w:p>
    <w:p w:rsidR="005613AB" w:rsidRPr="00BE1959" w:rsidRDefault="005613AB" w:rsidP="00FE0EA1">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8.   </w:t>
      </w:r>
      <w:r w:rsidR="001F5C90" w:rsidRPr="00BE1959">
        <w:rPr>
          <w:rFonts w:ascii="Times New Roman" w:eastAsia="Times New Roman" w:hAnsi="Times New Roman" w:cs="Times New Roman"/>
          <w:sz w:val="24"/>
          <w:szCs w:val="24"/>
          <w:lang w:val="uk-UA"/>
        </w:rPr>
        <w:t>Держави-члени</w:t>
      </w:r>
      <w:r w:rsidRPr="00BE1959">
        <w:rPr>
          <w:rFonts w:ascii="Times New Roman" w:eastAsia="Times New Roman" w:hAnsi="Times New Roman" w:cs="Times New Roman"/>
          <w:sz w:val="24"/>
          <w:szCs w:val="24"/>
          <w:lang w:val="uk-UA"/>
        </w:rPr>
        <w:t xml:space="preserve"> </w:t>
      </w:r>
      <w:r w:rsidR="004A78A4" w:rsidRPr="00BE1959">
        <w:rPr>
          <w:rFonts w:ascii="Times New Roman" w:eastAsia="Times New Roman" w:hAnsi="Times New Roman" w:cs="Times New Roman"/>
          <w:sz w:val="24"/>
          <w:szCs w:val="24"/>
          <w:lang w:val="uk-UA"/>
        </w:rPr>
        <w:t>забезпечують застосування інвестиційною фірмою чи оператором ринку, що управляє торговельним майданчиком, де здійснюється торгівля товарними деривативами, засобів</w:t>
      </w:r>
      <w:r w:rsidR="00FE0EA1" w:rsidRPr="00BE1959">
        <w:rPr>
          <w:rFonts w:ascii="Times New Roman" w:eastAsia="Times New Roman" w:hAnsi="Times New Roman" w:cs="Times New Roman"/>
          <w:sz w:val="24"/>
          <w:szCs w:val="24"/>
          <w:lang w:val="uk-UA"/>
        </w:rPr>
        <w:t xml:space="preserve"> управління позиціями. Ці засоби включають, як мінімум, наступні повноваження торговельного майданчика:</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3"/>
        <w:gridCol w:w="9092"/>
      </w:tblGrid>
      <w:tr w:rsidR="005613AB" w:rsidRPr="0043174D" w:rsidTr="00FE0EA1">
        <w:tc>
          <w:tcPr>
            <w:tcW w:w="197"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(a)</w:t>
            </w:r>
          </w:p>
        </w:tc>
        <w:tc>
          <w:tcPr>
            <w:tcW w:w="4803"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C14405" w:rsidP="00C14405">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повноваження на контроль за сумами відкритих позицій осіб;</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C14405" w:rsidP="001E536F">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повноваження на отримання від осіб інформації, зокрема всієї необхідної документації, щодо розміру та мети позиції або </w:t>
            </w:r>
            <w:r w:rsidR="001F4D4B" w:rsidRPr="00BE1959">
              <w:rPr>
                <w:rFonts w:ascii="Times New Roman" w:eastAsia="Times New Roman" w:hAnsi="Times New Roman" w:cs="Times New Roman"/>
                <w:sz w:val="24"/>
                <w:szCs w:val="24"/>
                <w:lang w:val="uk-UA"/>
              </w:rPr>
              <w:t xml:space="preserve">взятих зобов’язань, інформації про </w:t>
            </w:r>
            <w:r w:rsidR="0071187B" w:rsidRPr="00BE1959">
              <w:rPr>
                <w:rFonts w:ascii="Times New Roman" w:eastAsia="Times New Roman" w:hAnsi="Times New Roman" w:cs="Times New Roman"/>
                <w:sz w:val="24"/>
                <w:szCs w:val="24"/>
                <w:lang w:val="uk-UA"/>
              </w:rPr>
              <w:t xml:space="preserve">фактичних або основних власників, </w:t>
            </w:r>
            <w:r w:rsidR="001E536F" w:rsidRPr="00BE1959">
              <w:rPr>
                <w:rFonts w:ascii="Times New Roman" w:eastAsia="Times New Roman" w:hAnsi="Times New Roman" w:cs="Times New Roman"/>
                <w:sz w:val="24"/>
                <w:szCs w:val="24"/>
                <w:lang w:val="uk-UA"/>
              </w:rPr>
              <w:t xml:space="preserve">про </w:t>
            </w:r>
            <w:r w:rsidR="0071187B" w:rsidRPr="00BE1959">
              <w:rPr>
                <w:rFonts w:ascii="Times New Roman" w:eastAsia="Times New Roman" w:hAnsi="Times New Roman" w:cs="Times New Roman"/>
                <w:sz w:val="24"/>
                <w:szCs w:val="24"/>
                <w:lang w:val="uk-UA"/>
              </w:rPr>
              <w:t>угоди про співробітництво та п</w:t>
            </w:r>
            <w:r w:rsidR="001E536F" w:rsidRPr="00BE1959">
              <w:rPr>
                <w:rFonts w:ascii="Times New Roman" w:eastAsia="Times New Roman" w:hAnsi="Times New Roman" w:cs="Times New Roman"/>
                <w:sz w:val="24"/>
                <w:szCs w:val="24"/>
                <w:lang w:val="uk-UA"/>
              </w:rPr>
              <w:t>ро відповідні активи й пасиви на базовому ринку;</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9093"/>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1E536F" w:rsidP="00585049">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повноваження вимагати від особи закриття або зменшення позиції </w:t>
            </w:r>
            <w:r w:rsidR="00585049" w:rsidRPr="00BE1959">
              <w:rPr>
                <w:rFonts w:ascii="Times New Roman" w:eastAsia="Times New Roman" w:hAnsi="Times New Roman" w:cs="Times New Roman"/>
                <w:sz w:val="24"/>
                <w:szCs w:val="24"/>
                <w:lang w:val="uk-UA"/>
              </w:rPr>
              <w:t>на тимчасовій або постійній основі згідно з потребами конкретного випадку та вживати заходів в односторонньому порядку для забезпечення закриття або зменшення позиції, якщо вищезгадана особа не виконала вищезгадану вимогу;</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DE3173"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85049" w:rsidP="00873325">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повноваження у необхідних випадках вимагати від особи тимчасового повернення ліквідності на ринок за погодженою ціною та у погодженому обсязі з </w:t>
            </w:r>
            <w:r w:rsidR="00A77B58" w:rsidRPr="00BE1959">
              <w:rPr>
                <w:rFonts w:ascii="Times New Roman" w:eastAsia="Times New Roman" w:hAnsi="Times New Roman" w:cs="Times New Roman"/>
                <w:sz w:val="24"/>
                <w:szCs w:val="24"/>
                <w:lang w:val="uk-UA"/>
              </w:rPr>
              <w:t xml:space="preserve">чітко вираженим наміром зменшити вплив великої чи </w:t>
            </w:r>
            <w:r w:rsidR="00873325" w:rsidRPr="00BE1959">
              <w:rPr>
                <w:rFonts w:ascii="Times New Roman" w:eastAsia="Times New Roman" w:hAnsi="Times New Roman" w:cs="Times New Roman"/>
                <w:sz w:val="24"/>
                <w:szCs w:val="24"/>
                <w:lang w:val="uk-UA"/>
              </w:rPr>
              <w:t>переважної позиції.</w:t>
            </w:r>
          </w:p>
        </w:tc>
      </w:tr>
    </w:tbl>
    <w:p w:rsidR="005613AB" w:rsidRPr="00BE1959" w:rsidRDefault="005613AB" w:rsidP="007D30F9">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9.   </w:t>
      </w:r>
      <w:r w:rsidR="00914BD3" w:rsidRPr="00BE1959">
        <w:rPr>
          <w:rFonts w:ascii="Times New Roman" w:eastAsia="Times New Roman" w:hAnsi="Times New Roman" w:cs="Times New Roman"/>
          <w:sz w:val="24"/>
          <w:szCs w:val="24"/>
          <w:lang w:val="uk-UA"/>
        </w:rPr>
        <w:t xml:space="preserve">Вищезгадані ліміти позицій та засоби управління позиціями мають прозорий та недискримінаційний характер, із зазначенням порядку їхнього застосування до осіб і урахуванням характеру і складу учасників ринку та використання ними контрактів, </w:t>
      </w:r>
      <w:r w:rsidR="007D30F9" w:rsidRPr="00BE1959">
        <w:rPr>
          <w:rFonts w:ascii="Times New Roman" w:eastAsia="Times New Roman" w:hAnsi="Times New Roman" w:cs="Times New Roman"/>
          <w:sz w:val="24"/>
          <w:szCs w:val="24"/>
          <w:lang w:val="uk-UA"/>
        </w:rPr>
        <w:t>запропонованих для торгівлі.</w:t>
      </w:r>
    </w:p>
    <w:p w:rsidR="007D30F9"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10.   </w:t>
      </w:r>
      <w:r w:rsidR="007D30F9" w:rsidRPr="00BE1959">
        <w:rPr>
          <w:rFonts w:ascii="Times New Roman" w:eastAsia="Times New Roman" w:hAnsi="Times New Roman" w:cs="Times New Roman"/>
          <w:sz w:val="24"/>
          <w:szCs w:val="24"/>
          <w:lang w:val="uk-UA"/>
        </w:rPr>
        <w:t>Інвестиційна фірма або оператор ринку, що управляє торговельним майданчиком, повідомляє компетентному органу детальні відомості про засоби управління позиціями.</w:t>
      </w:r>
    </w:p>
    <w:p w:rsidR="007D30F9" w:rsidRPr="00BE1959" w:rsidRDefault="00AF288E"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Компетентний орган</w:t>
      </w:r>
      <w:r w:rsidR="005613AB" w:rsidRPr="00BE1959">
        <w:rPr>
          <w:rFonts w:ascii="Times New Roman" w:eastAsia="Times New Roman" w:hAnsi="Times New Roman" w:cs="Times New Roman"/>
          <w:sz w:val="24"/>
          <w:szCs w:val="24"/>
          <w:lang w:val="uk-UA"/>
        </w:rPr>
        <w:t xml:space="preserve"> </w:t>
      </w:r>
      <w:r w:rsidR="007D30F9" w:rsidRPr="00BE1959">
        <w:rPr>
          <w:rFonts w:ascii="Times New Roman" w:eastAsia="Times New Roman" w:hAnsi="Times New Roman" w:cs="Times New Roman"/>
          <w:sz w:val="24"/>
          <w:szCs w:val="24"/>
          <w:lang w:val="uk-UA"/>
        </w:rPr>
        <w:t>доводить вищезгадану інформацію та детальні відомості про встановлені ним ліміти позицій до відома ESMA, яка публікує та веде на своєму веб-сайті базу даних з узагальненими відомостями про ліміти позицій та засоби управління позиціями.</w:t>
      </w:r>
    </w:p>
    <w:p w:rsidR="005613AB" w:rsidRPr="00BE1959" w:rsidRDefault="005613AB" w:rsidP="007D30F9">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11.   </w:t>
      </w:r>
      <w:r w:rsidR="007D30F9" w:rsidRPr="00BE1959">
        <w:rPr>
          <w:rFonts w:ascii="Times New Roman" w:eastAsia="Times New Roman" w:hAnsi="Times New Roman" w:cs="Times New Roman"/>
          <w:sz w:val="24"/>
          <w:szCs w:val="24"/>
          <w:lang w:val="uk-UA"/>
        </w:rPr>
        <w:t>Ліміти позицій, зазначені у пункті 1, встановлюються компетентними органами відповідно до пп. (р) статті 69(2).</w:t>
      </w:r>
    </w:p>
    <w:p w:rsidR="005613AB" w:rsidRPr="00BE1959" w:rsidRDefault="005613AB" w:rsidP="00FC4615">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12.   ESMA </w:t>
      </w:r>
      <w:r w:rsidR="00FC4615" w:rsidRPr="00BE1959">
        <w:rPr>
          <w:rFonts w:ascii="Times New Roman" w:eastAsia="Times New Roman" w:hAnsi="Times New Roman" w:cs="Times New Roman"/>
          <w:sz w:val="24"/>
          <w:szCs w:val="24"/>
          <w:lang w:val="uk-UA"/>
        </w:rPr>
        <w:t>розробляє проекти нормативно-технічних стандартів, де визначає:</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9093"/>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E0B19" w:rsidP="00D87EC5">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критерії та методи визначення того, чи слід вважати позицію такою, що зменшує ризики</w:t>
            </w:r>
            <w:r w:rsidR="00D87EC5" w:rsidRPr="00BE1959">
              <w:rPr>
                <w:rFonts w:ascii="Times New Roman" w:eastAsia="Times New Roman" w:hAnsi="Times New Roman" w:cs="Times New Roman"/>
                <w:sz w:val="24"/>
                <w:szCs w:val="24"/>
                <w:lang w:val="uk-UA"/>
              </w:rPr>
              <w:t>, безпосередньо пов'язані з комерційною діяльністю;</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31"/>
        <w:gridCol w:w="9034"/>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8717E9" w:rsidP="008717E9">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методи визначення випадків, де позиції особи слід агрегувати в межах групи;</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9093"/>
      </w:tblGrid>
      <w:tr w:rsidR="005613AB" w:rsidRPr="00BE1959"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lastRenderedPageBreak/>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F32F77" w:rsidP="000525E9">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критерії визначення того, чи є контракт позабіржовим контрактом, економічно еквівалентним тому, що знаходиться в обігу на торговельному майданчику, згаданим  у пункті 1, у спосіб, який сприяє </w:t>
            </w:r>
            <w:r w:rsidR="000525E9" w:rsidRPr="00BE1959">
              <w:rPr>
                <w:rFonts w:ascii="Times New Roman" w:eastAsia="Times New Roman" w:hAnsi="Times New Roman" w:cs="Times New Roman"/>
                <w:sz w:val="24"/>
                <w:szCs w:val="24"/>
                <w:lang w:val="uk-UA"/>
              </w:rPr>
              <w:t>повідомленню про позиції, відкриті за еквівалентним позабіржовим контрактом, відповідному компетентному органу згідно зі статтею 58(2);</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2433C5" w:rsidP="003D49F9">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понят</w:t>
            </w:r>
            <w:r w:rsidR="003D49F9" w:rsidRPr="00BE1959">
              <w:rPr>
                <w:rFonts w:ascii="Times New Roman" w:eastAsia="Times New Roman" w:hAnsi="Times New Roman" w:cs="Times New Roman"/>
                <w:sz w:val="24"/>
                <w:szCs w:val="24"/>
                <w:lang w:val="uk-UA"/>
              </w:rPr>
              <w:t>тя</w:t>
            </w:r>
            <w:r w:rsidRPr="00BE1959">
              <w:rPr>
                <w:rFonts w:ascii="Times New Roman" w:eastAsia="Times New Roman" w:hAnsi="Times New Roman" w:cs="Times New Roman"/>
                <w:sz w:val="24"/>
                <w:szCs w:val="24"/>
                <w:lang w:val="uk-UA"/>
              </w:rPr>
              <w:t xml:space="preserve"> «один і той самий товарний дериватив» і «значні обсяги», згадан</w:t>
            </w:r>
            <w:r w:rsidR="003D49F9" w:rsidRPr="00BE1959">
              <w:rPr>
                <w:rFonts w:ascii="Times New Roman" w:eastAsia="Times New Roman" w:hAnsi="Times New Roman" w:cs="Times New Roman"/>
                <w:sz w:val="24"/>
                <w:szCs w:val="24"/>
                <w:lang w:val="uk-UA"/>
              </w:rPr>
              <w:t>і</w:t>
            </w:r>
            <w:r w:rsidRPr="00BE1959">
              <w:rPr>
                <w:rFonts w:ascii="Times New Roman" w:eastAsia="Times New Roman" w:hAnsi="Times New Roman" w:cs="Times New Roman"/>
                <w:sz w:val="24"/>
                <w:szCs w:val="24"/>
                <w:lang w:val="uk-UA"/>
              </w:rPr>
              <w:t xml:space="preserve"> у пункті 6 цієї статті;</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9093"/>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(e)</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2433C5" w:rsidP="00A450D0">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методику агрегування та </w:t>
            </w:r>
            <w:r w:rsidR="00944483" w:rsidRPr="00BE1959">
              <w:rPr>
                <w:rFonts w:ascii="Times New Roman" w:eastAsia="Times New Roman" w:hAnsi="Times New Roman" w:cs="Times New Roman"/>
                <w:sz w:val="24"/>
                <w:szCs w:val="24"/>
                <w:lang w:val="uk-UA"/>
              </w:rPr>
              <w:t xml:space="preserve">неттингу позицій за </w:t>
            </w:r>
            <w:r w:rsidRPr="00BE1959">
              <w:rPr>
                <w:rFonts w:ascii="Times New Roman" w:eastAsia="Times New Roman" w:hAnsi="Times New Roman" w:cs="Times New Roman"/>
                <w:sz w:val="24"/>
                <w:szCs w:val="24"/>
                <w:lang w:val="uk-UA"/>
              </w:rPr>
              <w:t>позабіржови</w:t>
            </w:r>
            <w:r w:rsidR="00944483" w:rsidRPr="00BE1959">
              <w:rPr>
                <w:rFonts w:ascii="Times New Roman" w:eastAsia="Times New Roman" w:hAnsi="Times New Roman" w:cs="Times New Roman"/>
                <w:sz w:val="24"/>
                <w:szCs w:val="24"/>
                <w:lang w:val="uk-UA"/>
              </w:rPr>
              <w:t>ми</w:t>
            </w:r>
            <w:r w:rsidRPr="00BE1959">
              <w:rPr>
                <w:rFonts w:ascii="Times New Roman" w:eastAsia="Times New Roman" w:hAnsi="Times New Roman" w:cs="Times New Roman"/>
                <w:sz w:val="24"/>
                <w:szCs w:val="24"/>
                <w:lang w:val="uk-UA"/>
              </w:rPr>
              <w:t xml:space="preserve"> </w:t>
            </w:r>
            <w:r w:rsidR="00944483" w:rsidRPr="00BE1959">
              <w:rPr>
                <w:rFonts w:ascii="Times New Roman" w:eastAsia="Times New Roman" w:hAnsi="Times New Roman" w:cs="Times New Roman"/>
                <w:sz w:val="24"/>
                <w:szCs w:val="24"/>
                <w:lang w:val="uk-UA"/>
              </w:rPr>
              <w:t>та</w:t>
            </w:r>
            <w:r w:rsidRPr="00BE1959">
              <w:rPr>
                <w:rFonts w:ascii="Times New Roman" w:eastAsia="Times New Roman" w:hAnsi="Times New Roman" w:cs="Times New Roman"/>
                <w:sz w:val="24"/>
                <w:szCs w:val="24"/>
                <w:lang w:val="uk-UA"/>
              </w:rPr>
              <w:t xml:space="preserve"> </w:t>
            </w:r>
            <w:r w:rsidR="00944483" w:rsidRPr="00BE1959">
              <w:rPr>
                <w:rFonts w:ascii="Times New Roman" w:eastAsia="Times New Roman" w:hAnsi="Times New Roman" w:cs="Times New Roman"/>
                <w:sz w:val="24"/>
                <w:szCs w:val="24"/>
                <w:lang w:val="uk-UA"/>
              </w:rPr>
              <w:t xml:space="preserve">біржовими товарними деривативами для визначення чистої позиції в цілях оцінки дотримання встановлених лімітів. </w:t>
            </w:r>
            <w:r w:rsidR="003D49F9" w:rsidRPr="00BE1959">
              <w:rPr>
                <w:rFonts w:ascii="Times New Roman" w:eastAsia="Times New Roman" w:hAnsi="Times New Roman" w:cs="Times New Roman"/>
                <w:sz w:val="24"/>
                <w:szCs w:val="24"/>
                <w:lang w:val="uk-UA"/>
              </w:rPr>
              <w:t xml:space="preserve">Такі методики встановлюють критерії визначення позицій, </w:t>
            </w:r>
            <w:r w:rsidR="00A450D0" w:rsidRPr="00BE1959">
              <w:rPr>
                <w:rFonts w:ascii="Times New Roman" w:eastAsia="Times New Roman" w:hAnsi="Times New Roman" w:cs="Times New Roman"/>
                <w:sz w:val="24"/>
                <w:szCs w:val="24"/>
                <w:lang w:val="uk-UA"/>
              </w:rPr>
              <w:t>для яких можна проводити неттинг, і не сприяють збільшенню позицій у спосіб, що відповідає цілям, встановленим у пункті 1 цієї статті;</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912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(f)</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156EBC" w:rsidP="00156EBC">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порядок подання особами заяв на звільнення від дії другого абзацу пункту 1 цієї статті та порядок затвердження таких заяв відповідним компетентним органом;</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DE3173"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(g)</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156EBC" w:rsidP="00156EBC">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метод розрахунку з метою визначення торговельного майданчика, на якому здійснюється найбільший обсяг торгівлі тим чи іншим товарним деривативом, і значних обсягів згідно з пунктом 6 цієї статті.</w:t>
            </w:r>
          </w:p>
        </w:tc>
      </w:tr>
    </w:tbl>
    <w:p w:rsidR="00C350C4" w:rsidRPr="00BE1959" w:rsidRDefault="00C350C4" w:rsidP="00C350C4">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ESMA подає проекти нормативно-технічних стандартів, згаданих у першому абзаці, Комісії до 3 липня 2015 року.</w:t>
      </w:r>
    </w:p>
    <w:p w:rsidR="005613AB" w:rsidRPr="00BE1959" w:rsidRDefault="00C350C4" w:rsidP="00C350C4">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Комісії делегується повноваження на прийняття нормативно-технічних стандартів, згаданих у першому абзаці цього пункту, згідно зі статтями 10-14 Регламенту (EU) № 1095/2010.</w:t>
      </w:r>
    </w:p>
    <w:p w:rsidR="005613AB" w:rsidRPr="00BE1959" w:rsidRDefault="005613AB" w:rsidP="003601D9">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13.   </w:t>
      </w:r>
      <w:r w:rsidR="001A1DB2" w:rsidRPr="00BE1959">
        <w:rPr>
          <w:rFonts w:ascii="Times New Roman" w:eastAsia="Times New Roman" w:hAnsi="Times New Roman" w:cs="Times New Roman"/>
          <w:sz w:val="24"/>
          <w:szCs w:val="24"/>
          <w:lang w:val="uk-UA"/>
        </w:rPr>
        <w:t>Компетентні органи не встановл</w:t>
      </w:r>
      <w:r w:rsidR="006F07A9" w:rsidRPr="00BE1959">
        <w:rPr>
          <w:rFonts w:ascii="Times New Roman" w:eastAsia="Times New Roman" w:hAnsi="Times New Roman" w:cs="Times New Roman"/>
          <w:sz w:val="24"/>
          <w:szCs w:val="24"/>
          <w:lang w:val="uk-UA"/>
        </w:rPr>
        <w:t>юють ліміти, що є більш обмежуючими, ніж ліміти, прийняті згідно з пунктом 1, крім як у</w:t>
      </w:r>
      <w:r w:rsidR="006F1D26" w:rsidRPr="00BE1959">
        <w:rPr>
          <w:rFonts w:ascii="Times New Roman" w:eastAsia="Times New Roman" w:hAnsi="Times New Roman" w:cs="Times New Roman"/>
          <w:sz w:val="24"/>
          <w:szCs w:val="24"/>
          <w:lang w:val="uk-UA"/>
        </w:rPr>
        <w:t xml:space="preserve"> виняткових випадках, де вони є об’єктивно обґрунтованими та сумірними з урахуванням ліквідності конкретного ринку та впорядкованого функціонування цього ринку. Компетентні органи публікують на своєму веб-сайті детальні відомості про більш обмежуючі ліміти позицій, які вони вирішили встановити, що діють протягом початкового періоду, який не перевищує шість місяців з дати публікації на веб-сайті. Більш обмежуючі ліміти позицій можуть продовжуватися на подальші періоди, не більш ніж на шість місяців за один раз, </w:t>
      </w:r>
      <w:r w:rsidR="003601D9" w:rsidRPr="00BE1959">
        <w:rPr>
          <w:rFonts w:ascii="Times New Roman" w:eastAsia="Times New Roman" w:hAnsi="Times New Roman" w:cs="Times New Roman"/>
          <w:sz w:val="24"/>
          <w:szCs w:val="24"/>
          <w:lang w:val="uk-UA"/>
        </w:rPr>
        <w:t>якщо підстави такого обмеження зберігаються. Якщо ліміт не продовжений після закінчення шестимісячного періоду, його дія автоматично припиняється.</w:t>
      </w:r>
    </w:p>
    <w:p w:rsidR="005613AB" w:rsidRPr="00BE1959" w:rsidRDefault="003601D9" w:rsidP="003601D9">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Якщо компетентні органи вирішили встановити більш обмежуючі ліміти позицій, вони повідомляють про це ESMA. Повідомлення повинно містити обґрунтування більш обмежуючих лімітів позицій. ESMA протягом 24 годин видає висновок щодо того, чи </w:t>
      </w:r>
      <w:r w:rsidRPr="00BE1959">
        <w:rPr>
          <w:rFonts w:ascii="Times New Roman" w:eastAsia="Times New Roman" w:hAnsi="Times New Roman" w:cs="Times New Roman"/>
          <w:sz w:val="24"/>
          <w:szCs w:val="24"/>
          <w:lang w:val="uk-UA"/>
        </w:rPr>
        <w:lastRenderedPageBreak/>
        <w:t>вважає вона більш обмежуючі ліміти позицій необхідними в даному винятковому випадку. Висновок публікується на веб-сайті ESMA.</w:t>
      </w:r>
    </w:p>
    <w:p w:rsidR="00727922" w:rsidRPr="00BE1959" w:rsidRDefault="00727922"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Якщо компетентний орган встановлює ліміти всупереч висновку ESMA, він негайно публікує на своєму веб-сайті повідомлення з повним поясненням підстав таких дій.</w:t>
      </w:r>
    </w:p>
    <w:p w:rsidR="005613AB" w:rsidRPr="00BE1959" w:rsidRDefault="005613AB" w:rsidP="00965BB0">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14.   </w:t>
      </w:r>
      <w:r w:rsidR="001F5C90" w:rsidRPr="00BE1959">
        <w:rPr>
          <w:rFonts w:ascii="Times New Roman" w:eastAsia="Times New Roman" w:hAnsi="Times New Roman" w:cs="Times New Roman"/>
          <w:sz w:val="24"/>
          <w:szCs w:val="24"/>
          <w:lang w:val="uk-UA"/>
        </w:rPr>
        <w:t>Держави-члени</w:t>
      </w:r>
      <w:r w:rsidRPr="00BE1959">
        <w:rPr>
          <w:rFonts w:ascii="Times New Roman" w:eastAsia="Times New Roman" w:hAnsi="Times New Roman" w:cs="Times New Roman"/>
          <w:sz w:val="24"/>
          <w:szCs w:val="24"/>
          <w:lang w:val="uk-UA"/>
        </w:rPr>
        <w:t xml:space="preserve"> </w:t>
      </w:r>
      <w:r w:rsidR="00727922" w:rsidRPr="00BE1959">
        <w:rPr>
          <w:rFonts w:ascii="Times New Roman" w:eastAsia="Times New Roman" w:hAnsi="Times New Roman" w:cs="Times New Roman"/>
          <w:sz w:val="24"/>
          <w:szCs w:val="24"/>
          <w:lang w:val="uk-UA"/>
        </w:rPr>
        <w:t>передбачають можливість застосування компетентними органами своїх повноважень на накладання санкцій за цією директивою за порушення лімітів позицій</w:t>
      </w:r>
      <w:r w:rsidR="00965BB0" w:rsidRPr="00BE1959">
        <w:rPr>
          <w:rFonts w:ascii="Times New Roman" w:eastAsia="Times New Roman" w:hAnsi="Times New Roman" w:cs="Times New Roman"/>
          <w:sz w:val="24"/>
          <w:szCs w:val="24"/>
          <w:lang w:val="uk-UA"/>
        </w:rPr>
        <w:t>, установлених згідно з цією статтею, щодо:</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9093"/>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965BB0" w:rsidP="00965BB0">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позицій, утримуваних особами, розташованими або діючими на їхній території або за кордоном, які перевищують ліміти на контракти на товарні деривативи, встановлені компетентним органом у зв'язку з контрактами на торговельних майданчиках, розташованих або діючих на їхній території, або з економічно еквівалентними позабіржовими контрактами;</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DE3173"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965BB0" w:rsidP="004F1582">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позицій, утримуваних особами, розташованими або діючими на їхній території, які перевищують ліміти на контракти на товарні деривативи, встановлені компетентним</w:t>
            </w:r>
            <w:r w:rsidR="004F1582" w:rsidRPr="00BE1959">
              <w:rPr>
                <w:rFonts w:ascii="Times New Roman" w:eastAsia="Times New Roman" w:hAnsi="Times New Roman" w:cs="Times New Roman"/>
                <w:sz w:val="24"/>
                <w:szCs w:val="24"/>
                <w:lang w:val="uk-UA"/>
              </w:rPr>
              <w:t>и</w:t>
            </w:r>
            <w:r w:rsidRPr="00BE1959">
              <w:rPr>
                <w:rFonts w:ascii="Times New Roman" w:eastAsia="Times New Roman" w:hAnsi="Times New Roman" w:cs="Times New Roman"/>
                <w:sz w:val="24"/>
                <w:szCs w:val="24"/>
                <w:lang w:val="uk-UA"/>
              </w:rPr>
              <w:t xml:space="preserve"> орган</w:t>
            </w:r>
            <w:r w:rsidR="004F1582" w:rsidRPr="00BE1959">
              <w:rPr>
                <w:rFonts w:ascii="Times New Roman" w:eastAsia="Times New Roman" w:hAnsi="Times New Roman" w:cs="Times New Roman"/>
                <w:sz w:val="24"/>
                <w:szCs w:val="24"/>
                <w:lang w:val="uk-UA"/>
              </w:rPr>
              <w:t>ами</w:t>
            </w:r>
            <w:r w:rsidRPr="00BE1959">
              <w:rPr>
                <w:rFonts w:ascii="Times New Roman" w:eastAsia="Times New Roman" w:hAnsi="Times New Roman" w:cs="Times New Roman"/>
                <w:sz w:val="24"/>
                <w:szCs w:val="24"/>
                <w:lang w:val="uk-UA"/>
              </w:rPr>
              <w:t xml:space="preserve"> </w:t>
            </w:r>
            <w:r w:rsidR="004F1582" w:rsidRPr="00BE1959">
              <w:rPr>
                <w:rFonts w:ascii="Times New Roman" w:eastAsia="Times New Roman" w:hAnsi="Times New Roman" w:cs="Times New Roman"/>
                <w:sz w:val="24"/>
                <w:szCs w:val="24"/>
                <w:lang w:val="uk-UA"/>
              </w:rPr>
              <w:t>в інших державах-членах.</w:t>
            </w:r>
          </w:p>
        </w:tc>
      </w:tr>
    </w:tbl>
    <w:p w:rsidR="005613AB" w:rsidRPr="00BE1959" w:rsidRDefault="00162A11" w:rsidP="005613AB">
      <w:pPr>
        <w:spacing w:before="360" w:after="120" w:line="312" w:lineRule="atLeast"/>
        <w:jc w:val="center"/>
        <w:textAlignment w:val="baseline"/>
        <w:rPr>
          <w:rFonts w:ascii="Times New Roman" w:eastAsia="Times New Roman" w:hAnsi="Times New Roman" w:cs="Times New Roman"/>
          <w:i/>
          <w:iCs/>
          <w:sz w:val="24"/>
          <w:szCs w:val="24"/>
          <w:lang w:val="uk-UA"/>
        </w:rPr>
      </w:pPr>
      <w:r w:rsidRPr="00BE1959">
        <w:rPr>
          <w:rFonts w:ascii="Times New Roman" w:eastAsia="Times New Roman" w:hAnsi="Times New Roman" w:cs="Times New Roman"/>
          <w:i/>
          <w:iCs/>
          <w:sz w:val="24"/>
          <w:szCs w:val="24"/>
          <w:lang w:val="uk-UA"/>
        </w:rPr>
        <w:t>Стаття</w:t>
      </w:r>
      <w:r w:rsidR="005613AB" w:rsidRPr="00BE1959">
        <w:rPr>
          <w:rFonts w:ascii="Times New Roman" w:eastAsia="Times New Roman" w:hAnsi="Times New Roman" w:cs="Times New Roman"/>
          <w:i/>
          <w:iCs/>
          <w:sz w:val="24"/>
          <w:szCs w:val="24"/>
          <w:lang w:val="uk-UA"/>
        </w:rPr>
        <w:t xml:space="preserve"> 58</w:t>
      </w:r>
    </w:p>
    <w:p w:rsidR="005613AB" w:rsidRPr="00BE1959" w:rsidRDefault="000200F7" w:rsidP="005613AB">
      <w:pPr>
        <w:spacing w:before="60" w:after="120" w:line="312" w:lineRule="atLeast"/>
        <w:jc w:val="center"/>
        <w:textAlignment w:val="baseline"/>
        <w:rPr>
          <w:rFonts w:ascii="Times New Roman" w:eastAsia="Times New Roman" w:hAnsi="Times New Roman" w:cs="Times New Roman"/>
          <w:b/>
          <w:bCs/>
          <w:sz w:val="24"/>
          <w:szCs w:val="24"/>
          <w:lang w:val="uk-UA"/>
        </w:rPr>
      </w:pPr>
      <w:r w:rsidRPr="00BE1959">
        <w:rPr>
          <w:rFonts w:ascii="Times New Roman" w:eastAsia="Times New Roman" w:hAnsi="Times New Roman" w:cs="Times New Roman"/>
          <w:b/>
          <w:bCs/>
          <w:sz w:val="24"/>
          <w:szCs w:val="24"/>
          <w:lang w:val="uk-UA"/>
        </w:rPr>
        <w:t>Звітність щодо позицій по категоріях утримувачів позицій</w:t>
      </w:r>
    </w:p>
    <w:p w:rsidR="005613AB" w:rsidRPr="00BE1959" w:rsidRDefault="005613AB" w:rsidP="000200F7">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1.   </w:t>
      </w:r>
      <w:r w:rsidR="001F5C90" w:rsidRPr="00BE1959">
        <w:rPr>
          <w:rFonts w:ascii="Times New Roman" w:eastAsia="Times New Roman" w:hAnsi="Times New Roman" w:cs="Times New Roman"/>
          <w:sz w:val="24"/>
          <w:szCs w:val="24"/>
          <w:lang w:val="uk-UA"/>
        </w:rPr>
        <w:t>Держави-члени</w:t>
      </w:r>
      <w:r w:rsidRPr="00BE1959">
        <w:rPr>
          <w:rFonts w:ascii="Times New Roman" w:eastAsia="Times New Roman" w:hAnsi="Times New Roman" w:cs="Times New Roman"/>
          <w:sz w:val="24"/>
          <w:szCs w:val="24"/>
          <w:lang w:val="uk-UA"/>
        </w:rPr>
        <w:t xml:space="preserve"> </w:t>
      </w:r>
      <w:r w:rsidR="000200F7" w:rsidRPr="00BE1959">
        <w:rPr>
          <w:rFonts w:ascii="Times New Roman" w:eastAsia="Times New Roman" w:hAnsi="Times New Roman" w:cs="Times New Roman"/>
          <w:sz w:val="24"/>
          <w:szCs w:val="24"/>
          <w:lang w:val="uk-UA"/>
        </w:rPr>
        <w:t>забезпечують, щоб інвестиційна фірма або оператор ринку, що управляє торговельним майданчиком, де здійснюється торгівля товарними деривативами, квотами на викиди або деривативами на них:</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9093"/>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0200F7" w:rsidP="008E20DD">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оприлюднювали щотижневий звіт із зазначенням сукупних позицій, утримуваних різними категоріями осіб щодо різних товарних деривативів, квот на викиди або деривативів на них, що знаходяться в обігу на їхньому торговельному майданчику, з </w:t>
            </w:r>
            <w:r w:rsidR="004001EA" w:rsidRPr="00BE1959">
              <w:rPr>
                <w:rFonts w:ascii="Times New Roman" w:eastAsia="Times New Roman" w:hAnsi="Times New Roman" w:cs="Times New Roman"/>
                <w:sz w:val="24"/>
                <w:szCs w:val="24"/>
                <w:lang w:val="uk-UA"/>
              </w:rPr>
              <w:t>зазначенням довгих і коротких позицій по таких категоріях, змін у них порівняно</w:t>
            </w:r>
            <w:r w:rsidR="00ED3701" w:rsidRPr="00BE1959">
              <w:rPr>
                <w:rFonts w:ascii="Times New Roman" w:eastAsia="Times New Roman" w:hAnsi="Times New Roman" w:cs="Times New Roman"/>
                <w:sz w:val="24"/>
                <w:szCs w:val="24"/>
                <w:lang w:val="uk-UA"/>
              </w:rPr>
              <w:t xml:space="preserve"> з попереднім звітом, в</w:t>
            </w:r>
            <w:r w:rsidR="008E20DD" w:rsidRPr="00BE1959">
              <w:rPr>
                <w:rFonts w:ascii="Times New Roman" w:eastAsia="Times New Roman" w:hAnsi="Times New Roman" w:cs="Times New Roman"/>
                <w:sz w:val="24"/>
                <w:szCs w:val="24"/>
                <w:lang w:val="uk-UA"/>
              </w:rPr>
              <w:t>ідсоткової частки загальної суми відкритих позицій по кожній категорії та кількості осіб, утримуючих позицію в кожній категорії відповідно до пункту</w:t>
            </w:r>
            <w:r w:rsidR="00ED3701" w:rsidRPr="00BE1959">
              <w:rPr>
                <w:rFonts w:ascii="Times New Roman" w:eastAsia="Times New Roman" w:hAnsi="Times New Roman" w:cs="Times New Roman"/>
                <w:sz w:val="24"/>
                <w:szCs w:val="24"/>
                <w:lang w:val="uk-UA"/>
              </w:rPr>
              <w:t xml:space="preserve"> 4, та подавали цей звіт компетентному органу і ESMA; ESMA</w:t>
            </w:r>
            <w:r w:rsidR="000F7757" w:rsidRPr="00BE1959">
              <w:rPr>
                <w:rFonts w:ascii="Times New Roman" w:eastAsia="Times New Roman" w:hAnsi="Times New Roman" w:cs="Times New Roman"/>
                <w:sz w:val="24"/>
                <w:szCs w:val="24"/>
                <w:lang w:val="uk-UA"/>
              </w:rPr>
              <w:t xml:space="preserve"> здійснює централізовану публікацію інформації, наведеної у цих звітах;</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DE3173"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0F7757" w:rsidP="000F7757">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надавали компетентному органу повну розбивку позицій, утримуваних усіма особами, зокрема членами або учасниками чи їхніми клієнтами, на даному торговельному майданчику, як мінімум щоденно.</w:t>
            </w:r>
          </w:p>
        </w:tc>
      </w:tr>
    </w:tbl>
    <w:p w:rsidR="005613AB" w:rsidRPr="00BE1959" w:rsidRDefault="000F7757" w:rsidP="00C350C4">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Зобов’язання, викладене у пп. (а), застосовується лише у випадку, якщо і кількість осіб, і їхні відкриті позиції перевищують мінімальні пороги</w:t>
      </w:r>
      <w:r w:rsidR="005613AB" w:rsidRPr="00BE1959">
        <w:rPr>
          <w:rFonts w:ascii="Times New Roman" w:eastAsia="Times New Roman" w:hAnsi="Times New Roman" w:cs="Times New Roman"/>
          <w:sz w:val="24"/>
          <w:szCs w:val="24"/>
          <w:lang w:val="uk-UA"/>
        </w:rPr>
        <w:t>.</w:t>
      </w:r>
    </w:p>
    <w:p w:rsidR="005613AB" w:rsidRPr="00BE1959" w:rsidRDefault="005613AB" w:rsidP="00E16F71">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2.   </w:t>
      </w:r>
      <w:r w:rsidR="001F5C90" w:rsidRPr="00BE1959">
        <w:rPr>
          <w:rFonts w:ascii="Times New Roman" w:eastAsia="Times New Roman" w:hAnsi="Times New Roman" w:cs="Times New Roman"/>
          <w:sz w:val="24"/>
          <w:szCs w:val="24"/>
          <w:lang w:val="uk-UA"/>
        </w:rPr>
        <w:t>Держави-члени</w:t>
      </w:r>
      <w:r w:rsidRPr="00BE1959">
        <w:rPr>
          <w:rFonts w:ascii="Times New Roman" w:eastAsia="Times New Roman" w:hAnsi="Times New Roman" w:cs="Times New Roman"/>
          <w:sz w:val="24"/>
          <w:szCs w:val="24"/>
          <w:lang w:val="uk-UA"/>
        </w:rPr>
        <w:t xml:space="preserve"> </w:t>
      </w:r>
      <w:r w:rsidR="00C350C4" w:rsidRPr="00BE1959">
        <w:rPr>
          <w:rFonts w:ascii="Times New Roman" w:eastAsia="Times New Roman" w:hAnsi="Times New Roman" w:cs="Times New Roman"/>
          <w:sz w:val="24"/>
          <w:szCs w:val="24"/>
          <w:lang w:val="uk-UA"/>
        </w:rPr>
        <w:t xml:space="preserve">забезпечують, щоб інвестиційні фірми, які торгують </w:t>
      </w:r>
      <w:r w:rsidR="004D499C" w:rsidRPr="00BE1959">
        <w:rPr>
          <w:rFonts w:ascii="Times New Roman" w:eastAsia="Times New Roman" w:hAnsi="Times New Roman" w:cs="Times New Roman"/>
          <w:sz w:val="24"/>
          <w:szCs w:val="24"/>
          <w:lang w:val="uk-UA"/>
        </w:rPr>
        <w:t xml:space="preserve">товарними деривативами, квотами на викиди або деривативами на них </w:t>
      </w:r>
      <w:r w:rsidR="00C350C4" w:rsidRPr="00BE1959">
        <w:rPr>
          <w:rFonts w:ascii="Times New Roman" w:eastAsia="Times New Roman" w:hAnsi="Times New Roman" w:cs="Times New Roman"/>
          <w:sz w:val="24"/>
          <w:szCs w:val="24"/>
          <w:lang w:val="uk-UA"/>
        </w:rPr>
        <w:t xml:space="preserve">поза межами торговельного </w:t>
      </w:r>
      <w:r w:rsidR="00C350C4" w:rsidRPr="00BE1959">
        <w:rPr>
          <w:rFonts w:ascii="Times New Roman" w:eastAsia="Times New Roman" w:hAnsi="Times New Roman" w:cs="Times New Roman"/>
          <w:sz w:val="24"/>
          <w:szCs w:val="24"/>
          <w:lang w:val="uk-UA"/>
        </w:rPr>
        <w:lastRenderedPageBreak/>
        <w:t>майданчика</w:t>
      </w:r>
      <w:r w:rsidR="004D499C" w:rsidRPr="00BE1959">
        <w:rPr>
          <w:rFonts w:ascii="Times New Roman" w:eastAsia="Times New Roman" w:hAnsi="Times New Roman" w:cs="Times New Roman"/>
          <w:sz w:val="24"/>
          <w:szCs w:val="24"/>
          <w:lang w:val="uk-UA"/>
        </w:rPr>
        <w:t>, як мінімум щоденно подавали компетентному органу</w:t>
      </w:r>
      <w:r w:rsidRPr="00BE1959">
        <w:rPr>
          <w:rFonts w:ascii="Times New Roman" w:eastAsia="Times New Roman" w:hAnsi="Times New Roman" w:cs="Times New Roman"/>
          <w:sz w:val="24"/>
          <w:szCs w:val="24"/>
          <w:lang w:val="uk-UA"/>
        </w:rPr>
        <w:t xml:space="preserve"> </w:t>
      </w:r>
      <w:r w:rsidR="004D499C" w:rsidRPr="00BE1959">
        <w:rPr>
          <w:rFonts w:ascii="Times New Roman" w:eastAsia="Times New Roman" w:hAnsi="Times New Roman" w:cs="Times New Roman"/>
          <w:sz w:val="24"/>
          <w:szCs w:val="24"/>
          <w:lang w:val="uk-UA"/>
        </w:rPr>
        <w:t xml:space="preserve">того </w:t>
      </w:r>
      <w:r w:rsidR="00DE1B9C" w:rsidRPr="00BE1959">
        <w:rPr>
          <w:rFonts w:ascii="Times New Roman" w:eastAsia="Times New Roman" w:hAnsi="Times New Roman" w:cs="Times New Roman"/>
          <w:sz w:val="24"/>
          <w:szCs w:val="24"/>
          <w:lang w:val="uk-UA"/>
        </w:rPr>
        <w:t>торговельного майданчика</w:t>
      </w:r>
      <w:r w:rsidR="004D499C" w:rsidRPr="00BE1959">
        <w:rPr>
          <w:rFonts w:ascii="Times New Roman" w:eastAsia="Times New Roman" w:hAnsi="Times New Roman" w:cs="Times New Roman"/>
          <w:sz w:val="24"/>
          <w:szCs w:val="24"/>
          <w:lang w:val="uk-UA"/>
        </w:rPr>
        <w:t>, на якому здійснюється торгівля товарними деривативами, квотами на викиди або деривативами на них, або центральному компетентному органу у випадку, якщо торгівля товарними деривативами, квотами на викиди або деривативами на них здійснюється у великих обсягах на торговельних майданчиках у більш ніж одній юрисдикції, повну розбивку їхніх позицій, відкритих за товарними деривативами, квотами на викиди або деривативами на них</w:t>
      </w:r>
      <w:r w:rsidR="00E16F71" w:rsidRPr="00BE1959">
        <w:rPr>
          <w:rFonts w:ascii="Times New Roman" w:eastAsia="Times New Roman" w:hAnsi="Times New Roman" w:cs="Times New Roman"/>
          <w:sz w:val="24"/>
          <w:szCs w:val="24"/>
          <w:lang w:val="uk-UA"/>
        </w:rPr>
        <w:t xml:space="preserve">, що знаходяться в обігу на торговельному майданчику, і за економічно еквівалентними позабіржовими контрактами, а також </w:t>
      </w:r>
      <w:r w:rsidR="007A4D8C" w:rsidRPr="00BE1959">
        <w:rPr>
          <w:rFonts w:ascii="Times New Roman" w:eastAsia="Times New Roman" w:hAnsi="Times New Roman" w:cs="Times New Roman"/>
          <w:sz w:val="24"/>
          <w:szCs w:val="24"/>
          <w:lang w:val="uk-UA"/>
        </w:rPr>
        <w:t xml:space="preserve">відповідних позицій їхніх клієнтів і клієнтів цих клієнтів аж до кінцевого клієнта, </w:t>
      </w:r>
      <w:r w:rsidR="00E16F71" w:rsidRPr="00BE1959">
        <w:rPr>
          <w:rFonts w:ascii="Times New Roman" w:eastAsia="Times New Roman" w:hAnsi="Times New Roman" w:cs="Times New Roman"/>
          <w:sz w:val="24"/>
          <w:szCs w:val="24"/>
          <w:lang w:val="uk-UA"/>
        </w:rPr>
        <w:t>відповідно до статті</w:t>
      </w:r>
      <w:r w:rsidRPr="00BE1959">
        <w:rPr>
          <w:rFonts w:ascii="Times New Roman" w:eastAsia="Times New Roman" w:hAnsi="Times New Roman" w:cs="Times New Roman"/>
          <w:sz w:val="24"/>
          <w:szCs w:val="24"/>
          <w:lang w:val="uk-UA"/>
        </w:rPr>
        <w:t xml:space="preserve"> 26 </w:t>
      </w:r>
      <w:r w:rsidR="008824AE" w:rsidRPr="00BE1959">
        <w:rPr>
          <w:rFonts w:ascii="Times New Roman" w:eastAsia="Times New Roman" w:hAnsi="Times New Roman" w:cs="Times New Roman"/>
          <w:sz w:val="24"/>
          <w:szCs w:val="24"/>
          <w:lang w:val="uk-UA"/>
        </w:rPr>
        <w:t>Регламенту</w:t>
      </w:r>
      <w:r w:rsidRPr="00BE1959">
        <w:rPr>
          <w:rFonts w:ascii="Times New Roman" w:eastAsia="Times New Roman" w:hAnsi="Times New Roman" w:cs="Times New Roman"/>
          <w:sz w:val="24"/>
          <w:szCs w:val="24"/>
          <w:lang w:val="uk-UA"/>
        </w:rPr>
        <w:t xml:space="preserve"> </w:t>
      </w:r>
      <w:r w:rsidR="00E16F71" w:rsidRPr="00BE1959">
        <w:rPr>
          <w:rFonts w:ascii="Times New Roman" w:eastAsia="Times New Roman" w:hAnsi="Times New Roman" w:cs="Times New Roman"/>
          <w:sz w:val="24"/>
          <w:szCs w:val="24"/>
          <w:lang w:val="uk-UA"/>
        </w:rPr>
        <w:t>(EU) № 600/201 та, де доречно,</w:t>
      </w:r>
      <w:r w:rsidRPr="00BE1959">
        <w:rPr>
          <w:rFonts w:ascii="Times New Roman" w:eastAsia="Times New Roman" w:hAnsi="Times New Roman" w:cs="Times New Roman"/>
          <w:sz w:val="24"/>
          <w:szCs w:val="24"/>
          <w:lang w:val="uk-UA"/>
        </w:rPr>
        <w:t xml:space="preserve"> </w:t>
      </w:r>
      <w:r w:rsidR="0065313E" w:rsidRPr="00BE1959">
        <w:rPr>
          <w:rFonts w:ascii="Times New Roman" w:eastAsia="Times New Roman" w:hAnsi="Times New Roman" w:cs="Times New Roman"/>
          <w:sz w:val="24"/>
          <w:szCs w:val="24"/>
          <w:lang w:val="uk-UA"/>
        </w:rPr>
        <w:t>статті</w:t>
      </w:r>
      <w:r w:rsidRPr="00BE1959">
        <w:rPr>
          <w:rFonts w:ascii="Times New Roman" w:eastAsia="Times New Roman" w:hAnsi="Times New Roman" w:cs="Times New Roman"/>
          <w:sz w:val="24"/>
          <w:szCs w:val="24"/>
          <w:lang w:val="uk-UA"/>
        </w:rPr>
        <w:t xml:space="preserve"> 8 </w:t>
      </w:r>
      <w:r w:rsidR="008824AE" w:rsidRPr="00BE1959">
        <w:rPr>
          <w:rFonts w:ascii="Times New Roman" w:eastAsia="Times New Roman" w:hAnsi="Times New Roman" w:cs="Times New Roman"/>
          <w:sz w:val="24"/>
          <w:szCs w:val="24"/>
          <w:lang w:val="uk-UA"/>
        </w:rPr>
        <w:t>Регламенту</w:t>
      </w:r>
      <w:r w:rsidRPr="00BE1959">
        <w:rPr>
          <w:rFonts w:ascii="Times New Roman" w:eastAsia="Times New Roman" w:hAnsi="Times New Roman" w:cs="Times New Roman"/>
          <w:sz w:val="24"/>
          <w:szCs w:val="24"/>
          <w:lang w:val="uk-UA"/>
        </w:rPr>
        <w:t xml:space="preserve"> </w:t>
      </w:r>
      <w:r w:rsidR="00DB4825" w:rsidRPr="00BE1959">
        <w:rPr>
          <w:rFonts w:ascii="Times New Roman" w:eastAsia="Times New Roman" w:hAnsi="Times New Roman" w:cs="Times New Roman"/>
          <w:sz w:val="24"/>
          <w:szCs w:val="24"/>
          <w:lang w:val="uk-UA"/>
        </w:rPr>
        <w:t>(EU) №</w:t>
      </w:r>
      <w:r w:rsidRPr="00BE1959">
        <w:rPr>
          <w:rFonts w:ascii="Times New Roman" w:eastAsia="Times New Roman" w:hAnsi="Times New Roman" w:cs="Times New Roman"/>
          <w:sz w:val="24"/>
          <w:szCs w:val="24"/>
          <w:lang w:val="uk-UA"/>
        </w:rPr>
        <w:t> 1227/2011.</w:t>
      </w:r>
    </w:p>
    <w:p w:rsidR="007A4D8C"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3.   </w:t>
      </w:r>
      <w:r w:rsidR="007A4D8C" w:rsidRPr="00BE1959">
        <w:rPr>
          <w:rFonts w:ascii="Times New Roman" w:eastAsia="Times New Roman" w:hAnsi="Times New Roman" w:cs="Times New Roman"/>
          <w:sz w:val="24"/>
          <w:szCs w:val="24"/>
          <w:lang w:val="uk-UA"/>
        </w:rPr>
        <w:t>З метою забезпечення контролю дотримання статті 57(1) держави-члени вимагають від членів або учасників регульованих ринків, БТМ і клієнтів ОТМ повідомляти інвестиційній фірмі або оператору ринку, що управляє даним торговельним майданчиком, як мінімум щоденно детальні відомості про їхні власні позиції, утримувані за контрактами, що торгуються на даному торговельному майданчику, а також про відповідні позиції їхніх клієнтів і клієнтів цих клієнтів аж до кінцевого клієнта.</w:t>
      </w:r>
    </w:p>
    <w:p w:rsidR="005613AB" w:rsidRPr="00BE1959" w:rsidRDefault="005613AB" w:rsidP="00343AF8">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4.   </w:t>
      </w:r>
      <w:r w:rsidR="00433D2A" w:rsidRPr="00BE1959">
        <w:rPr>
          <w:rFonts w:ascii="Times New Roman" w:eastAsia="Times New Roman" w:hAnsi="Times New Roman" w:cs="Times New Roman"/>
          <w:sz w:val="24"/>
          <w:szCs w:val="24"/>
          <w:lang w:val="uk-UA"/>
        </w:rPr>
        <w:t>Особи, які утримують позиції за товарним деривативом, квотою на викиди або деривативом на неї, класифікуються інвестиційною фірмою або оператором ринку, що управляє даним торговельним майданчиком, за характером їхньої основної діяльності з ураху</w:t>
      </w:r>
      <w:r w:rsidR="00343AF8" w:rsidRPr="00BE1959">
        <w:rPr>
          <w:rFonts w:ascii="Times New Roman" w:eastAsia="Times New Roman" w:hAnsi="Times New Roman" w:cs="Times New Roman"/>
          <w:sz w:val="24"/>
          <w:szCs w:val="24"/>
          <w:lang w:val="uk-UA"/>
        </w:rPr>
        <w:t>ванням застосовних дозволів, наступним чином:</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3"/>
        <w:gridCol w:w="9092"/>
      </w:tblGrid>
      <w:tr w:rsidR="005613AB" w:rsidRPr="0043174D" w:rsidTr="00343AF8">
        <w:tc>
          <w:tcPr>
            <w:tcW w:w="197"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(a)</w:t>
            </w:r>
          </w:p>
        </w:tc>
        <w:tc>
          <w:tcPr>
            <w:tcW w:w="4803"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E44229" w:rsidP="00E44229">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інвестиційні фірми або кредитні установи;</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E44229" w:rsidP="00414E0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інвестиційні фонди</w:t>
            </w:r>
            <w:r w:rsidR="00414E0B" w:rsidRPr="00BE1959">
              <w:rPr>
                <w:rFonts w:ascii="Times New Roman" w:eastAsia="Times New Roman" w:hAnsi="Times New Roman" w:cs="Times New Roman"/>
                <w:sz w:val="24"/>
                <w:szCs w:val="24"/>
                <w:lang w:val="uk-UA"/>
              </w:rPr>
              <w:t xml:space="preserve"> – або підприємство</w:t>
            </w:r>
            <w:r w:rsidRPr="00BE1959">
              <w:rPr>
                <w:rFonts w:ascii="Times New Roman" w:eastAsia="Times New Roman" w:hAnsi="Times New Roman" w:cs="Times New Roman"/>
                <w:sz w:val="24"/>
                <w:szCs w:val="24"/>
                <w:lang w:val="uk-UA"/>
              </w:rPr>
              <w:t xml:space="preserve"> колективного інвестування в оборотні цінні папери (UCITS)</w:t>
            </w:r>
            <w:r w:rsidR="00414E0B" w:rsidRPr="00BE1959">
              <w:rPr>
                <w:rFonts w:ascii="Times New Roman" w:eastAsia="Times New Roman" w:hAnsi="Times New Roman" w:cs="Times New Roman"/>
                <w:sz w:val="24"/>
                <w:szCs w:val="24"/>
                <w:lang w:val="uk-UA"/>
              </w:rPr>
              <w:t>, згідно з визначенням у</w:t>
            </w:r>
            <w:r w:rsidR="0042329D" w:rsidRPr="00BE1959">
              <w:rPr>
                <w:rFonts w:ascii="Times New Roman" w:eastAsia="Times New Roman" w:hAnsi="Times New Roman" w:cs="Times New Roman"/>
                <w:sz w:val="24"/>
                <w:szCs w:val="24"/>
                <w:lang w:val="uk-UA"/>
              </w:rPr>
              <w:t xml:space="preserve"> Директиві</w:t>
            </w:r>
            <w:r w:rsidR="005613AB" w:rsidRPr="00BE1959">
              <w:rPr>
                <w:rFonts w:ascii="Times New Roman" w:eastAsia="Times New Roman" w:hAnsi="Times New Roman" w:cs="Times New Roman"/>
                <w:sz w:val="24"/>
                <w:szCs w:val="24"/>
                <w:lang w:val="uk-UA"/>
              </w:rPr>
              <w:t xml:space="preserve"> 2009/65/EC, </w:t>
            </w:r>
            <w:r w:rsidR="00414E0B" w:rsidRPr="00BE1959">
              <w:rPr>
                <w:rFonts w:ascii="Times New Roman" w:eastAsia="Times New Roman" w:hAnsi="Times New Roman" w:cs="Times New Roman"/>
                <w:sz w:val="24"/>
                <w:szCs w:val="24"/>
                <w:lang w:val="uk-UA"/>
              </w:rPr>
              <w:t xml:space="preserve">або компанія, управляюча альтернативним інвестиційним фондом, згідно з визначенням </w:t>
            </w:r>
            <w:r w:rsidR="0042329D" w:rsidRPr="00BE1959">
              <w:rPr>
                <w:rFonts w:ascii="Times New Roman" w:eastAsia="Times New Roman" w:hAnsi="Times New Roman" w:cs="Times New Roman"/>
                <w:sz w:val="24"/>
                <w:szCs w:val="24"/>
                <w:lang w:val="uk-UA"/>
              </w:rPr>
              <w:t>у Директиві</w:t>
            </w:r>
            <w:r w:rsidR="005613AB" w:rsidRPr="00BE1959">
              <w:rPr>
                <w:rFonts w:ascii="Times New Roman" w:eastAsia="Times New Roman" w:hAnsi="Times New Roman" w:cs="Times New Roman"/>
                <w:sz w:val="24"/>
                <w:szCs w:val="24"/>
                <w:lang w:val="uk-UA"/>
              </w:rPr>
              <w:t xml:space="preserve"> 2011/61/EC;</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9093"/>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414E0B" w:rsidP="001E6514">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інші фінансові установи, зокрема страхові компанії та організації перестрахування, згідно з визначенням у </w:t>
            </w:r>
            <w:r w:rsidR="0042329D" w:rsidRPr="00BE1959">
              <w:rPr>
                <w:rFonts w:ascii="Times New Roman" w:eastAsia="Times New Roman" w:hAnsi="Times New Roman" w:cs="Times New Roman"/>
                <w:sz w:val="24"/>
                <w:szCs w:val="24"/>
                <w:lang w:val="uk-UA"/>
              </w:rPr>
              <w:t>Директиві</w:t>
            </w:r>
            <w:r w:rsidR="005613AB" w:rsidRPr="00BE1959">
              <w:rPr>
                <w:rFonts w:ascii="Times New Roman" w:eastAsia="Times New Roman" w:hAnsi="Times New Roman" w:cs="Times New Roman"/>
                <w:sz w:val="24"/>
                <w:szCs w:val="24"/>
                <w:lang w:val="uk-UA"/>
              </w:rPr>
              <w:t xml:space="preserve"> 2009/138/EC, </w:t>
            </w:r>
            <w:r w:rsidR="007709FE" w:rsidRPr="00BE1959">
              <w:rPr>
                <w:rFonts w:ascii="Times New Roman" w:eastAsia="Times New Roman" w:hAnsi="Times New Roman" w:cs="Times New Roman"/>
                <w:sz w:val="24"/>
                <w:szCs w:val="24"/>
                <w:lang w:val="uk-UA"/>
              </w:rPr>
              <w:t xml:space="preserve">та установи </w:t>
            </w:r>
            <w:r w:rsidR="001E6514" w:rsidRPr="00BE1959">
              <w:rPr>
                <w:rFonts w:ascii="Times New Roman" w:eastAsia="Times New Roman" w:hAnsi="Times New Roman" w:cs="Times New Roman"/>
                <w:sz w:val="24"/>
                <w:szCs w:val="24"/>
                <w:lang w:val="uk-UA"/>
              </w:rPr>
              <w:t>недержавного пенсійного забезпечення, згідно з визначенням у</w:t>
            </w:r>
            <w:r w:rsidR="0042329D" w:rsidRPr="00BE1959">
              <w:rPr>
                <w:rFonts w:ascii="Times New Roman" w:eastAsia="Times New Roman" w:hAnsi="Times New Roman" w:cs="Times New Roman"/>
                <w:sz w:val="24"/>
                <w:szCs w:val="24"/>
                <w:lang w:val="uk-UA"/>
              </w:rPr>
              <w:t xml:space="preserve"> Директиві</w:t>
            </w:r>
            <w:r w:rsidR="005613AB" w:rsidRPr="00BE1959">
              <w:rPr>
                <w:rFonts w:ascii="Times New Roman" w:eastAsia="Times New Roman" w:hAnsi="Times New Roman" w:cs="Times New Roman"/>
                <w:sz w:val="24"/>
                <w:szCs w:val="24"/>
                <w:lang w:val="uk-UA"/>
              </w:rPr>
              <w:t xml:space="preserve"> </w:t>
            </w:r>
            <w:r w:rsidR="007709FE" w:rsidRPr="00BE1959">
              <w:rPr>
                <w:rFonts w:ascii="Times New Roman" w:eastAsia="Times New Roman" w:hAnsi="Times New Roman" w:cs="Times New Roman"/>
                <w:sz w:val="24"/>
                <w:szCs w:val="24"/>
                <w:lang w:val="uk-UA"/>
              </w:rPr>
              <w:t>2003/41</w:t>
            </w:r>
            <w:r w:rsidR="005613AB" w:rsidRPr="00BE1959">
              <w:rPr>
                <w:rFonts w:ascii="Times New Roman" w:eastAsia="Times New Roman" w:hAnsi="Times New Roman" w:cs="Times New Roman"/>
                <w:sz w:val="24"/>
                <w:szCs w:val="24"/>
                <w:lang w:val="uk-UA"/>
              </w:rPr>
              <w:t>/EC;</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5613AB" w:rsidRPr="00BE1959" w:rsidTr="00343AF8">
        <w:tc>
          <w:tcPr>
            <w:tcW w:w="203"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(d)</w:t>
            </w:r>
          </w:p>
        </w:tc>
        <w:tc>
          <w:tcPr>
            <w:tcW w:w="4797"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1E6514"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комерційні підприємства</w:t>
            </w:r>
            <w:r w:rsidR="005613AB" w:rsidRPr="00BE1959">
              <w:rPr>
                <w:rFonts w:ascii="Times New Roman" w:eastAsia="Times New Roman" w:hAnsi="Times New Roman" w:cs="Times New Roman"/>
                <w:sz w:val="24"/>
                <w:szCs w:val="24"/>
                <w:lang w:val="uk-UA"/>
              </w:rPr>
              <w:t>;</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9093"/>
      </w:tblGrid>
      <w:tr w:rsidR="00DE3173" w:rsidRPr="00BE1959"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(e)</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1E6514" w:rsidP="008E20DD">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у випадку квот на викиди або деривативів на них</w:t>
            </w:r>
            <w:r w:rsidR="008E20DD" w:rsidRPr="00BE1959">
              <w:rPr>
                <w:rFonts w:ascii="Times New Roman" w:eastAsia="Times New Roman" w:hAnsi="Times New Roman" w:cs="Times New Roman"/>
                <w:sz w:val="24"/>
                <w:szCs w:val="24"/>
                <w:lang w:val="uk-UA"/>
              </w:rPr>
              <w:t xml:space="preserve"> – оператори, що мають зобов’язання з дотримання за Директивою</w:t>
            </w:r>
            <w:r w:rsidR="005613AB" w:rsidRPr="00BE1959">
              <w:rPr>
                <w:rFonts w:ascii="Times New Roman" w:eastAsia="Times New Roman" w:hAnsi="Times New Roman" w:cs="Times New Roman"/>
                <w:sz w:val="24"/>
                <w:szCs w:val="24"/>
                <w:lang w:val="uk-UA"/>
              </w:rPr>
              <w:t xml:space="preserve"> 2003/87/EC.</w:t>
            </w:r>
          </w:p>
        </w:tc>
      </w:tr>
    </w:tbl>
    <w:p w:rsidR="005613AB" w:rsidRPr="00BE1959" w:rsidRDefault="008E20DD" w:rsidP="008E20DD">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У звітах, згаданих у пп. (а) пункту 1, зазначається кількість довгих і коротких позицій по категоріях осіб, зміни у них порівняно з попереднім звітом, відсоткова частка загальної суми відкритих позицій по кожній категорії та кількість осіб, утримуючих позицію в кожній категорії.</w:t>
      </w:r>
    </w:p>
    <w:p w:rsidR="005613AB" w:rsidRPr="00BE1959" w:rsidRDefault="008E20DD" w:rsidP="008E20DD">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lastRenderedPageBreak/>
        <w:t>У звітах, згаданих у пп. (а) пункту 1, і розбивках, згаданих у пункті 2, розрізняються:</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9093"/>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C106DC" w:rsidP="00C106DC">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позиції, визначені як позиції, що є об’єктивно вимірюваними як такі, що зменшують ризики, безпосередньо пов'язані з комерційною діяльністю; та</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2"/>
        <w:gridCol w:w="8963"/>
      </w:tblGrid>
      <w:tr w:rsidR="00DE3173" w:rsidRPr="00BE1959" w:rsidTr="00C106DC">
        <w:tc>
          <w:tcPr>
            <w:tcW w:w="265"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(b)</w:t>
            </w:r>
          </w:p>
        </w:tc>
        <w:tc>
          <w:tcPr>
            <w:tcW w:w="4735"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C106DC"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інші позиції</w:t>
            </w:r>
            <w:r w:rsidR="005613AB" w:rsidRPr="00BE1959">
              <w:rPr>
                <w:rFonts w:ascii="Times New Roman" w:eastAsia="Times New Roman" w:hAnsi="Times New Roman" w:cs="Times New Roman"/>
                <w:sz w:val="24"/>
                <w:szCs w:val="24"/>
                <w:lang w:val="uk-UA"/>
              </w:rPr>
              <w:t>.</w:t>
            </w:r>
          </w:p>
        </w:tc>
      </w:tr>
    </w:tbl>
    <w:p w:rsidR="00C106DC" w:rsidRPr="00BE1959" w:rsidRDefault="005613AB" w:rsidP="00C106DC">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5.   </w:t>
      </w:r>
      <w:r w:rsidR="00907A24" w:rsidRPr="00BE1959">
        <w:rPr>
          <w:rFonts w:ascii="Times New Roman" w:eastAsia="Times New Roman" w:hAnsi="Times New Roman" w:cs="Times New Roman"/>
          <w:sz w:val="24"/>
          <w:szCs w:val="24"/>
          <w:lang w:val="uk-UA"/>
        </w:rPr>
        <w:t>ESMA розробляє проекти  виконавчих технічних стандартів, де визначається формат звітів, згаданих у пп. (а) пункту 1, і розбивок, згаданих у пункті 2.</w:t>
      </w:r>
    </w:p>
    <w:p w:rsidR="00DC1E45" w:rsidRPr="00BE1959" w:rsidRDefault="00DC1E45" w:rsidP="00DC1E45">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ESMA подає проекти цих  виконавчих технічних стандартів Комісії до 3 січня 2016 року.</w:t>
      </w:r>
    </w:p>
    <w:p w:rsidR="00DC1E45" w:rsidRPr="00BE1959" w:rsidRDefault="00DC1E45" w:rsidP="00DC1E45">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Комісії надається повноваження на прийняття виконавчих стандартів, згаданих у першому абзаці цього пункту, згідно зі статтею 15 Регламенту (EU) № 1095/2010.</w:t>
      </w:r>
    </w:p>
    <w:p w:rsidR="005613AB" w:rsidRPr="00BE1959" w:rsidRDefault="00907A24" w:rsidP="00907A24">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У випадку квот на викиди та деривативів на них вищезгадана звітність не заважає реалізації зобов’язань із дотримання за Директивою</w:t>
      </w:r>
      <w:r w:rsidR="005613AB" w:rsidRPr="00BE1959">
        <w:rPr>
          <w:rFonts w:ascii="Times New Roman" w:eastAsia="Times New Roman" w:hAnsi="Times New Roman" w:cs="Times New Roman"/>
          <w:sz w:val="24"/>
          <w:szCs w:val="24"/>
          <w:lang w:val="uk-UA"/>
        </w:rPr>
        <w:t xml:space="preserve"> 2003/87/EC.</w:t>
      </w:r>
    </w:p>
    <w:p w:rsidR="005613AB" w:rsidRPr="00BE1959" w:rsidRDefault="005613AB" w:rsidP="00907A24">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6.   </w:t>
      </w:r>
      <w:r w:rsidR="00907A24" w:rsidRPr="00BE1959">
        <w:rPr>
          <w:rFonts w:ascii="Times New Roman" w:eastAsia="Times New Roman" w:hAnsi="Times New Roman" w:cs="Times New Roman"/>
          <w:sz w:val="24"/>
          <w:szCs w:val="24"/>
          <w:lang w:val="uk-UA"/>
        </w:rPr>
        <w:t>Комісії надається повноваження на прийняття делегованих актів відповідно до статті 89, де зазначаються пороги, згадані у другому абзаці пункту 1 цієї статті, з урахуванням загальної кількості відкритих позицій та їхнього розміру і загальної кількості утримувачів позиції.</w:t>
      </w:r>
    </w:p>
    <w:p w:rsidR="001B4CF2" w:rsidRPr="00BE1959" w:rsidRDefault="005613AB" w:rsidP="001B4CF2">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7.   </w:t>
      </w:r>
      <w:r w:rsidR="00907A24" w:rsidRPr="00BE1959">
        <w:rPr>
          <w:rFonts w:ascii="Times New Roman" w:eastAsia="Times New Roman" w:hAnsi="Times New Roman" w:cs="Times New Roman"/>
          <w:sz w:val="24"/>
          <w:szCs w:val="24"/>
          <w:lang w:val="uk-UA"/>
        </w:rPr>
        <w:t>ESMA розробляє проекти  виконавчих технічних стандартів, де визначаються заходи</w:t>
      </w:r>
      <w:r w:rsidR="001B4CF2" w:rsidRPr="00BE1959">
        <w:rPr>
          <w:rFonts w:ascii="Times New Roman" w:eastAsia="Times New Roman" w:hAnsi="Times New Roman" w:cs="Times New Roman"/>
          <w:sz w:val="24"/>
          <w:szCs w:val="24"/>
          <w:lang w:val="uk-UA"/>
        </w:rPr>
        <w:t>, які вимагають подання всіх звітів, зга</w:t>
      </w:r>
      <w:r w:rsidR="00907A24" w:rsidRPr="00BE1959">
        <w:rPr>
          <w:rFonts w:ascii="Times New Roman" w:eastAsia="Times New Roman" w:hAnsi="Times New Roman" w:cs="Times New Roman"/>
          <w:sz w:val="24"/>
          <w:szCs w:val="24"/>
          <w:lang w:val="uk-UA"/>
        </w:rPr>
        <w:t xml:space="preserve">даних у пп. (а) пункту 1, </w:t>
      </w:r>
      <w:r w:rsidR="00B0752B" w:rsidRPr="00BE1959">
        <w:rPr>
          <w:rFonts w:ascii="Times New Roman" w:eastAsia="Times New Roman" w:hAnsi="Times New Roman" w:cs="Times New Roman"/>
          <w:sz w:val="24"/>
          <w:szCs w:val="24"/>
          <w:lang w:val="uk-UA"/>
        </w:rPr>
        <w:t xml:space="preserve">до ESMA </w:t>
      </w:r>
      <w:r w:rsidR="00DC1E45" w:rsidRPr="00BE1959">
        <w:rPr>
          <w:rFonts w:ascii="Times New Roman" w:eastAsia="Times New Roman" w:hAnsi="Times New Roman" w:cs="Times New Roman"/>
          <w:sz w:val="24"/>
          <w:szCs w:val="24"/>
          <w:lang w:val="uk-UA"/>
        </w:rPr>
        <w:t>у встановлений щотижневий термін, для їхньої централізованої публікації ESMA.</w:t>
      </w:r>
    </w:p>
    <w:p w:rsidR="00DC1E45" w:rsidRPr="00BE1959" w:rsidRDefault="00DC1E45" w:rsidP="00DC1E45">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ESMA подає проекти цих  виконавчих технічних стандартів Комісії до 3 січня 2016 року.</w:t>
      </w:r>
    </w:p>
    <w:p w:rsidR="00DC1E45" w:rsidRPr="00BE1959" w:rsidRDefault="00DC1E45" w:rsidP="00DC1E45">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Комісії надається повноваження на прийняття виконавчих стандартів, згаданих у першому абзаці цього пункту, згідно зі статтею 15 Регламенту (EU) № 1095/2010.</w:t>
      </w:r>
    </w:p>
    <w:p w:rsidR="005613AB" w:rsidRPr="00BE1959" w:rsidRDefault="0099408E" w:rsidP="005613AB">
      <w:pPr>
        <w:spacing w:before="480" w:after="0" w:line="312" w:lineRule="atLeast"/>
        <w:jc w:val="center"/>
        <w:textAlignment w:val="baseline"/>
        <w:rPr>
          <w:rFonts w:ascii="Times New Roman" w:eastAsia="Times New Roman" w:hAnsi="Times New Roman" w:cs="Times New Roman"/>
          <w:b/>
          <w:bCs/>
          <w:sz w:val="24"/>
          <w:szCs w:val="24"/>
          <w:lang w:val="uk-UA"/>
        </w:rPr>
      </w:pPr>
      <w:r w:rsidRPr="00BE1959">
        <w:rPr>
          <w:rFonts w:ascii="Times New Roman" w:eastAsia="Times New Roman" w:hAnsi="Times New Roman" w:cs="Times New Roman"/>
          <w:b/>
          <w:bCs/>
          <w:sz w:val="24"/>
          <w:szCs w:val="24"/>
          <w:lang w:val="uk-UA"/>
        </w:rPr>
        <w:t>РОЗДІЛ</w:t>
      </w:r>
      <w:r w:rsidR="005613AB" w:rsidRPr="00BE1959">
        <w:rPr>
          <w:rFonts w:ascii="Times New Roman" w:eastAsia="Times New Roman" w:hAnsi="Times New Roman" w:cs="Times New Roman"/>
          <w:b/>
          <w:bCs/>
          <w:sz w:val="24"/>
          <w:szCs w:val="24"/>
          <w:lang w:val="uk-UA"/>
        </w:rPr>
        <w:t xml:space="preserve"> V</w:t>
      </w:r>
    </w:p>
    <w:p w:rsidR="005613AB" w:rsidRPr="00BE1959" w:rsidRDefault="00ED5F3A" w:rsidP="005613AB">
      <w:pPr>
        <w:spacing w:after="0" w:line="312" w:lineRule="atLeast"/>
        <w:jc w:val="center"/>
        <w:textAlignment w:val="baseline"/>
        <w:rPr>
          <w:rFonts w:ascii="Times New Roman" w:eastAsia="Times New Roman" w:hAnsi="Times New Roman" w:cs="Times New Roman"/>
          <w:b/>
          <w:bCs/>
          <w:sz w:val="24"/>
          <w:szCs w:val="24"/>
          <w:lang w:val="uk-UA"/>
        </w:rPr>
      </w:pPr>
      <w:r w:rsidRPr="00BE1959">
        <w:rPr>
          <w:rFonts w:ascii="Times New Roman" w:eastAsia="Times New Roman" w:hAnsi="Times New Roman" w:cs="Times New Roman"/>
          <w:b/>
          <w:bCs/>
          <w:sz w:val="24"/>
          <w:szCs w:val="24"/>
          <w:bdr w:val="none" w:sz="0" w:space="0" w:color="auto" w:frame="1"/>
          <w:lang w:val="uk-UA"/>
        </w:rPr>
        <w:t>ПОСЛУГИ З ПОВІДОМЛЕННЯ ДАНИХ</w:t>
      </w:r>
    </w:p>
    <w:p w:rsidR="005613AB" w:rsidRPr="00BE1959" w:rsidRDefault="00ED5F3A" w:rsidP="005613AB">
      <w:pPr>
        <w:spacing w:after="0" w:line="312" w:lineRule="atLeast"/>
        <w:jc w:val="center"/>
        <w:textAlignment w:val="baseline"/>
        <w:rPr>
          <w:rFonts w:ascii="Times New Roman" w:eastAsia="Times New Roman" w:hAnsi="Times New Roman" w:cs="Times New Roman"/>
          <w:b/>
          <w:bCs/>
          <w:sz w:val="24"/>
          <w:szCs w:val="24"/>
          <w:lang w:val="uk-UA"/>
        </w:rPr>
      </w:pPr>
      <w:r w:rsidRPr="00BE1959">
        <w:rPr>
          <w:rFonts w:ascii="Times New Roman" w:eastAsia="Times New Roman" w:hAnsi="Times New Roman" w:cs="Times New Roman"/>
          <w:b/>
          <w:bCs/>
          <w:sz w:val="24"/>
          <w:szCs w:val="24"/>
          <w:bdr w:val="none" w:sz="0" w:space="0" w:color="auto" w:frame="1"/>
          <w:lang w:val="uk-UA"/>
        </w:rPr>
        <w:t>Підрозділ</w:t>
      </w:r>
      <w:r w:rsidR="005613AB" w:rsidRPr="00BE1959">
        <w:rPr>
          <w:rFonts w:ascii="Times New Roman" w:eastAsia="Times New Roman" w:hAnsi="Times New Roman" w:cs="Times New Roman"/>
          <w:b/>
          <w:bCs/>
          <w:sz w:val="24"/>
          <w:szCs w:val="24"/>
          <w:bdr w:val="none" w:sz="0" w:space="0" w:color="auto" w:frame="1"/>
          <w:lang w:val="uk-UA"/>
        </w:rPr>
        <w:t xml:space="preserve"> 1</w:t>
      </w:r>
    </w:p>
    <w:p w:rsidR="005613AB" w:rsidRPr="00BE1959" w:rsidRDefault="00ED5F3A" w:rsidP="00ED5F3A">
      <w:pPr>
        <w:spacing w:after="0" w:line="312" w:lineRule="atLeast"/>
        <w:jc w:val="center"/>
        <w:textAlignment w:val="baseline"/>
        <w:rPr>
          <w:rFonts w:ascii="Times New Roman" w:eastAsia="Times New Roman" w:hAnsi="Times New Roman" w:cs="Times New Roman"/>
          <w:b/>
          <w:bCs/>
          <w:sz w:val="24"/>
          <w:szCs w:val="24"/>
          <w:lang w:val="uk-UA"/>
        </w:rPr>
      </w:pPr>
      <w:r w:rsidRPr="00BE1959">
        <w:rPr>
          <w:rFonts w:ascii="Times New Roman" w:eastAsia="Times New Roman" w:hAnsi="Times New Roman" w:cs="Times New Roman"/>
          <w:b/>
          <w:bCs/>
          <w:sz w:val="24"/>
          <w:szCs w:val="24"/>
          <w:bdr w:val="none" w:sz="0" w:space="0" w:color="auto" w:frame="1"/>
          <w:lang w:val="uk-UA"/>
        </w:rPr>
        <w:t>Порядок видачі дозволів надавачам послуг із повідомлення даних</w:t>
      </w:r>
    </w:p>
    <w:p w:rsidR="005613AB" w:rsidRPr="00BE1959" w:rsidRDefault="00162A11" w:rsidP="005613AB">
      <w:pPr>
        <w:spacing w:before="360" w:after="120" w:line="312" w:lineRule="atLeast"/>
        <w:jc w:val="center"/>
        <w:textAlignment w:val="baseline"/>
        <w:rPr>
          <w:rFonts w:ascii="Times New Roman" w:eastAsia="Times New Roman" w:hAnsi="Times New Roman" w:cs="Times New Roman"/>
          <w:i/>
          <w:iCs/>
          <w:sz w:val="24"/>
          <w:szCs w:val="24"/>
          <w:lang w:val="uk-UA"/>
        </w:rPr>
      </w:pPr>
      <w:r w:rsidRPr="00BE1959">
        <w:rPr>
          <w:rFonts w:ascii="Times New Roman" w:eastAsia="Times New Roman" w:hAnsi="Times New Roman" w:cs="Times New Roman"/>
          <w:i/>
          <w:iCs/>
          <w:sz w:val="24"/>
          <w:szCs w:val="24"/>
          <w:lang w:val="uk-UA"/>
        </w:rPr>
        <w:t>Стаття</w:t>
      </w:r>
      <w:r w:rsidR="005613AB" w:rsidRPr="00BE1959">
        <w:rPr>
          <w:rFonts w:ascii="Times New Roman" w:eastAsia="Times New Roman" w:hAnsi="Times New Roman" w:cs="Times New Roman"/>
          <w:i/>
          <w:iCs/>
          <w:sz w:val="24"/>
          <w:szCs w:val="24"/>
          <w:lang w:val="uk-UA"/>
        </w:rPr>
        <w:t xml:space="preserve"> 59</w:t>
      </w:r>
    </w:p>
    <w:p w:rsidR="005613AB" w:rsidRPr="00BE1959" w:rsidRDefault="00300CA6" w:rsidP="005613AB">
      <w:pPr>
        <w:spacing w:before="60" w:after="120" w:line="312" w:lineRule="atLeast"/>
        <w:jc w:val="center"/>
        <w:textAlignment w:val="baseline"/>
        <w:rPr>
          <w:rFonts w:ascii="Times New Roman" w:eastAsia="Times New Roman" w:hAnsi="Times New Roman" w:cs="Times New Roman"/>
          <w:b/>
          <w:bCs/>
          <w:sz w:val="24"/>
          <w:szCs w:val="24"/>
          <w:lang w:val="uk-UA"/>
        </w:rPr>
      </w:pPr>
      <w:r w:rsidRPr="00BE1959">
        <w:rPr>
          <w:rFonts w:ascii="Times New Roman" w:eastAsia="Times New Roman" w:hAnsi="Times New Roman" w:cs="Times New Roman"/>
          <w:b/>
          <w:bCs/>
          <w:sz w:val="24"/>
          <w:szCs w:val="24"/>
          <w:lang w:val="uk-UA"/>
        </w:rPr>
        <w:t>Вимога щодо наявності дозволів</w:t>
      </w:r>
    </w:p>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1.   </w:t>
      </w:r>
      <w:r w:rsidR="00511D52" w:rsidRPr="00BE1959">
        <w:rPr>
          <w:rFonts w:ascii="Times New Roman" w:eastAsia="Times New Roman" w:hAnsi="Times New Roman" w:cs="Times New Roman"/>
          <w:sz w:val="24"/>
          <w:szCs w:val="24"/>
          <w:lang w:val="uk-UA"/>
        </w:rPr>
        <w:t>Держави-члени вимагають, щоб</w:t>
      </w:r>
      <w:r w:rsidRPr="00BE1959">
        <w:rPr>
          <w:rFonts w:ascii="Times New Roman" w:eastAsia="Times New Roman" w:hAnsi="Times New Roman" w:cs="Times New Roman"/>
          <w:sz w:val="24"/>
          <w:szCs w:val="24"/>
          <w:lang w:val="uk-UA"/>
        </w:rPr>
        <w:t xml:space="preserve"> </w:t>
      </w:r>
      <w:r w:rsidR="00300CA6" w:rsidRPr="00BE1959">
        <w:rPr>
          <w:rFonts w:ascii="Times New Roman" w:eastAsia="Times New Roman" w:hAnsi="Times New Roman" w:cs="Times New Roman"/>
          <w:sz w:val="24"/>
          <w:szCs w:val="24"/>
          <w:lang w:val="uk-UA"/>
        </w:rPr>
        <w:t xml:space="preserve">надання </w:t>
      </w:r>
      <w:r w:rsidR="00604F5A" w:rsidRPr="00BE1959">
        <w:rPr>
          <w:rFonts w:ascii="Times New Roman" w:eastAsia="Times New Roman" w:hAnsi="Times New Roman" w:cs="Times New Roman"/>
          <w:sz w:val="24"/>
          <w:szCs w:val="24"/>
          <w:lang w:val="uk-UA"/>
        </w:rPr>
        <w:t>п</w:t>
      </w:r>
      <w:r w:rsidR="00300CA6" w:rsidRPr="00BE1959">
        <w:rPr>
          <w:rFonts w:ascii="Times New Roman" w:eastAsia="Times New Roman" w:hAnsi="Times New Roman" w:cs="Times New Roman"/>
          <w:sz w:val="24"/>
          <w:szCs w:val="24"/>
          <w:lang w:val="uk-UA"/>
        </w:rPr>
        <w:t xml:space="preserve">ослуг </w:t>
      </w:r>
      <w:r w:rsidR="00604F5A" w:rsidRPr="00BE1959">
        <w:rPr>
          <w:rFonts w:ascii="Times New Roman" w:eastAsia="Times New Roman" w:hAnsi="Times New Roman" w:cs="Times New Roman"/>
          <w:sz w:val="24"/>
          <w:szCs w:val="24"/>
          <w:lang w:val="uk-UA"/>
        </w:rPr>
        <w:t xml:space="preserve">із повідомлення даних, описаних у Додатку І, розділ D, </w:t>
      </w:r>
      <w:r w:rsidR="00300CA6" w:rsidRPr="00BE1959">
        <w:rPr>
          <w:rFonts w:ascii="Times New Roman" w:eastAsia="Times New Roman" w:hAnsi="Times New Roman" w:cs="Times New Roman"/>
          <w:sz w:val="24"/>
          <w:szCs w:val="24"/>
          <w:lang w:val="uk-UA"/>
        </w:rPr>
        <w:t>як постійн</w:t>
      </w:r>
      <w:r w:rsidR="00D20588" w:rsidRPr="00BE1959">
        <w:rPr>
          <w:rFonts w:ascii="Times New Roman" w:eastAsia="Times New Roman" w:hAnsi="Times New Roman" w:cs="Times New Roman"/>
          <w:sz w:val="24"/>
          <w:szCs w:val="24"/>
          <w:lang w:val="uk-UA"/>
        </w:rPr>
        <w:t>ий</w:t>
      </w:r>
      <w:r w:rsidR="00300CA6" w:rsidRPr="00BE1959">
        <w:rPr>
          <w:rFonts w:ascii="Times New Roman" w:eastAsia="Times New Roman" w:hAnsi="Times New Roman" w:cs="Times New Roman"/>
          <w:sz w:val="24"/>
          <w:szCs w:val="24"/>
          <w:lang w:val="uk-UA"/>
        </w:rPr>
        <w:t xml:space="preserve"> р</w:t>
      </w:r>
      <w:r w:rsidR="00D20588" w:rsidRPr="00BE1959">
        <w:rPr>
          <w:rFonts w:ascii="Times New Roman" w:eastAsia="Times New Roman" w:hAnsi="Times New Roman" w:cs="Times New Roman"/>
          <w:sz w:val="24"/>
          <w:szCs w:val="24"/>
          <w:lang w:val="uk-UA"/>
        </w:rPr>
        <w:t>і</w:t>
      </w:r>
      <w:r w:rsidR="00300CA6" w:rsidRPr="00BE1959">
        <w:rPr>
          <w:rFonts w:ascii="Times New Roman" w:eastAsia="Times New Roman" w:hAnsi="Times New Roman" w:cs="Times New Roman"/>
          <w:sz w:val="24"/>
          <w:szCs w:val="24"/>
          <w:lang w:val="uk-UA"/>
        </w:rPr>
        <w:t>д занять або постійн</w:t>
      </w:r>
      <w:r w:rsidR="00D20588" w:rsidRPr="00BE1959">
        <w:rPr>
          <w:rFonts w:ascii="Times New Roman" w:eastAsia="Times New Roman" w:hAnsi="Times New Roman" w:cs="Times New Roman"/>
          <w:sz w:val="24"/>
          <w:szCs w:val="24"/>
          <w:lang w:val="uk-UA"/>
        </w:rPr>
        <w:t>а</w:t>
      </w:r>
      <w:r w:rsidR="00300CA6" w:rsidRPr="00BE1959">
        <w:rPr>
          <w:rFonts w:ascii="Times New Roman" w:eastAsia="Times New Roman" w:hAnsi="Times New Roman" w:cs="Times New Roman"/>
          <w:sz w:val="24"/>
          <w:szCs w:val="24"/>
          <w:lang w:val="uk-UA"/>
        </w:rPr>
        <w:t xml:space="preserve"> діяльн</w:t>
      </w:r>
      <w:r w:rsidR="00D20588" w:rsidRPr="00BE1959">
        <w:rPr>
          <w:rFonts w:ascii="Times New Roman" w:eastAsia="Times New Roman" w:hAnsi="Times New Roman" w:cs="Times New Roman"/>
          <w:sz w:val="24"/>
          <w:szCs w:val="24"/>
          <w:lang w:val="uk-UA"/>
        </w:rPr>
        <w:t>ість</w:t>
      </w:r>
      <w:r w:rsidR="00300CA6" w:rsidRPr="00BE1959">
        <w:rPr>
          <w:rFonts w:ascii="Times New Roman" w:eastAsia="Times New Roman" w:hAnsi="Times New Roman" w:cs="Times New Roman"/>
          <w:sz w:val="24"/>
          <w:szCs w:val="24"/>
          <w:lang w:val="uk-UA"/>
        </w:rPr>
        <w:t xml:space="preserve"> підлягало попередньому дозволу відповідно до ц</w:t>
      </w:r>
      <w:r w:rsidR="00D20588" w:rsidRPr="00BE1959">
        <w:rPr>
          <w:rFonts w:ascii="Times New Roman" w:eastAsia="Times New Roman" w:hAnsi="Times New Roman" w:cs="Times New Roman"/>
          <w:sz w:val="24"/>
          <w:szCs w:val="24"/>
          <w:lang w:val="uk-UA"/>
        </w:rPr>
        <w:t>ього підрозділу</w:t>
      </w:r>
      <w:r w:rsidR="00300CA6" w:rsidRPr="00BE1959">
        <w:rPr>
          <w:rFonts w:ascii="Times New Roman" w:eastAsia="Times New Roman" w:hAnsi="Times New Roman" w:cs="Times New Roman"/>
          <w:sz w:val="24"/>
          <w:szCs w:val="24"/>
          <w:lang w:val="uk-UA"/>
        </w:rPr>
        <w:t>. Такий дозвіл видається компетентним органом держави-члена походження, призначеним відповідно до статті 67.</w:t>
      </w:r>
    </w:p>
    <w:p w:rsidR="00135CFE" w:rsidRPr="00BE1959" w:rsidRDefault="005613AB" w:rsidP="00762363">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2.    </w:t>
      </w:r>
      <w:r w:rsidR="00135CFE" w:rsidRPr="00BE1959">
        <w:rPr>
          <w:rFonts w:ascii="Times New Roman" w:eastAsia="Times New Roman" w:hAnsi="Times New Roman" w:cs="Times New Roman"/>
          <w:sz w:val="24"/>
          <w:szCs w:val="24"/>
          <w:lang w:val="uk-UA"/>
        </w:rPr>
        <w:t xml:space="preserve">У порядку відступу від пункту 1 держави-члени дозволяють інвестиційній фірмі або оператору ринку, що управляє торговельним майданчиком, користуватися послугами з </w:t>
      </w:r>
      <w:r w:rsidR="00135CFE" w:rsidRPr="00BE1959">
        <w:rPr>
          <w:rFonts w:ascii="Times New Roman" w:eastAsia="Times New Roman" w:hAnsi="Times New Roman" w:cs="Times New Roman"/>
          <w:sz w:val="24"/>
          <w:szCs w:val="24"/>
          <w:lang w:val="uk-UA"/>
        </w:rPr>
        <w:lastRenderedPageBreak/>
        <w:t xml:space="preserve">повідомлення даних </w:t>
      </w:r>
      <w:r w:rsidR="00E708B3" w:rsidRPr="00BE1959">
        <w:rPr>
          <w:rFonts w:ascii="Times New Roman" w:eastAsia="Times New Roman" w:hAnsi="Times New Roman" w:cs="Times New Roman"/>
          <w:sz w:val="24"/>
          <w:szCs w:val="24"/>
          <w:lang w:val="uk-UA"/>
        </w:rPr>
        <w:t xml:space="preserve">ЗМП, НЗД та ЗМЗ </w:t>
      </w:r>
      <w:r w:rsidR="00135CFE" w:rsidRPr="00BE1959">
        <w:rPr>
          <w:rFonts w:ascii="Times New Roman" w:eastAsia="Times New Roman" w:hAnsi="Times New Roman" w:cs="Times New Roman"/>
          <w:sz w:val="24"/>
          <w:szCs w:val="24"/>
          <w:lang w:val="uk-UA"/>
        </w:rPr>
        <w:t>за умови попередньої перевірки дотримання ним</w:t>
      </w:r>
      <w:r w:rsidR="00762363" w:rsidRPr="00BE1959">
        <w:rPr>
          <w:rFonts w:ascii="Times New Roman" w:eastAsia="Times New Roman" w:hAnsi="Times New Roman" w:cs="Times New Roman"/>
          <w:sz w:val="24"/>
          <w:szCs w:val="24"/>
          <w:lang w:val="uk-UA"/>
        </w:rPr>
        <w:t>и</w:t>
      </w:r>
      <w:r w:rsidR="00135CFE" w:rsidRPr="00BE1959">
        <w:rPr>
          <w:rFonts w:ascii="Times New Roman" w:eastAsia="Times New Roman" w:hAnsi="Times New Roman" w:cs="Times New Roman"/>
          <w:sz w:val="24"/>
          <w:szCs w:val="24"/>
          <w:lang w:val="uk-UA"/>
        </w:rPr>
        <w:t xml:space="preserve"> </w:t>
      </w:r>
      <w:r w:rsidR="00762363" w:rsidRPr="00BE1959">
        <w:rPr>
          <w:rFonts w:ascii="Times New Roman" w:eastAsia="Times New Roman" w:hAnsi="Times New Roman" w:cs="Times New Roman"/>
          <w:sz w:val="24"/>
          <w:szCs w:val="24"/>
          <w:lang w:val="uk-UA"/>
        </w:rPr>
        <w:t>вимог цього розділу. Така послуга зазначається у наданому їм дозволі.</w:t>
      </w:r>
    </w:p>
    <w:p w:rsidR="00762363" w:rsidRPr="00BE1959" w:rsidRDefault="005613AB" w:rsidP="00026C67">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3.   </w:t>
      </w:r>
      <w:r w:rsidR="00762363" w:rsidRPr="00BE1959">
        <w:rPr>
          <w:rFonts w:ascii="Times New Roman" w:eastAsia="Times New Roman" w:hAnsi="Times New Roman" w:cs="Times New Roman"/>
          <w:sz w:val="24"/>
          <w:szCs w:val="24"/>
          <w:lang w:val="uk-UA"/>
        </w:rPr>
        <w:t xml:space="preserve">Держави-члени реєструють усіх надавачів послуг із повідомлення даних. Цей реєстр є загальнодоступним і містить інформацію про </w:t>
      </w:r>
      <w:r w:rsidR="00026C67" w:rsidRPr="00BE1959">
        <w:rPr>
          <w:rFonts w:ascii="Times New Roman" w:eastAsia="Times New Roman" w:hAnsi="Times New Roman" w:cs="Times New Roman"/>
          <w:sz w:val="24"/>
          <w:szCs w:val="24"/>
          <w:lang w:val="uk-UA"/>
        </w:rPr>
        <w:t xml:space="preserve">послуги, на які у надавача послуг із повідомлення даних є дозвіл. </w:t>
      </w:r>
      <w:r w:rsidR="00762363" w:rsidRPr="00BE1959">
        <w:rPr>
          <w:rFonts w:ascii="Times New Roman" w:eastAsia="Times New Roman" w:hAnsi="Times New Roman" w:cs="Times New Roman"/>
          <w:sz w:val="24"/>
          <w:szCs w:val="24"/>
          <w:lang w:val="uk-UA"/>
        </w:rPr>
        <w:t>Реєстр оновлюється на регулярній основі. Інформація про кожний дозвіл доводиться до відома ESMA.</w:t>
      </w:r>
    </w:p>
    <w:p w:rsidR="00026C67" w:rsidRPr="00BE1959" w:rsidRDefault="00026C67" w:rsidP="00026C67">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ESMA складає перелік усіх надавачів послуг із повідомлення даних у Союзі. Цей перелік містить інформацію про послуги, на які у надавача послуг із повідомлення даних є дозвіл, і регулярно оновлюється. ESMA публікує цей перелік на своєму веб-сайті і постійно актуалізує його.</w:t>
      </w:r>
    </w:p>
    <w:p w:rsidR="00026C67" w:rsidRPr="00BE1959" w:rsidRDefault="00026C67"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Якщо компетентний орган відкликав дозвіл відповідно до статті 62, то інформація про відкликання публікується у вищезгаданому переліку впродовж п’яти років.</w:t>
      </w:r>
    </w:p>
    <w:p w:rsidR="0058449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4.   </w:t>
      </w:r>
      <w:r w:rsidR="001F5C90" w:rsidRPr="00BE1959">
        <w:rPr>
          <w:rFonts w:ascii="Times New Roman" w:eastAsia="Times New Roman" w:hAnsi="Times New Roman" w:cs="Times New Roman"/>
          <w:sz w:val="24"/>
          <w:szCs w:val="24"/>
          <w:lang w:val="uk-UA"/>
        </w:rPr>
        <w:t>Держави-члени</w:t>
      </w:r>
      <w:r w:rsidRPr="00BE1959">
        <w:rPr>
          <w:rFonts w:ascii="Times New Roman" w:eastAsia="Times New Roman" w:hAnsi="Times New Roman" w:cs="Times New Roman"/>
          <w:sz w:val="24"/>
          <w:szCs w:val="24"/>
          <w:lang w:val="uk-UA"/>
        </w:rPr>
        <w:t xml:space="preserve"> </w:t>
      </w:r>
      <w:r w:rsidR="0058449B" w:rsidRPr="00BE1959">
        <w:rPr>
          <w:rFonts w:ascii="Times New Roman" w:eastAsia="Times New Roman" w:hAnsi="Times New Roman" w:cs="Times New Roman"/>
          <w:sz w:val="24"/>
          <w:szCs w:val="24"/>
          <w:lang w:val="uk-UA"/>
        </w:rPr>
        <w:t xml:space="preserve">вимагають, щоб надавачі </w:t>
      </w:r>
      <w:r w:rsidR="00092E51" w:rsidRPr="00BE1959">
        <w:rPr>
          <w:rFonts w:ascii="Times New Roman" w:eastAsia="Times New Roman" w:hAnsi="Times New Roman" w:cs="Times New Roman"/>
          <w:sz w:val="24"/>
          <w:szCs w:val="24"/>
          <w:lang w:val="uk-UA"/>
        </w:rPr>
        <w:t xml:space="preserve">послуг із повідомлення даних надавали свої послуги під наглядом компетентного органу. Держави-члени забезпечують, щоб компетентні органи </w:t>
      </w:r>
      <w:r w:rsidR="00036AA1" w:rsidRPr="00BE1959">
        <w:rPr>
          <w:rFonts w:ascii="Times New Roman" w:eastAsia="Times New Roman" w:hAnsi="Times New Roman" w:cs="Times New Roman"/>
          <w:sz w:val="24"/>
          <w:szCs w:val="24"/>
          <w:lang w:val="uk-UA"/>
        </w:rPr>
        <w:t>регулярно перевірял</w:t>
      </w:r>
      <w:r w:rsidR="00092E51" w:rsidRPr="00BE1959">
        <w:rPr>
          <w:rFonts w:ascii="Times New Roman" w:eastAsia="Times New Roman" w:hAnsi="Times New Roman" w:cs="Times New Roman"/>
          <w:sz w:val="24"/>
          <w:szCs w:val="24"/>
          <w:lang w:val="uk-UA"/>
        </w:rPr>
        <w:t>и дотримання вищезгаданими надавачами даних вимог цього розділу.</w:t>
      </w:r>
      <w:r w:rsidR="006B17C9" w:rsidRPr="00BE1959">
        <w:rPr>
          <w:rFonts w:ascii="Times New Roman" w:eastAsia="Times New Roman" w:hAnsi="Times New Roman" w:cs="Times New Roman"/>
          <w:sz w:val="24"/>
          <w:szCs w:val="24"/>
          <w:lang w:val="uk-UA"/>
        </w:rPr>
        <w:t xml:space="preserve"> Вони забезпечують також, щоб компетентні органи контролювали </w:t>
      </w:r>
      <w:r w:rsidR="00036AA1" w:rsidRPr="00BE1959">
        <w:rPr>
          <w:rFonts w:ascii="Times New Roman" w:eastAsia="Times New Roman" w:hAnsi="Times New Roman" w:cs="Times New Roman"/>
          <w:sz w:val="24"/>
          <w:szCs w:val="24"/>
          <w:lang w:val="uk-UA"/>
        </w:rPr>
        <w:t>незмінне виконання</w:t>
      </w:r>
      <w:r w:rsidR="006B17C9" w:rsidRPr="00BE1959">
        <w:rPr>
          <w:rFonts w:ascii="Times New Roman" w:eastAsia="Times New Roman" w:hAnsi="Times New Roman" w:cs="Times New Roman"/>
          <w:sz w:val="24"/>
          <w:szCs w:val="24"/>
          <w:lang w:val="uk-UA"/>
        </w:rPr>
        <w:t xml:space="preserve"> вищезгаданими надавачами умов </w:t>
      </w:r>
      <w:r w:rsidR="00966133" w:rsidRPr="00BE1959">
        <w:rPr>
          <w:rFonts w:ascii="Times New Roman" w:eastAsia="Times New Roman" w:hAnsi="Times New Roman" w:cs="Times New Roman"/>
          <w:sz w:val="24"/>
          <w:szCs w:val="24"/>
          <w:lang w:val="uk-UA"/>
        </w:rPr>
        <w:t>первинн</w:t>
      </w:r>
      <w:r w:rsidR="00036AA1" w:rsidRPr="00BE1959">
        <w:rPr>
          <w:rFonts w:ascii="Times New Roman" w:eastAsia="Times New Roman" w:hAnsi="Times New Roman" w:cs="Times New Roman"/>
          <w:sz w:val="24"/>
          <w:szCs w:val="24"/>
          <w:lang w:val="uk-UA"/>
        </w:rPr>
        <w:t>ого дозволу</w:t>
      </w:r>
    </w:p>
    <w:p w:rsidR="005613AB" w:rsidRPr="00BE1959" w:rsidRDefault="00036AA1" w:rsidP="009A4CAD">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Держави-члени забезпечують, щоб компетентні органи регулярно перевіряли відповідність регульованих ринків вимогам цього розділу директиви. Вони також забезпечують, щоб компетентні органи контролювали незмінне виконання регульованими ринками умов видачі початкового дозволу, встановлених згідно з цим розділом директиви.</w:t>
      </w:r>
    </w:p>
    <w:p w:rsidR="005613AB" w:rsidRPr="00BE1959" w:rsidRDefault="00162A11" w:rsidP="005613AB">
      <w:pPr>
        <w:spacing w:before="360" w:after="120" w:line="312" w:lineRule="atLeast"/>
        <w:jc w:val="center"/>
        <w:textAlignment w:val="baseline"/>
        <w:rPr>
          <w:rFonts w:ascii="Times New Roman" w:eastAsia="Times New Roman" w:hAnsi="Times New Roman" w:cs="Times New Roman"/>
          <w:i/>
          <w:iCs/>
          <w:sz w:val="24"/>
          <w:szCs w:val="24"/>
          <w:lang w:val="uk-UA"/>
        </w:rPr>
      </w:pPr>
      <w:r w:rsidRPr="00BE1959">
        <w:rPr>
          <w:rFonts w:ascii="Times New Roman" w:eastAsia="Times New Roman" w:hAnsi="Times New Roman" w:cs="Times New Roman"/>
          <w:i/>
          <w:iCs/>
          <w:sz w:val="24"/>
          <w:szCs w:val="24"/>
          <w:lang w:val="uk-UA"/>
        </w:rPr>
        <w:t>Стаття</w:t>
      </w:r>
      <w:r w:rsidR="005613AB" w:rsidRPr="00BE1959">
        <w:rPr>
          <w:rFonts w:ascii="Times New Roman" w:eastAsia="Times New Roman" w:hAnsi="Times New Roman" w:cs="Times New Roman"/>
          <w:i/>
          <w:iCs/>
          <w:sz w:val="24"/>
          <w:szCs w:val="24"/>
          <w:lang w:val="uk-UA"/>
        </w:rPr>
        <w:t xml:space="preserve"> 60</w:t>
      </w:r>
    </w:p>
    <w:p w:rsidR="005613AB" w:rsidRPr="00BE1959" w:rsidRDefault="007D7E64" w:rsidP="005613AB">
      <w:pPr>
        <w:spacing w:before="60" w:after="120" w:line="312" w:lineRule="atLeast"/>
        <w:jc w:val="center"/>
        <w:textAlignment w:val="baseline"/>
        <w:rPr>
          <w:rFonts w:ascii="Times New Roman" w:eastAsia="Times New Roman" w:hAnsi="Times New Roman" w:cs="Times New Roman"/>
          <w:b/>
          <w:bCs/>
          <w:sz w:val="24"/>
          <w:szCs w:val="24"/>
          <w:lang w:val="uk-UA"/>
        </w:rPr>
      </w:pPr>
      <w:r w:rsidRPr="00BE1959">
        <w:rPr>
          <w:rFonts w:ascii="Times New Roman" w:eastAsia="Times New Roman" w:hAnsi="Times New Roman" w:cs="Times New Roman"/>
          <w:b/>
          <w:bCs/>
          <w:sz w:val="24"/>
          <w:szCs w:val="24"/>
          <w:lang w:val="uk-UA"/>
        </w:rPr>
        <w:t>Сфера дії дозволу</w:t>
      </w:r>
    </w:p>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1.   </w:t>
      </w:r>
      <w:r w:rsidR="000D14E8" w:rsidRPr="00BE1959">
        <w:rPr>
          <w:rFonts w:ascii="Times New Roman" w:eastAsia="Times New Roman" w:hAnsi="Times New Roman" w:cs="Times New Roman"/>
          <w:sz w:val="24"/>
          <w:szCs w:val="24"/>
          <w:lang w:val="uk-UA"/>
        </w:rPr>
        <w:t>Держава-член походження забезпечує, щоб у дозволі були зазначені</w:t>
      </w:r>
      <w:r w:rsidR="001A1966" w:rsidRPr="00BE1959">
        <w:rPr>
          <w:rFonts w:ascii="Times New Roman" w:eastAsia="Times New Roman" w:hAnsi="Times New Roman" w:cs="Times New Roman"/>
          <w:sz w:val="24"/>
          <w:szCs w:val="24"/>
          <w:lang w:val="uk-UA"/>
        </w:rPr>
        <w:t xml:space="preserve"> послуги з повідомлення даних</w:t>
      </w:r>
      <w:r w:rsidR="000D14E8" w:rsidRPr="00BE1959">
        <w:rPr>
          <w:rFonts w:ascii="Times New Roman" w:eastAsia="Times New Roman" w:hAnsi="Times New Roman" w:cs="Times New Roman"/>
          <w:sz w:val="24"/>
          <w:szCs w:val="24"/>
          <w:lang w:val="uk-UA"/>
        </w:rPr>
        <w:t xml:space="preserve">, які </w:t>
      </w:r>
      <w:r w:rsidR="001A1966" w:rsidRPr="00BE1959">
        <w:rPr>
          <w:rFonts w:ascii="Times New Roman" w:eastAsia="Times New Roman" w:hAnsi="Times New Roman" w:cs="Times New Roman"/>
          <w:sz w:val="24"/>
          <w:szCs w:val="24"/>
          <w:lang w:val="uk-UA"/>
        </w:rPr>
        <w:t xml:space="preserve">надавачеві послуг із повідомлення даних </w:t>
      </w:r>
      <w:r w:rsidR="000D14E8" w:rsidRPr="00BE1959">
        <w:rPr>
          <w:rFonts w:ascii="Times New Roman" w:eastAsia="Times New Roman" w:hAnsi="Times New Roman" w:cs="Times New Roman"/>
          <w:sz w:val="24"/>
          <w:szCs w:val="24"/>
          <w:lang w:val="uk-UA"/>
        </w:rPr>
        <w:t>дозволено надавати</w:t>
      </w:r>
      <w:r w:rsidR="001A1966" w:rsidRPr="00BE1959">
        <w:rPr>
          <w:rFonts w:ascii="Times New Roman" w:eastAsia="Times New Roman" w:hAnsi="Times New Roman" w:cs="Times New Roman"/>
          <w:sz w:val="24"/>
          <w:szCs w:val="24"/>
          <w:lang w:val="uk-UA"/>
        </w:rPr>
        <w:t>. Надавач послуг із повідомлення даних</w:t>
      </w:r>
      <w:r w:rsidR="000D14E8" w:rsidRPr="00BE1959">
        <w:rPr>
          <w:rFonts w:ascii="Times New Roman" w:eastAsia="Times New Roman" w:hAnsi="Times New Roman" w:cs="Times New Roman"/>
          <w:sz w:val="24"/>
          <w:szCs w:val="24"/>
          <w:lang w:val="uk-UA"/>
        </w:rPr>
        <w:t>, що зверну</w:t>
      </w:r>
      <w:r w:rsidR="001A1966" w:rsidRPr="00BE1959">
        <w:rPr>
          <w:rFonts w:ascii="Times New Roman" w:eastAsia="Times New Roman" w:hAnsi="Times New Roman" w:cs="Times New Roman"/>
          <w:sz w:val="24"/>
          <w:szCs w:val="24"/>
          <w:lang w:val="uk-UA"/>
        </w:rPr>
        <w:t>в</w:t>
      </w:r>
      <w:r w:rsidR="000D14E8" w:rsidRPr="00BE1959">
        <w:rPr>
          <w:rFonts w:ascii="Times New Roman" w:eastAsia="Times New Roman" w:hAnsi="Times New Roman" w:cs="Times New Roman"/>
          <w:sz w:val="24"/>
          <w:szCs w:val="24"/>
          <w:lang w:val="uk-UA"/>
        </w:rPr>
        <w:t>ся за дозволом на розширення своєї діяльності додатковими послугами</w:t>
      </w:r>
      <w:r w:rsidR="007D7E64" w:rsidRPr="00BE1959">
        <w:rPr>
          <w:rFonts w:ascii="Times New Roman" w:eastAsia="Times New Roman" w:hAnsi="Times New Roman" w:cs="Times New Roman"/>
          <w:sz w:val="24"/>
          <w:szCs w:val="24"/>
          <w:lang w:val="uk-UA"/>
        </w:rPr>
        <w:t xml:space="preserve"> з повідомлення даних</w:t>
      </w:r>
      <w:r w:rsidR="000D14E8" w:rsidRPr="00BE1959">
        <w:rPr>
          <w:rFonts w:ascii="Times New Roman" w:eastAsia="Times New Roman" w:hAnsi="Times New Roman" w:cs="Times New Roman"/>
          <w:sz w:val="24"/>
          <w:szCs w:val="24"/>
          <w:lang w:val="uk-UA"/>
        </w:rPr>
        <w:t>, подає заявку на розширення сфери дозволу.</w:t>
      </w:r>
    </w:p>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2.   </w:t>
      </w:r>
      <w:r w:rsidR="000D14E8" w:rsidRPr="00BE1959">
        <w:rPr>
          <w:rFonts w:ascii="Times New Roman" w:eastAsia="Times New Roman" w:hAnsi="Times New Roman" w:cs="Times New Roman"/>
          <w:sz w:val="24"/>
          <w:szCs w:val="24"/>
          <w:lang w:val="uk-UA"/>
        </w:rPr>
        <w:t xml:space="preserve">Дозвіл діє на всій території Союзу й дозволяє </w:t>
      </w:r>
      <w:r w:rsidR="007D7E64" w:rsidRPr="00BE1959">
        <w:rPr>
          <w:rFonts w:ascii="Times New Roman" w:eastAsia="Times New Roman" w:hAnsi="Times New Roman" w:cs="Times New Roman"/>
          <w:sz w:val="24"/>
          <w:szCs w:val="24"/>
          <w:lang w:val="uk-UA"/>
        </w:rPr>
        <w:t>надавачеві послуг із повідомлення даних</w:t>
      </w:r>
      <w:r w:rsidR="000D14E8" w:rsidRPr="00BE1959">
        <w:rPr>
          <w:rFonts w:ascii="Times New Roman" w:eastAsia="Times New Roman" w:hAnsi="Times New Roman" w:cs="Times New Roman"/>
          <w:sz w:val="24"/>
          <w:szCs w:val="24"/>
          <w:lang w:val="uk-UA"/>
        </w:rPr>
        <w:t xml:space="preserve"> надавати послуги, які охоплює виданий дозвіл, на всій території Союзу.</w:t>
      </w:r>
    </w:p>
    <w:p w:rsidR="005613AB" w:rsidRPr="00BE1959" w:rsidRDefault="00162A11" w:rsidP="005613AB">
      <w:pPr>
        <w:spacing w:before="360" w:after="120" w:line="312" w:lineRule="atLeast"/>
        <w:jc w:val="center"/>
        <w:textAlignment w:val="baseline"/>
        <w:rPr>
          <w:rFonts w:ascii="Times New Roman" w:eastAsia="Times New Roman" w:hAnsi="Times New Roman" w:cs="Times New Roman"/>
          <w:i/>
          <w:iCs/>
          <w:sz w:val="24"/>
          <w:szCs w:val="24"/>
          <w:lang w:val="uk-UA"/>
        </w:rPr>
      </w:pPr>
      <w:r w:rsidRPr="00BE1959">
        <w:rPr>
          <w:rFonts w:ascii="Times New Roman" w:eastAsia="Times New Roman" w:hAnsi="Times New Roman" w:cs="Times New Roman"/>
          <w:i/>
          <w:iCs/>
          <w:sz w:val="24"/>
          <w:szCs w:val="24"/>
          <w:lang w:val="uk-UA"/>
        </w:rPr>
        <w:t>Стаття</w:t>
      </w:r>
      <w:r w:rsidR="005613AB" w:rsidRPr="00BE1959">
        <w:rPr>
          <w:rFonts w:ascii="Times New Roman" w:eastAsia="Times New Roman" w:hAnsi="Times New Roman" w:cs="Times New Roman"/>
          <w:i/>
          <w:iCs/>
          <w:sz w:val="24"/>
          <w:szCs w:val="24"/>
          <w:lang w:val="uk-UA"/>
        </w:rPr>
        <w:t xml:space="preserve"> 61</w:t>
      </w:r>
    </w:p>
    <w:p w:rsidR="005613AB" w:rsidRPr="00BE1959" w:rsidRDefault="000D14E8" w:rsidP="005613AB">
      <w:pPr>
        <w:spacing w:before="60" w:after="120" w:line="312" w:lineRule="atLeast"/>
        <w:jc w:val="center"/>
        <w:textAlignment w:val="baseline"/>
        <w:rPr>
          <w:rFonts w:ascii="Times New Roman" w:eastAsia="Times New Roman" w:hAnsi="Times New Roman" w:cs="Times New Roman"/>
          <w:b/>
          <w:bCs/>
          <w:sz w:val="24"/>
          <w:szCs w:val="24"/>
          <w:lang w:val="uk-UA"/>
        </w:rPr>
      </w:pPr>
      <w:r w:rsidRPr="00BE1959">
        <w:rPr>
          <w:rFonts w:ascii="Times New Roman" w:eastAsia="Times New Roman" w:hAnsi="Times New Roman" w:cs="Times New Roman"/>
          <w:b/>
          <w:bCs/>
          <w:sz w:val="24"/>
          <w:szCs w:val="24"/>
          <w:lang w:val="uk-UA"/>
        </w:rPr>
        <w:t>Процедури видачі дозволів і відхилення заявок на дозволи</w:t>
      </w:r>
    </w:p>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1.   </w:t>
      </w:r>
      <w:r w:rsidR="00B8514D" w:rsidRPr="00BE1959">
        <w:rPr>
          <w:rFonts w:ascii="Times New Roman" w:eastAsia="Times New Roman" w:hAnsi="Times New Roman" w:cs="Times New Roman"/>
          <w:sz w:val="24"/>
          <w:szCs w:val="24"/>
          <w:lang w:val="uk-UA"/>
        </w:rPr>
        <w:t>Компетентний орган не видає дозвіл, поки не переконається повністю в тому, що заявник відповідає всім вимогам, установленим положеннями, прийнятими на виконання цієї директиви.</w:t>
      </w:r>
    </w:p>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lastRenderedPageBreak/>
        <w:t>2.   </w:t>
      </w:r>
      <w:r w:rsidR="00695EC9" w:rsidRPr="00BE1959">
        <w:rPr>
          <w:rFonts w:ascii="Times New Roman" w:eastAsia="Times New Roman" w:hAnsi="Times New Roman" w:cs="Times New Roman"/>
          <w:sz w:val="24"/>
          <w:szCs w:val="24"/>
          <w:lang w:val="uk-UA"/>
        </w:rPr>
        <w:t>Надавач послуг із повідомлення даних</w:t>
      </w:r>
      <w:r w:rsidR="00B8514D" w:rsidRPr="00BE1959">
        <w:rPr>
          <w:rFonts w:ascii="Times New Roman" w:eastAsia="Times New Roman" w:hAnsi="Times New Roman" w:cs="Times New Roman"/>
          <w:sz w:val="24"/>
          <w:szCs w:val="24"/>
          <w:lang w:val="uk-UA"/>
        </w:rPr>
        <w:t xml:space="preserve"> надає всю інформацію, зокрема програму діяльності, з зазначенням, серед іншого, передбачених видів діяльності та організаційної структури, необхідну для того, щоб компетентний орган переконався, що </w:t>
      </w:r>
      <w:r w:rsidR="00695EC9" w:rsidRPr="00BE1959">
        <w:rPr>
          <w:rFonts w:ascii="Times New Roman" w:eastAsia="Times New Roman" w:hAnsi="Times New Roman" w:cs="Times New Roman"/>
          <w:sz w:val="24"/>
          <w:szCs w:val="24"/>
          <w:lang w:val="uk-UA"/>
        </w:rPr>
        <w:t xml:space="preserve">цей </w:t>
      </w:r>
      <w:r w:rsidR="003C4E74" w:rsidRPr="00BE1959">
        <w:rPr>
          <w:rFonts w:ascii="Times New Roman" w:eastAsia="Times New Roman" w:hAnsi="Times New Roman" w:cs="Times New Roman"/>
          <w:sz w:val="24"/>
          <w:szCs w:val="24"/>
          <w:lang w:val="uk-UA"/>
        </w:rPr>
        <w:t xml:space="preserve">надавач послуг із повідомлення даних </w:t>
      </w:r>
      <w:r w:rsidR="00B8514D" w:rsidRPr="00BE1959">
        <w:rPr>
          <w:rFonts w:ascii="Times New Roman" w:eastAsia="Times New Roman" w:hAnsi="Times New Roman" w:cs="Times New Roman"/>
          <w:sz w:val="24"/>
          <w:szCs w:val="24"/>
          <w:lang w:val="uk-UA"/>
        </w:rPr>
        <w:t>створи</w:t>
      </w:r>
      <w:r w:rsidR="00695EC9" w:rsidRPr="00BE1959">
        <w:rPr>
          <w:rFonts w:ascii="Times New Roman" w:eastAsia="Times New Roman" w:hAnsi="Times New Roman" w:cs="Times New Roman"/>
          <w:sz w:val="24"/>
          <w:szCs w:val="24"/>
          <w:lang w:val="uk-UA"/>
        </w:rPr>
        <w:t>в</w:t>
      </w:r>
      <w:r w:rsidR="00B8514D" w:rsidRPr="00BE1959">
        <w:rPr>
          <w:rFonts w:ascii="Times New Roman" w:eastAsia="Times New Roman" w:hAnsi="Times New Roman" w:cs="Times New Roman"/>
          <w:sz w:val="24"/>
          <w:szCs w:val="24"/>
          <w:lang w:val="uk-UA"/>
        </w:rPr>
        <w:t>, станом на момент видачі первинного дозволу, всі необхідні умови для виконання н</w:t>
      </w:r>
      <w:r w:rsidR="00966133" w:rsidRPr="00BE1959">
        <w:rPr>
          <w:rFonts w:ascii="Times New Roman" w:eastAsia="Times New Roman" w:hAnsi="Times New Roman" w:cs="Times New Roman"/>
          <w:sz w:val="24"/>
          <w:szCs w:val="24"/>
          <w:lang w:val="uk-UA"/>
        </w:rPr>
        <w:t>им</w:t>
      </w:r>
      <w:r w:rsidR="00B8514D" w:rsidRPr="00BE1959">
        <w:rPr>
          <w:rFonts w:ascii="Times New Roman" w:eastAsia="Times New Roman" w:hAnsi="Times New Roman" w:cs="Times New Roman"/>
          <w:sz w:val="24"/>
          <w:szCs w:val="24"/>
          <w:lang w:val="uk-UA"/>
        </w:rPr>
        <w:t xml:space="preserve"> своїх зобов’язань, викладених у </w:t>
      </w:r>
      <w:r w:rsidR="00966133" w:rsidRPr="00BE1959">
        <w:rPr>
          <w:rFonts w:ascii="Times New Roman" w:eastAsia="Times New Roman" w:hAnsi="Times New Roman" w:cs="Times New Roman"/>
          <w:sz w:val="24"/>
          <w:szCs w:val="24"/>
          <w:lang w:val="uk-UA"/>
        </w:rPr>
        <w:t>цьому розділі</w:t>
      </w:r>
      <w:r w:rsidR="00B8514D" w:rsidRPr="00BE1959">
        <w:rPr>
          <w:rFonts w:ascii="Times New Roman" w:eastAsia="Times New Roman" w:hAnsi="Times New Roman" w:cs="Times New Roman"/>
          <w:sz w:val="24"/>
          <w:szCs w:val="24"/>
          <w:lang w:val="uk-UA"/>
        </w:rPr>
        <w:t xml:space="preserve"> директиви.</w:t>
      </w:r>
    </w:p>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3.   </w:t>
      </w:r>
      <w:r w:rsidR="00B8514D" w:rsidRPr="00BE1959">
        <w:rPr>
          <w:rFonts w:ascii="Times New Roman" w:eastAsia="Times New Roman" w:hAnsi="Times New Roman" w:cs="Times New Roman"/>
          <w:sz w:val="24"/>
          <w:szCs w:val="24"/>
          <w:lang w:val="uk-UA"/>
        </w:rPr>
        <w:t>Упродовж шести місяців з дня подачі повної заявки заявника повідомляють про видачу чи невидачу дозволу.</w:t>
      </w:r>
    </w:p>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4.   </w:t>
      </w:r>
      <w:r w:rsidR="00B8514D" w:rsidRPr="00BE1959">
        <w:rPr>
          <w:rFonts w:ascii="Times New Roman" w:eastAsia="Times New Roman" w:hAnsi="Times New Roman" w:cs="Times New Roman"/>
          <w:sz w:val="24"/>
          <w:szCs w:val="24"/>
          <w:lang w:val="uk-UA"/>
        </w:rPr>
        <w:t>ESMA розробляє проекти нормативно-технічних стандартів, де зазначається наступне:</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9093"/>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B8514D"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інформація, що має бути надана компетентним органам згідно з п. 2 цієї статті, зокрема програма діяльності;</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65"/>
        <w:gridCol w:w="9000"/>
      </w:tblGrid>
      <w:tr w:rsidR="00DE3173" w:rsidRPr="00BE1959"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DB4E8D" w:rsidP="00DB4E8D">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інформація, що має включатися в повідомлення згідно зі статтею</w:t>
            </w:r>
            <w:r w:rsidR="005613AB" w:rsidRPr="00BE1959">
              <w:rPr>
                <w:rFonts w:ascii="Times New Roman" w:eastAsia="Times New Roman" w:hAnsi="Times New Roman" w:cs="Times New Roman"/>
                <w:sz w:val="24"/>
                <w:szCs w:val="24"/>
                <w:lang w:val="uk-UA"/>
              </w:rPr>
              <w:t xml:space="preserve"> 63(3).</w:t>
            </w:r>
          </w:p>
        </w:tc>
      </w:tr>
    </w:tbl>
    <w:p w:rsidR="00B8514D" w:rsidRPr="00BE1959" w:rsidRDefault="00B8514D"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ESMA подає проекти нормативно-технічних стандартів, згаданих у першому абзаці цього пункту, Комісії до 3 липня 2015 року.</w:t>
      </w:r>
    </w:p>
    <w:p w:rsidR="00B8514D" w:rsidRPr="00BE1959" w:rsidRDefault="00B8514D"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Комісії делегується повноваження на прийняття нормативно-технічних стандартів, згаданих у першому абзаці цього пункту, згідно зі статтями 10-14 Регламенту (EU) № 1095/2010.</w:t>
      </w:r>
    </w:p>
    <w:p w:rsidR="00DB4E8D" w:rsidRPr="00BE1959" w:rsidRDefault="005613AB" w:rsidP="00DB4E8D">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5.   </w:t>
      </w:r>
      <w:r w:rsidR="00DB4E8D" w:rsidRPr="00BE1959">
        <w:rPr>
          <w:rFonts w:ascii="Times New Roman" w:eastAsia="Times New Roman" w:hAnsi="Times New Roman" w:cs="Times New Roman"/>
          <w:sz w:val="24"/>
          <w:szCs w:val="24"/>
          <w:lang w:val="uk-UA"/>
        </w:rPr>
        <w:t> </w:t>
      </w:r>
      <w:r w:rsidR="00B22592" w:rsidRPr="00BE1959">
        <w:rPr>
          <w:rFonts w:ascii="Times New Roman" w:eastAsia="Times New Roman" w:hAnsi="Times New Roman" w:cs="Times New Roman"/>
          <w:sz w:val="24"/>
          <w:szCs w:val="24"/>
          <w:lang w:val="uk-UA"/>
        </w:rPr>
        <w:t>ESMA розробляє проекти виконавчих технічних стандартів, якими встановлюються типові форми, шаблони та процедури повідомлення чи надання інформації, передбаченої у пункті 2 цієї статті та у статті 63(4).</w:t>
      </w:r>
    </w:p>
    <w:p w:rsidR="00DB4E8D" w:rsidRPr="00BE1959" w:rsidRDefault="00DB4E8D" w:rsidP="00DB4E8D">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ESMA подає проекти цих виконавчих технічних стандартів Комісії до 3 січня 2016 року.</w:t>
      </w:r>
    </w:p>
    <w:p w:rsidR="005613AB" w:rsidRPr="00BE1959" w:rsidRDefault="00DB4E8D" w:rsidP="00B22592">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Комісії надається повноваження на прийняття виконавчих технічних стандартів, згаданих у першому абзаці цього пункту, згідно зі статтею 15 Регламенту (EU) № 1095/2010.</w:t>
      </w:r>
    </w:p>
    <w:p w:rsidR="005613AB" w:rsidRPr="00BE1959" w:rsidRDefault="00162A11" w:rsidP="005613AB">
      <w:pPr>
        <w:spacing w:before="360" w:after="120" w:line="312" w:lineRule="atLeast"/>
        <w:jc w:val="center"/>
        <w:textAlignment w:val="baseline"/>
        <w:rPr>
          <w:rFonts w:ascii="Times New Roman" w:eastAsia="Times New Roman" w:hAnsi="Times New Roman" w:cs="Times New Roman"/>
          <w:i/>
          <w:iCs/>
          <w:sz w:val="24"/>
          <w:szCs w:val="24"/>
          <w:lang w:val="uk-UA"/>
        </w:rPr>
      </w:pPr>
      <w:r w:rsidRPr="00BE1959">
        <w:rPr>
          <w:rFonts w:ascii="Times New Roman" w:eastAsia="Times New Roman" w:hAnsi="Times New Roman" w:cs="Times New Roman"/>
          <w:i/>
          <w:iCs/>
          <w:sz w:val="24"/>
          <w:szCs w:val="24"/>
          <w:lang w:val="uk-UA"/>
        </w:rPr>
        <w:t>Стаття</w:t>
      </w:r>
      <w:r w:rsidR="005613AB" w:rsidRPr="00BE1959">
        <w:rPr>
          <w:rFonts w:ascii="Times New Roman" w:eastAsia="Times New Roman" w:hAnsi="Times New Roman" w:cs="Times New Roman"/>
          <w:i/>
          <w:iCs/>
          <w:sz w:val="24"/>
          <w:szCs w:val="24"/>
          <w:lang w:val="uk-UA"/>
        </w:rPr>
        <w:t xml:space="preserve"> 62</w:t>
      </w:r>
    </w:p>
    <w:p w:rsidR="005613AB" w:rsidRPr="00BE1959" w:rsidRDefault="00A1699C" w:rsidP="005613AB">
      <w:pPr>
        <w:spacing w:before="60" w:after="120" w:line="312" w:lineRule="atLeast"/>
        <w:jc w:val="center"/>
        <w:textAlignment w:val="baseline"/>
        <w:rPr>
          <w:rFonts w:ascii="Times New Roman" w:eastAsia="Times New Roman" w:hAnsi="Times New Roman" w:cs="Times New Roman"/>
          <w:b/>
          <w:bCs/>
          <w:sz w:val="24"/>
          <w:szCs w:val="24"/>
          <w:lang w:val="uk-UA"/>
        </w:rPr>
      </w:pPr>
      <w:r w:rsidRPr="00BE1959">
        <w:rPr>
          <w:rFonts w:ascii="Times New Roman" w:eastAsia="Times New Roman" w:hAnsi="Times New Roman" w:cs="Times New Roman"/>
          <w:b/>
          <w:bCs/>
          <w:sz w:val="24"/>
          <w:szCs w:val="24"/>
          <w:lang w:val="uk-UA"/>
        </w:rPr>
        <w:t>Відкликання дозволів</w:t>
      </w:r>
    </w:p>
    <w:p w:rsidR="005613AB" w:rsidRPr="00BE1959" w:rsidRDefault="00A1699C"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Компетентний орган може відкликати дозвіл, виданий </w:t>
      </w:r>
      <w:r w:rsidR="003C4E74" w:rsidRPr="00BE1959">
        <w:rPr>
          <w:rFonts w:ascii="Times New Roman" w:eastAsia="Times New Roman" w:hAnsi="Times New Roman" w:cs="Times New Roman"/>
          <w:sz w:val="24"/>
          <w:szCs w:val="24"/>
          <w:lang w:val="uk-UA"/>
        </w:rPr>
        <w:t>надавачеві послуг із повідомлення даних</w:t>
      </w:r>
      <w:r w:rsidRPr="00BE1959">
        <w:rPr>
          <w:rFonts w:ascii="Times New Roman" w:eastAsia="Times New Roman" w:hAnsi="Times New Roman" w:cs="Times New Roman"/>
          <w:sz w:val="24"/>
          <w:szCs w:val="24"/>
          <w:lang w:val="uk-UA"/>
        </w:rPr>
        <w:t xml:space="preserve">, якщо </w:t>
      </w:r>
      <w:r w:rsidR="003C4E74" w:rsidRPr="00BE1959">
        <w:rPr>
          <w:rFonts w:ascii="Times New Roman" w:eastAsia="Times New Roman" w:hAnsi="Times New Roman" w:cs="Times New Roman"/>
          <w:sz w:val="24"/>
          <w:szCs w:val="24"/>
          <w:lang w:val="uk-UA"/>
        </w:rPr>
        <w:t>такий надавач</w:t>
      </w:r>
      <w:r w:rsidRPr="00BE1959">
        <w:rPr>
          <w:rFonts w:ascii="Times New Roman" w:eastAsia="Times New Roman" w:hAnsi="Times New Roman" w:cs="Times New Roman"/>
          <w:sz w:val="24"/>
          <w:szCs w:val="24"/>
          <w:lang w:val="uk-UA"/>
        </w:rP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9093"/>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A1699C" w:rsidP="003C4E74">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не використовує дозвіл упродовж 12 місяців, прямо відмовляється від дозволу або не надава</w:t>
            </w:r>
            <w:r w:rsidR="003C4E74" w:rsidRPr="00BE1959">
              <w:rPr>
                <w:rFonts w:ascii="Times New Roman" w:eastAsia="Times New Roman" w:hAnsi="Times New Roman" w:cs="Times New Roman"/>
                <w:sz w:val="24"/>
                <w:szCs w:val="24"/>
                <w:lang w:val="uk-UA"/>
              </w:rPr>
              <w:t>в послуги з повідомлення даних</w:t>
            </w:r>
            <w:r w:rsidRPr="00BE1959">
              <w:rPr>
                <w:rFonts w:ascii="Times New Roman" w:eastAsia="Times New Roman" w:hAnsi="Times New Roman" w:cs="Times New Roman"/>
                <w:sz w:val="24"/>
                <w:szCs w:val="24"/>
                <w:lang w:val="uk-UA"/>
              </w:rPr>
              <w:t xml:space="preserve"> упродовж попередніх шести місяців, якщо відповідна держава-член не передбачила для таких випадків втрату дозволом чинності;</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7E490B" w:rsidP="003C4E74">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отрима</w:t>
            </w:r>
            <w:r w:rsidR="003C4E74" w:rsidRPr="00BE1959">
              <w:rPr>
                <w:rFonts w:ascii="Times New Roman" w:eastAsia="Times New Roman" w:hAnsi="Times New Roman" w:cs="Times New Roman"/>
                <w:sz w:val="24"/>
                <w:szCs w:val="24"/>
                <w:lang w:val="uk-UA"/>
              </w:rPr>
              <w:t>в</w:t>
            </w:r>
            <w:r w:rsidRPr="00BE1959">
              <w:rPr>
                <w:rFonts w:ascii="Times New Roman" w:eastAsia="Times New Roman" w:hAnsi="Times New Roman" w:cs="Times New Roman"/>
                <w:sz w:val="24"/>
                <w:szCs w:val="24"/>
                <w:lang w:val="uk-UA"/>
              </w:rPr>
              <w:t xml:space="preserve"> дозвіл шляхом надання неправдивих заяв або будь-якими іншими незаконними засобами;</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78"/>
        <w:gridCol w:w="8887"/>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7E490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вже не відповідає умовам, на яких був виданий дозвіл</w:t>
            </w:r>
            <w:r w:rsidR="005613AB" w:rsidRPr="00BE1959">
              <w:rPr>
                <w:rFonts w:ascii="Times New Roman" w:eastAsia="Times New Roman" w:hAnsi="Times New Roman" w:cs="Times New Roman"/>
                <w:sz w:val="24"/>
                <w:szCs w:val="24"/>
                <w:lang w:val="uk-UA"/>
              </w:rPr>
              <w:t>;</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DE3173"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lastRenderedPageBreak/>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7E490B" w:rsidP="00DA275F">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серйозно і систематично порушува</w:t>
            </w:r>
            <w:r w:rsidR="003C4E74" w:rsidRPr="00BE1959">
              <w:rPr>
                <w:rFonts w:ascii="Times New Roman" w:eastAsia="Times New Roman" w:hAnsi="Times New Roman" w:cs="Times New Roman"/>
                <w:sz w:val="24"/>
                <w:szCs w:val="24"/>
                <w:lang w:val="uk-UA"/>
              </w:rPr>
              <w:t>в</w:t>
            </w:r>
            <w:r w:rsidRPr="00BE1959">
              <w:rPr>
                <w:rFonts w:ascii="Times New Roman" w:eastAsia="Times New Roman" w:hAnsi="Times New Roman" w:cs="Times New Roman"/>
                <w:sz w:val="24"/>
                <w:szCs w:val="24"/>
                <w:lang w:val="uk-UA"/>
              </w:rPr>
              <w:t xml:space="preserve"> положення, прийняті на виконання цієї директиви або Регламенту (EU) № 600/2014</w:t>
            </w:r>
            <w:r w:rsidR="00DA275F" w:rsidRPr="00BE1959">
              <w:rPr>
                <w:rFonts w:ascii="Times New Roman" w:eastAsia="Times New Roman" w:hAnsi="Times New Roman" w:cs="Times New Roman"/>
                <w:sz w:val="24"/>
                <w:szCs w:val="24"/>
                <w:lang w:val="uk-UA"/>
              </w:rPr>
              <w:t>.</w:t>
            </w:r>
          </w:p>
        </w:tc>
      </w:tr>
    </w:tbl>
    <w:p w:rsidR="005613AB" w:rsidRPr="00BE1959" w:rsidRDefault="00162A11" w:rsidP="005613AB">
      <w:pPr>
        <w:spacing w:before="360" w:after="120" w:line="312" w:lineRule="atLeast"/>
        <w:jc w:val="center"/>
        <w:textAlignment w:val="baseline"/>
        <w:rPr>
          <w:rFonts w:ascii="Times New Roman" w:eastAsia="Times New Roman" w:hAnsi="Times New Roman" w:cs="Times New Roman"/>
          <w:i/>
          <w:iCs/>
          <w:sz w:val="24"/>
          <w:szCs w:val="24"/>
          <w:lang w:val="uk-UA"/>
        </w:rPr>
      </w:pPr>
      <w:r w:rsidRPr="00BE1959">
        <w:rPr>
          <w:rFonts w:ascii="Times New Roman" w:eastAsia="Times New Roman" w:hAnsi="Times New Roman" w:cs="Times New Roman"/>
          <w:i/>
          <w:iCs/>
          <w:sz w:val="24"/>
          <w:szCs w:val="24"/>
          <w:lang w:val="uk-UA"/>
        </w:rPr>
        <w:t>Стаття</w:t>
      </w:r>
      <w:r w:rsidR="005613AB" w:rsidRPr="00BE1959">
        <w:rPr>
          <w:rFonts w:ascii="Times New Roman" w:eastAsia="Times New Roman" w:hAnsi="Times New Roman" w:cs="Times New Roman"/>
          <w:i/>
          <w:iCs/>
          <w:sz w:val="24"/>
          <w:szCs w:val="24"/>
          <w:lang w:val="uk-UA"/>
        </w:rPr>
        <w:t xml:space="preserve"> 63</w:t>
      </w:r>
    </w:p>
    <w:p w:rsidR="005613AB" w:rsidRPr="00BE1959" w:rsidRDefault="007E490B" w:rsidP="005613AB">
      <w:pPr>
        <w:spacing w:before="60" w:after="120" w:line="312" w:lineRule="atLeast"/>
        <w:jc w:val="center"/>
        <w:textAlignment w:val="baseline"/>
        <w:rPr>
          <w:rFonts w:ascii="Times New Roman" w:eastAsia="Times New Roman" w:hAnsi="Times New Roman" w:cs="Times New Roman"/>
          <w:b/>
          <w:bCs/>
          <w:sz w:val="24"/>
          <w:szCs w:val="24"/>
          <w:lang w:val="uk-UA"/>
        </w:rPr>
      </w:pPr>
      <w:r w:rsidRPr="00BE1959">
        <w:rPr>
          <w:rFonts w:ascii="Times New Roman" w:eastAsia="Times New Roman" w:hAnsi="Times New Roman" w:cs="Times New Roman"/>
          <w:b/>
          <w:bCs/>
          <w:sz w:val="24"/>
          <w:szCs w:val="24"/>
          <w:lang w:val="uk-UA"/>
        </w:rPr>
        <w:t>Вимоги до керівного органу</w:t>
      </w:r>
      <w:r w:rsidR="005613AB" w:rsidRPr="00BE1959">
        <w:rPr>
          <w:rFonts w:ascii="Times New Roman" w:eastAsia="Times New Roman" w:hAnsi="Times New Roman" w:cs="Times New Roman"/>
          <w:b/>
          <w:bCs/>
          <w:sz w:val="24"/>
          <w:szCs w:val="24"/>
          <w:lang w:val="uk-UA"/>
        </w:rPr>
        <w:t xml:space="preserve"> </w:t>
      </w:r>
      <w:r w:rsidR="00311FF1" w:rsidRPr="00BE1959">
        <w:rPr>
          <w:rFonts w:ascii="Times New Roman" w:eastAsia="Times New Roman" w:hAnsi="Times New Roman" w:cs="Times New Roman"/>
          <w:b/>
          <w:sz w:val="24"/>
          <w:szCs w:val="24"/>
          <w:lang w:val="uk-UA"/>
        </w:rPr>
        <w:t>надавача послуг із повідомлення даних</w:t>
      </w:r>
    </w:p>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1.   </w:t>
      </w:r>
      <w:r w:rsidR="00DD2823" w:rsidRPr="00BE1959">
        <w:rPr>
          <w:rFonts w:ascii="Times New Roman" w:eastAsia="Times New Roman" w:hAnsi="Times New Roman" w:cs="Times New Roman"/>
          <w:sz w:val="24"/>
          <w:szCs w:val="24"/>
          <w:lang w:val="uk-UA"/>
        </w:rPr>
        <w:t xml:space="preserve">Держави-члени вимагають, щоб усі </w:t>
      </w:r>
      <w:r w:rsidR="00311FF1" w:rsidRPr="00BE1959">
        <w:rPr>
          <w:rFonts w:ascii="Times New Roman" w:eastAsia="Times New Roman" w:hAnsi="Times New Roman" w:cs="Times New Roman"/>
          <w:sz w:val="24"/>
          <w:szCs w:val="24"/>
          <w:lang w:val="uk-UA"/>
        </w:rPr>
        <w:t xml:space="preserve">члени </w:t>
      </w:r>
      <w:r w:rsidR="00DD2823" w:rsidRPr="00BE1959">
        <w:rPr>
          <w:rFonts w:ascii="Times New Roman" w:eastAsia="Times New Roman" w:hAnsi="Times New Roman" w:cs="Times New Roman"/>
          <w:sz w:val="24"/>
          <w:szCs w:val="24"/>
          <w:lang w:val="uk-UA"/>
        </w:rPr>
        <w:t xml:space="preserve">керівного органу </w:t>
      </w:r>
      <w:r w:rsidR="00311FF1" w:rsidRPr="00BE1959">
        <w:rPr>
          <w:rFonts w:ascii="Times New Roman" w:eastAsia="Times New Roman" w:hAnsi="Times New Roman" w:cs="Times New Roman"/>
          <w:sz w:val="24"/>
          <w:szCs w:val="24"/>
          <w:lang w:val="uk-UA"/>
        </w:rPr>
        <w:t xml:space="preserve">надавача послуг із повідомлення даних </w:t>
      </w:r>
      <w:r w:rsidR="00DD2823" w:rsidRPr="00BE1959">
        <w:rPr>
          <w:rFonts w:ascii="Times New Roman" w:eastAsia="Times New Roman" w:hAnsi="Times New Roman" w:cs="Times New Roman"/>
          <w:sz w:val="24"/>
          <w:szCs w:val="24"/>
          <w:lang w:val="uk-UA"/>
        </w:rPr>
        <w:t xml:space="preserve">незмінно мали достатньо хорошу репутацію та володіли достатніми знаннями, навичками та досвідом </w:t>
      </w:r>
      <w:r w:rsidR="00311FF1" w:rsidRPr="00BE1959">
        <w:rPr>
          <w:rFonts w:ascii="Times New Roman" w:eastAsia="Times New Roman" w:hAnsi="Times New Roman" w:cs="Times New Roman"/>
          <w:sz w:val="24"/>
          <w:szCs w:val="24"/>
          <w:lang w:val="uk-UA"/>
        </w:rPr>
        <w:t xml:space="preserve">і приділяли достатньо часу </w:t>
      </w:r>
      <w:r w:rsidR="00DD2823" w:rsidRPr="00BE1959">
        <w:rPr>
          <w:rFonts w:ascii="Times New Roman" w:eastAsia="Times New Roman" w:hAnsi="Times New Roman" w:cs="Times New Roman"/>
          <w:sz w:val="24"/>
          <w:szCs w:val="24"/>
          <w:lang w:val="uk-UA"/>
        </w:rPr>
        <w:t xml:space="preserve">для виконання своїх функцій. </w:t>
      </w:r>
    </w:p>
    <w:p w:rsidR="005613AB" w:rsidRPr="00BE1959" w:rsidRDefault="00DD2823"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Керівний орган повинен володіти належними колективними знаннями, навичками й досвідом, щоб бути здатним розуміти діяльність</w:t>
      </w:r>
      <w:r w:rsidR="00E5640A" w:rsidRPr="00BE1959">
        <w:rPr>
          <w:rFonts w:ascii="Times New Roman" w:eastAsia="Times New Roman" w:hAnsi="Times New Roman" w:cs="Times New Roman"/>
          <w:sz w:val="24"/>
          <w:szCs w:val="24"/>
          <w:lang w:val="uk-UA"/>
        </w:rPr>
        <w:t xml:space="preserve"> надавача послуг із повідомлення даних</w:t>
      </w:r>
      <w:r w:rsidRPr="00BE1959">
        <w:rPr>
          <w:rFonts w:ascii="Times New Roman" w:eastAsia="Times New Roman" w:hAnsi="Times New Roman" w:cs="Times New Roman"/>
          <w:sz w:val="24"/>
          <w:szCs w:val="24"/>
          <w:lang w:val="uk-UA"/>
        </w:rPr>
        <w:t>. Кожний член керівного органу повинен діяти чесно, об’єктивно і незалежно, щоб ефективно оцінювати та оспорювати рішення вищого керівництва, де це необхідно, і здійснювати дієвий нагляд і контроль за прийняттям рішень.</w:t>
      </w:r>
    </w:p>
    <w:p w:rsidR="005613AB" w:rsidRPr="00BE1959" w:rsidRDefault="00E708B3" w:rsidP="00E708B3">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Якщо оператор ринку звернувся за дозволом на управління ЗМП, НЗД або ЗМЗ, а члени керівного органу </w:t>
      </w:r>
      <w:r w:rsidR="00E5640A" w:rsidRPr="00BE1959">
        <w:rPr>
          <w:rFonts w:ascii="Times New Roman" w:eastAsia="Times New Roman" w:hAnsi="Times New Roman" w:cs="Times New Roman"/>
          <w:sz w:val="24"/>
          <w:szCs w:val="24"/>
          <w:lang w:val="uk-UA"/>
        </w:rPr>
        <w:t xml:space="preserve">ЗМП, НЗД або ЗМЗ </w:t>
      </w:r>
      <w:r w:rsidRPr="00BE1959">
        <w:rPr>
          <w:rFonts w:ascii="Times New Roman" w:eastAsia="Times New Roman" w:hAnsi="Times New Roman" w:cs="Times New Roman"/>
          <w:sz w:val="24"/>
          <w:szCs w:val="24"/>
          <w:lang w:val="uk-UA"/>
        </w:rPr>
        <w:t>– ті ж самі особи, що й члени керівного органу регульованого ринку, то вважається, що ці особи відповідають вимозі, встановленій у першому абзаці цього пункту.</w:t>
      </w:r>
    </w:p>
    <w:p w:rsidR="005613AB" w:rsidRPr="00BE1959" w:rsidRDefault="005613AB" w:rsidP="00E5640A">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2.   ESMA </w:t>
      </w:r>
      <w:r w:rsidR="00E708B3" w:rsidRPr="00BE1959">
        <w:rPr>
          <w:rFonts w:ascii="Times New Roman" w:eastAsia="Times New Roman" w:hAnsi="Times New Roman" w:cs="Times New Roman"/>
          <w:sz w:val="24"/>
          <w:szCs w:val="24"/>
          <w:lang w:val="uk-UA"/>
        </w:rPr>
        <w:t>до 3 січня 2016 року розробляє настанови щодо проведення оцінки відповідності членів керівного органу, описаного у пункті 1</w:t>
      </w:r>
      <w:r w:rsidR="00E5640A" w:rsidRPr="00BE1959">
        <w:rPr>
          <w:rFonts w:ascii="Times New Roman" w:eastAsia="Times New Roman" w:hAnsi="Times New Roman" w:cs="Times New Roman"/>
          <w:sz w:val="24"/>
          <w:szCs w:val="24"/>
          <w:lang w:val="uk-UA"/>
        </w:rPr>
        <w:t>, з урахуванням різних ролей та функцій, виконуваних ними, та необхідність уникати конфліктів інтересів між членами керівного органу та користувачами послуг ЗМП, НЗД або ЗМЗ</w:t>
      </w:r>
      <w:r w:rsidRPr="00BE1959">
        <w:rPr>
          <w:rFonts w:ascii="Times New Roman" w:eastAsia="Times New Roman" w:hAnsi="Times New Roman" w:cs="Times New Roman"/>
          <w:sz w:val="24"/>
          <w:szCs w:val="24"/>
          <w:lang w:val="uk-UA"/>
        </w:rPr>
        <w:t>.</w:t>
      </w:r>
    </w:p>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3.   </w:t>
      </w:r>
      <w:r w:rsidR="007102C7" w:rsidRPr="00BE1959">
        <w:rPr>
          <w:rFonts w:ascii="Times New Roman" w:eastAsia="Times New Roman" w:hAnsi="Times New Roman" w:cs="Times New Roman"/>
          <w:sz w:val="24"/>
          <w:szCs w:val="24"/>
          <w:lang w:val="uk-UA"/>
        </w:rPr>
        <w:t xml:space="preserve">Держави-члени вимагають, щоб </w:t>
      </w:r>
      <w:r w:rsidR="00E27599" w:rsidRPr="00BE1959">
        <w:rPr>
          <w:rFonts w:ascii="Times New Roman" w:eastAsia="Times New Roman" w:hAnsi="Times New Roman" w:cs="Times New Roman"/>
          <w:sz w:val="24"/>
          <w:szCs w:val="24"/>
          <w:lang w:val="uk-UA"/>
        </w:rPr>
        <w:t xml:space="preserve">надавач послуг із повідомлення даних </w:t>
      </w:r>
      <w:r w:rsidR="007102C7" w:rsidRPr="00BE1959">
        <w:rPr>
          <w:rFonts w:ascii="Times New Roman" w:eastAsia="Times New Roman" w:hAnsi="Times New Roman" w:cs="Times New Roman"/>
          <w:sz w:val="24"/>
          <w:szCs w:val="24"/>
          <w:lang w:val="uk-UA"/>
        </w:rPr>
        <w:t xml:space="preserve">повідомив компетентному органові дані всіх членів його керівного органу та інформацію про всі зміни у його складі, поряд з інформацією, потрібною для оцінки дотримання </w:t>
      </w:r>
      <w:r w:rsidR="00E27599" w:rsidRPr="00BE1959">
        <w:rPr>
          <w:rFonts w:ascii="Times New Roman" w:eastAsia="Times New Roman" w:hAnsi="Times New Roman" w:cs="Times New Roman"/>
          <w:sz w:val="24"/>
          <w:szCs w:val="24"/>
          <w:lang w:val="uk-UA"/>
        </w:rPr>
        <w:t>надавачем</w:t>
      </w:r>
      <w:r w:rsidR="007102C7" w:rsidRPr="00BE1959">
        <w:rPr>
          <w:rFonts w:ascii="Times New Roman" w:eastAsia="Times New Roman" w:hAnsi="Times New Roman" w:cs="Times New Roman"/>
          <w:sz w:val="24"/>
          <w:szCs w:val="24"/>
          <w:lang w:val="uk-UA"/>
        </w:rPr>
        <w:t xml:space="preserve"> вимог пунктів 1-5 цієї статті.</w:t>
      </w:r>
    </w:p>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4.   </w:t>
      </w:r>
      <w:r w:rsidR="00FC7E78" w:rsidRPr="00BE1959">
        <w:rPr>
          <w:rFonts w:ascii="Times New Roman" w:eastAsia="Times New Roman" w:hAnsi="Times New Roman" w:cs="Times New Roman"/>
          <w:sz w:val="24"/>
          <w:szCs w:val="24"/>
          <w:lang w:val="uk-UA"/>
        </w:rPr>
        <w:t xml:space="preserve">Держави-члени забезпечують, щоб керівний орган </w:t>
      </w:r>
      <w:r w:rsidR="00E27599" w:rsidRPr="00BE1959">
        <w:rPr>
          <w:rFonts w:ascii="Times New Roman" w:eastAsia="Times New Roman" w:hAnsi="Times New Roman" w:cs="Times New Roman"/>
          <w:sz w:val="24"/>
          <w:szCs w:val="24"/>
          <w:lang w:val="uk-UA"/>
        </w:rPr>
        <w:t>надавача послуг із повідомлення даних</w:t>
      </w:r>
      <w:r w:rsidR="00FC7E78" w:rsidRPr="00BE1959">
        <w:rPr>
          <w:rFonts w:ascii="Times New Roman" w:eastAsia="Times New Roman" w:hAnsi="Times New Roman" w:cs="Times New Roman"/>
          <w:sz w:val="24"/>
          <w:szCs w:val="24"/>
          <w:lang w:val="uk-UA"/>
        </w:rPr>
        <w:t xml:space="preserve"> визначив механізми управління, які забезпечують ефективне і раціональне керівництво організацією, включаючи розподіл обов’язків у організації та запобігання конфліктів інтересів, причому в спосіб, який сприяє цілісності ринку</w:t>
      </w:r>
      <w:r w:rsidR="00E27599" w:rsidRPr="00BE1959">
        <w:rPr>
          <w:rFonts w:ascii="Times New Roman" w:eastAsia="Times New Roman" w:hAnsi="Times New Roman" w:cs="Times New Roman"/>
          <w:sz w:val="24"/>
          <w:szCs w:val="24"/>
          <w:lang w:val="uk-UA"/>
        </w:rPr>
        <w:t xml:space="preserve"> та інтересам його клієнтів</w:t>
      </w:r>
      <w:r w:rsidR="00FC7E78" w:rsidRPr="00BE1959">
        <w:rPr>
          <w:rFonts w:ascii="Times New Roman" w:eastAsia="Times New Roman" w:hAnsi="Times New Roman" w:cs="Times New Roman"/>
          <w:sz w:val="24"/>
          <w:szCs w:val="24"/>
          <w:lang w:val="uk-UA"/>
        </w:rPr>
        <w:t>, а також наглядав за впровадженням цих механізмів.</w:t>
      </w:r>
    </w:p>
    <w:p w:rsidR="005613AB" w:rsidRPr="00BE1959" w:rsidRDefault="005613AB" w:rsidP="0086197A">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5.   </w:t>
      </w:r>
      <w:r w:rsidR="007102C7" w:rsidRPr="00BE1959">
        <w:rPr>
          <w:rFonts w:ascii="Times New Roman" w:eastAsia="Times New Roman" w:hAnsi="Times New Roman" w:cs="Times New Roman"/>
          <w:sz w:val="24"/>
          <w:szCs w:val="24"/>
          <w:lang w:val="uk-UA"/>
        </w:rPr>
        <w:t xml:space="preserve">Компетентний орган відмовляє у видачі дозволу, якщо він не переконався в тому, що </w:t>
      </w:r>
      <w:r w:rsidR="007D5109" w:rsidRPr="00BE1959">
        <w:rPr>
          <w:rFonts w:ascii="Times New Roman" w:eastAsia="Times New Roman" w:hAnsi="Times New Roman" w:cs="Times New Roman"/>
          <w:sz w:val="24"/>
          <w:szCs w:val="24"/>
          <w:lang w:val="uk-UA"/>
        </w:rPr>
        <w:t xml:space="preserve">особа чи особи, які фактично керують діяльністю </w:t>
      </w:r>
      <w:r w:rsidR="00DE40DF" w:rsidRPr="00BE1959">
        <w:rPr>
          <w:rFonts w:ascii="Times New Roman" w:eastAsia="Times New Roman" w:hAnsi="Times New Roman" w:cs="Times New Roman"/>
          <w:sz w:val="24"/>
          <w:szCs w:val="24"/>
          <w:lang w:val="uk-UA"/>
        </w:rPr>
        <w:t xml:space="preserve">надавача послуг із повідомлення даних, </w:t>
      </w:r>
      <w:r w:rsidR="007102C7" w:rsidRPr="00BE1959">
        <w:rPr>
          <w:rFonts w:ascii="Times New Roman" w:eastAsia="Times New Roman" w:hAnsi="Times New Roman" w:cs="Times New Roman"/>
          <w:sz w:val="24"/>
          <w:szCs w:val="24"/>
          <w:lang w:val="uk-UA"/>
        </w:rPr>
        <w:t xml:space="preserve">мають достатньо високу репутацію, або якщо існують об’єктивні та очевидні підстави вважати, що </w:t>
      </w:r>
      <w:r w:rsidR="0086197A" w:rsidRPr="00BE1959">
        <w:rPr>
          <w:rFonts w:ascii="Times New Roman" w:eastAsia="Times New Roman" w:hAnsi="Times New Roman" w:cs="Times New Roman"/>
          <w:sz w:val="24"/>
          <w:szCs w:val="24"/>
          <w:lang w:val="uk-UA"/>
        </w:rPr>
        <w:t>запропоновані зміни у складі його керівного органу становлять</w:t>
      </w:r>
      <w:r w:rsidR="007102C7" w:rsidRPr="00BE1959">
        <w:rPr>
          <w:rFonts w:ascii="Times New Roman" w:eastAsia="Times New Roman" w:hAnsi="Times New Roman" w:cs="Times New Roman"/>
          <w:sz w:val="24"/>
          <w:szCs w:val="24"/>
          <w:lang w:val="uk-UA"/>
        </w:rPr>
        <w:t xml:space="preserve"> загрозу для раціонального і розумного управління ним і для належного врахування </w:t>
      </w:r>
      <w:r w:rsidR="0086197A" w:rsidRPr="00BE1959">
        <w:rPr>
          <w:rFonts w:ascii="Times New Roman" w:eastAsia="Times New Roman" w:hAnsi="Times New Roman" w:cs="Times New Roman"/>
          <w:sz w:val="24"/>
          <w:szCs w:val="24"/>
          <w:lang w:val="uk-UA"/>
        </w:rPr>
        <w:t xml:space="preserve">інтересів клієнтів та </w:t>
      </w:r>
      <w:r w:rsidR="007102C7" w:rsidRPr="00BE1959">
        <w:rPr>
          <w:rFonts w:ascii="Times New Roman" w:eastAsia="Times New Roman" w:hAnsi="Times New Roman" w:cs="Times New Roman"/>
          <w:sz w:val="24"/>
          <w:szCs w:val="24"/>
          <w:lang w:val="uk-UA"/>
        </w:rPr>
        <w:t>цілісності ринку.</w:t>
      </w:r>
    </w:p>
    <w:p w:rsidR="005613AB" w:rsidRPr="00BE1959" w:rsidRDefault="0086197A" w:rsidP="005613AB">
      <w:pPr>
        <w:spacing w:after="0" w:line="312" w:lineRule="atLeast"/>
        <w:jc w:val="center"/>
        <w:textAlignment w:val="baseline"/>
        <w:rPr>
          <w:rFonts w:ascii="Times New Roman" w:eastAsia="Times New Roman" w:hAnsi="Times New Roman" w:cs="Times New Roman"/>
          <w:b/>
          <w:bCs/>
          <w:sz w:val="24"/>
          <w:szCs w:val="24"/>
          <w:lang w:val="uk-UA"/>
        </w:rPr>
      </w:pPr>
      <w:r w:rsidRPr="00BE1959">
        <w:rPr>
          <w:rFonts w:ascii="Times New Roman" w:eastAsia="Times New Roman" w:hAnsi="Times New Roman" w:cs="Times New Roman"/>
          <w:b/>
          <w:bCs/>
          <w:sz w:val="24"/>
          <w:szCs w:val="24"/>
          <w:bdr w:val="none" w:sz="0" w:space="0" w:color="auto" w:frame="1"/>
          <w:lang w:val="uk-UA"/>
        </w:rPr>
        <w:lastRenderedPageBreak/>
        <w:t>Підрозділ</w:t>
      </w:r>
      <w:r w:rsidR="005613AB" w:rsidRPr="00BE1959">
        <w:rPr>
          <w:rFonts w:ascii="Times New Roman" w:eastAsia="Times New Roman" w:hAnsi="Times New Roman" w:cs="Times New Roman"/>
          <w:b/>
          <w:bCs/>
          <w:sz w:val="24"/>
          <w:szCs w:val="24"/>
          <w:bdr w:val="none" w:sz="0" w:space="0" w:color="auto" w:frame="1"/>
          <w:lang w:val="uk-UA"/>
        </w:rPr>
        <w:t xml:space="preserve"> 2</w:t>
      </w:r>
    </w:p>
    <w:p w:rsidR="005613AB" w:rsidRPr="00BE1959" w:rsidRDefault="0086197A" w:rsidP="005613AB">
      <w:pPr>
        <w:spacing w:after="0" w:line="312" w:lineRule="atLeast"/>
        <w:jc w:val="center"/>
        <w:textAlignment w:val="baseline"/>
        <w:rPr>
          <w:rFonts w:ascii="Times New Roman" w:eastAsia="Times New Roman" w:hAnsi="Times New Roman" w:cs="Times New Roman"/>
          <w:b/>
          <w:bCs/>
          <w:sz w:val="24"/>
          <w:szCs w:val="24"/>
          <w:lang w:val="uk-UA"/>
        </w:rPr>
      </w:pPr>
      <w:r w:rsidRPr="00BE1959">
        <w:rPr>
          <w:rFonts w:ascii="Times New Roman" w:eastAsia="Times New Roman" w:hAnsi="Times New Roman" w:cs="Times New Roman"/>
          <w:b/>
          <w:bCs/>
          <w:sz w:val="24"/>
          <w:szCs w:val="24"/>
          <w:bdr w:val="none" w:sz="0" w:space="0" w:color="auto" w:frame="1"/>
          <w:lang w:val="uk-UA"/>
        </w:rPr>
        <w:t>Умови для ЗМП</w:t>
      </w:r>
    </w:p>
    <w:p w:rsidR="005613AB" w:rsidRPr="00BE1959" w:rsidRDefault="00162A11" w:rsidP="005613AB">
      <w:pPr>
        <w:spacing w:before="360" w:after="120" w:line="312" w:lineRule="atLeast"/>
        <w:jc w:val="center"/>
        <w:textAlignment w:val="baseline"/>
        <w:rPr>
          <w:rFonts w:ascii="Times New Roman" w:eastAsia="Times New Roman" w:hAnsi="Times New Roman" w:cs="Times New Roman"/>
          <w:i/>
          <w:iCs/>
          <w:sz w:val="24"/>
          <w:szCs w:val="24"/>
          <w:lang w:val="uk-UA"/>
        </w:rPr>
      </w:pPr>
      <w:r w:rsidRPr="00BE1959">
        <w:rPr>
          <w:rFonts w:ascii="Times New Roman" w:eastAsia="Times New Roman" w:hAnsi="Times New Roman" w:cs="Times New Roman"/>
          <w:i/>
          <w:iCs/>
          <w:sz w:val="24"/>
          <w:szCs w:val="24"/>
          <w:lang w:val="uk-UA"/>
        </w:rPr>
        <w:t>Стаття</w:t>
      </w:r>
      <w:r w:rsidR="005613AB" w:rsidRPr="00BE1959">
        <w:rPr>
          <w:rFonts w:ascii="Times New Roman" w:eastAsia="Times New Roman" w:hAnsi="Times New Roman" w:cs="Times New Roman"/>
          <w:i/>
          <w:iCs/>
          <w:sz w:val="24"/>
          <w:szCs w:val="24"/>
          <w:lang w:val="uk-UA"/>
        </w:rPr>
        <w:t xml:space="preserve"> 64</w:t>
      </w:r>
    </w:p>
    <w:p w:rsidR="005613AB" w:rsidRPr="00BE1959" w:rsidRDefault="0086197A" w:rsidP="005613AB">
      <w:pPr>
        <w:spacing w:before="60" w:after="120" w:line="312" w:lineRule="atLeast"/>
        <w:jc w:val="center"/>
        <w:textAlignment w:val="baseline"/>
        <w:rPr>
          <w:rFonts w:ascii="Times New Roman" w:eastAsia="Times New Roman" w:hAnsi="Times New Roman" w:cs="Times New Roman"/>
          <w:b/>
          <w:bCs/>
          <w:sz w:val="24"/>
          <w:szCs w:val="24"/>
          <w:lang w:val="uk-UA"/>
        </w:rPr>
      </w:pPr>
      <w:r w:rsidRPr="00BE1959">
        <w:rPr>
          <w:rFonts w:ascii="Times New Roman" w:eastAsia="Times New Roman" w:hAnsi="Times New Roman" w:cs="Times New Roman"/>
          <w:b/>
          <w:bCs/>
          <w:sz w:val="24"/>
          <w:szCs w:val="24"/>
          <w:lang w:val="uk-UA"/>
        </w:rPr>
        <w:t>Організаційні вимоги</w:t>
      </w:r>
    </w:p>
    <w:p w:rsidR="00152D48" w:rsidRPr="00BE1959" w:rsidRDefault="005613AB" w:rsidP="00E37ED6">
      <w:pPr>
        <w:tabs>
          <w:tab w:val="left" w:pos="4741"/>
        </w:tabs>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1.   </w:t>
      </w:r>
      <w:r w:rsidR="001B2341" w:rsidRPr="00BE1959">
        <w:rPr>
          <w:rFonts w:ascii="Times New Roman" w:eastAsia="Times New Roman" w:hAnsi="Times New Roman" w:cs="Times New Roman"/>
          <w:sz w:val="24"/>
          <w:szCs w:val="24"/>
          <w:lang w:val="uk-UA"/>
        </w:rPr>
        <w:t>Держава-член походження вимагає</w:t>
      </w:r>
      <w:r w:rsidR="00E37ED6" w:rsidRPr="00BE1959">
        <w:rPr>
          <w:rFonts w:ascii="Times New Roman" w:eastAsia="Times New Roman" w:hAnsi="Times New Roman" w:cs="Times New Roman"/>
          <w:sz w:val="24"/>
          <w:szCs w:val="24"/>
          <w:lang w:val="uk-UA"/>
        </w:rPr>
        <w:t xml:space="preserve"> наявності у ЗМП належних правил і засобів для оприлюднення інформації, необхідної згідно з вимогами статей 20 та 21</w:t>
      </w:r>
      <w:r w:rsidR="00152D48" w:rsidRPr="00BE1959">
        <w:rPr>
          <w:rFonts w:ascii="Times New Roman" w:eastAsia="Times New Roman" w:hAnsi="Times New Roman" w:cs="Times New Roman"/>
          <w:sz w:val="24"/>
          <w:szCs w:val="24"/>
          <w:lang w:val="uk-UA"/>
        </w:rPr>
        <w:t xml:space="preserve"> </w:t>
      </w:r>
      <w:r w:rsidR="008824AE" w:rsidRPr="00BE1959">
        <w:rPr>
          <w:rFonts w:ascii="Times New Roman" w:eastAsia="Times New Roman" w:hAnsi="Times New Roman" w:cs="Times New Roman"/>
          <w:sz w:val="24"/>
          <w:szCs w:val="24"/>
          <w:lang w:val="uk-UA"/>
        </w:rPr>
        <w:t>Регламенту</w:t>
      </w:r>
      <w:r w:rsidRPr="00BE1959">
        <w:rPr>
          <w:rFonts w:ascii="Times New Roman" w:eastAsia="Times New Roman" w:hAnsi="Times New Roman" w:cs="Times New Roman"/>
          <w:sz w:val="24"/>
          <w:szCs w:val="24"/>
          <w:lang w:val="uk-UA"/>
        </w:rPr>
        <w:t xml:space="preserve"> </w:t>
      </w:r>
      <w:r w:rsidR="007B0149" w:rsidRPr="00BE1959">
        <w:rPr>
          <w:rFonts w:ascii="Times New Roman" w:eastAsia="Times New Roman" w:hAnsi="Times New Roman" w:cs="Times New Roman"/>
          <w:sz w:val="24"/>
          <w:szCs w:val="24"/>
          <w:lang w:val="uk-UA"/>
        </w:rPr>
        <w:t>(EU) № 600/2014</w:t>
      </w:r>
      <w:r w:rsidR="00152D48" w:rsidRPr="00BE1959">
        <w:rPr>
          <w:rFonts w:ascii="Times New Roman" w:eastAsia="Times New Roman" w:hAnsi="Times New Roman" w:cs="Times New Roman"/>
          <w:sz w:val="24"/>
          <w:szCs w:val="24"/>
          <w:lang w:val="uk-UA"/>
        </w:rPr>
        <w:t xml:space="preserve">, у режимі, технічно максимально близькому до реального часу, на розумних комерційних засадах. Ця інформація надається безкоштовно через 15 хвилин після </w:t>
      </w:r>
      <w:r w:rsidR="004E7D1E" w:rsidRPr="00BE1959">
        <w:rPr>
          <w:rFonts w:ascii="Times New Roman" w:eastAsia="Times New Roman" w:hAnsi="Times New Roman" w:cs="Times New Roman"/>
          <w:sz w:val="24"/>
          <w:szCs w:val="24"/>
          <w:lang w:val="uk-UA"/>
        </w:rPr>
        <w:t xml:space="preserve">її </w:t>
      </w:r>
      <w:r w:rsidR="00152D48" w:rsidRPr="00BE1959">
        <w:rPr>
          <w:rFonts w:ascii="Times New Roman" w:eastAsia="Times New Roman" w:hAnsi="Times New Roman" w:cs="Times New Roman"/>
          <w:sz w:val="24"/>
          <w:szCs w:val="24"/>
          <w:lang w:val="uk-UA"/>
        </w:rPr>
        <w:t>публікації ЗМП.</w:t>
      </w:r>
      <w:r w:rsidR="004E7D1E" w:rsidRPr="00BE1959">
        <w:rPr>
          <w:rFonts w:ascii="Times New Roman" w:eastAsia="Times New Roman" w:hAnsi="Times New Roman" w:cs="Times New Roman"/>
          <w:sz w:val="24"/>
          <w:szCs w:val="24"/>
          <w:lang w:val="uk-UA"/>
        </w:rPr>
        <w:t xml:space="preserve"> Держава-член походження вимагає від ЗМП здатності ефективного і узгодженого розповсюдження такої інформації у спосіб, що забезпечує швидкий доступ до цієї інформації без будь-якої дискримінації, у формі, яка сприяє зведенню цієї інформації з аналогічними даними, отриманими з інших джерел.</w:t>
      </w:r>
    </w:p>
    <w:p w:rsidR="005613AB" w:rsidRPr="00BE1959" w:rsidRDefault="005613AB" w:rsidP="004E7D1E">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2.   </w:t>
      </w:r>
      <w:r w:rsidR="004E7D1E" w:rsidRPr="00BE1959">
        <w:rPr>
          <w:rFonts w:ascii="Times New Roman" w:eastAsia="Times New Roman" w:hAnsi="Times New Roman" w:cs="Times New Roman"/>
          <w:sz w:val="24"/>
          <w:szCs w:val="24"/>
          <w:lang w:val="uk-UA"/>
        </w:rPr>
        <w:t>Інформація, оприлюднена ЗМП відповідно до пункту 1, включає, як мінімум, наступні відомості:</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762"/>
        <w:gridCol w:w="8703"/>
      </w:tblGrid>
      <w:tr w:rsidR="005613AB" w:rsidRPr="00BE1959"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4E7D1E" w:rsidP="004E7D1E">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ідентифікатор фінансового інструмента;</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3"/>
        <w:gridCol w:w="8562"/>
      </w:tblGrid>
      <w:tr w:rsidR="006D4CCE"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6D4CCE" w:rsidP="006D4CCE">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ціна, за якою була укладена угода;</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011"/>
        <w:gridCol w:w="7454"/>
      </w:tblGrid>
      <w:tr w:rsidR="005613AB" w:rsidRPr="00BE1959"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6D4CCE"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обсяг угоди</w:t>
            </w:r>
            <w:r w:rsidR="005613AB" w:rsidRPr="00BE1959">
              <w:rPr>
                <w:rFonts w:ascii="Times New Roman" w:eastAsia="Times New Roman" w:hAnsi="Times New Roman" w:cs="Times New Roman"/>
                <w:sz w:val="24"/>
                <w:szCs w:val="24"/>
                <w:lang w:val="uk-UA"/>
              </w:rPr>
              <w:t>;</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366"/>
        <w:gridCol w:w="7099"/>
      </w:tblGrid>
      <w:tr w:rsidR="005613AB" w:rsidRPr="00BE1959"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6D4CCE"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час угоди</w:t>
            </w:r>
            <w:r w:rsidR="005613AB" w:rsidRPr="00BE1959">
              <w:rPr>
                <w:rFonts w:ascii="Times New Roman" w:eastAsia="Times New Roman" w:hAnsi="Times New Roman" w:cs="Times New Roman"/>
                <w:sz w:val="24"/>
                <w:szCs w:val="24"/>
                <w:lang w:val="uk-UA"/>
              </w:rPr>
              <w:t>;</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029"/>
        <w:gridCol w:w="8436"/>
      </w:tblGrid>
      <w:tr w:rsidR="005613AB" w:rsidRPr="00BE1959"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(e)</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6D4CCE" w:rsidP="006D4CCE">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час повідомлення про угоду;</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45"/>
        <w:gridCol w:w="8320"/>
      </w:tblGrid>
      <w:tr w:rsidR="006D4CCE" w:rsidRPr="00BE1959"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(f)</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6D4CCE" w:rsidP="006D4CCE">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позначення ціни угоди;</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(g)</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6D4CCE" w:rsidP="006D4CCE">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код торговельного майданчика, на якому була виконана угода, або, якщо угода була виконана через систематичного учасника, - код «SI»; в інших випадках – код «ОТС»;</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59"/>
        <w:gridCol w:w="9006"/>
      </w:tblGrid>
      <w:tr w:rsidR="00DE3173"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(h)</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6D4CCE" w:rsidP="006D4CCE">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якщо доречно, то вказівка на те, що угода підпадала під особливі умови.</w:t>
            </w:r>
          </w:p>
        </w:tc>
      </w:tr>
    </w:tbl>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3.   </w:t>
      </w:r>
      <w:r w:rsidR="009362EC" w:rsidRPr="00BE1959">
        <w:rPr>
          <w:rFonts w:ascii="Times New Roman" w:eastAsia="Times New Roman" w:hAnsi="Times New Roman" w:cs="Times New Roman"/>
          <w:sz w:val="24"/>
          <w:szCs w:val="24"/>
          <w:lang w:val="uk-UA"/>
        </w:rPr>
        <w:t>Держава-член походження також вимагає, щоб ЗМП запровадив і використовував</w:t>
      </w:r>
      <w:r w:rsidR="001B2341" w:rsidRPr="00BE1959">
        <w:rPr>
          <w:rFonts w:ascii="Times New Roman" w:eastAsia="Times New Roman" w:hAnsi="Times New Roman" w:cs="Times New Roman"/>
          <w:sz w:val="24"/>
          <w:szCs w:val="24"/>
          <w:lang w:val="uk-UA"/>
        </w:rPr>
        <w:t xml:space="preserve"> ефективні адміністративні механізми, спрямовані на запобігання конфліктів інтересів із його клієнтами. Зокрема, ЗМП, </w:t>
      </w:r>
      <w:r w:rsidR="0099168C" w:rsidRPr="00BE1959">
        <w:rPr>
          <w:rFonts w:ascii="Times New Roman" w:eastAsia="Times New Roman" w:hAnsi="Times New Roman" w:cs="Times New Roman"/>
          <w:sz w:val="24"/>
          <w:szCs w:val="24"/>
          <w:lang w:val="uk-UA"/>
        </w:rPr>
        <w:t xml:space="preserve">який також є </w:t>
      </w:r>
      <w:r w:rsidR="001B2341" w:rsidRPr="00BE1959">
        <w:rPr>
          <w:rFonts w:ascii="Times New Roman" w:eastAsia="Times New Roman" w:hAnsi="Times New Roman" w:cs="Times New Roman"/>
          <w:sz w:val="24"/>
          <w:szCs w:val="24"/>
          <w:lang w:val="uk-UA"/>
        </w:rPr>
        <w:t>оператором ринку чи інвестиційною фірмою, поводиться з усією зібраною інформацією без будь-якої дискримінації</w:t>
      </w:r>
      <w:r w:rsidR="0099168C" w:rsidRPr="00BE1959">
        <w:rPr>
          <w:rFonts w:ascii="Times New Roman" w:eastAsia="Times New Roman" w:hAnsi="Times New Roman" w:cs="Times New Roman"/>
          <w:sz w:val="24"/>
          <w:szCs w:val="24"/>
          <w:lang w:val="uk-UA"/>
        </w:rPr>
        <w:t xml:space="preserve">, а також </w:t>
      </w:r>
      <w:r w:rsidR="009362EC" w:rsidRPr="00BE1959">
        <w:rPr>
          <w:rFonts w:ascii="Times New Roman" w:eastAsia="Times New Roman" w:hAnsi="Times New Roman" w:cs="Times New Roman"/>
          <w:sz w:val="24"/>
          <w:szCs w:val="24"/>
          <w:lang w:val="uk-UA"/>
        </w:rPr>
        <w:t>запроваджує та використовує відповідні механізми для розділення ділових функцій.</w:t>
      </w:r>
    </w:p>
    <w:p w:rsidR="004745DC" w:rsidRPr="00BE1959" w:rsidRDefault="005613AB" w:rsidP="004745DC">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4.   </w:t>
      </w:r>
      <w:r w:rsidR="004745DC" w:rsidRPr="00BE1959">
        <w:rPr>
          <w:rFonts w:ascii="Times New Roman" w:eastAsia="Times New Roman" w:hAnsi="Times New Roman" w:cs="Times New Roman"/>
          <w:sz w:val="24"/>
          <w:szCs w:val="24"/>
          <w:lang w:val="uk-UA"/>
        </w:rPr>
        <w:t>Держава-член походження вимагає</w:t>
      </w:r>
      <w:r w:rsidR="009362EC" w:rsidRPr="00BE1959">
        <w:rPr>
          <w:rFonts w:ascii="Times New Roman" w:eastAsia="Times New Roman" w:hAnsi="Times New Roman" w:cs="Times New Roman"/>
          <w:sz w:val="24"/>
          <w:szCs w:val="24"/>
          <w:lang w:val="uk-UA"/>
        </w:rPr>
        <w:t xml:space="preserve">, щоб ЗМП запровадив надійні механізми забезпечення безпеки, </w:t>
      </w:r>
      <w:r w:rsidR="004745DC" w:rsidRPr="00BE1959">
        <w:rPr>
          <w:rFonts w:ascii="Times New Roman" w:eastAsia="Times New Roman" w:hAnsi="Times New Roman" w:cs="Times New Roman"/>
          <w:sz w:val="24"/>
          <w:szCs w:val="24"/>
          <w:lang w:val="uk-UA"/>
        </w:rPr>
        <w:t xml:space="preserve">що </w:t>
      </w:r>
      <w:r w:rsidR="009362EC" w:rsidRPr="00BE1959">
        <w:rPr>
          <w:rFonts w:ascii="Times New Roman" w:eastAsia="Times New Roman" w:hAnsi="Times New Roman" w:cs="Times New Roman"/>
          <w:sz w:val="24"/>
          <w:szCs w:val="24"/>
          <w:lang w:val="uk-UA"/>
        </w:rPr>
        <w:t>гарантую</w:t>
      </w:r>
      <w:r w:rsidR="004745DC" w:rsidRPr="00BE1959">
        <w:rPr>
          <w:rFonts w:ascii="Times New Roman" w:eastAsia="Times New Roman" w:hAnsi="Times New Roman" w:cs="Times New Roman"/>
          <w:sz w:val="24"/>
          <w:szCs w:val="24"/>
          <w:lang w:val="uk-UA"/>
        </w:rPr>
        <w:t>ть</w:t>
      </w:r>
      <w:r w:rsidR="009362EC" w:rsidRPr="00BE1959">
        <w:rPr>
          <w:rFonts w:ascii="Times New Roman" w:eastAsia="Times New Roman" w:hAnsi="Times New Roman" w:cs="Times New Roman"/>
          <w:sz w:val="24"/>
          <w:szCs w:val="24"/>
          <w:lang w:val="uk-UA"/>
        </w:rPr>
        <w:t xml:space="preserve"> безпеку засобів передачі інформації, зв</w:t>
      </w:r>
      <w:r w:rsidR="004745DC" w:rsidRPr="00BE1959">
        <w:rPr>
          <w:rFonts w:ascii="Times New Roman" w:eastAsia="Times New Roman" w:hAnsi="Times New Roman" w:cs="Times New Roman"/>
          <w:sz w:val="24"/>
          <w:szCs w:val="24"/>
          <w:lang w:val="uk-UA"/>
        </w:rPr>
        <w:t xml:space="preserve">одять до </w:t>
      </w:r>
      <w:r w:rsidR="009362EC" w:rsidRPr="00BE1959">
        <w:rPr>
          <w:rFonts w:ascii="Times New Roman" w:eastAsia="Times New Roman" w:hAnsi="Times New Roman" w:cs="Times New Roman"/>
          <w:sz w:val="24"/>
          <w:szCs w:val="24"/>
          <w:lang w:val="uk-UA"/>
        </w:rPr>
        <w:t>мінімуму ризик</w:t>
      </w:r>
      <w:r w:rsidR="004745DC" w:rsidRPr="00BE1959">
        <w:rPr>
          <w:rFonts w:ascii="Times New Roman" w:eastAsia="Times New Roman" w:hAnsi="Times New Roman" w:cs="Times New Roman"/>
          <w:sz w:val="24"/>
          <w:szCs w:val="24"/>
          <w:lang w:val="uk-UA"/>
        </w:rPr>
        <w:t xml:space="preserve"> пошкодження даних і несанкціонованого доступу та запобігають витоку інформації до публікації.</w:t>
      </w:r>
    </w:p>
    <w:p w:rsidR="005613AB" w:rsidRPr="00BE1959" w:rsidRDefault="005613AB" w:rsidP="0048152D">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lastRenderedPageBreak/>
        <w:t>5.   </w:t>
      </w:r>
      <w:r w:rsidR="004745DC" w:rsidRPr="00BE1959">
        <w:rPr>
          <w:rFonts w:ascii="Times New Roman" w:eastAsia="Times New Roman" w:hAnsi="Times New Roman" w:cs="Times New Roman"/>
          <w:sz w:val="24"/>
          <w:szCs w:val="24"/>
          <w:lang w:val="uk-UA"/>
        </w:rPr>
        <w:t xml:space="preserve">Держава-член походження вимагає наявності у ЗМП систем, які можуть ефективно перевіряти звіти про торговельну діяльність на предмет повноти, виявляти </w:t>
      </w:r>
      <w:r w:rsidR="0048152D" w:rsidRPr="00BE1959">
        <w:rPr>
          <w:rFonts w:ascii="Times New Roman" w:eastAsia="Times New Roman" w:hAnsi="Times New Roman" w:cs="Times New Roman"/>
          <w:sz w:val="24"/>
          <w:szCs w:val="24"/>
          <w:lang w:val="uk-UA"/>
        </w:rPr>
        <w:t>пропуски та очевидні помилки й вимагати повторної передачі таких помилкових звітів.</w:t>
      </w:r>
    </w:p>
    <w:p w:rsidR="005613AB" w:rsidRPr="00BE1959" w:rsidRDefault="005613AB" w:rsidP="00DD27D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6.   </w:t>
      </w:r>
      <w:r w:rsidR="00692060" w:rsidRPr="00BE1959">
        <w:rPr>
          <w:rFonts w:ascii="Times New Roman" w:eastAsia="Times New Roman" w:hAnsi="Times New Roman" w:cs="Times New Roman"/>
          <w:sz w:val="24"/>
          <w:szCs w:val="24"/>
          <w:lang w:val="uk-UA"/>
        </w:rPr>
        <w:t>ESMA розробляє проекти нормативно-технічних стандартів, де визначає</w:t>
      </w:r>
      <w:r w:rsidR="00DD27DB" w:rsidRPr="00BE1959">
        <w:rPr>
          <w:rFonts w:ascii="Times New Roman" w:eastAsia="Times New Roman" w:hAnsi="Times New Roman" w:cs="Times New Roman"/>
          <w:sz w:val="24"/>
          <w:szCs w:val="24"/>
          <w:lang w:val="uk-UA"/>
        </w:rPr>
        <w:t xml:space="preserve"> загальні формати, стандарти даних і технічні засоби, які забезпечують зведення інформації, згаданої у пункті 1.</w:t>
      </w:r>
    </w:p>
    <w:p w:rsidR="006035DA" w:rsidRPr="00BE1959" w:rsidRDefault="006035DA" w:rsidP="006035DA">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ESMA подає проекти нормативно-технічних стандартів, згаданих у першому абзаці, Комісії до 3 липня 2015 року.</w:t>
      </w:r>
    </w:p>
    <w:p w:rsidR="000A1AC2" w:rsidRPr="00BE1959" w:rsidRDefault="006035DA" w:rsidP="006035DA">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Комісії делегується повноваження на прийняття нормативно-технічних стандартів, згаданих у першому абзаці цього пункту, згідно зі статтями 10-14 Регламенту (EU) № 1095/2010.</w:t>
      </w:r>
    </w:p>
    <w:p w:rsidR="005613AB" w:rsidRPr="00BE1959" w:rsidRDefault="005613AB" w:rsidP="000A1AC2">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7.   </w:t>
      </w:r>
      <w:r w:rsidR="00B33F26" w:rsidRPr="00BE1959">
        <w:rPr>
          <w:rFonts w:ascii="Times New Roman" w:eastAsia="Times New Roman" w:hAnsi="Times New Roman" w:cs="Times New Roman"/>
          <w:sz w:val="24"/>
          <w:szCs w:val="24"/>
          <w:lang w:val="uk-UA"/>
        </w:rPr>
        <w:t>Комісії надається повноваження на прийняття делегованих актів відповідно до статті 89, де уточнюється поняття «розумні комерційні засади» оприлюднення інформації, згадане у пункті 1 цієї статті.</w:t>
      </w:r>
    </w:p>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8.   </w:t>
      </w:r>
      <w:r w:rsidR="00692060" w:rsidRPr="00BE1959">
        <w:rPr>
          <w:rFonts w:ascii="Times New Roman" w:eastAsia="Times New Roman" w:hAnsi="Times New Roman" w:cs="Times New Roman"/>
          <w:sz w:val="24"/>
          <w:szCs w:val="24"/>
          <w:lang w:val="uk-UA"/>
        </w:rPr>
        <w:t>ESMA розробляє проекти нормативно-технічних стандартів, де зазначає:</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9093"/>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692060" w:rsidP="00692060">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засоби, за допомогою яких ЗМП може виконувати зобов’язання щодо інформації, згадане у пункті 1;</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5613AB" w:rsidRPr="00BE1959"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692060" w:rsidP="00692060">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зміст інформації, оприлюдненої згідно з пунктом 1, включаючи, як мінімум, інформацію, згадану в пункті 2, у такий спосіб, щоб забезпечити публікацію інформації, потрібної згідно зі статтею 64;</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15"/>
        <w:gridCol w:w="8950"/>
      </w:tblGrid>
      <w:tr w:rsidR="00DE3173"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6035DA" w:rsidP="006035DA">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конкретні організаційні вимоги, викладені у пунктах</w:t>
            </w:r>
            <w:r w:rsidR="005613AB" w:rsidRPr="00BE1959">
              <w:rPr>
                <w:rFonts w:ascii="Times New Roman" w:eastAsia="Times New Roman" w:hAnsi="Times New Roman" w:cs="Times New Roman"/>
                <w:sz w:val="24"/>
                <w:szCs w:val="24"/>
                <w:lang w:val="uk-UA"/>
              </w:rPr>
              <w:t xml:space="preserve"> 3, 4 </w:t>
            </w:r>
            <w:r w:rsidRPr="00BE1959">
              <w:rPr>
                <w:rFonts w:ascii="Times New Roman" w:eastAsia="Times New Roman" w:hAnsi="Times New Roman" w:cs="Times New Roman"/>
                <w:sz w:val="24"/>
                <w:szCs w:val="24"/>
                <w:lang w:val="uk-UA"/>
              </w:rPr>
              <w:t>та</w:t>
            </w:r>
            <w:r w:rsidR="005613AB" w:rsidRPr="00BE1959">
              <w:rPr>
                <w:rFonts w:ascii="Times New Roman" w:eastAsia="Times New Roman" w:hAnsi="Times New Roman" w:cs="Times New Roman"/>
                <w:sz w:val="24"/>
                <w:szCs w:val="24"/>
                <w:lang w:val="uk-UA"/>
              </w:rPr>
              <w:t xml:space="preserve"> 5.</w:t>
            </w:r>
          </w:p>
        </w:tc>
      </w:tr>
    </w:tbl>
    <w:p w:rsidR="006035DA" w:rsidRPr="00BE1959" w:rsidRDefault="006035DA" w:rsidP="006035DA">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ESMA подає проекти цих нормативно-технічних стандартів Комісії до 3 липня 2015 року.</w:t>
      </w:r>
    </w:p>
    <w:p w:rsidR="006035DA" w:rsidRPr="00BE1959" w:rsidRDefault="006035DA" w:rsidP="006035DA">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Комісії делегується повноваження на прийняття нормативно-технічних стандартів, згаданих у першому абзаці цього пункту, згідно зі статтями 10-14 Регламенту (EU) № 1095/2010.</w:t>
      </w:r>
    </w:p>
    <w:p w:rsidR="0086197A" w:rsidRPr="00BE1959" w:rsidRDefault="0086197A" w:rsidP="005613AB">
      <w:pPr>
        <w:spacing w:after="0" w:line="312" w:lineRule="atLeast"/>
        <w:jc w:val="center"/>
        <w:textAlignment w:val="baseline"/>
        <w:rPr>
          <w:rFonts w:ascii="Times New Roman" w:eastAsia="Times New Roman" w:hAnsi="Times New Roman" w:cs="Times New Roman"/>
          <w:b/>
          <w:bCs/>
          <w:sz w:val="24"/>
          <w:szCs w:val="24"/>
          <w:bdr w:val="none" w:sz="0" w:space="0" w:color="auto" w:frame="1"/>
          <w:lang w:val="uk-UA"/>
        </w:rPr>
      </w:pPr>
    </w:p>
    <w:p w:rsidR="005613AB" w:rsidRPr="00BE1959" w:rsidRDefault="0086197A" w:rsidP="005613AB">
      <w:pPr>
        <w:spacing w:after="0" w:line="312" w:lineRule="atLeast"/>
        <w:jc w:val="center"/>
        <w:textAlignment w:val="baseline"/>
        <w:rPr>
          <w:rFonts w:ascii="Times New Roman" w:eastAsia="Times New Roman" w:hAnsi="Times New Roman" w:cs="Times New Roman"/>
          <w:b/>
          <w:bCs/>
          <w:sz w:val="24"/>
          <w:szCs w:val="24"/>
          <w:lang w:val="uk-UA"/>
        </w:rPr>
      </w:pPr>
      <w:r w:rsidRPr="00BE1959">
        <w:rPr>
          <w:rFonts w:ascii="Times New Roman" w:eastAsia="Times New Roman" w:hAnsi="Times New Roman" w:cs="Times New Roman"/>
          <w:b/>
          <w:bCs/>
          <w:sz w:val="24"/>
          <w:szCs w:val="24"/>
          <w:bdr w:val="none" w:sz="0" w:space="0" w:color="auto" w:frame="1"/>
          <w:lang w:val="uk-UA"/>
        </w:rPr>
        <w:t>Підрозділ</w:t>
      </w:r>
      <w:r w:rsidR="005613AB" w:rsidRPr="00BE1959">
        <w:rPr>
          <w:rFonts w:ascii="Times New Roman" w:eastAsia="Times New Roman" w:hAnsi="Times New Roman" w:cs="Times New Roman"/>
          <w:b/>
          <w:bCs/>
          <w:sz w:val="24"/>
          <w:szCs w:val="24"/>
          <w:bdr w:val="none" w:sz="0" w:space="0" w:color="auto" w:frame="1"/>
          <w:lang w:val="uk-UA"/>
        </w:rPr>
        <w:t xml:space="preserve"> 3</w:t>
      </w:r>
    </w:p>
    <w:p w:rsidR="005613AB" w:rsidRPr="00BE1959" w:rsidRDefault="0086197A" w:rsidP="005613AB">
      <w:pPr>
        <w:spacing w:after="0" w:line="312" w:lineRule="atLeast"/>
        <w:jc w:val="center"/>
        <w:textAlignment w:val="baseline"/>
        <w:rPr>
          <w:rFonts w:ascii="Times New Roman" w:eastAsia="Times New Roman" w:hAnsi="Times New Roman" w:cs="Times New Roman"/>
          <w:b/>
          <w:bCs/>
          <w:sz w:val="24"/>
          <w:szCs w:val="24"/>
          <w:lang w:val="uk-UA"/>
        </w:rPr>
      </w:pPr>
      <w:r w:rsidRPr="00BE1959">
        <w:rPr>
          <w:rFonts w:ascii="Times New Roman" w:eastAsia="Times New Roman" w:hAnsi="Times New Roman" w:cs="Times New Roman"/>
          <w:b/>
          <w:bCs/>
          <w:sz w:val="24"/>
          <w:szCs w:val="24"/>
          <w:bdr w:val="none" w:sz="0" w:space="0" w:color="auto" w:frame="1"/>
          <w:lang w:val="uk-UA"/>
        </w:rPr>
        <w:t>Умови для НЗД</w:t>
      </w:r>
    </w:p>
    <w:p w:rsidR="005613AB" w:rsidRPr="00BE1959" w:rsidRDefault="00162A11" w:rsidP="005613AB">
      <w:pPr>
        <w:spacing w:before="360" w:after="120" w:line="312" w:lineRule="atLeast"/>
        <w:jc w:val="center"/>
        <w:textAlignment w:val="baseline"/>
        <w:rPr>
          <w:rFonts w:ascii="Times New Roman" w:eastAsia="Times New Roman" w:hAnsi="Times New Roman" w:cs="Times New Roman"/>
          <w:i/>
          <w:iCs/>
          <w:sz w:val="24"/>
          <w:szCs w:val="24"/>
          <w:lang w:val="uk-UA"/>
        </w:rPr>
      </w:pPr>
      <w:r w:rsidRPr="00BE1959">
        <w:rPr>
          <w:rFonts w:ascii="Times New Roman" w:eastAsia="Times New Roman" w:hAnsi="Times New Roman" w:cs="Times New Roman"/>
          <w:i/>
          <w:iCs/>
          <w:sz w:val="24"/>
          <w:szCs w:val="24"/>
          <w:lang w:val="uk-UA"/>
        </w:rPr>
        <w:t>Стаття</w:t>
      </w:r>
      <w:r w:rsidR="005613AB" w:rsidRPr="00BE1959">
        <w:rPr>
          <w:rFonts w:ascii="Times New Roman" w:eastAsia="Times New Roman" w:hAnsi="Times New Roman" w:cs="Times New Roman"/>
          <w:i/>
          <w:iCs/>
          <w:sz w:val="24"/>
          <w:szCs w:val="24"/>
          <w:lang w:val="uk-UA"/>
        </w:rPr>
        <w:t xml:space="preserve"> 65</w:t>
      </w:r>
    </w:p>
    <w:p w:rsidR="005613AB" w:rsidRPr="00BE1959" w:rsidRDefault="0086197A" w:rsidP="005613AB">
      <w:pPr>
        <w:spacing w:before="60" w:after="120" w:line="312" w:lineRule="atLeast"/>
        <w:jc w:val="center"/>
        <w:textAlignment w:val="baseline"/>
        <w:rPr>
          <w:rFonts w:ascii="Times New Roman" w:eastAsia="Times New Roman" w:hAnsi="Times New Roman" w:cs="Times New Roman"/>
          <w:b/>
          <w:bCs/>
          <w:sz w:val="24"/>
          <w:szCs w:val="24"/>
          <w:lang w:val="uk-UA"/>
        </w:rPr>
      </w:pPr>
      <w:r w:rsidRPr="00BE1959">
        <w:rPr>
          <w:rFonts w:ascii="Times New Roman" w:eastAsia="Times New Roman" w:hAnsi="Times New Roman" w:cs="Times New Roman"/>
          <w:b/>
          <w:bCs/>
          <w:sz w:val="24"/>
          <w:szCs w:val="24"/>
          <w:lang w:val="uk-UA"/>
        </w:rPr>
        <w:t>Організаційні вимоги</w:t>
      </w:r>
    </w:p>
    <w:p w:rsidR="00081CF8"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1.   </w:t>
      </w:r>
      <w:r w:rsidR="00665A9A" w:rsidRPr="00BE1959">
        <w:rPr>
          <w:rFonts w:ascii="Times New Roman" w:eastAsia="Times New Roman" w:hAnsi="Times New Roman" w:cs="Times New Roman"/>
          <w:sz w:val="24"/>
          <w:szCs w:val="24"/>
          <w:lang w:val="uk-UA"/>
        </w:rPr>
        <w:t xml:space="preserve">Держава-член походження вимагає наявності у НЗД належних правил і засобів для збирання інформації, яка оприлюднюється згідно з вимогами статей 6 та 20 Регламенту (EU) № 600/2014, зведення її у безперервний електронний потік даних і надання цієї </w:t>
      </w:r>
      <w:r w:rsidR="00665A9A" w:rsidRPr="00BE1959">
        <w:rPr>
          <w:rFonts w:ascii="Times New Roman" w:eastAsia="Times New Roman" w:hAnsi="Times New Roman" w:cs="Times New Roman"/>
          <w:sz w:val="24"/>
          <w:szCs w:val="24"/>
          <w:lang w:val="uk-UA"/>
        </w:rPr>
        <w:lastRenderedPageBreak/>
        <w:t xml:space="preserve">інформації громадськості у режимі, технічно максимально близькому до реального часу, на розумних комерційних засадах. </w:t>
      </w:r>
      <w:r w:rsidR="00C26942" w:rsidRPr="00BE1959">
        <w:rPr>
          <w:rFonts w:ascii="Times New Roman" w:eastAsia="Times New Roman" w:hAnsi="Times New Roman" w:cs="Times New Roman"/>
          <w:sz w:val="24"/>
          <w:szCs w:val="24"/>
          <w:lang w:val="uk-UA"/>
        </w:rPr>
        <w:t xml:space="preserve"> </w:t>
      </w:r>
    </w:p>
    <w:p w:rsidR="005613AB" w:rsidRPr="00BE1959" w:rsidRDefault="00665A9A"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Ця інформація включає, як мінімум, наступні відомості:</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762"/>
        <w:gridCol w:w="8703"/>
      </w:tblGrid>
      <w:tr w:rsidR="005613AB" w:rsidRPr="00BE1959"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7D1D63"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ідентифікатор фінансового інструмента;</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3"/>
        <w:gridCol w:w="8562"/>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410F13"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ціна, за якою була укладена угода;</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011"/>
        <w:gridCol w:w="7454"/>
      </w:tblGrid>
      <w:tr w:rsidR="005613AB" w:rsidRPr="00BE1959"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410F13"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обсяг угоди;</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366"/>
        <w:gridCol w:w="7099"/>
      </w:tblGrid>
      <w:tr w:rsidR="005613AB" w:rsidRPr="00BE1959"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410F13"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час угоди;</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029"/>
        <w:gridCol w:w="8436"/>
      </w:tblGrid>
      <w:tr w:rsidR="005613AB" w:rsidRPr="00BE1959"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(e)</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410F13"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час повідомлення про угоду;</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45"/>
        <w:gridCol w:w="8320"/>
      </w:tblGrid>
      <w:tr w:rsidR="005613AB" w:rsidRPr="00BE1959"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(f)</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410F13"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позначення ціни угоди;</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(g)</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2815B7"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код торговельного майданчика, на якому була виконана угода, або, якщо угода була виконана через систематичного учасника, - код «SI»; в інших випадках – код «ОТС»;</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(h)</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2C718D" w:rsidP="002C718D">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якщо доречно, то той факт, що ухвалення інвестиційного рішення і виконання угоди здійснювалося з використанням комп’ютерного алгоритму;</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99"/>
        <w:gridCol w:w="9066"/>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2C718D"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якщо доречно, то вказівка на те, що угода підпадала під особливі умови.</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32"/>
        <w:gridCol w:w="9133"/>
      </w:tblGrid>
      <w:tr w:rsidR="00DE3173"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(j)</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2C718D" w:rsidP="00922807">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якщо </w:t>
            </w:r>
            <w:r w:rsidR="00922807" w:rsidRPr="00BE1959">
              <w:rPr>
                <w:rFonts w:ascii="Times New Roman" w:eastAsia="Times New Roman" w:hAnsi="Times New Roman" w:cs="Times New Roman"/>
                <w:sz w:val="24"/>
                <w:szCs w:val="24"/>
                <w:lang w:val="uk-UA"/>
              </w:rPr>
              <w:t>надано звільнення від дотримання зобов’язання щодо інформації, встановленого у</w:t>
            </w:r>
            <w:r w:rsidR="005E1C03" w:rsidRPr="00BE1959">
              <w:rPr>
                <w:rFonts w:ascii="Times New Roman" w:eastAsia="Times New Roman" w:hAnsi="Times New Roman" w:cs="Times New Roman"/>
                <w:sz w:val="24"/>
                <w:szCs w:val="24"/>
                <w:lang w:val="uk-UA"/>
              </w:rPr>
              <w:t xml:space="preserve"> статті</w:t>
            </w:r>
            <w:r w:rsidR="005613AB" w:rsidRPr="00BE1959">
              <w:rPr>
                <w:rFonts w:ascii="Times New Roman" w:eastAsia="Times New Roman" w:hAnsi="Times New Roman" w:cs="Times New Roman"/>
                <w:sz w:val="24"/>
                <w:szCs w:val="24"/>
                <w:lang w:val="uk-UA"/>
              </w:rPr>
              <w:t xml:space="preserve"> 3(1) </w:t>
            </w:r>
            <w:r w:rsidR="008824AE" w:rsidRPr="00BE1959">
              <w:rPr>
                <w:rFonts w:ascii="Times New Roman" w:eastAsia="Times New Roman" w:hAnsi="Times New Roman" w:cs="Times New Roman"/>
                <w:sz w:val="24"/>
                <w:szCs w:val="24"/>
                <w:lang w:val="uk-UA"/>
              </w:rPr>
              <w:t>Регламенту</w:t>
            </w:r>
            <w:r w:rsidR="005613AB" w:rsidRPr="00BE1959">
              <w:rPr>
                <w:rFonts w:ascii="Times New Roman" w:eastAsia="Times New Roman" w:hAnsi="Times New Roman" w:cs="Times New Roman"/>
                <w:sz w:val="24"/>
                <w:szCs w:val="24"/>
                <w:lang w:val="uk-UA"/>
              </w:rPr>
              <w:t xml:space="preserve"> </w:t>
            </w:r>
            <w:r w:rsidR="007B0149" w:rsidRPr="00BE1959">
              <w:rPr>
                <w:rFonts w:ascii="Times New Roman" w:eastAsia="Times New Roman" w:hAnsi="Times New Roman" w:cs="Times New Roman"/>
                <w:sz w:val="24"/>
                <w:szCs w:val="24"/>
                <w:lang w:val="uk-UA"/>
              </w:rPr>
              <w:t>(EU) № 600/2014</w:t>
            </w:r>
            <w:r w:rsidR="00922807" w:rsidRPr="00BE1959">
              <w:rPr>
                <w:rFonts w:ascii="Times New Roman" w:eastAsia="Times New Roman" w:hAnsi="Times New Roman" w:cs="Times New Roman"/>
                <w:sz w:val="24"/>
                <w:szCs w:val="24"/>
                <w:lang w:val="uk-UA"/>
              </w:rPr>
              <w:t xml:space="preserve">, згідно з пп. </w:t>
            </w:r>
            <w:r w:rsidR="005613AB" w:rsidRPr="00BE1959">
              <w:rPr>
                <w:rFonts w:ascii="Times New Roman" w:eastAsia="Times New Roman" w:hAnsi="Times New Roman" w:cs="Times New Roman"/>
                <w:sz w:val="24"/>
                <w:szCs w:val="24"/>
                <w:lang w:val="uk-UA"/>
              </w:rPr>
              <w:t xml:space="preserve">(a) </w:t>
            </w:r>
            <w:r w:rsidR="00922807" w:rsidRPr="00BE1959">
              <w:rPr>
                <w:rFonts w:ascii="Times New Roman" w:eastAsia="Times New Roman" w:hAnsi="Times New Roman" w:cs="Times New Roman"/>
                <w:sz w:val="24"/>
                <w:szCs w:val="24"/>
                <w:lang w:val="uk-UA"/>
              </w:rPr>
              <w:t>чи</w:t>
            </w:r>
            <w:r w:rsidR="005613AB" w:rsidRPr="00BE1959">
              <w:rPr>
                <w:rFonts w:ascii="Times New Roman" w:eastAsia="Times New Roman" w:hAnsi="Times New Roman" w:cs="Times New Roman"/>
                <w:sz w:val="24"/>
                <w:szCs w:val="24"/>
                <w:lang w:val="uk-UA"/>
              </w:rPr>
              <w:t xml:space="preserve"> (b) </w:t>
            </w:r>
            <w:r w:rsidR="0065313E" w:rsidRPr="00BE1959">
              <w:rPr>
                <w:rFonts w:ascii="Times New Roman" w:eastAsia="Times New Roman" w:hAnsi="Times New Roman" w:cs="Times New Roman"/>
                <w:sz w:val="24"/>
                <w:szCs w:val="24"/>
                <w:lang w:val="uk-UA"/>
              </w:rPr>
              <w:t>статті</w:t>
            </w:r>
            <w:r w:rsidR="005613AB" w:rsidRPr="00BE1959">
              <w:rPr>
                <w:rFonts w:ascii="Times New Roman" w:eastAsia="Times New Roman" w:hAnsi="Times New Roman" w:cs="Times New Roman"/>
                <w:sz w:val="24"/>
                <w:szCs w:val="24"/>
                <w:lang w:val="uk-UA"/>
              </w:rPr>
              <w:t xml:space="preserve"> 4(1) </w:t>
            </w:r>
            <w:r w:rsidR="00922807" w:rsidRPr="00BE1959">
              <w:rPr>
                <w:rFonts w:ascii="Times New Roman" w:eastAsia="Times New Roman" w:hAnsi="Times New Roman" w:cs="Times New Roman"/>
                <w:sz w:val="24"/>
                <w:szCs w:val="24"/>
                <w:lang w:val="uk-UA"/>
              </w:rPr>
              <w:t>цього регламенту, - позначка про те, які з цих звільнень поширювалися на дану угоду.</w:t>
            </w:r>
          </w:p>
        </w:tc>
      </w:tr>
    </w:tbl>
    <w:p w:rsidR="00665A9A" w:rsidRPr="00BE1959" w:rsidRDefault="00CA78C7" w:rsidP="00665A9A">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Ця інформація надається безкоштовно через 15 хвилин після її публікації НЗД. Держава-член походження вимагає від НЗД здатності ефективного і узгодженого розповсюдження такої інформації у спосіб, що забезпечує швидкий доступ до цієї інформації без будь-якої дискримінації, у форматах, які є легкодоступними та придатними для використання учасниками ринку.</w:t>
      </w:r>
    </w:p>
    <w:p w:rsidR="00665A9A" w:rsidRPr="00BE1959" w:rsidRDefault="00665A9A"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Держава-член походження вимагає наявності у НЗД належних правил і засобів для збирання інформації, яка оприлюднюється згідно з вимогами статей </w:t>
      </w:r>
      <w:r w:rsidR="00CA78C7" w:rsidRPr="00BE1959">
        <w:rPr>
          <w:rFonts w:ascii="Times New Roman" w:eastAsia="Times New Roman" w:hAnsi="Times New Roman" w:cs="Times New Roman"/>
          <w:sz w:val="24"/>
          <w:szCs w:val="24"/>
          <w:lang w:val="uk-UA"/>
        </w:rPr>
        <w:t>10</w:t>
      </w:r>
      <w:r w:rsidRPr="00BE1959">
        <w:rPr>
          <w:rFonts w:ascii="Times New Roman" w:eastAsia="Times New Roman" w:hAnsi="Times New Roman" w:cs="Times New Roman"/>
          <w:sz w:val="24"/>
          <w:szCs w:val="24"/>
          <w:lang w:val="uk-UA"/>
        </w:rPr>
        <w:t xml:space="preserve"> та 2</w:t>
      </w:r>
      <w:r w:rsidR="00CA78C7" w:rsidRPr="00BE1959">
        <w:rPr>
          <w:rFonts w:ascii="Times New Roman" w:eastAsia="Times New Roman" w:hAnsi="Times New Roman" w:cs="Times New Roman"/>
          <w:sz w:val="24"/>
          <w:szCs w:val="24"/>
          <w:lang w:val="uk-UA"/>
        </w:rPr>
        <w:t>1</w:t>
      </w:r>
      <w:r w:rsidRPr="00BE1959">
        <w:rPr>
          <w:rFonts w:ascii="Times New Roman" w:eastAsia="Times New Roman" w:hAnsi="Times New Roman" w:cs="Times New Roman"/>
          <w:sz w:val="24"/>
          <w:szCs w:val="24"/>
          <w:lang w:val="uk-UA"/>
        </w:rPr>
        <w:t xml:space="preserve"> Регламенту (EU) № 600/2014, зведення її у безперервний електронний потік даних і надання цієї інформації громадськості у режимі, технічно максимально близькому до реального часу, на розумних комерційних засадах</w:t>
      </w:r>
      <w:r w:rsidR="00CA78C7" w:rsidRPr="00BE1959">
        <w:rPr>
          <w:rFonts w:ascii="Times New Roman" w:eastAsia="Times New Roman" w:hAnsi="Times New Roman" w:cs="Times New Roman"/>
          <w:sz w:val="24"/>
          <w:szCs w:val="24"/>
          <w:lang w:val="uk-UA"/>
        </w:rPr>
        <w:t>, включаючи, як мінімум, наступні відомості:</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26"/>
        <w:gridCol w:w="8939"/>
      </w:tblGrid>
      <w:tr w:rsidR="00CA78C7"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CA78C7" w:rsidP="00CA78C7">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ідентифікатор або відмінні ознаки фінансового інструмента;</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3"/>
        <w:gridCol w:w="8562"/>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CA78C7"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ціна, за якою була укладена угода;</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011"/>
        <w:gridCol w:w="7454"/>
      </w:tblGrid>
      <w:tr w:rsidR="005613AB" w:rsidRPr="00BE1959"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CA78C7"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обсяг угоди;</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366"/>
        <w:gridCol w:w="7099"/>
      </w:tblGrid>
      <w:tr w:rsidR="005613AB" w:rsidRPr="00BE1959"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lastRenderedPageBreak/>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CA78C7"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час угоди;</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029"/>
        <w:gridCol w:w="8436"/>
      </w:tblGrid>
      <w:tr w:rsidR="005613AB" w:rsidRPr="00BE1959"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(e)</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CA78C7"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час повідомлення про угоду;</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73"/>
        <w:gridCol w:w="8292"/>
      </w:tblGrid>
      <w:tr w:rsidR="005613AB" w:rsidRPr="00BE1959"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(f)</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CA78C7"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позначення ціни угоди</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(g)</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CA78C7"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код торговельного майданчика, на якому була виконана угода, або, якщо угода була виконана через систематичного учасника, - код «SI»; в інших випадках – код «ОТС»;</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59"/>
        <w:gridCol w:w="9006"/>
      </w:tblGrid>
      <w:tr w:rsidR="00DE3173"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(h)</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CA78C7"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якщо доречно, то вказівка на те, що угода підпадала під особливі умови.</w:t>
            </w:r>
          </w:p>
        </w:tc>
      </w:tr>
    </w:tbl>
    <w:p w:rsidR="005613AB" w:rsidRPr="00BE1959" w:rsidRDefault="00CA78C7" w:rsidP="00965698">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Ця інформація надається безкоштовно через 15 хвилин після її публікації НЗД. Держава-член походження вимагає від НЗД </w:t>
      </w:r>
      <w:r w:rsidR="00CC0379" w:rsidRPr="00BE1959">
        <w:rPr>
          <w:rFonts w:ascii="Times New Roman" w:eastAsia="Times New Roman" w:hAnsi="Times New Roman" w:cs="Times New Roman"/>
          <w:sz w:val="24"/>
          <w:szCs w:val="24"/>
          <w:lang w:val="uk-UA"/>
        </w:rPr>
        <w:t>здатності ефективного і узгодженого розповсюдження такої інформації у спосіб, що забезпечує швидкий доступ до цієї інформації без будь-якої дискримінації, у загальноприйнятих форматах, які є сумісними, легкодоступними та придатними для використання учасниками ринку.</w:t>
      </w:r>
    </w:p>
    <w:p w:rsidR="005613AB" w:rsidRPr="00BE1959" w:rsidRDefault="005613AB" w:rsidP="00F774D0">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3.   </w:t>
      </w:r>
      <w:r w:rsidR="005B6747" w:rsidRPr="00BE1959">
        <w:rPr>
          <w:rFonts w:ascii="Times New Roman" w:eastAsia="Times New Roman" w:hAnsi="Times New Roman" w:cs="Times New Roman"/>
          <w:sz w:val="24"/>
          <w:szCs w:val="24"/>
          <w:lang w:val="uk-UA"/>
        </w:rPr>
        <w:t>Держава-член походження вимагає від НЗД забезпечити зведення наданих даних від усіх регульованих ринків, БТМ, ОТМ і ЗМП</w:t>
      </w:r>
      <w:r w:rsidR="00F774D0" w:rsidRPr="00BE1959">
        <w:rPr>
          <w:rFonts w:ascii="Times New Roman" w:eastAsia="Times New Roman" w:hAnsi="Times New Roman" w:cs="Times New Roman"/>
          <w:sz w:val="24"/>
          <w:szCs w:val="24"/>
          <w:lang w:val="uk-UA"/>
        </w:rPr>
        <w:t>, а також щодо фінансових інструментів, зазначених у нормативно-технічних стандартах згідно з пп. (с) пункту 8.</w:t>
      </w:r>
    </w:p>
    <w:p w:rsidR="00965698" w:rsidRPr="00BE1959" w:rsidRDefault="00965698" w:rsidP="007555BF">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Держава-член походження вимагає, щоб </w:t>
      </w:r>
      <w:r w:rsidR="007555BF" w:rsidRPr="00BE1959">
        <w:rPr>
          <w:rFonts w:ascii="Times New Roman" w:eastAsia="Times New Roman" w:hAnsi="Times New Roman" w:cs="Times New Roman"/>
          <w:sz w:val="24"/>
          <w:szCs w:val="24"/>
          <w:lang w:val="uk-UA"/>
        </w:rPr>
        <w:t>НЗД</w:t>
      </w:r>
      <w:r w:rsidRPr="00BE1959">
        <w:rPr>
          <w:rFonts w:ascii="Times New Roman" w:eastAsia="Times New Roman" w:hAnsi="Times New Roman" w:cs="Times New Roman"/>
          <w:sz w:val="24"/>
          <w:szCs w:val="24"/>
          <w:lang w:val="uk-UA"/>
        </w:rPr>
        <w:t xml:space="preserve"> запровадив і використовував ефективні адміністративні механізми, спрямовані на запобігання конфліктів інтересів із його клієнтами. Зокрема, </w:t>
      </w:r>
      <w:r w:rsidR="007555BF" w:rsidRPr="00BE1959">
        <w:rPr>
          <w:rFonts w:ascii="Times New Roman" w:eastAsia="Times New Roman" w:hAnsi="Times New Roman" w:cs="Times New Roman"/>
          <w:sz w:val="24"/>
          <w:szCs w:val="24"/>
          <w:lang w:val="uk-UA"/>
        </w:rPr>
        <w:t xml:space="preserve">оператор ринку або ЗМП, який також надає зведені дані, </w:t>
      </w:r>
      <w:r w:rsidRPr="00BE1959">
        <w:rPr>
          <w:rFonts w:ascii="Times New Roman" w:eastAsia="Times New Roman" w:hAnsi="Times New Roman" w:cs="Times New Roman"/>
          <w:sz w:val="24"/>
          <w:szCs w:val="24"/>
          <w:lang w:val="uk-UA"/>
        </w:rPr>
        <w:t>поводиться з усією зібраною інформацією без будь-якої дискримінації, а також запроваджує та використовує відповідні механізми для розділення ділових функцій.</w:t>
      </w:r>
    </w:p>
    <w:p w:rsidR="007555BF"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5.   </w:t>
      </w:r>
      <w:r w:rsidR="00965698" w:rsidRPr="00BE1959">
        <w:rPr>
          <w:rFonts w:ascii="Times New Roman" w:eastAsia="Times New Roman" w:hAnsi="Times New Roman" w:cs="Times New Roman"/>
          <w:sz w:val="24"/>
          <w:szCs w:val="24"/>
          <w:lang w:val="uk-UA"/>
        </w:rPr>
        <w:t xml:space="preserve">Держава-член походження вимагає, щоб </w:t>
      </w:r>
      <w:r w:rsidR="007555BF" w:rsidRPr="00BE1959">
        <w:rPr>
          <w:rFonts w:ascii="Times New Roman" w:eastAsia="Times New Roman" w:hAnsi="Times New Roman" w:cs="Times New Roman"/>
          <w:sz w:val="24"/>
          <w:szCs w:val="24"/>
          <w:lang w:val="uk-UA"/>
        </w:rPr>
        <w:t>НЗД</w:t>
      </w:r>
      <w:r w:rsidR="00965698" w:rsidRPr="00BE1959">
        <w:rPr>
          <w:rFonts w:ascii="Times New Roman" w:eastAsia="Times New Roman" w:hAnsi="Times New Roman" w:cs="Times New Roman"/>
          <w:sz w:val="24"/>
          <w:szCs w:val="24"/>
          <w:lang w:val="uk-UA"/>
        </w:rPr>
        <w:t xml:space="preserve"> запровадив надійні механізми забезпечення безпеки, що гарантують безпеку засобів передачі інформації</w:t>
      </w:r>
      <w:r w:rsidR="007555BF" w:rsidRPr="00BE1959">
        <w:rPr>
          <w:rFonts w:ascii="Times New Roman" w:eastAsia="Times New Roman" w:hAnsi="Times New Roman" w:cs="Times New Roman"/>
          <w:sz w:val="24"/>
          <w:szCs w:val="24"/>
          <w:lang w:val="uk-UA"/>
        </w:rPr>
        <w:t xml:space="preserve"> та</w:t>
      </w:r>
      <w:r w:rsidR="00965698" w:rsidRPr="00BE1959">
        <w:rPr>
          <w:rFonts w:ascii="Times New Roman" w:eastAsia="Times New Roman" w:hAnsi="Times New Roman" w:cs="Times New Roman"/>
          <w:sz w:val="24"/>
          <w:szCs w:val="24"/>
          <w:lang w:val="uk-UA"/>
        </w:rPr>
        <w:t xml:space="preserve"> зводять до мінімуму ризик пошкодження даних і несанкціонованого доступу</w:t>
      </w:r>
      <w:r w:rsidR="007555BF" w:rsidRPr="00BE1959">
        <w:rPr>
          <w:rFonts w:ascii="Times New Roman" w:eastAsia="Times New Roman" w:hAnsi="Times New Roman" w:cs="Times New Roman"/>
          <w:sz w:val="24"/>
          <w:szCs w:val="24"/>
          <w:lang w:val="uk-UA"/>
        </w:rPr>
        <w:t>. Держава-член походження вимагає, щоб НЗД мав достатні ресурси та резервні засоби для надання послуг у будь-який час.</w:t>
      </w:r>
    </w:p>
    <w:p w:rsidR="005613AB" w:rsidRPr="00BE1959" w:rsidRDefault="005613AB" w:rsidP="000C707D">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6.   ESMA </w:t>
      </w:r>
      <w:r w:rsidR="00940F0A" w:rsidRPr="00BE1959">
        <w:rPr>
          <w:rFonts w:ascii="Times New Roman" w:eastAsia="Times New Roman" w:hAnsi="Times New Roman" w:cs="Times New Roman"/>
          <w:sz w:val="24"/>
          <w:szCs w:val="24"/>
          <w:lang w:val="uk-UA"/>
        </w:rPr>
        <w:t>розробляє проекти нормативно-технічних стандартів, де визначає стандарти та формати даних для інформації, що підлягає оприлюдненню згідно зі статтями</w:t>
      </w:r>
      <w:r w:rsidRPr="00BE1959">
        <w:rPr>
          <w:rFonts w:ascii="Times New Roman" w:eastAsia="Times New Roman" w:hAnsi="Times New Roman" w:cs="Times New Roman"/>
          <w:sz w:val="24"/>
          <w:szCs w:val="24"/>
          <w:lang w:val="uk-UA"/>
        </w:rPr>
        <w:t xml:space="preserve"> 6, 10, 20 </w:t>
      </w:r>
      <w:r w:rsidR="00940F0A" w:rsidRPr="00BE1959">
        <w:rPr>
          <w:rFonts w:ascii="Times New Roman" w:eastAsia="Times New Roman" w:hAnsi="Times New Roman" w:cs="Times New Roman"/>
          <w:sz w:val="24"/>
          <w:szCs w:val="24"/>
          <w:lang w:val="uk-UA"/>
        </w:rPr>
        <w:t>та</w:t>
      </w:r>
      <w:r w:rsidRPr="00BE1959">
        <w:rPr>
          <w:rFonts w:ascii="Times New Roman" w:eastAsia="Times New Roman" w:hAnsi="Times New Roman" w:cs="Times New Roman"/>
          <w:sz w:val="24"/>
          <w:szCs w:val="24"/>
          <w:lang w:val="uk-UA"/>
        </w:rPr>
        <w:t xml:space="preserve"> 21 </w:t>
      </w:r>
      <w:r w:rsidR="008824AE" w:rsidRPr="00BE1959">
        <w:rPr>
          <w:rFonts w:ascii="Times New Roman" w:eastAsia="Times New Roman" w:hAnsi="Times New Roman" w:cs="Times New Roman"/>
          <w:sz w:val="24"/>
          <w:szCs w:val="24"/>
          <w:lang w:val="uk-UA"/>
        </w:rPr>
        <w:t>Регламенту</w:t>
      </w:r>
      <w:r w:rsidRPr="00BE1959">
        <w:rPr>
          <w:rFonts w:ascii="Times New Roman" w:eastAsia="Times New Roman" w:hAnsi="Times New Roman" w:cs="Times New Roman"/>
          <w:sz w:val="24"/>
          <w:szCs w:val="24"/>
          <w:lang w:val="uk-UA"/>
        </w:rPr>
        <w:t xml:space="preserve"> </w:t>
      </w:r>
      <w:r w:rsidR="007B0149" w:rsidRPr="00BE1959">
        <w:rPr>
          <w:rFonts w:ascii="Times New Roman" w:eastAsia="Times New Roman" w:hAnsi="Times New Roman" w:cs="Times New Roman"/>
          <w:sz w:val="24"/>
          <w:szCs w:val="24"/>
          <w:lang w:val="uk-UA"/>
        </w:rPr>
        <w:t>(EU) № 600/2014</w:t>
      </w:r>
      <w:r w:rsidRPr="00BE1959">
        <w:rPr>
          <w:rFonts w:ascii="Times New Roman" w:eastAsia="Times New Roman" w:hAnsi="Times New Roman" w:cs="Times New Roman"/>
          <w:sz w:val="24"/>
          <w:szCs w:val="24"/>
          <w:lang w:val="uk-UA"/>
        </w:rPr>
        <w:t xml:space="preserve">, </w:t>
      </w:r>
      <w:r w:rsidR="00940F0A" w:rsidRPr="00BE1959">
        <w:rPr>
          <w:rFonts w:ascii="Times New Roman" w:eastAsia="Times New Roman" w:hAnsi="Times New Roman" w:cs="Times New Roman"/>
          <w:sz w:val="24"/>
          <w:szCs w:val="24"/>
          <w:lang w:val="uk-UA"/>
        </w:rPr>
        <w:t xml:space="preserve">як-от ідентифікатор фінансового інструмента, ціна, кількість, час, позначення ціни, ідентифікатор місця виконання, вказівки на особливі умови, під які підпадали угоди, а також </w:t>
      </w:r>
      <w:r w:rsidR="00CC0379" w:rsidRPr="00BE1959">
        <w:rPr>
          <w:rFonts w:ascii="Times New Roman" w:eastAsia="Times New Roman" w:hAnsi="Times New Roman" w:cs="Times New Roman"/>
          <w:sz w:val="24"/>
          <w:szCs w:val="24"/>
          <w:lang w:val="uk-UA"/>
        </w:rPr>
        <w:t>засоби, сприяючі ефективному і узгодженому розповсюдженню інформації у спосіб, що забезпечує легкодоступність цієї інформації та придатність її для використання учасниками ринку, як за</w:t>
      </w:r>
      <w:r w:rsidR="000C707D" w:rsidRPr="00BE1959">
        <w:rPr>
          <w:rFonts w:ascii="Times New Roman" w:eastAsia="Times New Roman" w:hAnsi="Times New Roman" w:cs="Times New Roman"/>
          <w:sz w:val="24"/>
          <w:szCs w:val="24"/>
          <w:lang w:val="uk-UA"/>
        </w:rPr>
        <w:t xml:space="preserve">значено у пунктах 1 та </w:t>
      </w:r>
      <w:r w:rsidR="00982982" w:rsidRPr="00BE1959">
        <w:rPr>
          <w:rFonts w:ascii="Times New Roman" w:eastAsia="Times New Roman" w:hAnsi="Times New Roman" w:cs="Times New Roman"/>
          <w:sz w:val="24"/>
          <w:szCs w:val="24"/>
          <w:lang w:val="uk-UA"/>
        </w:rPr>
        <w:t>2</w:t>
      </w:r>
      <w:r w:rsidR="000C707D" w:rsidRPr="00BE1959">
        <w:rPr>
          <w:rFonts w:ascii="Times New Roman" w:eastAsia="Times New Roman" w:hAnsi="Times New Roman" w:cs="Times New Roman"/>
          <w:sz w:val="24"/>
          <w:szCs w:val="24"/>
          <w:lang w:val="uk-UA"/>
        </w:rPr>
        <w:t>, включаючи визначення додаткових послуг, які може надавати НЗД і які підвищують ефективність ринку.</w:t>
      </w:r>
    </w:p>
    <w:p w:rsidR="006B3432" w:rsidRPr="00BE1959" w:rsidRDefault="006B3432" w:rsidP="004B6759">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ESMA подає проекти нормативно-технічних стандартів, згаданих у першому абзац</w:t>
      </w:r>
      <w:r w:rsidR="00277A16" w:rsidRPr="00BE1959">
        <w:rPr>
          <w:rFonts w:ascii="Times New Roman" w:eastAsia="Times New Roman" w:hAnsi="Times New Roman" w:cs="Times New Roman"/>
          <w:sz w:val="24"/>
          <w:szCs w:val="24"/>
          <w:lang w:val="uk-UA"/>
        </w:rPr>
        <w:t xml:space="preserve">і, </w:t>
      </w:r>
      <w:r w:rsidR="00716124" w:rsidRPr="00BE1959">
        <w:rPr>
          <w:rFonts w:ascii="Times New Roman" w:eastAsia="Times New Roman" w:hAnsi="Times New Roman" w:cs="Times New Roman"/>
          <w:sz w:val="24"/>
          <w:szCs w:val="24"/>
          <w:lang w:val="uk-UA"/>
        </w:rPr>
        <w:t>Комісії</w:t>
      </w:r>
      <w:r w:rsidR="004B6759" w:rsidRPr="00BE1959">
        <w:rPr>
          <w:rFonts w:ascii="Times New Roman" w:eastAsia="Times New Roman" w:hAnsi="Times New Roman" w:cs="Times New Roman"/>
          <w:sz w:val="24"/>
          <w:szCs w:val="24"/>
          <w:lang w:val="uk-UA"/>
        </w:rPr>
        <w:t xml:space="preserve"> до 3 липня 2015 року</w:t>
      </w:r>
      <w:r w:rsidR="00716124" w:rsidRPr="00BE1959">
        <w:rPr>
          <w:rFonts w:ascii="Times New Roman" w:eastAsia="Times New Roman" w:hAnsi="Times New Roman" w:cs="Times New Roman"/>
          <w:sz w:val="24"/>
          <w:szCs w:val="24"/>
          <w:lang w:val="uk-UA"/>
        </w:rPr>
        <w:t xml:space="preserve"> </w:t>
      </w:r>
      <w:r w:rsidR="00982982" w:rsidRPr="00BE1959">
        <w:rPr>
          <w:rFonts w:ascii="Times New Roman" w:eastAsia="Times New Roman" w:hAnsi="Times New Roman" w:cs="Times New Roman"/>
          <w:sz w:val="24"/>
          <w:szCs w:val="24"/>
          <w:lang w:val="uk-UA"/>
        </w:rPr>
        <w:t xml:space="preserve">щодо інформації, оприлюдненої відповідно до статей 6 та 20 </w:t>
      </w:r>
      <w:r w:rsidR="00982982" w:rsidRPr="00BE1959">
        <w:rPr>
          <w:rFonts w:ascii="Times New Roman" w:eastAsia="Times New Roman" w:hAnsi="Times New Roman" w:cs="Times New Roman"/>
          <w:sz w:val="24"/>
          <w:szCs w:val="24"/>
          <w:lang w:val="uk-UA"/>
        </w:rPr>
        <w:lastRenderedPageBreak/>
        <w:t xml:space="preserve">Регламенту (EU) № 600/2014, </w:t>
      </w:r>
      <w:r w:rsidR="004B6759" w:rsidRPr="00BE1959">
        <w:rPr>
          <w:rFonts w:ascii="Times New Roman" w:eastAsia="Times New Roman" w:hAnsi="Times New Roman" w:cs="Times New Roman"/>
          <w:sz w:val="24"/>
          <w:szCs w:val="24"/>
          <w:lang w:val="uk-UA"/>
        </w:rPr>
        <w:t xml:space="preserve">і </w:t>
      </w:r>
      <w:r w:rsidR="00277A16" w:rsidRPr="00BE1959">
        <w:rPr>
          <w:rFonts w:ascii="Times New Roman" w:eastAsia="Times New Roman" w:hAnsi="Times New Roman" w:cs="Times New Roman"/>
          <w:sz w:val="24"/>
          <w:szCs w:val="24"/>
          <w:lang w:val="uk-UA"/>
        </w:rPr>
        <w:t>до 3</w:t>
      </w:r>
      <w:r w:rsidR="00982982" w:rsidRPr="00BE1959">
        <w:rPr>
          <w:rFonts w:ascii="Times New Roman" w:eastAsia="Times New Roman" w:hAnsi="Times New Roman" w:cs="Times New Roman"/>
          <w:sz w:val="24"/>
          <w:szCs w:val="24"/>
          <w:lang w:val="uk-UA"/>
        </w:rPr>
        <w:t xml:space="preserve"> липня 2015 року</w:t>
      </w:r>
      <w:r w:rsidR="004B6759" w:rsidRPr="00BE1959">
        <w:rPr>
          <w:rFonts w:ascii="Times New Roman" w:eastAsia="Times New Roman" w:hAnsi="Times New Roman" w:cs="Times New Roman"/>
          <w:sz w:val="24"/>
          <w:szCs w:val="24"/>
          <w:lang w:val="uk-UA"/>
        </w:rPr>
        <w:t xml:space="preserve"> – щодо</w:t>
      </w:r>
      <w:r w:rsidR="00982982" w:rsidRPr="00BE1959">
        <w:rPr>
          <w:rFonts w:ascii="Times New Roman" w:eastAsia="Times New Roman" w:hAnsi="Times New Roman" w:cs="Times New Roman"/>
          <w:sz w:val="24"/>
          <w:szCs w:val="24"/>
          <w:lang w:val="uk-UA"/>
        </w:rPr>
        <w:t xml:space="preserve"> інформації, оприлюдненої відповідно до статей 10 та 21</w:t>
      </w:r>
      <w:r w:rsidR="004B6759" w:rsidRPr="00BE1959">
        <w:rPr>
          <w:rFonts w:ascii="Times New Roman" w:eastAsia="Times New Roman" w:hAnsi="Times New Roman" w:cs="Times New Roman"/>
          <w:sz w:val="24"/>
          <w:szCs w:val="24"/>
          <w:lang w:val="uk-UA"/>
        </w:rPr>
        <w:t xml:space="preserve"> </w:t>
      </w:r>
      <w:r w:rsidR="00277A16" w:rsidRPr="00BE1959">
        <w:rPr>
          <w:rFonts w:ascii="Times New Roman" w:eastAsia="Times New Roman" w:hAnsi="Times New Roman" w:cs="Times New Roman"/>
          <w:sz w:val="24"/>
          <w:szCs w:val="24"/>
          <w:lang w:val="uk-UA"/>
        </w:rPr>
        <w:t>Регламенту (EU) № 600/2014.</w:t>
      </w:r>
    </w:p>
    <w:p w:rsidR="006B3432" w:rsidRPr="00BE1959" w:rsidRDefault="006B3432"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Комісії делегується повноваження на прийняття нормативно-технічних стандартів, згаданих у першому абзаці цього пункту, згідно зі статтями 10-14 Регламенту (EU) № 1095/2010.</w:t>
      </w:r>
    </w:p>
    <w:p w:rsidR="00B33F26" w:rsidRPr="00BE1959" w:rsidRDefault="005613AB" w:rsidP="00B33F26">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7.   </w:t>
      </w:r>
      <w:r w:rsidR="00B33F26" w:rsidRPr="00BE1959">
        <w:rPr>
          <w:rFonts w:ascii="Times New Roman" w:eastAsia="Times New Roman" w:hAnsi="Times New Roman" w:cs="Times New Roman"/>
          <w:sz w:val="24"/>
          <w:szCs w:val="24"/>
          <w:lang w:val="uk-UA"/>
        </w:rPr>
        <w:t>Комісії приймає делеговані акти відповідно до статті 89, де уточнюється поняття «розумні комерційні засади» надання доступу до потоків даних, згадане у пунктах 1 і 2 цієї статті.</w:t>
      </w:r>
    </w:p>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8.   </w:t>
      </w:r>
      <w:r w:rsidR="006B3432" w:rsidRPr="00BE1959">
        <w:rPr>
          <w:rFonts w:ascii="Times New Roman" w:eastAsia="Times New Roman" w:hAnsi="Times New Roman" w:cs="Times New Roman"/>
          <w:sz w:val="24"/>
          <w:szCs w:val="24"/>
          <w:lang w:val="uk-UA"/>
        </w:rPr>
        <w:t>ESMA розробляє проекти нормативно-технічних стандартів, де зазначає:</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9093"/>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6B3432" w:rsidP="00870EBE">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засоби, за допомогою яких </w:t>
            </w:r>
            <w:r w:rsidR="00870EBE" w:rsidRPr="00BE1959">
              <w:rPr>
                <w:rFonts w:ascii="Times New Roman" w:eastAsia="Times New Roman" w:hAnsi="Times New Roman" w:cs="Times New Roman"/>
                <w:sz w:val="24"/>
                <w:szCs w:val="24"/>
                <w:lang w:val="uk-UA"/>
              </w:rPr>
              <w:t xml:space="preserve">НЗД </w:t>
            </w:r>
            <w:r w:rsidRPr="00BE1959">
              <w:rPr>
                <w:rFonts w:ascii="Times New Roman" w:eastAsia="Times New Roman" w:hAnsi="Times New Roman" w:cs="Times New Roman"/>
                <w:sz w:val="24"/>
                <w:szCs w:val="24"/>
                <w:lang w:val="uk-UA"/>
              </w:rPr>
              <w:t>може виконувати зобов’язання щодо інформації, згадане у пункт</w:t>
            </w:r>
            <w:r w:rsidR="00870EBE" w:rsidRPr="00BE1959">
              <w:rPr>
                <w:rFonts w:ascii="Times New Roman" w:eastAsia="Times New Roman" w:hAnsi="Times New Roman" w:cs="Times New Roman"/>
                <w:sz w:val="24"/>
                <w:szCs w:val="24"/>
                <w:lang w:val="uk-UA"/>
              </w:rPr>
              <w:t>ах</w:t>
            </w:r>
            <w:r w:rsidRPr="00BE1959">
              <w:rPr>
                <w:rFonts w:ascii="Times New Roman" w:eastAsia="Times New Roman" w:hAnsi="Times New Roman" w:cs="Times New Roman"/>
                <w:sz w:val="24"/>
                <w:szCs w:val="24"/>
                <w:lang w:val="uk-UA"/>
              </w:rPr>
              <w:t xml:space="preserve"> 1</w:t>
            </w:r>
            <w:r w:rsidR="00870EBE" w:rsidRPr="00BE1959">
              <w:rPr>
                <w:rFonts w:ascii="Times New Roman" w:eastAsia="Times New Roman" w:hAnsi="Times New Roman" w:cs="Times New Roman"/>
                <w:sz w:val="24"/>
                <w:szCs w:val="24"/>
                <w:lang w:val="uk-UA"/>
              </w:rPr>
              <w:t xml:space="preserve"> і 2</w:t>
            </w:r>
            <w:r w:rsidRPr="00BE1959">
              <w:rPr>
                <w:rFonts w:ascii="Times New Roman" w:eastAsia="Times New Roman" w:hAnsi="Times New Roman" w:cs="Times New Roman"/>
                <w:sz w:val="24"/>
                <w:szCs w:val="24"/>
                <w:lang w:val="uk-UA"/>
              </w:rPr>
              <w:t>;</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86"/>
        <w:gridCol w:w="8879"/>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6B3432" w:rsidP="00870EBE">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зміст інформації, оприлюдненої згідно з пункт</w:t>
            </w:r>
            <w:r w:rsidR="00870EBE" w:rsidRPr="00BE1959">
              <w:rPr>
                <w:rFonts w:ascii="Times New Roman" w:eastAsia="Times New Roman" w:hAnsi="Times New Roman" w:cs="Times New Roman"/>
                <w:sz w:val="24"/>
                <w:szCs w:val="24"/>
                <w:lang w:val="uk-UA"/>
              </w:rPr>
              <w:t>а</w:t>
            </w:r>
            <w:r w:rsidRPr="00BE1959">
              <w:rPr>
                <w:rFonts w:ascii="Times New Roman" w:eastAsia="Times New Roman" w:hAnsi="Times New Roman" w:cs="Times New Roman"/>
                <w:sz w:val="24"/>
                <w:szCs w:val="24"/>
                <w:lang w:val="uk-UA"/>
              </w:rPr>
              <w:t>м</w:t>
            </w:r>
            <w:r w:rsidR="00870EBE" w:rsidRPr="00BE1959">
              <w:rPr>
                <w:rFonts w:ascii="Times New Roman" w:eastAsia="Times New Roman" w:hAnsi="Times New Roman" w:cs="Times New Roman"/>
                <w:sz w:val="24"/>
                <w:szCs w:val="24"/>
                <w:lang w:val="uk-UA"/>
              </w:rPr>
              <w:t>и</w:t>
            </w:r>
            <w:r w:rsidRPr="00BE1959">
              <w:rPr>
                <w:rFonts w:ascii="Times New Roman" w:eastAsia="Times New Roman" w:hAnsi="Times New Roman" w:cs="Times New Roman"/>
                <w:sz w:val="24"/>
                <w:szCs w:val="24"/>
                <w:lang w:val="uk-UA"/>
              </w:rPr>
              <w:t xml:space="preserve"> 1</w:t>
            </w:r>
            <w:r w:rsidR="00870EBE" w:rsidRPr="00BE1959">
              <w:rPr>
                <w:rFonts w:ascii="Times New Roman" w:eastAsia="Times New Roman" w:hAnsi="Times New Roman" w:cs="Times New Roman"/>
                <w:sz w:val="24"/>
                <w:szCs w:val="24"/>
                <w:lang w:val="uk-UA"/>
              </w:rPr>
              <w:t xml:space="preserve"> і 2</w:t>
            </w:r>
            <w:r w:rsidR="005613AB" w:rsidRPr="00BE1959">
              <w:rPr>
                <w:rFonts w:ascii="Times New Roman" w:eastAsia="Times New Roman" w:hAnsi="Times New Roman" w:cs="Times New Roman"/>
                <w:sz w:val="24"/>
                <w:szCs w:val="24"/>
                <w:lang w:val="uk-UA"/>
              </w:rPr>
              <w:t>;</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9093"/>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870EBE" w:rsidP="006776F4">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фінансові інструменти, дані яких повинні бути надані у потоці даних, а для неакціонерних інструментів – торговельні майданчики та ЗМП</w:t>
            </w:r>
            <w:r w:rsidR="006776F4" w:rsidRPr="00BE1959">
              <w:rPr>
                <w:rFonts w:ascii="Times New Roman" w:eastAsia="Times New Roman" w:hAnsi="Times New Roman" w:cs="Times New Roman"/>
                <w:sz w:val="24"/>
                <w:szCs w:val="24"/>
                <w:lang w:val="uk-UA"/>
              </w:rPr>
              <w:t>, які необхідно включити;</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6776F4" w:rsidP="00BD7D74">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інші засоби, що повинні забезпечити, щоб дані, публіковані різними НЗД, були узгодженими й дозволяли детальне відображення і перехресні посилання </w:t>
            </w:r>
            <w:r w:rsidR="00BD7D74" w:rsidRPr="00BE1959">
              <w:rPr>
                <w:rFonts w:ascii="Times New Roman" w:eastAsia="Times New Roman" w:hAnsi="Times New Roman" w:cs="Times New Roman"/>
                <w:sz w:val="24"/>
                <w:szCs w:val="24"/>
                <w:lang w:val="uk-UA"/>
              </w:rPr>
              <w:t>з аналогічними даними з інших джерел, а також допускали агрегування на рівні Союзу;</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34"/>
        <w:gridCol w:w="8931"/>
      </w:tblGrid>
      <w:tr w:rsidR="00DE3173"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(e)</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6B3432" w:rsidP="00BD7D74">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конкретні організаційні вимоги, викладені у пунктах 4 та 5.</w:t>
            </w:r>
          </w:p>
        </w:tc>
      </w:tr>
    </w:tbl>
    <w:p w:rsidR="002F01CB" w:rsidRPr="00BE1959" w:rsidRDefault="002F01CB" w:rsidP="002F01C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ESMA подає проекти </w:t>
      </w:r>
      <w:r w:rsidR="00BD7D74" w:rsidRPr="00BE1959">
        <w:rPr>
          <w:rFonts w:ascii="Times New Roman" w:eastAsia="Times New Roman" w:hAnsi="Times New Roman" w:cs="Times New Roman"/>
          <w:sz w:val="24"/>
          <w:szCs w:val="24"/>
          <w:lang w:val="uk-UA"/>
        </w:rPr>
        <w:t xml:space="preserve">цих </w:t>
      </w:r>
      <w:r w:rsidRPr="00BE1959">
        <w:rPr>
          <w:rFonts w:ascii="Times New Roman" w:eastAsia="Times New Roman" w:hAnsi="Times New Roman" w:cs="Times New Roman"/>
          <w:sz w:val="24"/>
          <w:szCs w:val="24"/>
          <w:lang w:val="uk-UA"/>
        </w:rPr>
        <w:t>нормативно-технічних стандартів</w:t>
      </w:r>
      <w:r w:rsidR="00BD7D74" w:rsidRPr="00BE1959">
        <w:rPr>
          <w:rFonts w:ascii="Times New Roman" w:eastAsia="Times New Roman" w:hAnsi="Times New Roman" w:cs="Times New Roman"/>
          <w:sz w:val="24"/>
          <w:szCs w:val="24"/>
          <w:lang w:val="uk-UA"/>
        </w:rPr>
        <w:t xml:space="preserve"> </w:t>
      </w:r>
      <w:r w:rsidRPr="00BE1959">
        <w:rPr>
          <w:rFonts w:ascii="Times New Roman" w:eastAsia="Times New Roman" w:hAnsi="Times New Roman" w:cs="Times New Roman"/>
          <w:sz w:val="24"/>
          <w:szCs w:val="24"/>
          <w:lang w:val="uk-UA"/>
        </w:rPr>
        <w:t>Комісії до 3 липня 2015 року.</w:t>
      </w:r>
    </w:p>
    <w:p w:rsidR="00BD7D74" w:rsidRPr="00BE1959" w:rsidRDefault="002F01CB" w:rsidP="002F01C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Комісії делегується повноваження на прийняття нормативно-технічних стандартів, згаданих у першому абзаці цього пункту, згідно зі статтями 10-14 Регламенту (EU) № 1095/2010.</w:t>
      </w:r>
    </w:p>
    <w:p w:rsidR="0086197A" w:rsidRPr="00BE1959" w:rsidRDefault="0086197A" w:rsidP="005613AB">
      <w:pPr>
        <w:spacing w:after="0" w:line="312" w:lineRule="atLeast"/>
        <w:jc w:val="center"/>
        <w:textAlignment w:val="baseline"/>
        <w:rPr>
          <w:rFonts w:ascii="Times New Roman" w:eastAsia="Times New Roman" w:hAnsi="Times New Roman" w:cs="Times New Roman"/>
          <w:b/>
          <w:bCs/>
          <w:sz w:val="24"/>
          <w:szCs w:val="24"/>
          <w:bdr w:val="none" w:sz="0" w:space="0" w:color="auto" w:frame="1"/>
          <w:lang w:val="uk-UA"/>
        </w:rPr>
      </w:pPr>
    </w:p>
    <w:p w:rsidR="005613AB" w:rsidRPr="00BE1959" w:rsidRDefault="0086197A" w:rsidP="005613AB">
      <w:pPr>
        <w:spacing w:after="0" w:line="312" w:lineRule="atLeast"/>
        <w:jc w:val="center"/>
        <w:textAlignment w:val="baseline"/>
        <w:rPr>
          <w:rFonts w:ascii="Times New Roman" w:eastAsia="Times New Roman" w:hAnsi="Times New Roman" w:cs="Times New Roman"/>
          <w:b/>
          <w:bCs/>
          <w:sz w:val="24"/>
          <w:szCs w:val="24"/>
          <w:lang w:val="uk-UA"/>
        </w:rPr>
      </w:pPr>
      <w:r w:rsidRPr="00BE1959">
        <w:rPr>
          <w:rFonts w:ascii="Times New Roman" w:eastAsia="Times New Roman" w:hAnsi="Times New Roman" w:cs="Times New Roman"/>
          <w:b/>
          <w:bCs/>
          <w:sz w:val="24"/>
          <w:szCs w:val="24"/>
          <w:bdr w:val="none" w:sz="0" w:space="0" w:color="auto" w:frame="1"/>
          <w:lang w:val="uk-UA"/>
        </w:rPr>
        <w:t>Підрозділ</w:t>
      </w:r>
      <w:r w:rsidR="005613AB" w:rsidRPr="00BE1959">
        <w:rPr>
          <w:rFonts w:ascii="Times New Roman" w:eastAsia="Times New Roman" w:hAnsi="Times New Roman" w:cs="Times New Roman"/>
          <w:b/>
          <w:bCs/>
          <w:sz w:val="24"/>
          <w:szCs w:val="24"/>
          <w:bdr w:val="none" w:sz="0" w:space="0" w:color="auto" w:frame="1"/>
          <w:lang w:val="uk-UA"/>
        </w:rPr>
        <w:t xml:space="preserve"> 4</w:t>
      </w:r>
    </w:p>
    <w:p w:rsidR="005613AB" w:rsidRPr="00BE1959" w:rsidRDefault="0086197A" w:rsidP="005613AB">
      <w:pPr>
        <w:spacing w:after="0" w:line="312" w:lineRule="atLeast"/>
        <w:jc w:val="center"/>
        <w:textAlignment w:val="baseline"/>
        <w:rPr>
          <w:rFonts w:ascii="Times New Roman" w:eastAsia="Times New Roman" w:hAnsi="Times New Roman" w:cs="Times New Roman"/>
          <w:b/>
          <w:bCs/>
          <w:sz w:val="24"/>
          <w:szCs w:val="24"/>
          <w:lang w:val="uk-UA"/>
        </w:rPr>
      </w:pPr>
      <w:r w:rsidRPr="00BE1959">
        <w:rPr>
          <w:rFonts w:ascii="Times New Roman" w:eastAsia="Times New Roman" w:hAnsi="Times New Roman" w:cs="Times New Roman"/>
          <w:b/>
          <w:bCs/>
          <w:sz w:val="24"/>
          <w:szCs w:val="24"/>
          <w:bdr w:val="none" w:sz="0" w:space="0" w:color="auto" w:frame="1"/>
          <w:lang w:val="uk-UA"/>
        </w:rPr>
        <w:t>Умови для ЗМЗ</w:t>
      </w:r>
    </w:p>
    <w:p w:rsidR="005613AB" w:rsidRPr="00BE1959" w:rsidRDefault="00162A11" w:rsidP="005613AB">
      <w:pPr>
        <w:spacing w:before="360" w:after="120" w:line="312" w:lineRule="atLeast"/>
        <w:jc w:val="center"/>
        <w:textAlignment w:val="baseline"/>
        <w:rPr>
          <w:rFonts w:ascii="Times New Roman" w:eastAsia="Times New Roman" w:hAnsi="Times New Roman" w:cs="Times New Roman"/>
          <w:i/>
          <w:iCs/>
          <w:sz w:val="24"/>
          <w:szCs w:val="24"/>
          <w:lang w:val="uk-UA"/>
        </w:rPr>
      </w:pPr>
      <w:r w:rsidRPr="00BE1959">
        <w:rPr>
          <w:rFonts w:ascii="Times New Roman" w:eastAsia="Times New Roman" w:hAnsi="Times New Roman" w:cs="Times New Roman"/>
          <w:i/>
          <w:iCs/>
          <w:sz w:val="24"/>
          <w:szCs w:val="24"/>
          <w:lang w:val="uk-UA"/>
        </w:rPr>
        <w:t>Стаття</w:t>
      </w:r>
      <w:r w:rsidR="005613AB" w:rsidRPr="00BE1959">
        <w:rPr>
          <w:rFonts w:ascii="Times New Roman" w:eastAsia="Times New Roman" w:hAnsi="Times New Roman" w:cs="Times New Roman"/>
          <w:i/>
          <w:iCs/>
          <w:sz w:val="24"/>
          <w:szCs w:val="24"/>
          <w:lang w:val="uk-UA"/>
        </w:rPr>
        <w:t xml:space="preserve"> 66</w:t>
      </w:r>
    </w:p>
    <w:p w:rsidR="005613AB" w:rsidRPr="00BE1959" w:rsidRDefault="0086197A" w:rsidP="005613AB">
      <w:pPr>
        <w:spacing w:before="60" w:after="120" w:line="312" w:lineRule="atLeast"/>
        <w:jc w:val="center"/>
        <w:textAlignment w:val="baseline"/>
        <w:rPr>
          <w:rFonts w:ascii="Times New Roman" w:eastAsia="Times New Roman" w:hAnsi="Times New Roman" w:cs="Times New Roman"/>
          <w:b/>
          <w:bCs/>
          <w:sz w:val="24"/>
          <w:szCs w:val="24"/>
          <w:lang w:val="uk-UA"/>
        </w:rPr>
      </w:pPr>
      <w:r w:rsidRPr="00BE1959">
        <w:rPr>
          <w:rFonts w:ascii="Times New Roman" w:eastAsia="Times New Roman" w:hAnsi="Times New Roman" w:cs="Times New Roman"/>
          <w:b/>
          <w:bCs/>
          <w:sz w:val="24"/>
          <w:szCs w:val="24"/>
          <w:lang w:val="uk-UA"/>
        </w:rPr>
        <w:t>Організаційні вимоги</w:t>
      </w:r>
    </w:p>
    <w:p w:rsidR="009C1304"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1.   </w:t>
      </w:r>
      <w:r w:rsidR="00C33D7B" w:rsidRPr="00BE1959">
        <w:rPr>
          <w:rFonts w:ascii="Times New Roman" w:eastAsia="Times New Roman" w:hAnsi="Times New Roman" w:cs="Times New Roman"/>
          <w:sz w:val="24"/>
          <w:szCs w:val="24"/>
          <w:lang w:val="uk-UA"/>
        </w:rPr>
        <w:t>Держава-член походження вимагає наявності у ЗМЗ належних правил і засобів для повідомлення інформації, яка оприлюднюється згідно з вимогами стат</w:t>
      </w:r>
      <w:r w:rsidR="009C1304" w:rsidRPr="00BE1959">
        <w:rPr>
          <w:rFonts w:ascii="Times New Roman" w:eastAsia="Times New Roman" w:hAnsi="Times New Roman" w:cs="Times New Roman"/>
          <w:sz w:val="24"/>
          <w:szCs w:val="24"/>
          <w:lang w:val="uk-UA"/>
        </w:rPr>
        <w:t xml:space="preserve">ті 21 </w:t>
      </w:r>
      <w:r w:rsidR="00C33D7B" w:rsidRPr="00BE1959">
        <w:rPr>
          <w:rFonts w:ascii="Times New Roman" w:eastAsia="Times New Roman" w:hAnsi="Times New Roman" w:cs="Times New Roman"/>
          <w:sz w:val="24"/>
          <w:szCs w:val="24"/>
          <w:lang w:val="uk-UA"/>
        </w:rPr>
        <w:t xml:space="preserve">Регламенту (EU) № 600/2014, </w:t>
      </w:r>
      <w:r w:rsidR="009C1304" w:rsidRPr="00BE1959">
        <w:rPr>
          <w:rFonts w:ascii="Times New Roman" w:eastAsia="Times New Roman" w:hAnsi="Times New Roman" w:cs="Times New Roman"/>
          <w:sz w:val="24"/>
          <w:szCs w:val="24"/>
          <w:lang w:val="uk-UA"/>
        </w:rPr>
        <w:t xml:space="preserve">у якомога стислі терміни, але не пізніше </w:t>
      </w:r>
      <w:r w:rsidR="00232C6A" w:rsidRPr="00BE1959">
        <w:rPr>
          <w:rFonts w:ascii="Times New Roman" w:eastAsia="Times New Roman" w:hAnsi="Times New Roman" w:cs="Times New Roman"/>
          <w:sz w:val="24"/>
          <w:szCs w:val="24"/>
          <w:lang w:val="uk-UA"/>
        </w:rPr>
        <w:t>кінця робочого дня, наступного за днем виконання угоди. Така інформація повідомляється відповідно до вимог, викладених у статті 26 Регламенту (EU) № 600/2014.</w:t>
      </w:r>
    </w:p>
    <w:p w:rsidR="00232C6A"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lastRenderedPageBreak/>
        <w:t>2.   </w:t>
      </w:r>
      <w:r w:rsidR="00232C6A" w:rsidRPr="00BE1959">
        <w:rPr>
          <w:rFonts w:ascii="Times New Roman" w:eastAsia="Times New Roman" w:hAnsi="Times New Roman" w:cs="Times New Roman"/>
          <w:sz w:val="24"/>
          <w:szCs w:val="24"/>
          <w:lang w:val="uk-UA"/>
        </w:rPr>
        <w:t>Держава-член походження вимагає, щоб ЗМЗ запровадив і використовував ефективні адміністративні механізми, спрямовані на запобігання конфліктів інтересів із його клієнтами. Зокрема, ЗМЗ, який також є оператором ринку або інвестиційною фірмою, поводиться з усією зібраною інформацією без будь-якої дискримінації, а також запроваджує та використовує відповідні механізми для розділення ділових функцій.</w:t>
      </w:r>
    </w:p>
    <w:p w:rsidR="005D2456"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3.   </w:t>
      </w:r>
      <w:r w:rsidR="005D2456" w:rsidRPr="00BE1959">
        <w:rPr>
          <w:rFonts w:ascii="Times New Roman" w:eastAsia="Times New Roman" w:hAnsi="Times New Roman" w:cs="Times New Roman"/>
          <w:sz w:val="24"/>
          <w:szCs w:val="24"/>
          <w:lang w:val="uk-UA"/>
        </w:rPr>
        <w:t>Держава-член походження вимагає, щоб ЗМЗ запровадив надійні механізми забезпечення безпеки, що гарантують безпеку і автентифікації засобів передачі інформації та зводять до мінімуму ризик пошкодження даних і несанкціонованого доступу</w:t>
      </w:r>
      <w:r w:rsidR="005B624B" w:rsidRPr="00BE1959">
        <w:rPr>
          <w:rFonts w:ascii="Times New Roman" w:eastAsia="Times New Roman" w:hAnsi="Times New Roman" w:cs="Times New Roman"/>
          <w:sz w:val="24"/>
          <w:szCs w:val="24"/>
          <w:lang w:val="uk-UA"/>
        </w:rPr>
        <w:t>, а також запобігають витоку інформації, постійно підтримуючи конфіденційність даних</w:t>
      </w:r>
      <w:r w:rsidR="005D2456" w:rsidRPr="00BE1959">
        <w:rPr>
          <w:rFonts w:ascii="Times New Roman" w:eastAsia="Times New Roman" w:hAnsi="Times New Roman" w:cs="Times New Roman"/>
          <w:sz w:val="24"/>
          <w:szCs w:val="24"/>
          <w:lang w:val="uk-UA"/>
        </w:rPr>
        <w:t xml:space="preserve">. Держава-член походження вимагає, щоб </w:t>
      </w:r>
      <w:r w:rsidR="005B624B" w:rsidRPr="00BE1959">
        <w:rPr>
          <w:rFonts w:ascii="Times New Roman" w:eastAsia="Times New Roman" w:hAnsi="Times New Roman" w:cs="Times New Roman"/>
          <w:sz w:val="24"/>
          <w:szCs w:val="24"/>
          <w:lang w:val="uk-UA"/>
        </w:rPr>
        <w:t>ЗМЗ</w:t>
      </w:r>
      <w:r w:rsidR="005D2456" w:rsidRPr="00BE1959">
        <w:rPr>
          <w:rFonts w:ascii="Times New Roman" w:eastAsia="Times New Roman" w:hAnsi="Times New Roman" w:cs="Times New Roman"/>
          <w:sz w:val="24"/>
          <w:szCs w:val="24"/>
          <w:lang w:val="uk-UA"/>
        </w:rPr>
        <w:t xml:space="preserve"> мав достатні ресурси та резервні засоби для надання послуг у будь-який час.</w:t>
      </w:r>
    </w:p>
    <w:p w:rsidR="007B1A47"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4.   </w:t>
      </w:r>
      <w:r w:rsidR="007B1A47" w:rsidRPr="00BE1959">
        <w:rPr>
          <w:rFonts w:ascii="Times New Roman" w:eastAsia="Times New Roman" w:hAnsi="Times New Roman" w:cs="Times New Roman"/>
          <w:sz w:val="24"/>
          <w:szCs w:val="24"/>
          <w:lang w:val="uk-UA"/>
        </w:rPr>
        <w:t>Держава-член походження вимагає наявності у ЗМЗ систем, які можуть ефективно перевіряти звіти про угоди на предмет повноти, виявляти пропуски та очевидні помилки, зроблені інвестиційною фірмою, а у разі наявності таких помилок або пропусків повідомляти про такі помилки або пропуски інвестиційну фірму і вимагати повторної передачі таких помилкових звітів.</w:t>
      </w:r>
    </w:p>
    <w:p w:rsidR="005613AB" w:rsidRPr="00BE1959" w:rsidRDefault="007B1A47" w:rsidP="007B1A47">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Держава-член походження також вимагає наявності у ЗМЗ систем, які дозволяють ЗМЗ виявляти помилки або пропуски, спричинені самим ЗМЗ, і коригувати та передавати – або повторно передавати, залежно від обставин – правильні та повні звіти про угоди компетентному органові.</w:t>
      </w:r>
    </w:p>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5.   </w:t>
      </w:r>
      <w:r w:rsidR="007B1A47" w:rsidRPr="00BE1959">
        <w:rPr>
          <w:rFonts w:ascii="Times New Roman" w:eastAsia="Times New Roman" w:hAnsi="Times New Roman" w:cs="Times New Roman"/>
          <w:sz w:val="24"/>
          <w:szCs w:val="24"/>
          <w:lang w:val="uk-UA"/>
        </w:rPr>
        <w:t>ESMA розробляє проекти нормативно-технічних стандартів, де зазначає:</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9093"/>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7B1A47"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засоби, за допомогою яких ЗМЗ може виконувати зобов’язання щодо інформації, згадане у пункті 1;</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32"/>
        <w:gridCol w:w="8933"/>
      </w:tblGrid>
      <w:tr w:rsidR="00DE3173"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7B1A47" w:rsidP="007B1A47">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конкретні організаційні вимоги, викладені у пунктах 2, 3 та 4.</w:t>
            </w:r>
          </w:p>
        </w:tc>
      </w:tr>
    </w:tbl>
    <w:p w:rsidR="005613AB" w:rsidRPr="00BE1959" w:rsidRDefault="007B1A47"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ESMA подає проекти цих нормативно-технічних стандартів Комісії до 3 липня 2015 року.</w:t>
      </w:r>
    </w:p>
    <w:p w:rsidR="005613AB" w:rsidRPr="00BE1959" w:rsidRDefault="007B1A47"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Комісії делегується повноваження на прийняття нормативно-технічних стандартів, згаданих у першому абзаці цього пункту, згідно зі статтями 10-14 Регламенту (EU) № 1095/2010.</w:t>
      </w:r>
    </w:p>
    <w:p w:rsidR="0096403E" w:rsidRPr="00BE1959" w:rsidRDefault="0096403E" w:rsidP="005613AB">
      <w:pPr>
        <w:spacing w:before="480" w:after="0" w:line="312" w:lineRule="atLeast"/>
        <w:jc w:val="center"/>
        <w:textAlignment w:val="baseline"/>
        <w:rPr>
          <w:rFonts w:ascii="Times New Roman" w:eastAsia="Times New Roman" w:hAnsi="Times New Roman" w:cs="Times New Roman"/>
          <w:b/>
          <w:bCs/>
          <w:sz w:val="24"/>
          <w:szCs w:val="24"/>
          <w:lang w:val="uk-UA"/>
        </w:rPr>
      </w:pPr>
    </w:p>
    <w:p w:rsidR="0096403E" w:rsidRPr="00BE1959" w:rsidRDefault="0096403E" w:rsidP="005613AB">
      <w:pPr>
        <w:spacing w:before="480" w:after="0" w:line="312" w:lineRule="atLeast"/>
        <w:jc w:val="center"/>
        <w:textAlignment w:val="baseline"/>
        <w:rPr>
          <w:rFonts w:ascii="Times New Roman" w:eastAsia="Times New Roman" w:hAnsi="Times New Roman" w:cs="Times New Roman"/>
          <w:b/>
          <w:bCs/>
          <w:sz w:val="24"/>
          <w:szCs w:val="24"/>
          <w:lang w:val="uk-UA"/>
        </w:rPr>
      </w:pPr>
    </w:p>
    <w:p w:rsidR="0096403E" w:rsidRPr="00BE1959" w:rsidRDefault="0096403E" w:rsidP="005613AB">
      <w:pPr>
        <w:spacing w:before="480" w:after="0" w:line="312" w:lineRule="atLeast"/>
        <w:jc w:val="center"/>
        <w:textAlignment w:val="baseline"/>
        <w:rPr>
          <w:rFonts w:ascii="Times New Roman" w:eastAsia="Times New Roman" w:hAnsi="Times New Roman" w:cs="Times New Roman"/>
          <w:b/>
          <w:bCs/>
          <w:sz w:val="24"/>
          <w:szCs w:val="24"/>
          <w:lang w:val="uk-UA"/>
        </w:rPr>
      </w:pPr>
    </w:p>
    <w:p w:rsidR="005613AB" w:rsidRPr="00BE1959" w:rsidRDefault="0086197A" w:rsidP="005613AB">
      <w:pPr>
        <w:spacing w:before="480" w:after="0" w:line="312" w:lineRule="atLeast"/>
        <w:jc w:val="center"/>
        <w:textAlignment w:val="baseline"/>
        <w:rPr>
          <w:rFonts w:ascii="Times New Roman" w:eastAsia="Times New Roman" w:hAnsi="Times New Roman" w:cs="Times New Roman"/>
          <w:b/>
          <w:bCs/>
          <w:sz w:val="24"/>
          <w:szCs w:val="24"/>
          <w:lang w:val="uk-UA"/>
        </w:rPr>
      </w:pPr>
      <w:r w:rsidRPr="00BE1959">
        <w:rPr>
          <w:rFonts w:ascii="Times New Roman" w:eastAsia="Times New Roman" w:hAnsi="Times New Roman" w:cs="Times New Roman"/>
          <w:b/>
          <w:bCs/>
          <w:sz w:val="24"/>
          <w:szCs w:val="24"/>
          <w:lang w:val="uk-UA"/>
        </w:rPr>
        <w:lastRenderedPageBreak/>
        <w:t>РОЗДІЛ</w:t>
      </w:r>
      <w:r w:rsidR="005613AB" w:rsidRPr="00BE1959">
        <w:rPr>
          <w:rFonts w:ascii="Times New Roman" w:eastAsia="Times New Roman" w:hAnsi="Times New Roman" w:cs="Times New Roman"/>
          <w:b/>
          <w:bCs/>
          <w:sz w:val="24"/>
          <w:szCs w:val="24"/>
          <w:lang w:val="uk-UA"/>
        </w:rPr>
        <w:t xml:space="preserve"> VI</w:t>
      </w:r>
    </w:p>
    <w:p w:rsidR="005613AB" w:rsidRPr="00BE1959" w:rsidRDefault="0086197A" w:rsidP="005613AB">
      <w:pPr>
        <w:spacing w:after="0" w:line="312" w:lineRule="atLeast"/>
        <w:jc w:val="center"/>
        <w:textAlignment w:val="baseline"/>
        <w:rPr>
          <w:rFonts w:ascii="Times New Roman" w:eastAsia="Times New Roman" w:hAnsi="Times New Roman" w:cs="Times New Roman"/>
          <w:b/>
          <w:bCs/>
          <w:sz w:val="24"/>
          <w:szCs w:val="24"/>
          <w:lang w:val="uk-UA"/>
        </w:rPr>
      </w:pPr>
      <w:r w:rsidRPr="00BE1959">
        <w:rPr>
          <w:rFonts w:ascii="Times New Roman" w:eastAsia="Times New Roman" w:hAnsi="Times New Roman" w:cs="Times New Roman"/>
          <w:b/>
          <w:bCs/>
          <w:sz w:val="24"/>
          <w:szCs w:val="24"/>
          <w:bdr w:val="none" w:sz="0" w:space="0" w:color="auto" w:frame="1"/>
          <w:lang w:val="uk-UA"/>
        </w:rPr>
        <w:t>КОМПЕТЕНТНІ ОРГАНИ</w:t>
      </w:r>
    </w:p>
    <w:p w:rsidR="0086197A" w:rsidRPr="00BE1959" w:rsidRDefault="0086197A" w:rsidP="005613AB">
      <w:pPr>
        <w:spacing w:after="0" w:line="312" w:lineRule="atLeast"/>
        <w:jc w:val="center"/>
        <w:textAlignment w:val="baseline"/>
        <w:rPr>
          <w:rFonts w:ascii="Times New Roman" w:eastAsia="Times New Roman" w:hAnsi="Times New Roman" w:cs="Times New Roman"/>
          <w:b/>
          <w:bCs/>
          <w:i/>
          <w:iCs/>
          <w:sz w:val="24"/>
          <w:szCs w:val="24"/>
          <w:bdr w:val="none" w:sz="0" w:space="0" w:color="auto" w:frame="1"/>
          <w:lang w:val="uk-UA"/>
        </w:rPr>
      </w:pPr>
    </w:p>
    <w:p w:rsidR="005613AB" w:rsidRPr="00BE1959" w:rsidRDefault="000F2B0A" w:rsidP="005613AB">
      <w:pPr>
        <w:spacing w:after="0" w:line="312" w:lineRule="atLeast"/>
        <w:jc w:val="center"/>
        <w:textAlignment w:val="baseline"/>
        <w:rPr>
          <w:rFonts w:ascii="Times New Roman" w:eastAsia="Times New Roman" w:hAnsi="Times New Roman" w:cs="Times New Roman"/>
          <w:b/>
          <w:bCs/>
          <w:sz w:val="24"/>
          <w:szCs w:val="24"/>
          <w:lang w:val="uk-UA"/>
        </w:rPr>
      </w:pPr>
      <w:r w:rsidRPr="00BE1959">
        <w:rPr>
          <w:rFonts w:ascii="Times New Roman" w:eastAsia="Times New Roman" w:hAnsi="Times New Roman" w:cs="Times New Roman"/>
          <w:b/>
          <w:bCs/>
          <w:i/>
          <w:iCs/>
          <w:sz w:val="24"/>
          <w:szCs w:val="24"/>
          <w:bdr w:val="none" w:sz="0" w:space="0" w:color="auto" w:frame="1"/>
          <w:lang w:val="uk-UA"/>
        </w:rPr>
        <w:t>ГЛАВА</w:t>
      </w:r>
      <w:r w:rsidR="005613AB" w:rsidRPr="00BE1959">
        <w:rPr>
          <w:rFonts w:ascii="Times New Roman" w:eastAsia="Times New Roman" w:hAnsi="Times New Roman" w:cs="Times New Roman"/>
          <w:b/>
          <w:bCs/>
          <w:i/>
          <w:iCs/>
          <w:sz w:val="24"/>
          <w:szCs w:val="24"/>
          <w:bdr w:val="none" w:sz="0" w:space="0" w:color="auto" w:frame="1"/>
          <w:lang w:val="uk-UA"/>
        </w:rPr>
        <w:t xml:space="preserve"> I</w:t>
      </w:r>
    </w:p>
    <w:p w:rsidR="000F2B0A" w:rsidRPr="00BE1959" w:rsidRDefault="000F2B0A" w:rsidP="005613AB">
      <w:pPr>
        <w:spacing w:after="0" w:line="312" w:lineRule="atLeast"/>
        <w:jc w:val="center"/>
        <w:textAlignment w:val="baseline"/>
        <w:rPr>
          <w:rFonts w:ascii="Times New Roman" w:eastAsia="Times New Roman" w:hAnsi="Times New Roman" w:cs="Times New Roman"/>
          <w:b/>
          <w:bCs/>
          <w:i/>
          <w:iCs/>
          <w:sz w:val="24"/>
          <w:szCs w:val="24"/>
          <w:bdr w:val="none" w:sz="0" w:space="0" w:color="auto" w:frame="1"/>
          <w:lang w:val="uk-UA"/>
        </w:rPr>
      </w:pPr>
      <w:r w:rsidRPr="00BE1959">
        <w:rPr>
          <w:rFonts w:ascii="Times New Roman" w:eastAsia="Times New Roman" w:hAnsi="Times New Roman" w:cs="Times New Roman"/>
          <w:b/>
          <w:bCs/>
          <w:i/>
          <w:iCs/>
          <w:sz w:val="24"/>
          <w:szCs w:val="24"/>
          <w:bdr w:val="none" w:sz="0" w:space="0" w:color="auto" w:frame="1"/>
          <w:lang w:val="uk-UA"/>
        </w:rPr>
        <w:t>Призначення, повноваження та порядок відшкодування</w:t>
      </w:r>
    </w:p>
    <w:p w:rsidR="005613AB" w:rsidRPr="00BE1959" w:rsidRDefault="00162A11" w:rsidP="005613AB">
      <w:pPr>
        <w:spacing w:before="360" w:after="120" w:line="312" w:lineRule="atLeast"/>
        <w:jc w:val="center"/>
        <w:textAlignment w:val="baseline"/>
        <w:rPr>
          <w:rFonts w:ascii="Times New Roman" w:eastAsia="Times New Roman" w:hAnsi="Times New Roman" w:cs="Times New Roman"/>
          <w:i/>
          <w:iCs/>
          <w:sz w:val="24"/>
          <w:szCs w:val="24"/>
          <w:lang w:val="uk-UA"/>
        </w:rPr>
      </w:pPr>
      <w:r w:rsidRPr="00BE1959">
        <w:rPr>
          <w:rFonts w:ascii="Times New Roman" w:eastAsia="Times New Roman" w:hAnsi="Times New Roman" w:cs="Times New Roman"/>
          <w:i/>
          <w:iCs/>
          <w:sz w:val="24"/>
          <w:szCs w:val="24"/>
          <w:lang w:val="uk-UA"/>
        </w:rPr>
        <w:t>Стаття</w:t>
      </w:r>
      <w:r w:rsidR="005613AB" w:rsidRPr="00BE1959">
        <w:rPr>
          <w:rFonts w:ascii="Times New Roman" w:eastAsia="Times New Roman" w:hAnsi="Times New Roman" w:cs="Times New Roman"/>
          <w:i/>
          <w:iCs/>
          <w:sz w:val="24"/>
          <w:szCs w:val="24"/>
          <w:lang w:val="uk-UA"/>
        </w:rPr>
        <w:t xml:space="preserve"> 67</w:t>
      </w:r>
    </w:p>
    <w:p w:rsidR="005613AB" w:rsidRPr="00BE1959" w:rsidRDefault="00B105F3" w:rsidP="005613AB">
      <w:pPr>
        <w:spacing w:before="60" w:after="120" w:line="312" w:lineRule="atLeast"/>
        <w:jc w:val="center"/>
        <w:textAlignment w:val="baseline"/>
        <w:rPr>
          <w:rFonts w:ascii="Times New Roman" w:eastAsia="Times New Roman" w:hAnsi="Times New Roman" w:cs="Times New Roman"/>
          <w:b/>
          <w:bCs/>
          <w:sz w:val="24"/>
          <w:szCs w:val="24"/>
          <w:lang w:val="uk-UA"/>
        </w:rPr>
      </w:pPr>
      <w:r w:rsidRPr="00BE1959">
        <w:rPr>
          <w:rFonts w:ascii="Times New Roman" w:eastAsia="Times New Roman" w:hAnsi="Times New Roman" w:cs="Times New Roman"/>
          <w:b/>
          <w:bCs/>
          <w:sz w:val="24"/>
          <w:szCs w:val="24"/>
          <w:lang w:val="uk-UA"/>
        </w:rPr>
        <w:t>Призначення компетентних органів</w:t>
      </w:r>
    </w:p>
    <w:p w:rsidR="005613AB" w:rsidRPr="00BE1959" w:rsidRDefault="005613AB" w:rsidP="00094CC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1.   </w:t>
      </w:r>
      <w:r w:rsidR="00B105F3" w:rsidRPr="00BE1959">
        <w:rPr>
          <w:rFonts w:ascii="Times New Roman" w:eastAsia="Times New Roman" w:hAnsi="Times New Roman" w:cs="Times New Roman"/>
          <w:sz w:val="24"/>
          <w:szCs w:val="24"/>
          <w:lang w:val="uk-UA"/>
        </w:rPr>
        <w:t>Кожна держава-член призначає компетентні органи, які повинні виконувати кожний з обов’язків, передбачених різними положеннями</w:t>
      </w:r>
      <w:r w:rsidRPr="00BE1959">
        <w:rPr>
          <w:rFonts w:ascii="Times New Roman" w:eastAsia="Times New Roman" w:hAnsi="Times New Roman" w:cs="Times New Roman"/>
          <w:sz w:val="24"/>
          <w:szCs w:val="24"/>
          <w:lang w:val="uk-UA"/>
        </w:rPr>
        <w:t xml:space="preserve"> </w:t>
      </w:r>
      <w:r w:rsidR="008824AE" w:rsidRPr="00BE1959">
        <w:rPr>
          <w:rFonts w:ascii="Times New Roman" w:eastAsia="Times New Roman" w:hAnsi="Times New Roman" w:cs="Times New Roman"/>
          <w:sz w:val="24"/>
          <w:szCs w:val="24"/>
          <w:lang w:val="uk-UA"/>
        </w:rPr>
        <w:t>Регламенту</w:t>
      </w:r>
      <w:r w:rsidRPr="00BE1959">
        <w:rPr>
          <w:rFonts w:ascii="Times New Roman" w:eastAsia="Times New Roman" w:hAnsi="Times New Roman" w:cs="Times New Roman"/>
          <w:sz w:val="24"/>
          <w:szCs w:val="24"/>
          <w:lang w:val="uk-UA"/>
        </w:rPr>
        <w:t xml:space="preserve"> </w:t>
      </w:r>
      <w:r w:rsidR="007B0149" w:rsidRPr="00BE1959">
        <w:rPr>
          <w:rFonts w:ascii="Times New Roman" w:eastAsia="Times New Roman" w:hAnsi="Times New Roman" w:cs="Times New Roman"/>
          <w:sz w:val="24"/>
          <w:szCs w:val="24"/>
          <w:lang w:val="uk-UA"/>
        </w:rPr>
        <w:t>(EU) № 600/2014</w:t>
      </w:r>
      <w:r w:rsidRPr="00BE1959">
        <w:rPr>
          <w:rFonts w:ascii="Times New Roman" w:eastAsia="Times New Roman" w:hAnsi="Times New Roman" w:cs="Times New Roman"/>
          <w:sz w:val="24"/>
          <w:szCs w:val="24"/>
          <w:lang w:val="uk-UA"/>
        </w:rPr>
        <w:t xml:space="preserve"> </w:t>
      </w:r>
      <w:r w:rsidR="00B105F3" w:rsidRPr="00BE1959">
        <w:rPr>
          <w:rFonts w:ascii="Times New Roman" w:eastAsia="Times New Roman" w:hAnsi="Times New Roman" w:cs="Times New Roman"/>
          <w:sz w:val="24"/>
          <w:szCs w:val="24"/>
          <w:lang w:val="uk-UA"/>
        </w:rPr>
        <w:t>та</w:t>
      </w:r>
      <w:r w:rsidRPr="00BE1959">
        <w:rPr>
          <w:rFonts w:ascii="Times New Roman" w:eastAsia="Times New Roman" w:hAnsi="Times New Roman" w:cs="Times New Roman"/>
          <w:sz w:val="24"/>
          <w:szCs w:val="24"/>
          <w:lang w:val="uk-UA"/>
        </w:rPr>
        <w:t xml:space="preserve"> </w:t>
      </w:r>
      <w:r w:rsidR="00432567" w:rsidRPr="00BE1959">
        <w:rPr>
          <w:rFonts w:ascii="Times New Roman" w:eastAsia="Times New Roman" w:hAnsi="Times New Roman" w:cs="Times New Roman"/>
          <w:sz w:val="24"/>
          <w:szCs w:val="24"/>
          <w:lang w:val="uk-UA"/>
        </w:rPr>
        <w:t>цієї директиви</w:t>
      </w:r>
      <w:r w:rsidRPr="00BE1959">
        <w:rPr>
          <w:rFonts w:ascii="Times New Roman" w:eastAsia="Times New Roman" w:hAnsi="Times New Roman" w:cs="Times New Roman"/>
          <w:sz w:val="24"/>
          <w:szCs w:val="24"/>
          <w:lang w:val="uk-UA"/>
        </w:rPr>
        <w:t xml:space="preserve">. </w:t>
      </w:r>
      <w:r w:rsidR="001F5C90" w:rsidRPr="00BE1959">
        <w:rPr>
          <w:rFonts w:ascii="Times New Roman" w:eastAsia="Times New Roman" w:hAnsi="Times New Roman" w:cs="Times New Roman"/>
          <w:sz w:val="24"/>
          <w:szCs w:val="24"/>
          <w:lang w:val="uk-UA"/>
        </w:rPr>
        <w:t>Держави-члени</w:t>
      </w:r>
      <w:r w:rsidRPr="00BE1959">
        <w:rPr>
          <w:rFonts w:ascii="Times New Roman" w:eastAsia="Times New Roman" w:hAnsi="Times New Roman" w:cs="Times New Roman"/>
          <w:sz w:val="24"/>
          <w:szCs w:val="24"/>
          <w:lang w:val="uk-UA"/>
        </w:rPr>
        <w:t xml:space="preserve"> </w:t>
      </w:r>
      <w:r w:rsidR="00B105F3" w:rsidRPr="00BE1959">
        <w:rPr>
          <w:rFonts w:ascii="Times New Roman" w:eastAsia="Times New Roman" w:hAnsi="Times New Roman" w:cs="Times New Roman"/>
          <w:sz w:val="24"/>
          <w:szCs w:val="24"/>
          <w:lang w:val="uk-UA"/>
        </w:rPr>
        <w:t>інформують Комісію, ESMA та компетентні органи інших держав-членів про компетентні органи, відповідальні за забезпечення виконання кожного з цих обов’язків</w:t>
      </w:r>
      <w:r w:rsidR="00094CCB" w:rsidRPr="00BE1959">
        <w:rPr>
          <w:rFonts w:ascii="Times New Roman" w:eastAsia="Times New Roman" w:hAnsi="Times New Roman" w:cs="Times New Roman"/>
          <w:sz w:val="24"/>
          <w:szCs w:val="24"/>
          <w:lang w:val="uk-UA"/>
        </w:rPr>
        <w:t>, а також про поділ цих обов’язків.</w:t>
      </w:r>
    </w:p>
    <w:p w:rsidR="005613AB" w:rsidRPr="00BE1959" w:rsidRDefault="005613AB" w:rsidP="00277849">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2.   </w:t>
      </w:r>
      <w:r w:rsidR="00094CCB" w:rsidRPr="00BE1959">
        <w:rPr>
          <w:rFonts w:ascii="Times New Roman" w:eastAsia="Times New Roman" w:hAnsi="Times New Roman" w:cs="Times New Roman"/>
          <w:sz w:val="24"/>
          <w:szCs w:val="24"/>
          <w:lang w:val="uk-UA"/>
        </w:rPr>
        <w:t>Компетентні органи, згадані у пункті 1, є державними органами</w:t>
      </w:r>
      <w:r w:rsidR="00277849" w:rsidRPr="00BE1959">
        <w:rPr>
          <w:rFonts w:ascii="Times New Roman" w:eastAsia="Times New Roman" w:hAnsi="Times New Roman" w:cs="Times New Roman"/>
          <w:sz w:val="24"/>
          <w:szCs w:val="24"/>
          <w:lang w:val="uk-UA"/>
        </w:rPr>
        <w:t>, що не перешкоджає можливості делегування задач іншим суб’єктам, якщо це прямо передбачено у</w:t>
      </w:r>
      <w:r w:rsidR="005E1C03" w:rsidRPr="00BE1959">
        <w:rPr>
          <w:rFonts w:ascii="Times New Roman" w:eastAsia="Times New Roman" w:hAnsi="Times New Roman" w:cs="Times New Roman"/>
          <w:sz w:val="24"/>
          <w:szCs w:val="24"/>
          <w:lang w:val="uk-UA"/>
        </w:rPr>
        <w:t xml:space="preserve"> статті</w:t>
      </w:r>
      <w:r w:rsidRPr="00BE1959">
        <w:rPr>
          <w:rFonts w:ascii="Times New Roman" w:eastAsia="Times New Roman" w:hAnsi="Times New Roman" w:cs="Times New Roman"/>
          <w:sz w:val="24"/>
          <w:szCs w:val="24"/>
          <w:lang w:val="uk-UA"/>
        </w:rPr>
        <w:t xml:space="preserve"> 29(4).</w:t>
      </w:r>
    </w:p>
    <w:p w:rsidR="00AE4EB5" w:rsidRPr="00BE1959" w:rsidRDefault="00277849"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Будь-яке делегування задач іншим суб’єктам, ніж органи, згадані у пункті </w:t>
      </w:r>
      <w:r w:rsidR="00434A96" w:rsidRPr="00BE1959">
        <w:rPr>
          <w:rFonts w:ascii="Times New Roman" w:eastAsia="Times New Roman" w:hAnsi="Times New Roman" w:cs="Times New Roman"/>
          <w:sz w:val="24"/>
          <w:szCs w:val="24"/>
          <w:lang w:val="uk-UA"/>
        </w:rPr>
        <w:t xml:space="preserve">1, не може стосуватися здійснення державної влади та використання дискреційного права ухвалювати рішення. </w:t>
      </w:r>
      <w:r w:rsidR="00511D52" w:rsidRPr="00BE1959">
        <w:rPr>
          <w:rFonts w:ascii="Times New Roman" w:eastAsia="Times New Roman" w:hAnsi="Times New Roman" w:cs="Times New Roman"/>
          <w:sz w:val="24"/>
          <w:szCs w:val="24"/>
          <w:lang w:val="uk-UA"/>
        </w:rPr>
        <w:t>Держави-члени вимагають, щоб</w:t>
      </w:r>
      <w:r w:rsidR="00434A96" w:rsidRPr="00BE1959">
        <w:rPr>
          <w:rFonts w:ascii="Times New Roman" w:eastAsia="Times New Roman" w:hAnsi="Times New Roman" w:cs="Times New Roman"/>
          <w:sz w:val="24"/>
          <w:szCs w:val="24"/>
          <w:lang w:val="uk-UA"/>
        </w:rPr>
        <w:t xml:space="preserve"> до делегування задач компетентні органи вживали всіх доречних кроків </w:t>
      </w:r>
      <w:r w:rsidR="003D2011" w:rsidRPr="00BE1959">
        <w:rPr>
          <w:rFonts w:ascii="Times New Roman" w:eastAsia="Times New Roman" w:hAnsi="Times New Roman" w:cs="Times New Roman"/>
          <w:sz w:val="24"/>
          <w:szCs w:val="24"/>
          <w:lang w:val="uk-UA"/>
        </w:rPr>
        <w:t xml:space="preserve">для забезпечення наявності у суб’єкта, якому делегуватимуться задачі, спроможності та ресурсів для ефективного виконання всіх задач, а також для забезпечення делегування задач тільки за умови наявності чітко сформульованої та документально оформленої бази виконання делегованих задач, в якій зазначено задачі, що можуть виконуватися, і умови, за яких вони повинні виконуватися. Ці умови включають застереження, яке зобов’язує суб’єкт, якому делегуватимуться задачі, діяти та бути організованим у такий спосіб, щоб уникати конфліктів інтересів, і згідно з яким інформація, отримана у процесі виконання делегованих задач не повинна використовуватися нечесно або для запобігання конкуренції. </w:t>
      </w:r>
      <w:r w:rsidR="00AE4EB5" w:rsidRPr="00BE1959">
        <w:rPr>
          <w:rFonts w:ascii="Times New Roman" w:eastAsia="Times New Roman" w:hAnsi="Times New Roman" w:cs="Times New Roman"/>
          <w:sz w:val="24"/>
          <w:szCs w:val="24"/>
          <w:lang w:val="uk-UA"/>
        </w:rPr>
        <w:t>Остаточна відповідальність за нагляд за дотриманням цієї директиви та передбачених у ній виконавчих заходів лежить на компетентному органі або компетентних органах, призначених відповідно до пункту 1.</w:t>
      </w:r>
    </w:p>
    <w:p w:rsidR="005613AB" w:rsidRPr="00BE1959" w:rsidRDefault="001F5C90" w:rsidP="00AE4EB5">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Держави-члени</w:t>
      </w:r>
      <w:r w:rsidR="005613AB" w:rsidRPr="00BE1959">
        <w:rPr>
          <w:rFonts w:ascii="Times New Roman" w:eastAsia="Times New Roman" w:hAnsi="Times New Roman" w:cs="Times New Roman"/>
          <w:sz w:val="24"/>
          <w:szCs w:val="24"/>
          <w:lang w:val="uk-UA"/>
        </w:rPr>
        <w:t xml:space="preserve"> </w:t>
      </w:r>
      <w:r w:rsidR="00AE4EB5" w:rsidRPr="00BE1959">
        <w:rPr>
          <w:rFonts w:ascii="Times New Roman" w:eastAsia="Times New Roman" w:hAnsi="Times New Roman" w:cs="Times New Roman"/>
          <w:sz w:val="24"/>
          <w:szCs w:val="24"/>
          <w:lang w:val="uk-UA"/>
        </w:rPr>
        <w:t>інформують Комісію, ESMA та</w:t>
      </w:r>
      <w:r w:rsidR="005613AB" w:rsidRPr="00BE1959">
        <w:rPr>
          <w:rFonts w:ascii="Times New Roman" w:eastAsia="Times New Roman" w:hAnsi="Times New Roman" w:cs="Times New Roman"/>
          <w:sz w:val="24"/>
          <w:szCs w:val="24"/>
          <w:lang w:val="uk-UA"/>
        </w:rPr>
        <w:t xml:space="preserve"> </w:t>
      </w:r>
      <w:r w:rsidR="00434A96" w:rsidRPr="00BE1959">
        <w:rPr>
          <w:rFonts w:ascii="Times New Roman" w:eastAsia="Times New Roman" w:hAnsi="Times New Roman" w:cs="Times New Roman"/>
          <w:sz w:val="24"/>
          <w:szCs w:val="24"/>
          <w:lang w:val="uk-UA"/>
        </w:rPr>
        <w:t>компетентні органи</w:t>
      </w:r>
      <w:r w:rsidR="005613AB" w:rsidRPr="00BE1959">
        <w:rPr>
          <w:rFonts w:ascii="Times New Roman" w:eastAsia="Times New Roman" w:hAnsi="Times New Roman" w:cs="Times New Roman"/>
          <w:sz w:val="24"/>
          <w:szCs w:val="24"/>
          <w:lang w:val="uk-UA"/>
        </w:rPr>
        <w:t xml:space="preserve"> </w:t>
      </w:r>
      <w:r w:rsidR="00AE4EB5" w:rsidRPr="00BE1959">
        <w:rPr>
          <w:rFonts w:ascii="Times New Roman" w:eastAsia="Times New Roman" w:hAnsi="Times New Roman" w:cs="Times New Roman"/>
          <w:sz w:val="24"/>
          <w:szCs w:val="24"/>
          <w:lang w:val="uk-UA"/>
        </w:rPr>
        <w:t>інших держав-членів про укладені угоди щодо делегування задач, зокрема про точні умови, що регулюють таке делегування.</w:t>
      </w:r>
    </w:p>
    <w:p w:rsidR="005613AB" w:rsidRPr="00BE1959" w:rsidRDefault="005613AB" w:rsidP="00B13DBC">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3.   ESMA </w:t>
      </w:r>
      <w:r w:rsidR="00B13DBC" w:rsidRPr="00BE1959">
        <w:rPr>
          <w:rFonts w:ascii="Times New Roman" w:eastAsia="Times New Roman" w:hAnsi="Times New Roman" w:cs="Times New Roman"/>
          <w:sz w:val="24"/>
          <w:szCs w:val="24"/>
          <w:lang w:val="uk-UA"/>
        </w:rPr>
        <w:t>публікує перелік компетентних органів, згаданих у пунктах 1 та 2, на своєму веб-сайті та постійно оновлює його.</w:t>
      </w:r>
    </w:p>
    <w:p w:rsidR="005613AB" w:rsidRPr="00BE1959" w:rsidRDefault="00162A11" w:rsidP="005613AB">
      <w:pPr>
        <w:spacing w:before="360" w:after="120" w:line="312" w:lineRule="atLeast"/>
        <w:jc w:val="center"/>
        <w:textAlignment w:val="baseline"/>
        <w:rPr>
          <w:rFonts w:ascii="Times New Roman" w:eastAsia="Times New Roman" w:hAnsi="Times New Roman" w:cs="Times New Roman"/>
          <w:i/>
          <w:iCs/>
          <w:sz w:val="24"/>
          <w:szCs w:val="24"/>
          <w:lang w:val="uk-UA"/>
        </w:rPr>
      </w:pPr>
      <w:r w:rsidRPr="00BE1959">
        <w:rPr>
          <w:rFonts w:ascii="Times New Roman" w:eastAsia="Times New Roman" w:hAnsi="Times New Roman" w:cs="Times New Roman"/>
          <w:i/>
          <w:iCs/>
          <w:sz w:val="24"/>
          <w:szCs w:val="24"/>
          <w:lang w:val="uk-UA"/>
        </w:rPr>
        <w:t>Стаття</w:t>
      </w:r>
      <w:r w:rsidR="005613AB" w:rsidRPr="00BE1959">
        <w:rPr>
          <w:rFonts w:ascii="Times New Roman" w:eastAsia="Times New Roman" w:hAnsi="Times New Roman" w:cs="Times New Roman"/>
          <w:i/>
          <w:iCs/>
          <w:sz w:val="24"/>
          <w:szCs w:val="24"/>
          <w:lang w:val="uk-UA"/>
        </w:rPr>
        <w:t xml:space="preserve"> 68</w:t>
      </w:r>
    </w:p>
    <w:p w:rsidR="005613AB" w:rsidRPr="00BE1959" w:rsidRDefault="006F5744" w:rsidP="005613AB">
      <w:pPr>
        <w:spacing w:before="60" w:after="120" w:line="312" w:lineRule="atLeast"/>
        <w:jc w:val="center"/>
        <w:textAlignment w:val="baseline"/>
        <w:rPr>
          <w:rFonts w:ascii="Times New Roman" w:eastAsia="Times New Roman" w:hAnsi="Times New Roman" w:cs="Times New Roman"/>
          <w:b/>
          <w:bCs/>
          <w:sz w:val="24"/>
          <w:szCs w:val="24"/>
          <w:lang w:val="uk-UA"/>
        </w:rPr>
      </w:pPr>
      <w:r w:rsidRPr="00BE1959">
        <w:rPr>
          <w:rFonts w:ascii="Times New Roman" w:eastAsia="Times New Roman" w:hAnsi="Times New Roman" w:cs="Times New Roman"/>
          <w:b/>
          <w:bCs/>
          <w:sz w:val="24"/>
          <w:szCs w:val="24"/>
          <w:lang w:val="uk-UA"/>
        </w:rPr>
        <w:lastRenderedPageBreak/>
        <w:t>Співро</w:t>
      </w:r>
      <w:r w:rsidR="00540D96" w:rsidRPr="00BE1959">
        <w:rPr>
          <w:rFonts w:ascii="Times New Roman" w:eastAsia="Times New Roman" w:hAnsi="Times New Roman" w:cs="Times New Roman"/>
          <w:b/>
          <w:bCs/>
          <w:sz w:val="24"/>
          <w:szCs w:val="24"/>
          <w:lang w:val="uk-UA"/>
        </w:rPr>
        <w:t>бітництво між органами однієї держави-члена</w:t>
      </w:r>
    </w:p>
    <w:p w:rsidR="005613AB" w:rsidRPr="00BE1959" w:rsidRDefault="00540D96" w:rsidP="009E4401">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Якщо держава-член призначає більше одного компетентного органу для забезпечення виконання того чи іншого положення </w:t>
      </w:r>
      <w:r w:rsidR="00432567" w:rsidRPr="00BE1959">
        <w:rPr>
          <w:rFonts w:ascii="Times New Roman" w:eastAsia="Times New Roman" w:hAnsi="Times New Roman" w:cs="Times New Roman"/>
          <w:sz w:val="24"/>
          <w:szCs w:val="24"/>
          <w:lang w:val="uk-UA"/>
        </w:rPr>
        <w:t>цієї директиви</w:t>
      </w:r>
      <w:r w:rsidR="005613AB" w:rsidRPr="00BE1959">
        <w:rPr>
          <w:rFonts w:ascii="Times New Roman" w:eastAsia="Times New Roman" w:hAnsi="Times New Roman" w:cs="Times New Roman"/>
          <w:sz w:val="24"/>
          <w:szCs w:val="24"/>
          <w:lang w:val="uk-UA"/>
        </w:rPr>
        <w:t xml:space="preserve"> </w:t>
      </w:r>
      <w:r w:rsidR="005B3A26" w:rsidRPr="00BE1959">
        <w:rPr>
          <w:rFonts w:ascii="Times New Roman" w:eastAsia="Times New Roman" w:hAnsi="Times New Roman" w:cs="Times New Roman"/>
          <w:sz w:val="24"/>
          <w:szCs w:val="24"/>
          <w:lang w:val="uk-UA"/>
        </w:rPr>
        <w:t>або Регламенту</w:t>
      </w:r>
      <w:r w:rsidR="005613AB" w:rsidRPr="00BE1959">
        <w:rPr>
          <w:rFonts w:ascii="Times New Roman" w:eastAsia="Times New Roman" w:hAnsi="Times New Roman" w:cs="Times New Roman"/>
          <w:sz w:val="24"/>
          <w:szCs w:val="24"/>
          <w:lang w:val="uk-UA"/>
        </w:rPr>
        <w:t xml:space="preserve"> </w:t>
      </w:r>
      <w:r w:rsidR="007B0149" w:rsidRPr="00BE1959">
        <w:rPr>
          <w:rFonts w:ascii="Times New Roman" w:eastAsia="Times New Roman" w:hAnsi="Times New Roman" w:cs="Times New Roman"/>
          <w:sz w:val="24"/>
          <w:szCs w:val="24"/>
          <w:lang w:val="uk-UA"/>
        </w:rPr>
        <w:t>(EU) № 600/2014</w:t>
      </w:r>
      <w:r w:rsidR="005613AB" w:rsidRPr="00BE1959">
        <w:rPr>
          <w:rFonts w:ascii="Times New Roman" w:eastAsia="Times New Roman" w:hAnsi="Times New Roman" w:cs="Times New Roman"/>
          <w:sz w:val="24"/>
          <w:szCs w:val="24"/>
          <w:lang w:val="uk-UA"/>
        </w:rPr>
        <w:t>,</w:t>
      </w:r>
      <w:r w:rsidRPr="00BE1959">
        <w:rPr>
          <w:rFonts w:ascii="Times New Roman" w:eastAsia="Times New Roman" w:hAnsi="Times New Roman" w:cs="Times New Roman"/>
          <w:sz w:val="24"/>
          <w:szCs w:val="24"/>
          <w:lang w:val="uk-UA"/>
        </w:rPr>
        <w:t xml:space="preserve"> то їхні відповідні ролі чітко визначаються</w:t>
      </w:r>
      <w:r w:rsidR="009E4401" w:rsidRPr="00BE1959">
        <w:rPr>
          <w:rFonts w:ascii="Times New Roman" w:eastAsia="Times New Roman" w:hAnsi="Times New Roman" w:cs="Times New Roman"/>
          <w:sz w:val="24"/>
          <w:szCs w:val="24"/>
          <w:lang w:val="uk-UA"/>
        </w:rPr>
        <w:t>, і вони тісно співпрацюють один з одним.</w:t>
      </w:r>
    </w:p>
    <w:p w:rsidR="005613AB" w:rsidRPr="00BE1959" w:rsidRDefault="009E4401" w:rsidP="009E4401">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Кожна д</w:t>
      </w:r>
      <w:r w:rsidR="00540D96" w:rsidRPr="00BE1959">
        <w:rPr>
          <w:rFonts w:ascii="Times New Roman" w:eastAsia="Times New Roman" w:hAnsi="Times New Roman" w:cs="Times New Roman"/>
          <w:sz w:val="24"/>
          <w:szCs w:val="24"/>
          <w:lang w:val="uk-UA"/>
        </w:rPr>
        <w:t>ержава-член</w:t>
      </w:r>
      <w:r w:rsidR="005613AB" w:rsidRPr="00BE1959">
        <w:rPr>
          <w:rFonts w:ascii="Times New Roman" w:eastAsia="Times New Roman" w:hAnsi="Times New Roman" w:cs="Times New Roman"/>
          <w:sz w:val="24"/>
          <w:szCs w:val="24"/>
          <w:lang w:val="uk-UA"/>
        </w:rPr>
        <w:t xml:space="preserve"> </w:t>
      </w:r>
      <w:r w:rsidRPr="00BE1959">
        <w:rPr>
          <w:rFonts w:ascii="Times New Roman" w:eastAsia="Times New Roman" w:hAnsi="Times New Roman" w:cs="Times New Roman"/>
          <w:sz w:val="24"/>
          <w:szCs w:val="24"/>
          <w:lang w:val="uk-UA"/>
        </w:rPr>
        <w:t>вимагає здійснення такого співробітництва також між компетентними органами, призначеними в цілях</w:t>
      </w:r>
      <w:r w:rsidR="005613AB" w:rsidRPr="00BE1959">
        <w:rPr>
          <w:rFonts w:ascii="Times New Roman" w:eastAsia="Times New Roman" w:hAnsi="Times New Roman" w:cs="Times New Roman"/>
          <w:sz w:val="24"/>
          <w:szCs w:val="24"/>
          <w:lang w:val="uk-UA"/>
        </w:rPr>
        <w:t xml:space="preserve"> </w:t>
      </w:r>
      <w:r w:rsidR="00432567" w:rsidRPr="00BE1959">
        <w:rPr>
          <w:rFonts w:ascii="Times New Roman" w:eastAsia="Times New Roman" w:hAnsi="Times New Roman" w:cs="Times New Roman"/>
          <w:sz w:val="24"/>
          <w:szCs w:val="24"/>
          <w:lang w:val="uk-UA"/>
        </w:rPr>
        <w:t>цієї директиви</w:t>
      </w:r>
      <w:r w:rsidR="005613AB" w:rsidRPr="00BE1959">
        <w:rPr>
          <w:rFonts w:ascii="Times New Roman" w:eastAsia="Times New Roman" w:hAnsi="Times New Roman" w:cs="Times New Roman"/>
          <w:sz w:val="24"/>
          <w:szCs w:val="24"/>
          <w:lang w:val="uk-UA"/>
        </w:rPr>
        <w:t xml:space="preserve"> </w:t>
      </w:r>
      <w:r w:rsidR="005B3A26" w:rsidRPr="00BE1959">
        <w:rPr>
          <w:rFonts w:ascii="Times New Roman" w:eastAsia="Times New Roman" w:hAnsi="Times New Roman" w:cs="Times New Roman"/>
          <w:sz w:val="24"/>
          <w:szCs w:val="24"/>
          <w:lang w:val="uk-UA"/>
        </w:rPr>
        <w:t>або Регламенту</w:t>
      </w:r>
      <w:r w:rsidR="005613AB" w:rsidRPr="00BE1959">
        <w:rPr>
          <w:rFonts w:ascii="Times New Roman" w:eastAsia="Times New Roman" w:hAnsi="Times New Roman" w:cs="Times New Roman"/>
          <w:sz w:val="24"/>
          <w:szCs w:val="24"/>
          <w:lang w:val="uk-UA"/>
        </w:rPr>
        <w:t xml:space="preserve"> </w:t>
      </w:r>
      <w:r w:rsidR="007B0149" w:rsidRPr="00BE1959">
        <w:rPr>
          <w:rFonts w:ascii="Times New Roman" w:eastAsia="Times New Roman" w:hAnsi="Times New Roman" w:cs="Times New Roman"/>
          <w:sz w:val="24"/>
          <w:szCs w:val="24"/>
          <w:lang w:val="uk-UA"/>
        </w:rPr>
        <w:t>(EU) № 600/2014</w:t>
      </w:r>
      <w:r w:rsidRPr="00BE1959">
        <w:rPr>
          <w:rFonts w:ascii="Times New Roman" w:eastAsia="Times New Roman" w:hAnsi="Times New Roman" w:cs="Times New Roman"/>
          <w:sz w:val="24"/>
          <w:szCs w:val="24"/>
          <w:lang w:val="uk-UA"/>
        </w:rPr>
        <w:t>, та компетентними органами, відповідальними у цій державі-члені за нагляд за кредитними та іншими фінансовими установами, пенсійними фондами</w:t>
      </w:r>
      <w:r w:rsidR="005613AB" w:rsidRPr="00BE1959">
        <w:rPr>
          <w:rFonts w:ascii="Times New Roman" w:eastAsia="Times New Roman" w:hAnsi="Times New Roman" w:cs="Times New Roman"/>
          <w:sz w:val="24"/>
          <w:szCs w:val="24"/>
          <w:lang w:val="uk-UA"/>
        </w:rPr>
        <w:t xml:space="preserve">, UCITS, </w:t>
      </w:r>
      <w:r w:rsidRPr="00BE1959">
        <w:rPr>
          <w:rFonts w:ascii="Times New Roman" w:eastAsia="Times New Roman" w:hAnsi="Times New Roman" w:cs="Times New Roman"/>
          <w:sz w:val="24"/>
          <w:szCs w:val="24"/>
          <w:lang w:val="uk-UA"/>
        </w:rPr>
        <w:t>страховими та перестрахувальними посередниками і страховими компаніями.</w:t>
      </w:r>
    </w:p>
    <w:p w:rsidR="005613AB" w:rsidRPr="00BE1959" w:rsidRDefault="00511D52" w:rsidP="009E4401">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Держави-члени вимагають, щоб</w:t>
      </w:r>
      <w:r w:rsidR="005613AB" w:rsidRPr="00BE1959">
        <w:rPr>
          <w:rFonts w:ascii="Times New Roman" w:eastAsia="Times New Roman" w:hAnsi="Times New Roman" w:cs="Times New Roman"/>
          <w:sz w:val="24"/>
          <w:szCs w:val="24"/>
          <w:lang w:val="uk-UA"/>
        </w:rPr>
        <w:t xml:space="preserve"> </w:t>
      </w:r>
      <w:r w:rsidR="00434A96" w:rsidRPr="00BE1959">
        <w:rPr>
          <w:rFonts w:ascii="Times New Roman" w:eastAsia="Times New Roman" w:hAnsi="Times New Roman" w:cs="Times New Roman"/>
          <w:sz w:val="24"/>
          <w:szCs w:val="24"/>
          <w:lang w:val="uk-UA"/>
        </w:rPr>
        <w:t>компетентні органи</w:t>
      </w:r>
      <w:r w:rsidR="005613AB" w:rsidRPr="00BE1959">
        <w:rPr>
          <w:rFonts w:ascii="Times New Roman" w:eastAsia="Times New Roman" w:hAnsi="Times New Roman" w:cs="Times New Roman"/>
          <w:sz w:val="24"/>
          <w:szCs w:val="24"/>
          <w:lang w:val="uk-UA"/>
        </w:rPr>
        <w:t xml:space="preserve"> </w:t>
      </w:r>
      <w:r w:rsidR="009E4401" w:rsidRPr="00BE1959">
        <w:rPr>
          <w:rFonts w:ascii="Times New Roman" w:eastAsia="Times New Roman" w:hAnsi="Times New Roman" w:cs="Times New Roman"/>
          <w:sz w:val="24"/>
          <w:szCs w:val="24"/>
          <w:lang w:val="uk-UA"/>
        </w:rPr>
        <w:t>обмінювалися будь-якою інформацію, що є важливою або доречною для виконання ними своїх функцій та обов’язків.</w:t>
      </w:r>
    </w:p>
    <w:p w:rsidR="005613AB" w:rsidRPr="00BE1959" w:rsidRDefault="00162A11" w:rsidP="005613AB">
      <w:pPr>
        <w:spacing w:before="360" w:after="120" w:line="312" w:lineRule="atLeast"/>
        <w:jc w:val="center"/>
        <w:textAlignment w:val="baseline"/>
        <w:rPr>
          <w:rFonts w:ascii="Times New Roman" w:eastAsia="Times New Roman" w:hAnsi="Times New Roman" w:cs="Times New Roman"/>
          <w:i/>
          <w:iCs/>
          <w:sz w:val="24"/>
          <w:szCs w:val="24"/>
          <w:lang w:val="uk-UA"/>
        </w:rPr>
      </w:pPr>
      <w:r w:rsidRPr="00BE1959">
        <w:rPr>
          <w:rFonts w:ascii="Times New Roman" w:eastAsia="Times New Roman" w:hAnsi="Times New Roman" w:cs="Times New Roman"/>
          <w:i/>
          <w:iCs/>
          <w:sz w:val="24"/>
          <w:szCs w:val="24"/>
          <w:lang w:val="uk-UA"/>
        </w:rPr>
        <w:t>Стаття</w:t>
      </w:r>
      <w:r w:rsidR="005613AB" w:rsidRPr="00BE1959">
        <w:rPr>
          <w:rFonts w:ascii="Times New Roman" w:eastAsia="Times New Roman" w:hAnsi="Times New Roman" w:cs="Times New Roman"/>
          <w:i/>
          <w:iCs/>
          <w:sz w:val="24"/>
          <w:szCs w:val="24"/>
          <w:lang w:val="uk-UA"/>
        </w:rPr>
        <w:t xml:space="preserve"> 69</w:t>
      </w:r>
    </w:p>
    <w:p w:rsidR="005613AB" w:rsidRPr="00BE1959" w:rsidRDefault="009E4401" w:rsidP="005613AB">
      <w:pPr>
        <w:spacing w:before="60" w:after="120" w:line="312" w:lineRule="atLeast"/>
        <w:jc w:val="center"/>
        <w:textAlignment w:val="baseline"/>
        <w:rPr>
          <w:rFonts w:ascii="Times New Roman" w:eastAsia="Times New Roman" w:hAnsi="Times New Roman" w:cs="Times New Roman"/>
          <w:b/>
          <w:bCs/>
          <w:sz w:val="24"/>
          <w:szCs w:val="24"/>
          <w:lang w:val="uk-UA"/>
        </w:rPr>
      </w:pPr>
      <w:r w:rsidRPr="00BE1959">
        <w:rPr>
          <w:rFonts w:ascii="Times New Roman" w:eastAsia="Times New Roman" w:hAnsi="Times New Roman" w:cs="Times New Roman"/>
          <w:b/>
          <w:bCs/>
          <w:sz w:val="24"/>
          <w:szCs w:val="24"/>
          <w:lang w:val="uk-UA"/>
        </w:rPr>
        <w:t>Наглядові повноваження</w:t>
      </w:r>
    </w:p>
    <w:p w:rsidR="005613AB" w:rsidRPr="00BE1959" w:rsidRDefault="005613AB" w:rsidP="00244349">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1.   </w:t>
      </w:r>
      <w:r w:rsidR="00434A96" w:rsidRPr="00BE1959">
        <w:rPr>
          <w:rFonts w:ascii="Times New Roman" w:eastAsia="Times New Roman" w:hAnsi="Times New Roman" w:cs="Times New Roman"/>
          <w:sz w:val="24"/>
          <w:szCs w:val="24"/>
          <w:lang w:val="uk-UA"/>
        </w:rPr>
        <w:t>Компетент</w:t>
      </w:r>
      <w:r w:rsidR="003B456C" w:rsidRPr="00BE1959">
        <w:rPr>
          <w:rFonts w:ascii="Times New Roman" w:eastAsia="Times New Roman" w:hAnsi="Times New Roman" w:cs="Times New Roman"/>
          <w:sz w:val="24"/>
          <w:szCs w:val="24"/>
          <w:lang w:val="uk-UA"/>
        </w:rPr>
        <w:t>ним</w:t>
      </w:r>
      <w:r w:rsidR="00434A96" w:rsidRPr="00BE1959">
        <w:rPr>
          <w:rFonts w:ascii="Times New Roman" w:eastAsia="Times New Roman" w:hAnsi="Times New Roman" w:cs="Times New Roman"/>
          <w:sz w:val="24"/>
          <w:szCs w:val="24"/>
          <w:lang w:val="uk-UA"/>
        </w:rPr>
        <w:t xml:space="preserve"> орган</w:t>
      </w:r>
      <w:r w:rsidR="003B456C" w:rsidRPr="00BE1959">
        <w:rPr>
          <w:rFonts w:ascii="Times New Roman" w:eastAsia="Times New Roman" w:hAnsi="Times New Roman" w:cs="Times New Roman"/>
          <w:sz w:val="24"/>
          <w:szCs w:val="24"/>
          <w:lang w:val="uk-UA"/>
        </w:rPr>
        <w:t>ам</w:t>
      </w:r>
      <w:r w:rsidRPr="00BE1959">
        <w:rPr>
          <w:rFonts w:ascii="Times New Roman" w:eastAsia="Times New Roman" w:hAnsi="Times New Roman" w:cs="Times New Roman"/>
          <w:sz w:val="24"/>
          <w:szCs w:val="24"/>
          <w:lang w:val="uk-UA"/>
        </w:rPr>
        <w:t xml:space="preserve"> </w:t>
      </w:r>
      <w:r w:rsidR="003B456C" w:rsidRPr="00BE1959">
        <w:rPr>
          <w:rFonts w:ascii="Times New Roman" w:eastAsia="Times New Roman" w:hAnsi="Times New Roman" w:cs="Times New Roman"/>
          <w:sz w:val="24"/>
          <w:szCs w:val="24"/>
          <w:lang w:val="uk-UA"/>
        </w:rPr>
        <w:t xml:space="preserve">надаються всі наглядові повноваження, зокрема повноваження на проведення розслідувань </w:t>
      </w:r>
      <w:r w:rsidR="00B52081" w:rsidRPr="00BE1959">
        <w:rPr>
          <w:rFonts w:ascii="Times New Roman" w:eastAsia="Times New Roman" w:hAnsi="Times New Roman" w:cs="Times New Roman"/>
          <w:sz w:val="24"/>
          <w:szCs w:val="24"/>
          <w:lang w:val="uk-UA"/>
        </w:rPr>
        <w:t xml:space="preserve">і повноваження на застосування засобів правового захисту, </w:t>
      </w:r>
      <w:r w:rsidR="00244349" w:rsidRPr="00BE1959">
        <w:rPr>
          <w:rFonts w:ascii="Times New Roman" w:eastAsia="Times New Roman" w:hAnsi="Times New Roman" w:cs="Times New Roman"/>
          <w:sz w:val="24"/>
          <w:szCs w:val="24"/>
          <w:lang w:val="uk-UA"/>
        </w:rPr>
        <w:t>необхідні для виконання ними своїх обов’язків за цією директивою та за Регламентом</w:t>
      </w:r>
      <w:r w:rsidRPr="00BE1959">
        <w:rPr>
          <w:rFonts w:ascii="Times New Roman" w:eastAsia="Times New Roman" w:hAnsi="Times New Roman" w:cs="Times New Roman"/>
          <w:sz w:val="24"/>
          <w:szCs w:val="24"/>
          <w:lang w:val="uk-UA"/>
        </w:rPr>
        <w:t xml:space="preserve"> </w:t>
      </w:r>
      <w:r w:rsidR="007B0149" w:rsidRPr="00BE1959">
        <w:rPr>
          <w:rFonts w:ascii="Times New Roman" w:eastAsia="Times New Roman" w:hAnsi="Times New Roman" w:cs="Times New Roman"/>
          <w:sz w:val="24"/>
          <w:szCs w:val="24"/>
          <w:lang w:val="uk-UA"/>
        </w:rPr>
        <w:t>(EU) № 600/2014</w:t>
      </w:r>
      <w:r w:rsidRPr="00BE1959">
        <w:rPr>
          <w:rFonts w:ascii="Times New Roman" w:eastAsia="Times New Roman" w:hAnsi="Times New Roman" w:cs="Times New Roman"/>
          <w:sz w:val="24"/>
          <w:szCs w:val="24"/>
          <w:lang w:val="uk-UA"/>
        </w:rPr>
        <w:t>.</w:t>
      </w:r>
    </w:p>
    <w:p w:rsidR="005613AB" w:rsidRPr="00BE1959" w:rsidRDefault="005613AB" w:rsidP="00244349">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2.   </w:t>
      </w:r>
      <w:r w:rsidR="00244349" w:rsidRPr="00BE1959">
        <w:rPr>
          <w:rFonts w:ascii="Times New Roman" w:eastAsia="Times New Roman" w:hAnsi="Times New Roman" w:cs="Times New Roman"/>
          <w:sz w:val="24"/>
          <w:szCs w:val="24"/>
          <w:lang w:val="uk-UA"/>
        </w:rPr>
        <w:t>Повноваження, згадані у пункті 1, включають, як мінімум, наступні повноваження:</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9093"/>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244349" w:rsidP="00244349">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мати доступ до будь-яких документів та інших даних у будь-якій формі, які, на думку компетентного органу, можуть бути важливими для виконанням ним своїх обов’язків, і отримувати або знімати з них копії;</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FB19A9" w:rsidP="000F2F39">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просити або </w:t>
            </w:r>
            <w:r w:rsidR="000F2F39" w:rsidRPr="00BE1959">
              <w:rPr>
                <w:rFonts w:ascii="Times New Roman" w:eastAsia="Times New Roman" w:hAnsi="Times New Roman" w:cs="Times New Roman"/>
                <w:sz w:val="24"/>
                <w:szCs w:val="24"/>
                <w:lang w:val="uk-UA"/>
              </w:rPr>
              <w:t>вимагати надання інформації будь-якою особою та, якщо потрібно, викликати та опитувати особу з метою отримання інформації;</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57"/>
        <w:gridCol w:w="8808"/>
      </w:tblGrid>
      <w:tr w:rsidR="000F2F39"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0F2F39" w:rsidP="000F2F39">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проводити перевірки та розслідування на місці;</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D0367F" w:rsidP="008A38BA">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вимагати надання записів телефонних переговорів </w:t>
            </w:r>
            <w:r w:rsidR="003A6C20" w:rsidRPr="00BE1959">
              <w:rPr>
                <w:rFonts w:ascii="Times New Roman" w:eastAsia="Times New Roman" w:hAnsi="Times New Roman" w:cs="Times New Roman"/>
                <w:sz w:val="24"/>
                <w:szCs w:val="24"/>
                <w:lang w:val="uk-UA"/>
              </w:rPr>
              <w:t xml:space="preserve">або електронних повідомлень чи інших записів </w:t>
            </w:r>
            <w:r w:rsidR="008A38BA" w:rsidRPr="00BE1959">
              <w:rPr>
                <w:rFonts w:ascii="Times New Roman" w:eastAsia="Times New Roman" w:hAnsi="Times New Roman" w:cs="Times New Roman"/>
                <w:sz w:val="24"/>
                <w:szCs w:val="24"/>
                <w:lang w:val="uk-UA"/>
              </w:rPr>
              <w:t>потоків</w:t>
            </w:r>
            <w:r w:rsidR="003A6C20" w:rsidRPr="00BE1959">
              <w:rPr>
                <w:rFonts w:ascii="Times New Roman" w:eastAsia="Times New Roman" w:hAnsi="Times New Roman" w:cs="Times New Roman"/>
                <w:sz w:val="24"/>
                <w:szCs w:val="24"/>
                <w:lang w:val="uk-UA"/>
              </w:rPr>
              <w:t xml:space="preserve"> даних, які наявні у інвестиційної фірми, кредитної установи чи будь-якого іншого суб’єкта, на якого поширюється дія цієї директиви або Регламенту</w:t>
            </w:r>
            <w:r w:rsidR="005613AB" w:rsidRPr="00BE1959">
              <w:rPr>
                <w:rFonts w:ascii="Times New Roman" w:eastAsia="Times New Roman" w:hAnsi="Times New Roman" w:cs="Times New Roman"/>
                <w:sz w:val="24"/>
                <w:szCs w:val="24"/>
                <w:lang w:val="uk-UA"/>
              </w:rPr>
              <w:t xml:space="preserve"> </w:t>
            </w:r>
            <w:r w:rsidR="007B0149" w:rsidRPr="00BE1959">
              <w:rPr>
                <w:rFonts w:ascii="Times New Roman" w:eastAsia="Times New Roman" w:hAnsi="Times New Roman" w:cs="Times New Roman"/>
                <w:sz w:val="24"/>
                <w:szCs w:val="24"/>
                <w:lang w:val="uk-UA"/>
              </w:rPr>
              <w:t>(EU) № 600/2014</w:t>
            </w:r>
            <w:r w:rsidR="005613AB" w:rsidRPr="00BE1959">
              <w:rPr>
                <w:rFonts w:ascii="Times New Roman" w:eastAsia="Times New Roman" w:hAnsi="Times New Roman" w:cs="Times New Roman"/>
                <w:sz w:val="24"/>
                <w:szCs w:val="24"/>
                <w:lang w:val="uk-UA"/>
              </w:rPr>
              <w:t>;</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56"/>
        <w:gridCol w:w="9009"/>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(e)</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3A6C20" w:rsidP="003A6C20">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вимагати заморожування або конфіскації активів або й того, й іншого;</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37"/>
        <w:gridCol w:w="8928"/>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(f)</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3A6C20" w:rsidP="003A6C20">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вимагати тимчасової заборони професійної діяльності;</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(g)</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3A6C20" w:rsidP="003A6C20">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вимагати надання інформації аудиторами інвестиційних фірм, регульованих ринків і надавачів послуг із повідомлення даних, що мають дозвіл;</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30"/>
        <w:gridCol w:w="8935"/>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lastRenderedPageBreak/>
              <w:t>(h)</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3A6C20" w:rsidP="003A6C20">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передавати справи на предмет кримінального переслідування;</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3"/>
        <w:gridCol w:w="9082"/>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3A6C20" w:rsidP="003A6C20">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дозволяти аудиторам або експертам проводити перевірки та розслідування;</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32"/>
        <w:gridCol w:w="9133"/>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(j)</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FB19A9" w:rsidP="00BD2FFA">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просити або вимагати надання </w:t>
            </w:r>
            <w:r w:rsidR="00BD2FFA" w:rsidRPr="00BE1959">
              <w:rPr>
                <w:rFonts w:ascii="Times New Roman" w:eastAsia="Times New Roman" w:hAnsi="Times New Roman" w:cs="Times New Roman"/>
                <w:sz w:val="24"/>
                <w:szCs w:val="24"/>
                <w:lang w:val="uk-UA"/>
              </w:rPr>
              <w:t xml:space="preserve">будь-якою особою </w:t>
            </w:r>
            <w:r w:rsidRPr="00BE1959">
              <w:rPr>
                <w:rFonts w:ascii="Times New Roman" w:eastAsia="Times New Roman" w:hAnsi="Times New Roman" w:cs="Times New Roman"/>
                <w:sz w:val="24"/>
                <w:szCs w:val="24"/>
                <w:lang w:val="uk-UA"/>
              </w:rPr>
              <w:t xml:space="preserve">інформації, зокрема всієї необхідної документації, щодо розміру та призначення позиції чи зобов’язання, прийнятого через товарний дериватив, а також </w:t>
            </w:r>
            <w:r w:rsidR="00BD2FFA" w:rsidRPr="00BE1959">
              <w:rPr>
                <w:rFonts w:ascii="Times New Roman" w:eastAsia="Times New Roman" w:hAnsi="Times New Roman" w:cs="Times New Roman"/>
                <w:sz w:val="24"/>
                <w:szCs w:val="24"/>
                <w:lang w:val="uk-UA"/>
              </w:rPr>
              <w:t>активів або пасивів на базовому ринку;</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(k)</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BD2FFA" w:rsidP="00912C03">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вимагати тимчасового або постійного припинення будь-якої практики або поведінки, яка, на думку компетентного органу, суперечить положенням</w:t>
            </w:r>
            <w:r w:rsidR="005613AB" w:rsidRPr="00BE1959">
              <w:rPr>
                <w:rFonts w:ascii="Times New Roman" w:eastAsia="Times New Roman" w:hAnsi="Times New Roman" w:cs="Times New Roman"/>
                <w:sz w:val="24"/>
                <w:szCs w:val="24"/>
                <w:lang w:val="uk-UA"/>
              </w:rPr>
              <w:t xml:space="preserve"> </w:t>
            </w:r>
            <w:r w:rsidR="008824AE" w:rsidRPr="00BE1959">
              <w:rPr>
                <w:rFonts w:ascii="Times New Roman" w:eastAsia="Times New Roman" w:hAnsi="Times New Roman" w:cs="Times New Roman"/>
                <w:sz w:val="24"/>
                <w:szCs w:val="24"/>
                <w:lang w:val="uk-UA"/>
              </w:rPr>
              <w:t>Регламенту</w:t>
            </w:r>
            <w:r w:rsidR="005613AB" w:rsidRPr="00BE1959">
              <w:rPr>
                <w:rFonts w:ascii="Times New Roman" w:eastAsia="Times New Roman" w:hAnsi="Times New Roman" w:cs="Times New Roman"/>
                <w:sz w:val="24"/>
                <w:szCs w:val="24"/>
                <w:lang w:val="uk-UA"/>
              </w:rPr>
              <w:t xml:space="preserve"> </w:t>
            </w:r>
            <w:r w:rsidR="007B0149" w:rsidRPr="00BE1959">
              <w:rPr>
                <w:rFonts w:ascii="Times New Roman" w:eastAsia="Times New Roman" w:hAnsi="Times New Roman" w:cs="Times New Roman"/>
                <w:sz w:val="24"/>
                <w:szCs w:val="24"/>
                <w:lang w:val="uk-UA"/>
              </w:rPr>
              <w:t>(EU) № 600/2014</w:t>
            </w:r>
            <w:r w:rsidR="005613AB" w:rsidRPr="00BE1959">
              <w:rPr>
                <w:rFonts w:ascii="Times New Roman" w:eastAsia="Times New Roman" w:hAnsi="Times New Roman" w:cs="Times New Roman"/>
                <w:sz w:val="24"/>
                <w:szCs w:val="24"/>
                <w:lang w:val="uk-UA"/>
              </w:rPr>
              <w:t xml:space="preserve"> </w:t>
            </w:r>
            <w:r w:rsidRPr="00BE1959">
              <w:rPr>
                <w:rFonts w:ascii="Times New Roman" w:eastAsia="Times New Roman" w:hAnsi="Times New Roman" w:cs="Times New Roman"/>
                <w:sz w:val="24"/>
                <w:szCs w:val="24"/>
                <w:lang w:val="uk-UA"/>
              </w:rPr>
              <w:t>і положенням, прийнятим на виконання</w:t>
            </w:r>
            <w:r w:rsidR="005613AB" w:rsidRPr="00BE1959">
              <w:rPr>
                <w:rFonts w:ascii="Times New Roman" w:eastAsia="Times New Roman" w:hAnsi="Times New Roman" w:cs="Times New Roman"/>
                <w:sz w:val="24"/>
                <w:szCs w:val="24"/>
                <w:lang w:val="uk-UA"/>
              </w:rPr>
              <w:t xml:space="preserve"> </w:t>
            </w:r>
            <w:r w:rsidR="00432567" w:rsidRPr="00BE1959">
              <w:rPr>
                <w:rFonts w:ascii="Times New Roman" w:eastAsia="Times New Roman" w:hAnsi="Times New Roman" w:cs="Times New Roman"/>
                <w:sz w:val="24"/>
                <w:szCs w:val="24"/>
                <w:lang w:val="uk-UA"/>
              </w:rPr>
              <w:t>цієї директиви</w:t>
            </w:r>
            <w:r w:rsidR="00912C03" w:rsidRPr="00BE1959">
              <w:rPr>
                <w:rFonts w:ascii="Times New Roman" w:eastAsia="Times New Roman" w:hAnsi="Times New Roman" w:cs="Times New Roman"/>
                <w:sz w:val="24"/>
                <w:szCs w:val="24"/>
                <w:lang w:val="uk-UA"/>
              </w:rPr>
              <w:t>, та запобігати повторенню такої практики або поведінки;</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32"/>
        <w:gridCol w:w="9133"/>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(l)</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912C03" w:rsidP="00912C03">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уживати будь-які види заходів для забезпечення дотримання юридичних вимог інвестиційними фірмами, регульованими ринками та іншими особами, на яких поширюється дія цієї директиви або Регламенту</w:t>
            </w:r>
            <w:r w:rsidR="005613AB" w:rsidRPr="00BE1959">
              <w:rPr>
                <w:rFonts w:ascii="Times New Roman" w:eastAsia="Times New Roman" w:hAnsi="Times New Roman" w:cs="Times New Roman"/>
                <w:sz w:val="24"/>
                <w:szCs w:val="24"/>
                <w:lang w:val="uk-UA"/>
              </w:rPr>
              <w:t xml:space="preserve"> </w:t>
            </w:r>
            <w:r w:rsidR="007B0149" w:rsidRPr="00BE1959">
              <w:rPr>
                <w:rFonts w:ascii="Times New Roman" w:eastAsia="Times New Roman" w:hAnsi="Times New Roman" w:cs="Times New Roman"/>
                <w:sz w:val="24"/>
                <w:szCs w:val="24"/>
                <w:lang w:val="uk-UA"/>
              </w:rPr>
              <w:t>(EU) № 600/2014</w:t>
            </w:r>
            <w:r w:rsidRPr="00BE1959">
              <w:rPr>
                <w:rFonts w:ascii="Times New Roman" w:eastAsia="Times New Roman" w:hAnsi="Times New Roman" w:cs="Times New Roman"/>
                <w:sz w:val="24"/>
                <w:szCs w:val="24"/>
                <w:lang w:val="uk-UA"/>
              </w:rPr>
              <w:t>;</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41"/>
        <w:gridCol w:w="8824"/>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(m)</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6B1595" w:rsidP="006B1595">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вимагати призупинення торгівлі фінансовим інструментом;</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(n)</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6B1595" w:rsidP="006B1595">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вимагати вилучення фінансового інструмента з торгівлі чи то на регульованому ринку, чи то в інших системах торгівлі;</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(o)</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6B1595" w:rsidP="006B1595">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вимагати від будь-якої особи вжиття заходів для зменшення розміру позиції чи зобов’язання;</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(p)</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05945" w:rsidP="00505945">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обмежувати здатність будь-якої особи укладати товарний дериватив, зокрема шляхом запровадження лімітів на розмір позиції, яку будь-яка особа може утримувати в будь-який момент відповідно до статті</w:t>
            </w:r>
            <w:r w:rsidR="005613AB" w:rsidRPr="00BE1959">
              <w:rPr>
                <w:rFonts w:ascii="Times New Roman" w:eastAsia="Times New Roman" w:hAnsi="Times New Roman" w:cs="Times New Roman"/>
                <w:sz w:val="24"/>
                <w:szCs w:val="24"/>
                <w:lang w:val="uk-UA"/>
              </w:rPr>
              <w:t xml:space="preserve"> 57 </w:t>
            </w:r>
            <w:r w:rsidR="00432567" w:rsidRPr="00BE1959">
              <w:rPr>
                <w:rFonts w:ascii="Times New Roman" w:eastAsia="Times New Roman" w:hAnsi="Times New Roman" w:cs="Times New Roman"/>
                <w:sz w:val="24"/>
                <w:szCs w:val="24"/>
                <w:lang w:val="uk-UA"/>
              </w:rPr>
              <w:t>цієї директиви</w:t>
            </w:r>
            <w:r w:rsidR="005613AB" w:rsidRPr="00BE1959">
              <w:rPr>
                <w:rFonts w:ascii="Times New Roman" w:eastAsia="Times New Roman" w:hAnsi="Times New Roman" w:cs="Times New Roman"/>
                <w:sz w:val="24"/>
                <w:szCs w:val="24"/>
                <w:lang w:val="uk-UA"/>
              </w:rPr>
              <w:t>;</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5613AB" w:rsidRPr="00BE1959" w:rsidTr="003F0727">
        <w:tc>
          <w:tcPr>
            <w:tcW w:w="203"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(q)</w:t>
            </w:r>
          </w:p>
        </w:tc>
        <w:tc>
          <w:tcPr>
            <w:tcW w:w="4797"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05945" w:rsidP="00505945">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видавати офіційні повідомлення;</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912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(r)</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8A38BA" w:rsidP="00AE6969">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вимагати, якщо це дозволено національним законодавством, надання записів потоків даних, наявних у оператора зв'язку, якщо існує обґрунтована підозра порушення</w:t>
            </w:r>
            <w:r w:rsidR="00AE6969" w:rsidRPr="00BE1959">
              <w:rPr>
                <w:rFonts w:ascii="Times New Roman" w:eastAsia="Times New Roman" w:hAnsi="Times New Roman" w:cs="Times New Roman"/>
                <w:sz w:val="24"/>
                <w:szCs w:val="24"/>
                <w:lang w:val="uk-UA"/>
              </w:rPr>
              <w:t xml:space="preserve"> і якщо</w:t>
            </w:r>
            <w:r w:rsidRPr="00BE1959">
              <w:rPr>
                <w:rFonts w:ascii="Times New Roman" w:eastAsia="Times New Roman" w:hAnsi="Times New Roman" w:cs="Times New Roman"/>
                <w:sz w:val="24"/>
                <w:szCs w:val="24"/>
                <w:lang w:val="uk-UA"/>
              </w:rPr>
              <w:t xml:space="preserve"> такі записи можуть бути важливими для </w:t>
            </w:r>
            <w:r w:rsidR="00AE6969" w:rsidRPr="00BE1959">
              <w:rPr>
                <w:rFonts w:ascii="Times New Roman" w:eastAsia="Times New Roman" w:hAnsi="Times New Roman" w:cs="Times New Roman"/>
                <w:sz w:val="24"/>
                <w:szCs w:val="24"/>
                <w:lang w:val="uk-UA"/>
              </w:rPr>
              <w:t>розслідування порушень</w:t>
            </w:r>
            <w:r w:rsidR="005613AB" w:rsidRPr="00BE1959">
              <w:rPr>
                <w:rFonts w:ascii="Times New Roman" w:eastAsia="Times New Roman" w:hAnsi="Times New Roman" w:cs="Times New Roman"/>
                <w:sz w:val="24"/>
                <w:szCs w:val="24"/>
                <w:lang w:val="uk-UA"/>
              </w:rPr>
              <w:t xml:space="preserve"> </w:t>
            </w:r>
            <w:r w:rsidR="00432567" w:rsidRPr="00BE1959">
              <w:rPr>
                <w:rFonts w:ascii="Times New Roman" w:eastAsia="Times New Roman" w:hAnsi="Times New Roman" w:cs="Times New Roman"/>
                <w:sz w:val="24"/>
                <w:szCs w:val="24"/>
                <w:lang w:val="uk-UA"/>
              </w:rPr>
              <w:t>цієї директиви</w:t>
            </w:r>
            <w:r w:rsidR="005613AB" w:rsidRPr="00BE1959">
              <w:rPr>
                <w:rFonts w:ascii="Times New Roman" w:eastAsia="Times New Roman" w:hAnsi="Times New Roman" w:cs="Times New Roman"/>
                <w:sz w:val="24"/>
                <w:szCs w:val="24"/>
                <w:lang w:val="uk-UA"/>
              </w:rPr>
              <w:t xml:space="preserve"> </w:t>
            </w:r>
            <w:r w:rsidR="005B3A26" w:rsidRPr="00BE1959">
              <w:rPr>
                <w:rFonts w:ascii="Times New Roman" w:eastAsia="Times New Roman" w:hAnsi="Times New Roman" w:cs="Times New Roman"/>
                <w:sz w:val="24"/>
                <w:szCs w:val="24"/>
                <w:lang w:val="uk-UA"/>
              </w:rPr>
              <w:t>або Регламенту</w:t>
            </w:r>
            <w:r w:rsidR="005613AB" w:rsidRPr="00BE1959">
              <w:rPr>
                <w:rFonts w:ascii="Times New Roman" w:eastAsia="Times New Roman" w:hAnsi="Times New Roman" w:cs="Times New Roman"/>
                <w:sz w:val="24"/>
                <w:szCs w:val="24"/>
                <w:lang w:val="uk-UA"/>
              </w:rPr>
              <w:t xml:space="preserve"> </w:t>
            </w:r>
            <w:r w:rsidR="007B0149" w:rsidRPr="00BE1959">
              <w:rPr>
                <w:rFonts w:ascii="Times New Roman" w:eastAsia="Times New Roman" w:hAnsi="Times New Roman" w:cs="Times New Roman"/>
                <w:sz w:val="24"/>
                <w:szCs w:val="24"/>
                <w:lang w:val="uk-UA"/>
              </w:rPr>
              <w:t>(EU) № 600/2014</w:t>
            </w:r>
            <w:r w:rsidR="005613AB" w:rsidRPr="00BE1959">
              <w:rPr>
                <w:rFonts w:ascii="Times New Roman" w:eastAsia="Times New Roman" w:hAnsi="Times New Roman" w:cs="Times New Roman"/>
                <w:sz w:val="24"/>
                <w:szCs w:val="24"/>
                <w:lang w:val="uk-UA"/>
              </w:rPr>
              <w:t>;</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59"/>
        <w:gridCol w:w="9106"/>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(s)</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AE6969" w:rsidP="00AE6969">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призупиняти маркетинг або продаж фінансових інструментів або структурованих депозитів, якщо виконані умови статей</w:t>
            </w:r>
            <w:r w:rsidR="005613AB" w:rsidRPr="00BE1959">
              <w:rPr>
                <w:rFonts w:ascii="Times New Roman" w:eastAsia="Times New Roman" w:hAnsi="Times New Roman" w:cs="Times New Roman"/>
                <w:sz w:val="24"/>
                <w:szCs w:val="24"/>
                <w:lang w:val="uk-UA"/>
              </w:rPr>
              <w:t xml:space="preserve"> 40, 41 </w:t>
            </w:r>
            <w:r w:rsidRPr="00BE1959">
              <w:rPr>
                <w:rFonts w:ascii="Times New Roman" w:eastAsia="Times New Roman" w:hAnsi="Times New Roman" w:cs="Times New Roman"/>
                <w:sz w:val="24"/>
                <w:szCs w:val="24"/>
                <w:lang w:val="uk-UA"/>
              </w:rPr>
              <w:t>або</w:t>
            </w:r>
            <w:r w:rsidR="005613AB" w:rsidRPr="00BE1959">
              <w:rPr>
                <w:rFonts w:ascii="Times New Roman" w:eastAsia="Times New Roman" w:hAnsi="Times New Roman" w:cs="Times New Roman"/>
                <w:sz w:val="24"/>
                <w:szCs w:val="24"/>
                <w:lang w:val="uk-UA"/>
              </w:rPr>
              <w:t xml:space="preserve"> 42 </w:t>
            </w:r>
            <w:r w:rsidR="008824AE" w:rsidRPr="00BE1959">
              <w:rPr>
                <w:rFonts w:ascii="Times New Roman" w:eastAsia="Times New Roman" w:hAnsi="Times New Roman" w:cs="Times New Roman"/>
                <w:sz w:val="24"/>
                <w:szCs w:val="24"/>
                <w:lang w:val="uk-UA"/>
              </w:rPr>
              <w:t>Регламенту</w:t>
            </w:r>
            <w:r w:rsidR="005613AB" w:rsidRPr="00BE1959">
              <w:rPr>
                <w:rFonts w:ascii="Times New Roman" w:eastAsia="Times New Roman" w:hAnsi="Times New Roman" w:cs="Times New Roman"/>
                <w:sz w:val="24"/>
                <w:szCs w:val="24"/>
                <w:lang w:val="uk-UA"/>
              </w:rPr>
              <w:t xml:space="preserve"> </w:t>
            </w:r>
            <w:r w:rsidR="007B0149" w:rsidRPr="00BE1959">
              <w:rPr>
                <w:rFonts w:ascii="Times New Roman" w:eastAsia="Times New Roman" w:hAnsi="Times New Roman" w:cs="Times New Roman"/>
                <w:sz w:val="24"/>
                <w:szCs w:val="24"/>
                <w:lang w:val="uk-UA"/>
              </w:rPr>
              <w:t>(EU) № 600/2014</w:t>
            </w:r>
            <w:r w:rsidRPr="00BE1959">
              <w:rPr>
                <w:rFonts w:ascii="Times New Roman" w:eastAsia="Times New Roman" w:hAnsi="Times New Roman" w:cs="Times New Roman"/>
                <w:sz w:val="24"/>
                <w:szCs w:val="24"/>
                <w:lang w:val="uk-UA"/>
              </w:rPr>
              <w:t>;</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32"/>
        <w:gridCol w:w="9133"/>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3A32A6" w:rsidP="003A32A6">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призупиняти маркетинг або продаж фінансових інструментів або структурованих депозитів, якщо інвестиційна фірма не розробила або не застосувала ефективний процес затвердження продуктів або в інший спосіб не дотрималася статті</w:t>
            </w:r>
            <w:r w:rsidR="005613AB" w:rsidRPr="00BE1959">
              <w:rPr>
                <w:rFonts w:ascii="Times New Roman" w:eastAsia="Times New Roman" w:hAnsi="Times New Roman" w:cs="Times New Roman"/>
                <w:sz w:val="24"/>
                <w:szCs w:val="24"/>
                <w:lang w:val="uk-UA"/>
              </w:rPr>
              <w:t xml:space="preserve"> 16(3) </w:t>
            </w:r>
            <w:r w:rsidR="00432567" w:rsidRPr="00BE1959">
              <w:rPr>
                <w:rFonts w:ascii="Times New Roman" w:eastAsia="Times New Roman" w:hAnsi="Times New Roman" w:cs="Times New Roman"/>
                <w:sz w:val="24"/>
                <w:szCs w:val="24"/>
                <w:lang w:val="uk-UA"/>
              </w:rPr>
              <w:t>цієї директиви</w:t>
            </w:r>
            <w:r w:rsidR="005613AB" w:rsidRPr="00BE1959">
              <w:rPr>
                <w:rFonts w:ascii="Times New Roman" w:eastAsia="Times New Roman" w:hAnsi="Times New Roman" w:cs="Times New Roman"/>
                <w:sz w:val="24"/>
                <w:szCs w:val="24"/>
                <w:lang w:val="uk-UA"/>
              </w:rPr>
              <w:t>;</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DE3173"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(u)</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106EA8" w:rsidP="00106EA8">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вимагати виведення фізичної особи з керівного органу інвестиційної фірми або </w:t>
            </w:r>
            <w:r w:rsidRPr="00BE1959">
              <w:rPr>
                <w:rFonts w:ascii="Times New Roman" w:eastAsia="Times New Roman" w:hAnsi="Times New Roman" w:cs="Times New Roman"/>
                <w:sz w:val="24"/>
                <w:szCs w:val="24"/>
                <w:lang w:val="uk-UA"/>
              </w:rPr>
              <w:lastRenderedPageBreak/>
              <w:t>оператора ринку.</w:t>
            </w:r>
          </w:p>
        </w:tc>
      </w:tr>
    </w:tbl>
    <w:p w:rsidR="005613AB" w:rsidRPr="00BE1959" w:rsidRDefault="00967736" w:rsidP="00482185">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lastRenderedPageBreak/>
        <w:t>До 3 липня 2016 року держави-члени повідомляють Комісії та ESMA закони, нормативні акти та адміністративні положення, що транспонують пункти 1 та 2. Вони повідомляють Комісію та ESMA без неналежної затримки про всі наступні зміни у цих законах, актах і положеннях.</w:t>
      </w:r>
    </w:p>
    <w:p w:rsidR="005613AB" w:rsidRPr="00BE1959" w:rsidRDefault="001F5C90" w:rsidP="008B7C73">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Держави-члени</w:t>
      </w:r>
      <w:r w:rsidR="005613AB" w:rsidRPr="00BE1959">
        <w:rPr>
          <w:rFonts w:ascii="Times New Roman" w:eastAsia="Times New Roman" w:hAnsi="Times New Roman" w:cs="Times New Roman"/>
          <w:sz w:val="24"/>
          <w:szCs w:val="24"/>
          <w:lang w:val="uk-UA"/>
        </w:rPr>
        <w:t xml:space="preserve"> </w:t>
      </w:r>
      <w:r w:rsidR="00482185" w:rsidRPr="00BE1959">
        <w:rPr>
          <w:rFonts w:ascii="Times New Roman" w:eastAsia="Times New Roman" w:hAnsi="Times New Roman" w:cs="Times New Roman"/>
          <w:sz w:val="24"/>
          <w:szCs w:val="24"/>
          <w:lang w:val="uk-UA"/>
        </w:rPr>
        <w:t>забезпечують</w:t>
      </w:r>
      <w:r w:rsidR="00356239" w:rsidRPr="00BE1959">
        <w:rPr>
          <w:rFonts w:ascii="Times New Roman" w:eastAsia="Times New Roman" w:hAnsi="Times New Roman" w:cs="Times New Roman"/>
          <w:sz w:val="24"/>
          <w:szCs w:val="24"/>
          <w:lang w:val="uk-UA"/>
        </w:rPr>
        <w:t xml:space="preserve"> наявність механізмів забезпечення можливості виплати компенсації </w:t>
      </w:r>
      <w:r w:rsidR="008B7C73" w:rsidRPr="00BE1959">
        <w:rPr>
          <w:rFonts w:ascii="Times New Roman" w:eastAsia="Times New Roman" w:hAnsi="Times New Roman" w:cs="Times New Roman"/>
          <w:sz w:val="24"/>
          <w:szCs w:val="24"/>
          <w:lang w:val="uk-UA"/>
        </w:rPr>
        <w:t>та вжиття інших заходів захисту права відповідно до національного законодавства за будь-які фінансові збитки чи шкоду, завдані у результаті порушення</w:t>
      </w:r>
      <w:r w:rsidR="005613AB" w:rsidRPr="00BE1959">
        <w:rPr>
          <w:rFonts w:ascii="Times New Roman" w:eastAsia="Times New Roman" w:hAnsi="Times New Roman" w:cs="Times New Roman"/>
          <w:sz w:val="24"/>
          <w:szCs w:val="24"/>
          <w:lang w:val="uk-UA"/>
        </w:rPr>
        <w:t xml:space="preserve"> </w:t>
      </w:r>
      <w:r w:rsidR="00432567" w:rsidRPr="00BE1959">
        <w:rPr>
          <w:rFonts w:ascii="Times New Roman" w:eastAsia="Times New Roman" w:hAnsi="Times New Roman" w:cs="Times New Roman"/>
          <w:sz w:val="24"/>
          <w:szCs w:val="24"/>
          <w:lang w:val="uk-UA"/>
        </w:rPr>
        <w:t>цієї директиви</w:t>
      </w:r>
      <w:r w:rsidR="005613AB" w:rsidRPr="00BE1959">
        <w:rPr>
          <w:rFonts w:ascii="Times New Roman" w:eastAsia="Times New Roman" w:hAnsi="Times New Roman" w:cs="Times New Roman"/>
          <w:sz w:val="24"/>
          <w:szCs w:val="24"/>
          <w:lang w:val="uk-UA"/>
        </w:rPr>
        <w:t xml:space="preserve"> </w:t>
      </w:r>
      <w:r w:rsidR="005B3A26" w:rsidRPr="00BE1959">
        <w:rPr>
          <w:rFonts w:ascii="Times New Roman" w:eastAsia="Times New Roman" w:hAnsi="Times New Roman" w:cs="Times New Roman"/>
          <w:sz w:val="24"/>
          <w:szCs w:val="24"/>
          <w:lang w:val="uk-UA"/>
        </w:rPr>
        <w:t>або Регламенту</w:t>
      </w:r>
      <w:r w:rsidR="005613AB" w:rsidRPr="00BE1959">
        <w:rPr>
          <w:rFonts w:ascii="Times New Roman" w:eastAsia="Times New Roman" w:hAnsi="Times New Roman" w:cs="Times New Roman"/>
          <w:sz w:val="24"/>
          <w:szCs w:val="24"/>
          <w:lang w:val="uk-UA"/>
        </w:rPr>
        <w:t xml:space="preserve"> </w:t>
      </w:r>
      <w:r w:rsidR="007B0149" w:rsidRPr="00BE1959">
        <w:rPr>
          <w:rFonts w:ascii="Times New Roman" w:eastAsia="Times New Roman" w:hAnsi="Times New Roman" w:cs="Times New Roman"/>
          <w:sz w:val="24"/>
          <w:szCs w:val="24"/>
          <w:lang w:val="uk-UA"/>
        </w:rPr>
        <w:t>(EU) № 600/2014</w:t>
      </w:r>
      <w:r w:rsidR="005613AB" w:rsidRPr="00BE1959">
        <w:rPr>
          <w:rFonts w:ascii="Times New Roman" w:eastAsia="Times New Roman" w:hAnsi="Times New Roman" w:cs="Times New Roman"/>
          <w:sz w:val="24"/>
          <w:szCs w:val="24"/>
          <w:lang w:val="uk-UA"/>
        </w:rPr>
        <w:t>.</w:t>
      </w:r>
    </w:p>
    <w:p w:rsidR="005613AB" w:rsidRPr="00BE1959" w:rsidRDefault="00162A11" w:rsidP="005613AB">
      <w:pPr>
        <w:spacing w:before="360" w:after="120" w:line="312" w:lineRule="atLeast"/>
        <w:jc w:val="center"/>
        <w:textAlignment w:val="baseline"/>
        <w:rPr>
          <w:rFonts w:ascii="Times New Roman" w:eastAsia="Times New Roman" w:hAnsi="Times New Roman" w:cs="Times New Roman"/>
          <w:i/>
          <w:iCs/>
          <w:sz w:val="24"/>
          <w:szCs w:val="24"/>
          <w:lang w:val="uk-UA"/>
        </w:rPr>
      </w:pPr>
      <w:r w:rsidRPr="00BE1959">
        <w:rPr>
          <w:rFonts w:ascii="Times New Roman" w:eastAsia="Times New Roman" w:hAnsi="Times New Roman" w:cs="Times New Roman"/>
          <w:i/>
          <w:iCs/>
          <w:sz w:val="24"/>
          <w:szCs w:val="24"/>
          <w:lang w:val="uk-UA"/>
        </w:rPr>
        <w:t>Стаття</w:t>
      </w:r>
      <w:r w:rsidR="005613AB" w:rsidRPr="00BE1959">
        <w:rPr>
          <w:rFonts w:ascii="Times New Roman" w:eastAsia="Times New Roman" w:hAnsi="Times New Roman" w:cs="Times New Roman"/>
          <w:i/>
          <w:iCs/>
          <w:sz w:val="24"/>
          <w:szCs w:val="24"/>
          <w:lang w:val="uk-UA"/>
        </w:rPr>
        <w:t xml:space="preserve"> 70</w:t>
      </w:r>
    </w:p>
    <w:p w:rsidR="005613AB" w:rsidRPr="00BE1959" w:rsidRDefault="00B52081" w:rsidP="005613AB">
      <w:pPr>
        <w:spacing w:before="60" w:after="120" w:line="312" w:lineRule="atLeast"/>
        <w:jc w:val="center"/>
        <w:textAlignment w:val="baseline"/>
        <w:rPr>
          <w:rFonts w:ascii="Times New Roman" w:eastAsia="Times New Roman" w:hAnsi="Times New Roman" w:cs="Times New Roman"/>
          <w:b/>
          <w:bCs/>
          <w:sz w:val="24"/>
          <w:szCs w:val="24"/>
          <w:lang w:val="uk-UA"/>
        </w:rPr>
      </w:pPr>
      <w:r w:rsidRPr="00BE1959">
        <w:rPr>
          <w:rFonts w:ascii="Times New Roman" w:eastAsia="Times New Roman" w:hAnsi="Times New Roman" w:cs="Times New Roman"/>
          <w:b/>
          <w:bCs/>
          <w:sz w:val="24"/>
          <w:szCs w:val="24"/>
          <w:lang w:val="uk-UA"/>
        </w:rPr>
        <w:t>Санкції за порушення</w:t>
      </w:r>
    </w:p>
    <w:p w:rsidR="005613AB" w:rsidRPr="00BE1959" w:rsidRDefault="005613AB" w:rsidP="00967736">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1.   </w:t>
      </w:r>
      <w:r w:rsidR="00B52081" w:rsidRPr="00BE1959">
        <w:rPr>
          <w:rFonts w:ascii="Times New Roman" w:eastAsia="Times New Roman" w:hAnsi="Times New Roman" w:cs="Times New Roman"/>
          <w:sz w:val="24"/>
          <w:szCs w:val="24"/>
          <w:lang w:val="uk-UA"/>
        </w:rPr>
        <w:t xml:space="preserve">Без шкоди для наглядових повноважень компетентних органів, зокрема повноважень </w:t>
      </w:r>
      <w:r w:rsidR="00501648" w:rsidRPr="00BE1959">
        <w:rPr>
          <w:rFonts w:ascii="Times New Roman" w:eastAsia="Times New Roman" w:hAnsi="Times New Roman" w:cs="Times New Roman"/>
          <w:sz w:val="24"/>
          <w:szCs w:val="24"/>
          <w:lang w:val="uk-UA"/>
        </w:rPr>
        <w:t xml:space="preserve">на проведення розслідувань і повноважень на застосування засобів правового захисту, </w:t>
      </w:r>
      <w:r w:rsidR="00B52081" w:rsidRPr="00BE1959">
        <w:rPr>
          <w:rFonts w:ascii="Times New Roman" w:eastAsia="Times New Roman" w:hAnsi="Times New Roman" w:cs="Times New Roman"/>
          <w:sz w:val="24"/>
          <w:szCs w:val="24"/>
          <w:lang w:val="uk-UA"/>
        </w:rPr>
        <w:t>згідно зі статтею 69 і права держав-член</w:t>
      </w:r>
      <w:r w:rsidR="00F770E7" w:rsidRPr="00BE1959">
        <w:rPr>
          <w:rFonts w:ascii="Times New Roman" w:eastAsia="Times New Roman" w:hAnsi="Times New Roman" w:cs="Times New Roman"/>
          <w:sz w:val="24"/>
          <w:szCs w:val="24"/>
          <w:lang w:val="uk-UA"/>
        </w:rPr>
        <w:t>ів передбачати і накладати кримінальні санкції держави-члени встановлюють правила щодо адміністративних санкцій та заходів, застосовних до всіх порушень цієї директиви або Регламенту (EU) № 600/2014 і національних положень, прийнятих на виконання цієї директиви та Регламенту (EU) № 600/2014,</w:t>
      </w:r>
      <w:r w:rsidR="00967736" w:rsidRPr="00BE1959">
        <w:rPr>
          <w:rFonts w:ascii="Times New Roman" w:eastAsia="Times New Roman" w:hAnsi="Times New Roman" w:cs="Times New Roman"/>
          <w:sz w:val="24"/>
          <w:szCs w:val="24"/>
          <w:lang w:val="uk-UA"/>
        </w:rPr>
        <w:t xml:space="preserve"> і забезпечують можливість накладення компетентними органами таких санкцій і застосування таких заходів, та вживають усіх дій, необхідних для забезпечення запровадження таких санкцій та заходів. Такі санкції та заходи повинні бути ефективними, сумірними та стримуючими й застосовуються до порушень навіть у випадку, якщо вони не згадані конкретно у пунктах</w:t>
      </w:r>
      <w:r w:rsidRPr="00BE1959">
        <w:rPr>
          <w:rFonts w:ascii="Times New Roman" w:eastAsia="Times New Roman" w:hAnsi="Times New Roman" w:cs="Times New Roman"/>
          <w:sz w:val="24"/>
          <w:szCs w:val="24"/>
          <w:lang w:val="uk-UA"/>
        </w:rPr>
        <w:t xml:space="preserve"> 3, 4 </w:t>
      </w:r>
      <w:r w:rsidR="00967736" w:rsidRPr="00BE1959">
        <w:rPr>
          <w:rFonts w:ascii="Times New Roman" w:eastAsia="Times New Roman" w:hAnsi="Times New Roman" w:cs="Times New Roman"/>
          <w:sz w:val="24"/>
          <w:szCs w:val="24"/>
          <w:lang w:val="uk-UA"/>
        </w:rPr>
        <w:t>та</w:t>
      </w:r>
      <w:r w:rsidRPr="00BE1959">
        <w:rPr>
          <w:rFonts w:ascii="Times New Roman" w:eastAsia="Times New Roman" w:hAnsi="Times New Roman" w:cs="Times New Roman"/>
          <w:sz w:val="24"/>
          <w:szCs w:val="24"/>
          <w:lang w:val="uk-UA"/>
        </w:rPr>
        <w:t xml:space="preserve"> 5.</w:t>
      </w:r>
    </w:p>
    <w:p w:rsidR="005613AB" w:rsidRPr="00BE1959" w:rsidRDefault="00C87244" w:rsidP="00967736">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Держави-члени можуть</w:t>
      </w:r>
      <w:r w:rsidR="005613AB" w:rsidRPr="00BE1959">
        <w:rPr>
          <w:rFonts w:ascii="Times New Roman" w:eastAsia="Times New Roman" w:hAnsi="Times New Roman" w:cs="Times New Roman"/>
          <w:sz w:val="24"/>
          <w:szCs w:val="24"/>
          <w:lang w:val="uk-UA"/>
        </w:rPr>
        <w:t xml:space="preserve"> </w:t>
      </w:r>
      <w:r w:rsidR="00967736" w:rsidRPr="00BE1959">
        <w:rPr>
          <w:rFonts w:ascii="Times New Roman" w:eastAsia="Times New Roman" w:hAnsi="Times New Roman" w:cs="Times New Roman"/>
          <w:sz w:val="24"/>
          <w:szCs w:val="24"/>
          <w:lang w:val="uk-UA"/>
        </w:rPr>
        <w:t>вирішити не встановлювати правила щодо адміністративних санкцій за порушення, які підпадають під кримінальні санкції за їхнім національним законодавством. У цьому випадку держави-члени доводять відповідні положення кримінального законодавства до відома Комісії.</w:t>
      </w:r>
    </w:p>
    <w:p w:rsidR="00967736" w:rsidRPr="00BE1959" w:rsidRDefault="00967736" w:rsidP="00335E8D">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До 3 липня 2016 року держави-члени повідомляють Комісії та ESMA закони, нормативні акти та адміністративні положення, що транспонують </w:t>
      </w:r>
      <w:r w:rsidR="00335E8D" w:rsidRPr="00BE1959">
        <w:rPr>
          <w:rFonts w:ascii="Times New Roman" w:eastAsia="Times New Roman" w:hAnsi="Times New Roman" w:cs="Times New Roman"/>
          <w:sz w:val="24"/>
          <w:szCs w:val="24"/>
          <w:lang w:val="uk-UA"/>
        </w:rPr>
        <w:t>цю статтю, зокрема відповідні положення кримінального законодавства. Держави-члени</w:t>
      </w:r>
      <w:r w:rsidRPr="00BE1959">
        <w:rPr>
          <w:rFonts w:ascii="Times New Roman" w:eastAsia="Times New Roman" w:hAnsi="Times New Roman" w:cs="Times New Roman"/>
          <w:sz w:val="24"/>
          <w:szCs w:val="24"/>
          <w:lang w:val="uk-UA"/>
        </w:rPr>
        <w:t xml:space="preserve"> повідомляють Комісію та ESMA без неналежної затримки про всі наступні зміни у цих законах, актах і положеннях.</w:t>
      </w:r>
    </w:p>
    <w:p w:rsidR="005613AB" w:rsidRPr="00BE1959" w:rsidRDefault="005613AB" w:rsidP="00593ADF">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2.   </w:t>
      </w:r>
      <w:r w:rsidR="001F5C90" w:rsidRPr="00BE1959">
        <w:rPr>
          <w:rFonts w:ascii="Times New Roman" w:eastAsia="Times New Roman" w:hAnsi="Times New Roman" w:cs="Times New Roman"/>
          <w:sz w:val="24"/>
          <w:szCs w:val="24"/>
          <w:lang w:val="uk-UA"/>
        </w:rPr>
        <w:t>Держави-члени</w:t>
      </w:r>
      <w:r w:rsidRPr="00BE1959">
        <w:rPr>
          <w:rFonts w:ascii="Times New Roman" w:eastAsia="Times New Roman" w:hAnsi="Times New Roman" w:cs="Times New Roman"/>
          <w:sz w:val="24"/>
          <w:szCs w:val="24"/>
          <w:lang w:val="uk-UA"/>
        </w:rPr>
        <w:t xml:space="preserve"> </w:t>
      </w:r>
      <w:r w:rsidR="001966B1" w:rsidRPr="00BE1959">
        <w:rPr>
          <w:rFonts w:ascii="Times New Roman" w:eastAsia="Times New Roman" w:hAnsi="Times New Roman" w:cs="Times New Roman"/>
          <w:sz w:val="24"/>
          <w:szCs w:val="24"/>
          <w:lang w:val="uk-UA"/>
        </w:rPr>
        <w:t>забезпечують, щоб у випадках, де зобов’язання у разі порушення поширюються на інвестиційні фірми, операторів ринку, надавачів послуг із повідомленн</w:t>
      </w:r>
      <w:r w:rsidR="00593ADF" w:rsidRPr="00BE1959">
        <w:rPr>
          <w:rFonts w:ascii="Times New Roman" w:eastAsia="Times New Roman" w:hAnsi="Times New Roman" w:cs="Times New Roman"/>
          <w:sz w:val="24"/>
          <w:szCs w:val="24"/>
          <w:lang w:val="uk-UA"/>
        </w:rPr>
        <w:t xml:space="preserve">я даних, кредитні установи у зв'язку з інвестиційними послугами або інвестиційною діяльністю та додатковими послугами і філії фірм із третіх країн, санкції та заходи можуть застосовуватися, з дотриманням умов національного законодавства у сферах, не гармонізованих цією директивою, до членів керівного органу інвестиційних фірм і </w:t>
      </w:r>
      <w:r w:rsidR="00593ADF" w:rsidRPr="00BE1959">
        <w:rPr>
          <w:rFonts w:ascii="Times New Roman" w:eastAsia="Times New Roman" w:hAnsi="Times New Roman" w:cs="Times New Roman"/>
          <w:sz w:val="24"/>
          <w:szCs w:val="24"/>
          <w:lang w:val="uk-UA"/>
        </w:rPr>
        <w:lastRenderedPageBreak/>
        <w:t>операторів ринку та будь-яких інших фізичних або юридичних осіб, які за національним законодавством несуть відповідальність за порушення.</w:t>
      </w:r>
    </w:p>
    <w:p w:rsidR="0060739C" w:rsidRPr="00BE1959" w:rsidRDefault="005613AB" w:rsidP="0060739C">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3.   </w:t>
      </w:r>
      <w:r w:rsidR="001F5C90" w:rsidRPr="00BE1959">
        <w:rPr>
          <w:rFonts w:ascii="Times New Roman" w:eastAsia="Times New Roman" w:hAnsi="Times New Roman" w:cs="Times New Roman"/>
          <w:sz w:val="24"/>
          <w:szCs w:val="24"/>
          <w:lang w:val="uk-UA"/>
        </w:rPr>
        <w:t>Держави-члени</w:t>
      </w:r>
      <w:r w:rsidRPr="00BE1959">
        <w:rPr>
          <w:rFonts w:ascii="Times New Roman" w:eastAsia="Times New Roman" w:hAnsi="Times New Roman" w:cs="Times New Roman"/>
          <w:sz w:val="24"/>
          <w:szCs w:val="24"/>
          <w:lang w:val="uk-UA"/>
        </w:rPr>
        <w:t xml:space="preserve"> </w:t>
      </w:r>
      <w:r w:rsidR="00593ADF" w:rsidRPr="00BE1959">
        <w:rPr>
          <w:rFonts w:ascii="Times New Roman" w:eastAsia="Times New Roman" w:hAnsi="Times New Roman" w:cs="Times New Roman"/>
          <w:sz w:val="24"/>
          <w:szCs w:val="24"/>
          <w:lang w:val="uk-UA"/>
        </w:rPr>
        <w:t xml:space="preserve">забезпечують, щоб </w:t>
      </w:r>
      <w:r w:rsidR="0060739C" w:rsidRPr="00BE1959">
        <w:rPr>
          <w:rFonts w:ascii="Times New Roman" w:eastAsia="Times New Roman" w:hAnsi="Times New Roman" w:cs="Times New Roman"/>
          <w:sz w:val="24"/>
          <w:szCs w:val="24"/>
          <w:lang w:val="uk-UA"/>
        </w:rPr>
        <w:t xml:space="preserve">порушенням цієї директиви або Регламенту (EU) № 600/2014 вважалися </w:t>
      </w:r>
      <w:r w:rsidR="00593ADF" w:rsidRPr="00BE1959">
        <w:rPr>
          <w:rFonts w:ascii="Times New Roman" w:eastAsia="Times New Roman" w:hAnsi="Times New Roman" w:cs="Times New Roman"/>
          <w:sz w:val="24"/>
          <w:szCs w:val="24"/>
          <w:lang w:val="uk-UA"/>
        </w:rPr>
        <w:t xml:space="preserve">як мінімум порушення наступних положень </w:t>
      </w:r>
      <w:r w:rsidR="00432567" w:rsidRPr="00BE1959">
        <w:rPr>
          <w:rFonts w:ascii="Times New Roman" w:eastAsia="Times New Roman" w:hAnsi="Times New Roman" w:cs="Times New Roman"/>
          <w:sz w:val="24"/>
          <w:szCs w:val="24"/>
          <w:lang w:val="uk-UA"/>
        </w:rPr>
        <w:t>цієї директиви</w:t>
      </w:r>
      <w:r w:rsidRPr="00BE1959">
        <w:rPr>
          <w:rFonts w:ascii="Times New Roman" w:eastAsia="Times New Roman" w:hAnsi="Times New Roman" w:cs="Times New Roman"/>
          <w:sz w:val="24"/>
          <w:szCs w:val="24"/>
          <w:lang w:val="uk-UA"/>
        </w:rPr>
        <w:t xml:space="preserve"> </w:t>
      </w:r>
      <w:r w:rsidR="005B3A26" w:rsidRPr="00BE1959">
        <w:rPr>
          <w:rFonts w:ascii="Times New Roman" w:eastAsia="Times New Roman" w:hAnsi="Times New Roman" w:cs="Times New Roman"/>
          <w:sz w:val="24"/>
          <w:szCs w:val="24"/>
          <w:lang w:val="uk-UA"/>
        </w:rPr>
        <w:t>або Регламенту</w:t>
      </w:r>
      <w:r w:rsidRPr="00BE1959">
        <w:rPr>
          <w:rFonts w:ascii="Times New Roman" w:eastAsia="Times New Roman" w:hAnsi="Times New Roman" w:cs="Times New Roman"/>
          <w:sz w:val="24"/>
          <w:szCs w:val="24"/>
          <w:lang w:val="uk-UA"/>
        </w:rPr>
        <w:t xml:space="preserve"> </w:t>
      </w:r>
      <w:r w:rsidR="00DB4825" w:rsidRPr="00BE1959">
        <w:rPr>
          <w:rFonts w:ascii="Times New Roman" w:eastAsia="Times New Roman" w:hAnsi="Times New Roman" w:cs="Times New Roman"/>
          <w:sz w:val="24"/>
          <w:szCs w:val="24"/>
          <w:lang w:val="uk-UA"/>
        </w:rPr>
        <w:t>(EU) №</w:t>
      </w:r>
      <w:r w:rsidRPr="00BE1959">
        <w:rPr>
          <w:rFonts w:ascii="Times New Roman" w:eastAsia="Times New Roman" w:hAnsi="Times New Roman" w:cs="Times New Roman"/>
          <w:sz w:val="24"/>
          <w:szCs w:val="24"/>
          <w:lang w:val="uk-UA"/>
        </w:rPr>
        <w:t xml:space="preserve"> 600/2014</w:t>
      </w:r>
      <w:r w:rsidR="0060739C" w:rsidRPr="00BE1959">
        <w:rPr>
          <w:rFonts w:ascii="Times New Roman" w:eastAsia="Times New Roman" w:hAnsi="Times New Roman" w:cs="Times New Roman"/>
          <w:sz w:val="24"/>
          <w:szCs w:val="24"/>
          <w:lang w:val="uk-UA"/>
        </w:rP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9093"/>
      </w:tblGrid>
      <w:tr w:rsidR="005613AB" w:rsidRPr="00BE1959"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60739C"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стосовно цієї директиви:</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493"/>
              <w:gridCol w:w="7479"/>
            </w:tblGrid>
            <w:tr w:rsidR="00DE3173" w:rsidRPr="00BE1959">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355E1E"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пп.</w:t>
                  </w:r>
                  <w:r w:rsidR="005613AB" w:rsidRPr="00BE1959">
                    <w:rPr>
                      <w:rFonts w:ascii="Times New Roman" w:eastAsia="Times New Roman" w:hAnsi="Times New Roman" w:cs="Times New Roman"/>
                      <w:sz w:val="24"/>
                      <w:szCs w:val="24"/>
                      <w:lang w:val="uk-UA"/>
                    </w:rPr>
                    <w:t xml:space="preserve"> (b) </w:t>
                  </w:r>
                  <w:r w:rsidR="0065313E" w:rsidRPr="00BE1959">
                    <w:rPr>
                      <w:rFonts w:ascii="Times New Roman" w:eastAsia="Times New Roman" w:hAnsi="Times New Roman" w:cs="Times New Roman"/>
                      <w:sz w:val="24"/>
                      <w:szCs w:val="24"/>
                      <w:lang w:val="uk-UA"/>
                    </w:rPr>
                    <w:t>статті</w:t>
                  </w:r>
                  <w:r w:rsidR="005613AB" w:rsidRPr="00BE1959">
                    <w:rPr>
                      <w:rFonts w:ascii="Times New Roman" w:eastAsia="Times New Roman" w:hAnsi="Times New Roman" w:cs="Times New Roman"/>
                      <w:sz w:val="24"/>
                      <w:szCs w:val="24"/>
                      <w:lang w:val="uk-UA"/>
                    </w:rPr>
                    <w:t xml:space="preserve"> 8;</w:t>
                  </w:r>
                </w:p>
              </w:tc>
            </w:tr>
          </w:tbl>
          <w:p w:rsidR="005613AB" w:rsidRPr="00BE1959" w:rsidRDefault="005613AB" w:rsidP="005613AB">
            <w:pPr>
              <w:spacing w:after="0" w:line="240" w:lineRule="auto"/>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764"/>
              <w:gridCol w:w="7208"/>
            </w:tblGrid>
            <w:tr w:rsidR="00DE3173" w:rsidRPr="00BE1959">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6E3030" w:rsidP="00355E1E">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стаття</w:t>
                  </w:r>
                  <w:r w:rsidR="005613AB" w:rsidRPr="00BE1959">
                    <w:rPr>
                      <w:rFonts w:ascii="Times New Roman" w:eastAsia="Times New Roman" w:hAnsi="Times New Roman" w:cs="Times New Roman"/>
                      <w:sz w:val="24"/>
                      <w:szCs w:val="24"/>
                      <w:lang w:val="uk-UA"/>
                    </w:rPr>
                    <w:t xml:space="preserve"> 9(1)</w:t>
                  </w:r>
                  <w:r w:rsidR="00355E1E" w:rsidRPr="00BE1959">
                    <w:rPr>
                      <w:rFonts w:ascii="Times New Roman" w:eastAsia="Times New Roman" w:hAnsi="Times New Roman" w:cs="Times New Roman"/>
                      <w:sz w:val="24"/>
                      <w:szCs w:val="24"/>
                      <w:lang w:val="uk-UA"/>
                    </w:rPr>
                    <w:t>-</w:t>
                  </w:r>
                  <w:r w:rsidR="005613AB" w:rsidRPr="00BE1959">
                    <w:rPr>
                      <w:rFonts w:ascii="Times New Roman" w:eastAsia="Times New Roman" w:hAnsi="Times New Roman" w:cs="Times New Roman"/>
                      <w:sz w:val="24"/>
                      <w:szCs w:val="24"/>
                      <w:lang w:val="uk-UA"/>
                    </w:rPr>
                    <w:t>(6);</w:t>
                  </w:r>
                </w:p>
              </w:tc>
            </w:tr>
          </w:tbl>
          <w:p w:rsidR="005613AB" w:rsidRPr="00BE1959" w:rsidRDefault="005613AB" w:rsidP="005613AB">
            <w:pPr>
              <w:spacing w:after="0" w:line="240" w:lineRule="auto"/>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692"/>
              <w:gridCol w:w="7280"/>
            </w:tblGrid>
            <w:tr w:rsidR="00DE3173" w:rsidRPr="00BE1959">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(iii)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6E3030" w:rsidP="00355E1E">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стаття</w:t>
                  </w:r>
                  <w:r w:rsidR="00355E1E" w:rsidRPr="00BE1959">
                    <w:rPr>
                      <w:rFonts w:ascii="Times New Roman" w:eastAsia="Times New Roman" w:hAnsi="Times New Roman" w:cs="Times New Roman"/>
                      <w:sz w:val="24"/>
                      <w:szCs w:val="24"/>
                      <w:lang w:val="uk-UA"/>
                    </w:rPr>
                    <w:t xml:space="preserve"> </w:t>
                  </w:r>
                  <w:r w:rsidR="005613AB" w:rsidRPr="00BE1959">
                    <w:rPr>
                      <w:rFonts w:ascii="Times New Roman" w:eastAsia="Times New Roman" w:hAnsi="Times New Roman" w:cs="Times New Roman"/>
                      <w:sz w:val="24"/>
                      <w:szCs w:val="24"/>
                      <w:lang w:val="uk-UA"/>
                    </w:rPr>
                    <w:t xml:space="preserve">11(1) </w:t>
                  </w:r>
                  <w:r w:rsidR="00355E1E" w:rsidRPr="00BE1959">
                    <w:rPr>
                      <w:rFonts w:ascii="Times New Roman" w:eastAsia="Times New Roman" w:hAnsi="Times New Roman" w:cs="Times New Roman"/>
                      <w:sz w:val="24"/>
                      <w:szCs w:val="24"/>
                      <w:lang w:val="uk-UA"/>
                    </w:rPr>
                    <w:t>та</w:t>
                  </w:r>
                  <w:r w:rsidR="005613AB" w:rsidRPr="00BE1959">
                    <w:rPr>
                      <w:rFonts w:ascii="Times New Roman" w:eastAsia="Times New Roman" w:hAnsi="Times New Roman" w:cs="Times New Roman"/>
                      <w:sz w:val="24"/>
                      <w:szCs w:val="24"/>
                      <w:lang w:val="uk-UA"/>
                    </w:rPr>
                    <w:t xml:space="preserve"> (3);</w:t>
                  </w:r>
                </w:p>
              </w:tc>
            </w:tr>
          </w:tbl>
          <w:p w:rsidR="005613AB" w:rsidRPr="00BE1959" w:rsidRDefault="005613AB" w:rsidP="005613AB">
            <w:pPr>
              <w:spacing w:after="0" w:line="240" w:lineRule="auto"/>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661"/>
              <w:gridCol w:w="7311"/>
            </w:tblGrid>
            <w:tr w:rsidR="00DE3173" w:rsidRPr="00BE1959">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(iv)</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6E3030" w:rsidP="00355E1E">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стаття</w:t>
                  </w:r>
                  <w:r w:rsidR="005613AB" w:rsidRPr="00BE1959">
                    <w:rPr>
                      <w:rFonts w:ascii="Times New Roman" w:eastAsia="Times New Roman" w:hAnsi="Times New Roman" w:cs="Times New Roman"/>
                      <w:sz w:val="24"/>
                      <w:szCs w:val="24"/>
                      <w:lang w:val="uk-UA"/>
                    </w:rPr>
                    <w:t xml:space="preserve"> 16(1) </w:t>
                  </w:r>
                  <w:r w:rsidR="00355E1E" w:rsidRPr="00BE1959">
                    <w:rPr>
                      <w:rFonts w:ascii="Times New Roman" w:eastAsia="Times New Roman" w:hAnsi="Times New Roman" w:cs="Times New Roman"/>
                      <w:sz w:val="24"/>
                      <w:szCs w:val="24"/>
                      <w:lang w:val="uk-UA"/>
                    </w:rPr>
                    <w:t>-</w:t>
                  </w:r>
                  <w:r w:rsidR="005613AB" w:rsidRPr="00BE1959">
                    <w:rPr>
                      <w:rFonts w:ascii="Times New Roman" w:eastAsia="Times New Roman" w:hAnsi="Times New Roman" w:cs="Times New Roman"/>
                      <w:sz w:val="24"/>
                      <w:szCs w:val="24"/>
                      <w:lang w:val="uk-UA"/>
                    </w:rPr>
                    <w:t xml:space="preserve"> (11);</w:t>
                  </w:r>
                </w:p>
              </w:tc>
            </w:tr>
          </w:tbl>
          <w:p w:rsidR="005613AB" w:rsidRPr="00BE1959" w:rsidRDefault="005613AB" w:rsidP="005613AB">
            <w:pPr>
              <w:spacing w:after="0" w:line="240" w:lineRule="auto"/>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532"/>
              <w:gridCol w:w="7440"/>
            </w:tblGrid>
            <w:tr w:rsidR="00DE3173" w:rsidRPr="00BE1959">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(v)</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6E3030" w:rsidP="00355E1E">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стаття</w:t>
                  </w:r>
                  <w:r w:rsidR="005613AB" w:rsidRPr="00BE1959">
                    <w:rPr>
                      <w:rFonts w:ascii="Times New Roman" w:eastAsia="Times New Roman" w:hAnsi="Times New Roman" w:cs="Times New Roman"/>
                      <w:sz w:val="24"/>
                      <w:szCs w:val="24"/>
                      <w:lang w:val="uk-UA"/>
                    </w:rPr>
                    <w:t xml:space="preserve"> 17(1) </w:t>
                  </w:r>
                  <w:r w:rsidR="00355E1E" w:rsidRPr="00BE1959">
                    <w:rPr>
                      <w:rFonts w:ascii="Times New Roman" w:eastAsia="Times New Roman" w:hAnsi="Times New Roman" w:cs="Times New Roman"/>
                      <w:sz w:val="24"/>
                      <w:szCs w:val="24"/>
                      <w:lang w:val="uk-UA"/>
                    </w:rPr>
                    <w:t>-</w:t>
                  </w:r>
                  <w:r w:rsidR="005613AB" w:rsidRPr="00BE1959">
                    <w:rPr>
                      <w:rFonts w:ascii="Times New Roman" w:eastAsia="Times New Roman" w:hAnsi="Times New Roman" w:cs="Times New Roman"/>
                      <w:sz w:val="24"/>
                      <w:szCs w:val="24"/>
                      <w:lang w:val="uk-UA"/>
                    </w:rPr>
                    <w:t xml:space="preserve"> (6);</w:t>
                  </w:r>
                </w:p>
              </w:tc>
            </w:tr>
          </w:tbl>
          <w:p w:rsidR="005613AB" w:rsidRPr="00BE1959" w:rsidRDefault="005613AB" w:rsidP="005613AB">
            <w:pPr>
              <w:spacing w:after="0" w:line="240" w:lineRule="auto"/>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752"/>
              <w:gridCol w:w="8220"/>
            </w:tblGrid>
            <w:tr w:rsidR="00DE3173" w:rsidRPr="0043174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(vi)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6E3030" w:rsidP="00355E1E">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стаття</w:t>
                  </w:r>
                  <w:r w:rsidR="005613AB" w:rsidRPr="00BE1959">
                    <w:rPr>
                      <w:rFonts w:ascii="Times New Roman" w:eastAsia="Times New Roman" w:hAnsi="Times New Roman" w:cs="Times New Roman"/>
                      <w:sz w:val="24"/>
                      <w:szCs w:val="24"/>
                      <w:lang w:val="uk-UA"/>
                    </w:rPr>
                    <w:t xml:space="preserve"> 18(1) </w:t>
                  </w:r>
                  <w:r w:rsidR="00355E1E" w:rsidRPr="00BE1959">
                    <w:rPr>
                      <w:rFonts w:ascii="Times New Roman" w:eastAsia="Times New Roman" w:hAnsi="Times New Roman" w:cs="Times New Roman"/>
                      <w:sz w:val="24"/>
                      <w:szCs w:val="24"/>
                      <w:lang w:val="uk-UA"/>
                    </w:rPr>
                    <w:t>-</w:t>
                  </w:r>
                  <w:r w:rsidR="005613AB" w:rsidRPr="00BE1959">
                    <w:rPr>
                      <w:rFonts w:ascii="Times New Roman" w:eastAsia="Times New Roman" w:hAnsi="Times New Roman" w:cs="Times New Roman"/>
                      <w:sz w:val="24"/>
                      <w:szCs w:val="24"/>
                      <w:lang w:val="uk-UA"/>
                    </w:rPr>
                    <w:t xml:space="preserve"> (9) </w:t>
                  </w:r>
                  <w:r w:rsidR="00355E1E" w:rsidRPr="00BE1959">
                    <w:rPr>
                      <w:rFonts w:ascii="Times New Roman" w:eastAsia="Times New Roman" w:hAnsi="Times New Roman" w:cs="Times New Roman"/>
                      <w:sz w:val="24"/>
                      <w:szCs w:val="24"/>
                      <w:lang w:val="uk-UA"/>
                    </w:rPr>
                    <w:t>і перше речення</w:t>
                  </w:r>
                  <w:r w:rsidR="005613AB" w:rsidRPr="00BE1959">
                    <w:rPr>
                      <w:rFonts w:ascii="Times New Roman" w:eastAsia="Times New Roman" w:hAnsi="Times New Roman" w:cs="Times New Roman"/>
                      <w:sz w:val="24"/>
                      <w:szCs w:val="24"/>
                      <w:lang w:val="uk-UA"/>
                    </w:rPr>
                    <w:t xml:space="preserve"> </w:t>
                  </w:r>
                  <w:r w:rsidR="0065313E" w:rsidRPr="00BE1959">
                    <w:rPr>
                      <w:rFonts w:ascii="Times New Roman" w:eastAsia="Times New Roman" w:hAnsi="Times New Roman" w:cs="Times New Roman"/>
                      <w:sz w:val="24"/>
                      <w:szCs w:val="24"/>
                      <w:lang w:val="uk-UA"/>
                    </w:rPr>
                    <w:t>статті</w:t>
                  </w:r>
                  <w:r w:rsidR="005613AB" w:rsidRPr="00BE1959">
                    <w:rPr>
                      <w:rFonts w:ascii="Times New Roman" w:eastAsia="Times New Roman" w:hAnsi="Times New Roman" w:cs="Times New Roman"/>
                      <w:sz w:val="24"/>
                      <w:szCs w:val="24"/>
                      <w:lang w:val="uk-UA"/>
                    </w:rPr>
                    <w:t xml:space="preserve"> 18(10);</w:t>
                  </w:r>
                </w:p>
              </w:tc>
            </w:tr>
          </w:tbl>
          <w:p w:rsidR="005613AB" w:rsidRPr="00BE1959" w:rsidRDefault="005613AB" w:rsidP="005613AB">
            <w:pPr>
              <w:spacing w:after="0" w:line="240" w:lineRule="auto"/>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59"/>
              <w:gridCol w:w="6813"/>
            </w:tblGrid>
            <w:tr w:rsidR="00DE3173" w:rsidRPr="00BE1959">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(vii)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7E0A70" w:rsidP="007E0A70">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статті</w:t>
                  </w:r>
                  <w:r w:rsidR="005613AB" w:rsidRPr="00BE1959">
                    <w:rPr>
                      <w:rFonts w:ascii="Times New Roman" w:eastAsia="Times New Roman" w:hAnsi="Times New Roman" w:cs="Times New Roman"/>
                      <w:sz w:val="24"/>
                      <w:szCs w:val="24"/>
                      <w:lang w:val="uk-UA"/>
                    </w:rPr>
                    <w:t xml:space="preserve"> 19 </w:t>
                  </w:r>
                  <w:r w:rsidRPr="00BE1959">
                    <w:rPr>
                      <w:rFonts w:ascii="Times New Roman" w:eastAsia="Times New Roman" w:hAnsi="Times New Roman" w:cs="Times New Roman"/>
                      <w:sz w:val="24"/>
                      <w:szCs w:val="24"/>
                      <w:lang w:val="uk-UA"/>
                    </w:rPr>
                    <w:t>та</w:t>
                  </w:r>
                  <w:r w:rsidR="005613AB" w:rsidRPr="00BE1959">
                    <w:rPr>
                      <w:rFonts w:ascii="Times New Roman" w:eastAsia="Times New Roman" w:hAnsi="Times New Roman" w:cs="Times New Roman"/>
                      <w:sz w:val="24"/>
                      <w:szCs w:val="24"/>
                      <w:lang w:val="uk-UA"/>
                    </w:rPr>
                    <w:t xml:space="preserve"> 20;</w:t>
                  </w:r>
                </w:p>
              </w:tc>
            </w:tr>
          </w:tbl>
          <w:p w:rsidR="005613AB" w:rsidRPr="00BE1959" w:rsidRDefault="005613AB" w:rsidP="005613AB">
            <w:pPr>
              <w:spacing w:after="0" w:line="240" w:lineRule="auto"/>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658"/>
              <w:gridCol w:w="6314"/>
            </w:tblGrid>
            <w:tr w:rsidR="00DE3173" w:rsidRPr="00BE1959">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(viii)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6E3030" w:rsidP="007E0A70">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стаття</w:t>
                  </w:r>
                  <w:r w:rsidR="005613AB" w:rsidRPr="00BE1959">
                    <w:rPr>
                      <w:rFonts w:ascii="Times New Roman" w:eastAsia="Times New Roman" w:hAnsi="Times New Roman" w:cs="Times New Roman"/>
                      <w:sz w:val="24"/>
                      <w:szCs w:val="24"/>
                      <w:lang w:val="uk-UA"/>
                    </w:rPr>
                    <w:t xml:space="preserve"> 21(1);</w:t>
                  </w:r>
                </w:p>
              </w:tc>
            </w:tr>
          </w:tbl>
          <w:p w:rsidR="005613AB" w:rsidRPr="00BE1959" w:rsidRDefault="005613AB" w:rsidP="005613AB">
            <w:pPr>
              <w:spacing w:after="0" w:line="240" w:lineRule="auto"/>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421"/>
              <w:gridCol w:w="7551"/>
            </w:tblGrid>
            <w:tr w:rsidR="00DE3173" w:rsidRPr="00BE1959">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(ix)</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6E3030" w:rsidP="007E0A70">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стаття</w:t>
                  </w:r>
                  <w:r w:rsidR="005613AB" w:rsidRPr="00BE1959">
                    <w:rPr>
                      <w:rFonts w:ascii="Times New Roman" w:eastAsia="Times New Roman" w:hAnsi="Times New Roman" w:cs="Times New Roman"/>
                      <w:sz w:val="24"/>
                      <w:szCs w:val="24"/>
                      <w:lang w:val="uk-UA"/>
                    </w:rPr>
                    <w:t xml:space="preserve"> 23(1), (2) </w:t>
                  </w:r>
                  <w:r w:rsidR="007E0A70" w:rsidRPr="00BE1959">
                    <w:rPr>
                      <w:rFonts w:ascii="Times New Roman" w:eastAsia="Times New Roman" w:hAnsi="Times New Roman" w:cs="Times New Roman"/>
                      <w:sz w:val="24"/>
                      <w:szCs w:val="24"/>
                      <w:lang w:val="uk-UA"/>
                    </w:rPr>
                    <w:t>та</w:t>
                  </w:r>
                  <w:r w:rsidR="005613AB" w:rsidRPr="00BE1959">
                    <w:rPr>
                      <w:rFonts w:ascii="Times New Roman" w:eastAsia="Times New Roman" w:hAnsi="Times New Roman" w:cs="Times New Roman"/>
                      <w:sz w:val="24"/>
                      <w:szCs w:val="24"/>
                      <w:lang w:val="uk-UA"/>
                    </w:rPr>
                    <w:t xml:space="preserve"> (3);</w:t>
                  </w:r>
                </w:p>
              </w:tc>
            </w:tr>
          </w:tbl>
          <w:p w:rsidR="005613AB" w:rsidRPr="00BE1959" w:rsidRDefault="005613AB" w:rsidP="005613AB">
            <w:pPr>
              <w:spacing w:after="0" w:line="240" w:lineRule="auto"/>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58"/>
              <w:gridCol w:w="8514"/>
            </w:tblGrid>
            <w:tr w:rsidR="00DE3173" w:rsidRPr="0043174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(x)</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6E3030" w:rsidP="007E0A70">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стаття</w:t>
                  </w:r>
                  <w:r w:rsidR="005613AB" w:rsidRPr="00BE1959">
                    <w:rPr>
                      <w:rFonts w:ascii="Times New Roman" w:eastAsia="Times New Roman" w:hAnsi="Times New Roman" w:cs="Times New Roman"/>
                      <w:sz w:val="24"/>
                      <w:szCs w:val="24"/>
                      <w:lang w:val="uk-UA"/>
                    </w:rPr>
                    <w:t xml:space="preserve"> 24(1) </w:t>
                  </w:r>
                  <w:r w:rsidR="007E0A70" w:rsidRPr="00BE1959">
                    <w:rPr>
                      <w:rFonts w:ascii="Times New Roman" w:eastAsia="Times New Roman" w:hAnsi="Times New Roman" w:cs="Times New Roman"/>
                      <w:sz w:val="24"/>
                      <w:szCs w:val="24"/>
                      <w:lang w:val="uk-UA"/>
                    </w:rPr>
                    <w:t>-</w:t>
                  </w:r>
                  <w:r w:rsidR="005613AB" w:rsidRPr="00BE1959">
                    <w:rPr>
                      <w:rFonts w:ascii="Times New Roman" w:eastAsia="Times New Roman" w:hAnsi="Times New Roman" w:cs="Times New Roman"/>
                      <w:sz w:val="24"/>
                      <w:szCs w:val="24"/>
                      <w:lang w:val="uk-UA"/>
                    </w:rPr>
                    <w:t xml:space="preserve"> (5) </w:t>
                  </w:r>
                  <w:r w:rsidR="007E0A70" w:rsidRPr="00BE1959">
                    <w:rPr>
                      <w:rFonts w:ascii="Times New Roman" w:eastAsia="Times New Roman" w:hAnsi="Times New Roman" w:cs="Times New Roman"/>
                      <w:sz w:val="24"/>
                      <w:szCs w:val="24"/>
                      <w:lang w:val="uk-UA"/>
                    </w:rPr>
                    <w:t>та</w:t>
                  </w:r>
                  <w:r w:rsidR="005613AB" w:rsidRPr="00BE1959">
                    <w:rPr>
                      <w:rFonts w:ascii="Times New Roman" w:eastAsia="Times New Roman" w:hAnsi="Times New Roman" w:cs="Times New Roman"/>
                      <w:sz w:val="24"/>
                      <w:szCs w:val="24"/>
                      <w:lang w:val="uk-UA"/>
                    </w:rPr>
                    <w:t xml:space="preserve"> (7) </w:t>
                  </w:r>
                  <w:r w:rsidR="007E0A70" w:rsidRPr="00BE1959">
                    <w:rPr>
                      <w:rFonts w:ascii="Times New Roman" w:eastAsia="Times New Roman" w:hAnsi="Times New Roman" w:cs="Times New Roman"/>
                      <w:sz w:val="24"/>
                      <w:szCs w:val="24"/>
                      <w:lang w:val="uk-UA"/>
                    </w:rPr>
                    <w:t xml:space="preserve">- </w:t>
                  </w:r>
                  <w:r w:rsidR="005613AB" w:rsidRPr="00BE1959">
                    <w:rPr>
                      <w:rFonts w:ascii="Times New Roman" w:eastAsia="Times New Roman" w:hAnsi="Times New Roman" w:cs="Times New Roman"/>
                      <w:sz w:val="24"/>
                      <w:szCs w:val="24"/>
                      <w:lang w:val="uk-UA"/>
                    </w:rPr>
                    <w:t>(10)</w:t>
                  </w:r>
                  <w:r w:rsidR="007E0A70" w:rsidRPr="00BE1959">
                    <w:rPr>
                      <w:rFonts w:ascii="Times New Roman" w:eastAsia="Times New Roman" w:hAnsi="Times New Roman" w:cs="Times New Roman"/>
                      <w:sz w:val="24"/>
                      <w:szCs w:val="24"/>
                      <w:lang w:val="uk-UA"/>
                    </w:rPr>
                    <w:t xml:space="preserve"> і перший та другий абзаці </w:t>
                  </w:r>
                  <w:r w:rsidR="0065313E" w:rsidRPr="00BE1959">
                    <w:rPr>
                      <w:rFonts w:ascii="Times New Roman" w:eastAsia="Times New Roman" w:hAnsi="Times New Roman" w:cs="Times New Roman"/>
                      <w:sz w:val="24"/>
                      <w:szCs w:val="24"/>
                      <w:lang w:val="uk-UA"/>
                    </w:rPr>
                    <w:t>статті</w:t>
                  </w:r>
                  <w:r w:rsidR="005613AB" w:rsidRPr="00BE1959">
                    <w:rPr>
                      <w:rFonts w:ascii="Times New Roman" w:eastAsia="Times New Roman" w:hAnsi="Times New Roman" w:cs="Times New Roman"/>
                      <w:sz w:val="24"/>
                      <w:szCs w:val="24"/>
                      <w:lang w:val="uk-UA"/>
                    </w:rPr>
                    <w:t xml:space="preserve"> 24(11);</w:t>
                  </w:r>
                </w:p>
              </w:tc>
            </w:tr>
          </w:tbl>
          <w:p w:rsidR="005613AB" w:rsidRPr="00BE1959" w:rsidRDefault="005613AB" w:rsidP="005613AB">
            <w:pPr>
              <w:spacing w:after="0" w:line="240" w:lineRule="auto"/>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746"/>
              <w:gridCol w:w="7226"/>
            </w:tblGrid>
            <w:tr w:rsidR="00DE3173" w:rsidRPr="00BE1959">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(xi)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6E3030"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стаття</w:t>
                  </w:r>
                  <w:r w:rsidR="005613AB" w:rsidRPr="00BE1959">
                    <w:rPr>
                      <w:rFonts w:ascii="Times New Roman" w:eastAsia="Times New Roman" w:hAnsi="Times New Roman" w:cs="Times New Roman"/>
                      <w:sz w:val="24"/>
                      <w:szCs w:val="24"/>
                      <w:lang w:val="uk-UA"/>
                    </w:rPr>
                    <w:t xml:space="preserve"> 25(1) </w:t>
                  </w:r>
                  <w:r w:rsidR="007E0A70" w:rsidRPr="00BE1959">
                    <w:rPr>
                      <w:rFonts w:ascii="Times New Roman" w:eastAsia="Times New Roman" w:hAnsi="Times New Roman" w:cs="Times New Roman"/>
                      <w:sz w:val="24"/>
                      <w:szCs w:val="24"/>
                      <w:lang w:val="uk-UA"/>
                    </w:rPr>
                    <w:t>-</w:t>
                  </w:r>
                  <w:r w:rsidR="005613AB" w:rsidRPr="00BE1959">
                    <w:rPr>
                      <w:rFonts w:ascii="Times New Roman" w:eastAsia="Times New Roman" w:hAnsi="Times New Roman" w:cs="Times New Roman"/>
                      <w:sz w:val="24"/>
                      <w:szCs w:val="24"/>
                      <w:lang w:val="uk-UA"/>
                    </w:rPr>
                    <w:t xml:space="preserve"> (6);</w:t>
                  </w:r>
                </w:p>
              </w:tc>
            </w:tr>
          </w:tbl>
          <w:p w:rsidR="005613AB" w:rsidRPr="00BE1959" w:rsidRDefault="005613AB" w:rsidP="005613AB">
            <w:pPr>
              <w:spacing w:after="0" w:line="240" w:lineRule="auto"/>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41"/>
              <w:gridCol w:w="8131"/>
            </w:tblGrid>
            <w:tr w:rsidR="00DE3173" w:rsidRPr="0043174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(xii)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7E0A70" w:rsidP="006E3030">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друге речення</w:t>
                  </w:r>
                  <w:r w:rsidR="005613AB" w:rsidRPr="00BE1959">
                    <w:rPr>
                      <w:rFonts w:ascii="Times New Roman" w:eastAsia="Times New Roman" w:hAnsi="Times New Roman" w:cs="Times New Roman"/>
                      <w:sz w:val="24"/>
                      <w:szCs w:val="24"/>
                      <w:lang w:val="uk-UA"/>
                    </w:rPr>
                    <w:t xml:space="preserve"> </w:t>
                  </w:r>
                  <w:r w:rsidR="0065313E" w:rsidRPr="00BE1959">
                    <w:rPr>
                      <w:rFonts w:ascii="Times New Roman" w:eastAsia="Times New Roman" w:hAnsi="Times New Roman" w:cs="Times New Roman"/>
                      <w:sz w:val="24"/>
                      <w:szCs w:val="24"/>
                      <w:lang w:val="uk-UA"/>
                    </w:rPr>
                    <w:t>статті</w:t>
                  </w:r>
                  <w:r w:rsidR="005613AB" w:rsidRPr="00BE1959">
                    <w:rPr>
                      <w:rFonts w:ascii="Times New Roman" w:eastAsia="Times New Roman" w:hAnsi="Times New Roman" w:cs="Times New Roman"/>
                      <w:sz w:val="24"/>
                      <w:szCs w:val="24"/>
                      <w:lang w:val="uk-UA"/>
                    </w:rPr>
                    <w:t xml:space="preserve"> 26(1) </w:t>
                  </w:r>
                  <w:r w:rsidRPr="00BE1959">
                    <w:rPr>
                      <w:rFonts w:ascii="Times New Roman" w:eastAsia="Times New Roman" w:hAnsi="Times New Roman" w:cs="Times New Roman"/>
                      <w:sz w:val="24"/>
                      <w:szCs w:val="24"/>
                      <w:lang w:val="uk-UA"/>
                    </w:rPr>
                    <w:t>та</w:t>
                  </w:r>
                  <w:r w:rsidR="005613AB" w:rsidRPr="00BE1959">
                    <w:rPr>
                      <w:rFonts w:ascii="Times New Roman" w:eastAsia="Times New Roman" w:hAnsi="Times New Roman" w:cs="Times New Roman"/>
                      <w:sz w:val="24"/>
                      <w:szCs w:val="24"/>
                      <w:lang w:val="uk-UA"/>
                    </w:rPr>
                    <w:t xml:space="preserve"> </w:t>
                  </w:r>
                  <w:r w:rsidR="006E3030" w:rsidRPr="00BE1959">
                    <w:rPr>
                      <w:rFonts w:ascii="Times New Roman" w:eastAsia="Times New Roman" w:hAnsi="Times New Roman" w:cs="Times New Roman"/>
                      <w:sz w:val="24"/>
                      <w:szCs w:val="24"/>
                      <w:lang w:val="uk-UA"/>
                    </w:rPr>
                    <w:t xml:space="preserve">стаття </w:t>
                  </w:r>
                  <w:r w:rsidR="005613AB" w:rsidRPr="00BE1959">
                    <w:rPr>
                      <w:rFonts w:ascii="Times New Roman" w:eastAsia="Times New Roman" w:hAnsi="Times New Roman" w:cs="Times New Roman"/>
                      <w:sz w:val="24"/>
                      <w:szCs w:val="24"/>
                      <w:lang w:val="uk-UA"/>
                    </w:rPr>
                    <w:t xml:space="preserve">26(2) </w:t>
                  </w:r>
                  <w:r w:rsidRPr="00BE1959">
                    <w:rPr>
                      <w:rFonts w:ascii="Times New Roman" w:eastAsia="Times New Roman" w:hAnsi="Times New Roman" w:cs="Times New Roman"/>
                      <w:sz w:val="24"/>
                      <w:szCs w:val="24"/>
                      <w:lang w:val="uk-UA"/>
                    </w:rPr>
                    <w:t>та</w:t>
                  </w:r>
                  <w:r w:rsidR="005613AB" w:rsidRPr="00BE1959">
                    <w:rPr>
                      <w:rFonts w:ascii="Times New Roman" w:eastAsia="Times New Roman" w:hAnsi="Times New Roman" w:cs="Times New Roman"/>
                      <w:sz w:val="24"/>
                      <w:szCs w:val="24"/>
                      <w:lang w:val="uk-UA"/>
                    </w:rPr>
                    <w:t xml:space="preserve"> (3);</w:t>
                  </w:r>
                </w:p>
              </w:tc>
            </w:tr>
          </w:tbl>
          <w:p w:rsidR="005613AB" w:rsidRPr="00BE1959" w:rsidRDefault="005613AB" w:rsidP="005613AB">
            <w:pPr>
              <w:spacing w:after="0" w:line="240" w:lineRule="auto"/>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38"/>
              <w:gridCol w:w="6834"/>
            </w:tblGrid>
            <w:tr w:rsidR="00DE3173" w:rsidRPr="00BE1959">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(xiii)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6E3030"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стаття </w:t>
                  </w:r>
                  <w:r w:rsidR="005613AB" w:rsidRPr="00BE1959">
                    <w:rPr>
                      <w:rFonts w:ascii="Times New Roman" w:eastAsia="Times New Roman" w:hAnsi="Times New Roman" w:cs="Times New Roman"/>
                      <w:sz w:val="24"/>
                      <w:szCs w:val="24"/>
                      <w:lang w:val="uk-UA"/>
                    </w:rPr>
                    <w:t xml:space="preserve">27(1) </w:t>
                  </w:r>
                  <w:r w:rsidR="007E0A70" w:rsidRPr="00BE1959">
                    <w:rPr>
                      <w:rFonts w:ascii="Times New Roman" w:eastAsia="Times New Roman" w:hAnsi="Times New Roman" w:cs="Times New Roman"/>
                      <w:sz w:val="24"/>
                      <w:szCs w:val="24"/>
                      <w:lang w:val="uk-UA"/>
                    </w:rPr>
                    <w:t>-</w:t>
                  </w:r>
                  <w:r w:rsidR="005613AB" w:rsidRPr="00BE1959">
                    <w:rPr>
                      <w:rFonts w:ascii="Times New Roman" w:eastAsia="Times New Roman" w:hAnsi="Times New Roman" w:cs="Times New Roman"/>
                      <w:sz w:val="24"/>
                      <w:szCs w:val="24"/>
                      <w:lang w:val="uk-UA"/>
                    </w:rPr>
                    <w:t xml:space="preserve"> (8);</w:t>
                  </w:r>
                </w:p>
              </w:tc>
            </w:tr>
          </w:tbl>
          <w:p w:rsidR="005613AB" w:rsidRPr="00BE1959" w:rsidRDefault="005613AB" w:rsidP="005613AB">
            <w:pPr>
              <w:spacing w:after="0" w:line="240" w:lineRule="auto"/>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995"/>
              <w:gridCol w:w="6977"/>
            </w:tblGrid>
            <w:tr w:rsidR="00DE3173" w:rsidRPr="00BE1959">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(xiv)</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6E3030"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стаття</w:t>
                  </w:r>
                  <w:r w:rsidR="005613AB" w:rsidRPr="00BE1959">
                    <w:rPr>
                      <w:rFonts w:ascii="Times New Roman" w:eastAsia="Times New Roman" w:hAnsi="Times New Roman" w:cs="Times New Roman"/>
                      <w:sz w:val="24"/>
                      <w:szCs w:val="24"/>
                      <w:lang w:val="uk-UA"/>
                    </w:rPr>
                    <w:t xml:space="preserve"> 28(1) </w:t>
                  </w:r>
                  <w:r w:rsidR="007E0A70" w:rsidRPr="00BE1959">
                    <w:rPr>
                      <w:rFonts w:ascii="Times New Roman" w:eastAsia="Times New Roman" w:hAnsi="Times New Roman" w:cs="Times New Roman"/>
                      <w:sz w:val="24"/>
                      <w:szCs w:val="24"/>
                      <w:lang w:val="uk-UA"/>
                    </w:rPr>
                    <w:t>та</w:t>
                  </w:r>
                  <w:r w:rsidR="005613AB" w:rsidRPr="00BE1959">
                    <w:rPr>
                      <w:rFonts w:ascii="Times New Roman" w:eastAsia="Times New Roman" w:hAnsi="Times New Roman" w:cs="Times New Roman"/>
                      <w:sz w:val="24"/>
                      <w:szCs w:val="24"/>
                      <w:lang w:val="uk-UA"/>
                    </w:rPr>
                    <w:t xml:space="preserve"> (2);</w:t>
                  </w:r>
                </w:p>
              </w:tc>
            </w:tr>
          </w:tbl>
          <w:p w:rsidR="005613AB" w:rsidRPr="00BE1959" w:rsidRDefault="005613AB" w:rsidP="005613AB">
            <w:pPr>
              <w:spacing w:after="0" w:line="240" w:lineRule="auto"/>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467"/>
            </w:tblGrid>
            <w:tr w:rsidR="00DE3173" w:rsidRPr="0043174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(xv)</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A57121"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перший абзац </w:t>
                  </w:r>
                  <w:r w:rsidR="0065313E" w:rsidRPr="00BE1959">
                    <w:rPr>
                      <w:rFonts w:ascii="Times New Roman" w:eastAsia="Times New Roman" w:hAnsi="Times New Roman" w:cs="Times New Roman"/>
                      <w:sz w:val="24"/>
                      <w:szCs w:val="24"/>
                      <w:lang w:val="uk-UA"/>
                    </w:rPr>
                    <w:t>статті</w:t>
                  </w:r>
                  <w:r w:rsidR="005613AB" w:rsidRPr="00BE1959">
                    <w:rPr>
                      <w:rFonts w:ascii="Times New Roman" w:eastAsia="Times New Roman" w:hAnsi="Times New Roman" w:cs="Times New Roman"/>
                      <w:sz w:val="24"/>
                      <w:szCs w:val="24"/>
                      <w:lang w:val="uk-UA"/>
                    </w:rPr>
                    <w:t xml:space="preserve"> 29(2), </w:t>
                  </w:r>
                  <w:r w:rsidRPr="00BE1959">
                    <w:rPr>
                      <w:rFonts w:ascii="Times New Roman" w:eastAsia="Times New Roman" w:hAnsi="Times New Roman" w:cs="Times New Roman"/>
                      <w:sz w:val="24"/>
                      <w:szCs w:val="24"/>
                      <w:lang w:val="uk-UA"/>
                    </w:rPr>
                    <w:t>третій абзац</w:t>
                  </w:r>
                  <w:r w:rsidR="005613AB" w:rsidRPr="00BE1959">
                    <w:rPr>
                      <w:rFonts w:ascii="Times New Roman" w:eastAsia="Times New Roman" w:hAnsi="Times New Roman" w:cs="Times New Roman"/>
                      <w:sz w:val="24"/>
                      <w:szCs w:val="24"/>
                      <w:lang w:val="uk-UA"/>
                    </w:rPr>
                    <w:t xml:space="preserve"> </w:t>
                  </w:r>
                  <w:r w:rsidR="0065313E" w:rsidRPr="00BE1959">
                    <w:rPr>
                      <w:rFonts w:ascii="Times New Roman" w:eastAsia="Times New Roman" w:hAnsi="Times New Roman" w:cs="Times New Roman"/>
                      <w:sz w:val="24"/>
                      <w:szCs w:val="24"/>
                      <w:lang w:val="uk-UA"/>
                    </w:rPr>
                    <w:t>статті</w:t>
                  </w:r>
                  <w:r w:rsidR="005613AB" w:rsidRPr="00BE1959">
                    <w:rPr>
                      <w:rFonts w:ascii="Times New Roman" w:eastAsia="Times New Roman" w:hAnsi="Times New Roman" w:cs="Times New Roman"/>
                      <w:sz w:val="24"/>
                      <w:szCs w:val="24"/>
                      <w:lang w:val="uk-UA"/>
                    </w:rPr>
                    <w:t xml:space="preserve"> 29(2), </w:t>
                  </w:r>
                  <w:r w:rsidRPr="00BE1959">
                    <w:rPr>
                      <w:rFonts w:ascii="Times New Roman" w:eastAsia="Times New Roman" w:hAnsi="Times New Roman" w:cs="Times New Roman"/>
                      <w:sz w:val="24"/>
                      <w:szCs w:val="24"/>
                      <w:lang w:val="uk-UA"/>
                    </w:rPr>
                    <w:t>перше речення</w:t>
                  </w:r>
                  <w:r w:rsidR="005613AB" w:rsidRPr="00BE1959">
                    <w:rPr>
                      <w:rFonts w:ascii="Times New Roman" w:eastAsia="Times New Roman" w:hAnsi="Times New Roman" w:cs="Times New Roman"/>
                      <w:sz w:val="24"/>
                      <w:szCs w:val="24"/>
                      <w:lang w:val="uk-UA"/>
                    </w:rPr>
                    <w:t xml:space="preserve"> </w:t>
                  </w:r>
                  <w:r w:rsidR="0065313E" w:rsidRPr="00BE1959">
                    <w:rPr>
                      <w:rFonts w:ascii="Times New Roman" w:eastAsia="Times New Roman" w:hAnsi="Times New Roman" w:cs="Times New Roman"/>
                      <w:sz w:val="24"/>
                      <w:szCs w:val="24"/>
                      <w:lang w:val="uk-UA"/>
                    </w:rPr>
                    <w:t>статті</w:t>
                  </w:r>
                  <w:r w:rsidR="005613AB" w:rsidRPr="00BE1959">
                    <w:rPr>
                      <w:rFonts w:ascii="Times New Roman" w:eastAsia="Times New Roman" w:hAnsi="Times New Roman" w:cs="Times New Roman"/>
                      <w:sz w:val="24"/>
                      <w:szCs w:val="24"/>
                      <w:lang w:val="uk-UA"/>
                    </w:rPr>
                    <w:t xml:space="preserve"> 29(3), </w:t>
                  </w:r>
                  <w:r w:rsidRPr="00BE1959">
                    <w:rPr>
                      <w:rFonts w:ascii="Times New Roman" w:eastAsia="Times New Roman" w:hAnsi="Times New Roman" w:cs="Times New Roman"/>
                      <w:sz w:val="24"/>
                      <w:szCs w:val="24"/>
                      <w:lang w:val="uk-UA"/>
                    </w:rPr>
                    <w:t>перший абзац</w:t>
                  </w:r>
                  <w:r w:rsidR="005613AB" w:rsidRPr="00BE1959">
                    <w:rPr>
                      <w:rFonts w:ascii="Times New Roman" w:eastAsia="Times New Roman" w:hAnsi="Times New Roman" w:cs="Times New Roman"/>
                      <w:sz w:val="24"/>
                      <w:szCs w:val="24"/>
                      <w:lang w:val="uk-UA"/>
                    </w:rPr>
                    <w:t xml:space="preserve"> </w:t>
                  </w:r>
                  <w:r w:rsidR="0065313E" w:rsidRPr="00BE1959">
                    <w:rPr>
                      <w:rFonts w:ascii="Times New Roman" w:eastAsia="Times New Roman" w:hAnsi="Times New Roman" w:cs="Times New Roman"/>
                      <w:sz w:val="24"/>
                      <w:szCs w:val="24"/>
                      <w:lang w:val="uk-UA"/>
                    </w:rPr>
                    <w:t>статті</w:t>
                  </w:r>
                  <w:r w:rsidR="005613AB" w:rsidRPr="00BE1959">
                    <w:rPr>
                      <w:rFonts w:ascii="Times New Roman" w:eastAsia="Times New Roman" w:hAnsi="Times New Roman" w:cs="Times New Roman"/>
                      <w:sz w:val="24"/>
                      <w:szCs w:val="24"/>
                      <w:lang w:val="uk-UA"/>
                    </w:rPr>
                    <w:t xml:space="preserve"> 29(4), </w:t>
                  </w:r>
                  <w:r w:rsidR="007E0A70" w:rsidRPr="00BE1959">
                    <w:rPr>
                      <w:rFonts w:ascii="Times New Roman" w:eastAsia="Times New Roman" w:hAnsi="Times New Roman" w:cs="Times New Roman"/>
                      <w:sz w:val="24"/>
                      <w:szCs w:val="24"/>
                      <w:lang w:val="uk-UA"/>
                    </w:rPr>
                    <w:t>та</w:t>
                  </w:r>
                  <w:r w:rsidR="005613AB" w:rsidRPr="00BE1959">
                    <w:rPr>
                      <w:rFonts w:ascii="Times New Roman" w:eastAsia="Times New Roman" w:hAnsi="Times New Roman" w:cs="Times New Roman"/>
                      <w:sz w:val="24"/>
                      <w:szCs w:val="24"/>
                      <w:lang w:val="uk-UA"/>
                    </w:rPr>
                    <w:t xml:space="preserve"> </w:t>
                  </w:r>
                  <w:r w:rsidR="006E3030" w:rsidRPr="00BE1959">
                    <w:rPr>
                      <w:rFonts w:ascii="Times New Roman" w:eastAsia="Times New Roman" w:hAnsi="Times New Roman" w:cs="Times New Roman"/>
                      <w:sz w:val="24"/>
                      <w:szCs w:val="24"/>
                      <w:lang w:val="uk-UA"/>
                    </w:rPr>
                    <w:t>стаття</w:t>
                  </w:r>
                  <w:r w:rsidR="005613AB" w:rsidRPr="00BE1959">
                    <w:rPr>
                      <w:rFonts w:ascii="Times New Roman" w:eastAsia="Times New Roman" w:hAnsi="Times New Roman" w:cs="Times New Roman"/>
                      <w:sz w:val="24"/>
                      <w:szCs w:val="24"/>
                      <w:lang w:val="uk-UA"/>
                    </w:rPr>
                    <w:t xml:space="preserve"> 29(5);</w:t>
                  </w:r>
                </w:p>
              </w:tc>
            </w:tr>
          </w:tbl>
          <w:p w:rsidR="005613AB" w:rsidRPr="00BE1959" w:rsidRDefault="005613AB" w:rsidP="005613AB">
            <w:pPr>
              <w:spacing w:after="0" w:line="240" w:lineRule="auto"/>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59"/>
              <w:gridCol w:w="8313"/>
            </w:tblGrid>
            <w:tr w:rsidR="00DE3173" w:rsidRPr="0043174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(xvi)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A57121" w:rsidP="0057645E">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другий абзац</w:t>
                  </w:r>
                  <w:r w:rsidR="005613AB" w:rsidRPr="00BE1959">
                    <w:rPr>
                      <w:rFonts w:ascii="Times New Roman" w:eastAsia="Times New Roman" w:hAnsi="Times New Roman" w:cs="Times New Roman"/>
                      <w:sz w:val="24"/>
                      <w:szCs w:val="24"/>
                      <w:lang w:val="uk-UA"/>
                    </w:rPr>
                    <w:t xml:space="preserve"> </w:t>
                  </w:r>
                  <w:r w:rsidR="0065313E" w:rsidRPr="00BE1959">
                    <w:rPr>
                      <w:rFonts w:ascii="Times New Roman" w:eastAsia="Times New Roman" w:hAnsi="Times New Roman" w:cs="Times New Roman"/>
                      <w:sz w:val="24"/>
                      <w:szCs w:val="24"/>
                      <w:lang w:val="uk-UA"/>
                    </w:rPr>
                    <w:t>статті</w:t>
                  </w:r>
                  <w:r w:rsidR="005613AB" w:rsidRPr="00BE1959">
                    <w:rPr>
                      <w:rFonts w:ascii="Times New Roman" w:eastAsia="Times New Roman" w:hAnsi="Times New Roman" w:cs="Times New Roman"/>
                      <w:sz w:val="24"/>
                      <w:szCs w:val="24"/>
                      <w:lang w:val="uk-UA"/>
                    </w:rPr>
                    <w:t xml:space="preserve"> 30(1), </w:t>
                  </w:r>
                  <w:r w:rsidRPr="00BE1959">
                    <w:rPr>
                      <w:rFonts w:ascii="Times New Roman" w:eastAsia="Times New Roman" w:hAnsi="Times New Roman" w:cs="Times New Roman"/>
                      <w:sz w:val="24"/>
                      <w:szCs w:val="24"/>
                      <w:lang w:val="uk-UA"/>
                    </w:rPr>
                    <w:t>перше речення</w:t>
                  </w:r>
                  <w:r w:rsidR="005613AB" w:rsidRPr="00BE1959">
                    <w:rPr>
                      <w:rFonts w:ascii="Times New Roman" w:eastAsia="Times New Roman" w:hAnsi="Times New Roman" w:cs="Times New Roman"/>
                      <w:sz w:val="24"/>
                      <w:szCs w:val="24"/>
                      <w:lang w:val="uk-UA"/>
                    </w:rPr>
                    <w:t xml:space="preserve"> </w:t>
                  </w:r>
                  <w:r w:rsidRPr="00BE1959">
                    <w:rPr>
                      <w:rFonts w:ascii="Times New Roman" w:eastAsia="Times New Roman" w:hAnsi="Times New Roman" w:cs="Times New Roman"/>
                      <w:sz w:val="24"/>
                      <w:szCs w:val="24"/>
                      <w:lang w:val="uk-UA"/>
                    </w:rPr>
                    <w:t>друг</w:t>
                  </w:r>
                  <w:r w:rsidR="0057645E" w:rsidRPr="00BE1959">
                    <w:rPr>
                      <w:rFonts w:ascii="Times New Roman" w:eastAsia="Times New Roman" w:hAnsi="Times New Roman" w:cs="Times New Roman"/>
                      <w:sz w:val="24"/>
                      <w:szCs w:val="24"/>
                      <w:lang w:val="uk-UA"/>
                    </w:rPr>
                    <w:t>ого</w:t>
                  </w:r>
                  <w:r w:rsidRPr="00BE1959">
                    <w:rPr>
                      <w:rFonts w:ascii="Times New Roman" w:eastAsia="Times New Roman" w:hAnsi="Times New Roman" w:cs="Times New Roman"/>
                      <w:sz w:val="24"/>
                      <w:szCs w:val="24"/>
                      <w:lang w:val="uk-UA"/>
                    </w:rPr>
                    <w:t xml:space="preserve"> абзац</w:t>
                  </w:r>
                  <w:r w:rsidR="0057645E" w:rsidRPr="00BE1959">
                    <w:rPr>
                      <w:rFonts w:ascii="Times New Roman" w:eastAsia="Times New Roman" w:hAnsi="Times New Roman" w:cs="Times New Roman"/>
                      <w:sz w:val="24"/>
                      <w:szCs w:val="24"/>
                      <w:lang w:val="uk-UA"/>
                    </w:rPr>
                    <w:t>у</w:t>
                  </w:r>
                  <w:r w:rsidR="005613AB" w:rsidRPr="00BE1959">
                    <w:rPr>
                      <w:rFonts w:ascii="Times New Roman" w:eastAsia="Times New Roman" w:hAnsi="Times New Roman" w:cs="Times New Roman"/>
                      <w:sz w:val="24"/>
                      <w:szCs w:val="24"/>
                      <w:lang w:val="uk-UA"/>
                    </w:rPr>
                    <w:t xml:space="preserve"> </w:t>
                  </w:r>
                  <w:r w:rsidR="0065313E" w:rsidRPr="00BE1959">
                    <w:rPr>
                      <w:rFonts w:ascii="Times New Roman" w:eastAsia="Times New Roman" w:hAnsi="Times New Roman" w:cs="Times New Roman"/>
                      <w:sz w:val="24"/>
                      <w:szCs w:val="24"/>
                      <w:lang w:val="uk-UA"/>
                    </w:rPr>
                    <w:t>статті</w:t>
                  </w:r>
                  <w:r w:rsidR="005613AB" w:rsidRPr="00BE1959">
                    <w:rPr>
                      <w:rFonts w:ascii="Times New Roman" w:eastAsia="Times New Roman" w:hAnsi="Times New Roman" w:cs="Times New Roman"/>
                      <w:sz w:val="24"/>
                      <w:szCs w:val="24"/>
                      <w:lang w:val="uk-UA"/>
                    </w:rPr>
                    <w:t xml:space="preserve"> 30(3);</w:t>
                  </w:r>
                </w:p>
              </w:tc>
            </w:tr>
          </w:tbl>
          <w:p w:rsidR="005613AB" w:rsidRPr="00BE1959" w:rsidRDefault="005613AB" w:rsidP="005613AB">
            <w:pPr>
              <w:spacing w:after="0" w:line="240" w:lineRule="auto"/>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3"/>
              <w:gridCol w:w="8069"/>
            </w:tblGrid>
            <w:tr w:rsidR="00DE3173" w:rsidRPr="0043174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(xvii)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6E3030"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стаття</w:t>
                  </w:r>
                  <w:r w:rsidR="005613AB" w:rsidRPr="00BE1959">
                    <w:rPr>
                      <w:rFonts w:ascii="Times New Roman" w:eastAsia="Times New Roman" w:hAnsi="Times New Roman" w:cs="Times New Roman"/>
                      <w:sz w:val="24"/>
                      <w:szCs w:val="24"/>
                      <w:lang w:val="uk-UA"/>
                    </w:rPr>
                    <w:t xml:space="preserve"> 31(1), </w:t>
                  </w:r>
                  <w:r w:rsidR="00A57121" w:rsidRPr="00BE1959">
                    <w:rPr>
                      <w:rFonts w:ascii="Times New Roman" w:eastAsia="Times New Roman" w:hAnsi="Times New Roman" w:cs="Times New Roman"/>
                      <w:sz w:val="24"/>
                      <w:szCs w:val="24"/>
                      <w:lang w:val="uk-UA"/>
                    </w:rPr>
                    <w:t>перший абзац</w:t>
                  </w:r>
                  <w:r w:rsidR="005613AB" w:rsidRPr="00BE1959">
                    <w:rPr>
                      <w:rFonts w:ascii="Times New Roman" w:eastAsia="Times New Roman" w:hAnsi="Times New Roman" w:cs="Times New Roman"/>
                      <w:sz w:val="24"/>
                      <w:szCs w:val="24"/>
                      <w:lang w:val="uk-UA"/>
                    </w:rPr>
                    <w:t xml:space="preserve"> </w:t>
                  </w:r>
                  <w:r w:rsidR="0065313E" w:rsidRPr="00BE1959">
                    <w:rPr>
                      <w:rFonts w:ascii="Times New Roman" w:eastAsia="Times New Roman" w:hAnsi="Times New Roman" w:cs="Times New Roman"/>
                      <w:sz w:val="24"/>
                      <w:szCs w:val="24"/>
                      <w:lang w:val="uk-UA"/>
                    </w:rPr>
                    <w:t>статті</w:t>
                  </w:r>
                  <w:r w:rsidR="005613AB" w:rsidRPr="00BE1959">
                    <w:rPr>
                      <w:rFonts w:ascii="Times New Roman" w:eastAsia="Times New Roman" w:hAnsi="Times New Roman" w:cs="Times New Roman"/>
                      <w:sz w:val="24"/>
                      <w:szCs w:val="24"/>
                      <w:lang w:val="uk-UA"/>
                    </w:rPr>
                    <w:t xml:space="preserve"> 31(2) </w:t>
                  </w:r>
                  <w:r w:rsidR="007E0A70" w:rsidRPr="00BE1959">
                    <w:rPr>
                      <w:rFonts w:ascii="Times New Roman" w:eastAsia="Times New Roman" w:hAnsi="Times New Roman" w:cs="Times New Roman"/>
                      <w:sz w:val="24"/>
                      <w:szCs w:val="24"/>
                      <w:lang w:val="uk-UA"/>
                    </w:rPr>
                    <w:t>та</w:t>
                  </w:r>
                  <w:r w:rsidR="005613AB" w:rsidRPr="00BE1959">
                    <w:rPr>
                      <w:rFonts w:ascii="Times New Roman" w:eastAsia="Times New Roman" w:hAnsi="Times New Roman" w:cs="Times New Roman"/>
                      <w:sz w:val="24"/>
                      <w:szCs w:val="24"/>
                      <w:lang w:val="uk-UA"/>
                    </w:rPr>
                    <w:t xml:space="preserve"> </w:t>
                  </w:r>
                  <w:r w:rsidRPr="00BE1959">
                    <w:rPr>
                      <w:rFonts w:ascii="Times New Roman" w:eastAsia="Times New Roman" w:hAnsi="Times New Roman" w:cs="Times New Roman"/>
                      <w:sz w:val="24"/>
                      <w:szCs w:val="24"/>
                      <w:lang w:val="uk-UA"/>
                    </w:rPr>
                    <w:t>стаття</w:t>
                  </w:r>
                  <w:r w:rsidR="005613AB" w:rsidRPr="00BE1959">
                    <w:rPr>
                      <w:rFonts w:ascii="Times New Roman" w:eastAsia="Times New Roman" w:hAnsi="Times New Roman" w:cs="Times New Roman"/>
                      <w:sz w:val="24"/>
                      <w:szCs w:val="24"/>
                      <w:lang w:val="uk-UA"/>
                    </w:rPr>
                    <w:t xml:space="preserve"> 31(3);</w:t>
                  </w:r>
                </w:p>
              </w:tc>
            </w:tr>
          </w:tbl>
          <w:p w:rsidR="005613AB" w:rsidRPr="00BE1959" w:rsidRDefault="005613AB" w:rsidP="005613AB">
            <w:pPr>
              <w:spacing w:after="0" w:line="240" w:lineRule="auto"/>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87"/>
              <w:gridCol w:w="8085"/>
            </w:tblGrid>
            <w:tr w:rsidR="00DE3173" w:rsidRPr="0043174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(xviii)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6E3030" w:rsidP="0057645E">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стаття</w:t>
                  </w:r>
                  <w:r w:rsidR="005613AB" w:rsidRPr="00BE1959">
                    <w:rPr>
                      <w:rFonts w:ascii="Times New Roman" w:eastAsia="Times New Roman" w:hAnsi="Times New Roman" w:cs="Times New Roman"/>
                      <w:sz w:val="24"/>
                      <w:szCs w:val="24"/>
                      <w:lang w:val="uk-UA"/>
                    </w:rPr>
                    <w:t xml:space="preserve"> 32(1), </w:t>
                  </w:r>
                  <w:r w:rsidR="0057645E" w:rsidRPr="00BE1959">
                    <w:rPr>
                      <w:rFonts w:ascii="Times New Roman" w:eastAsia="Times New Roman" w:hAnsi="Times New Roman" w:cs="Times New Roman"/>
                      <w:sz w:val="24"/>
                      <w:szCs w:val="24"/>
                      <w:lang w:val="uk-UA"/>
                    </w:rPr>
                    <w:t>перший, другий та четвертий абзаці</w:t>
                  </w:r>
                  <w:r w:rsidR="005613AB" w:rsidRPr="00BE1959">
                    <w:rPr>
                      <w:rFonts w:ascii="Times New Roman" w:eastAsia="Times New Roman" w:hAnsi="Times New Roman" w:cs="Times New Roman"/>
                      <w:sz w:val="24"/>
                      <w:szCs w:val="24"/>
                      <w:lang w:val="uk-UA"/>
                    </w:rPr>
                    <w:t xml:space="preserve"> </w:t>
                  </w:r>
                  <w:r w:rsidR="0065313E" w:rsidRPr="00BE1959">
                    <w:rPr>
                      <w:rFonts w:ascii="Times New Roman" w:eastAsia="Times New Roman" w:hAnsi="Times New Roman" w:cs="Times New Roman"/>
                      <w:sz w:val="24"/>
                      <w:szCs w:val="24"/>
                      <w:lang w:val="uk-UA"/>
                    </w:rPr>
                    <w:t>статті</w:t>
                  </w:r>
                  <w:r w:rsidR="005613AB" w:rsidRPr="00BE1959">
                    <w:rPr>
                      <w:rFonts w:ascii="Times New Roman" w:eastAsia="Times New Roman" w:hAnsi="Times New Roman" w:cs="Times New Roman"/>
                      <w:sz w:val="24"/>
                      <w:szCs w:val="24"/>
                      <w:lang w:val="uk-UA"/>
                    </w:rPr>
                    <w:t xml:space="preserve"> 32(2);</w:t>
                  </w:r>
                </w:p>
              </w:tc>
            </w:tr>
          </w:tbl>
          <w:p w:rsidR="005613AB" w:rsidRPr="00BE1959" w:rsidRDefault="005613AB" w:rsidP="005613AB">
            <w:pPr>
              <w:spacing w:after="0" w:line="240" w:lineRule="auto"/>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616"/>
              <w:gridCol w:w="6356"/>
            </w:tblGrid>
            <w:tr w:rsidR="00DE3173" w:rsidRPr="00BE1959">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(xix)</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6E3030"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стаття</w:t>
                  </w:r>
                  <w:r w:rsidR="005613AB" w:rsidRPr="00BE1959">
                    <w:rPr>
                      <w:rFonts w:ascii="Times New Roman" w:eastAsia="Times New Roman" w:hAnsi="Times New Roman" w:cs="Times New Roman"/>
                      <w:sz w:val="24"/>
                      <w:szCs w:val="24"/>
                      <w:lang w:val="uk-UA"/>
                    </w:rPr>
                    <w:t xml:space="preserve"> 33(3);</w:t>
                  </w:r>
                </w:p>
              </w:tc>
            </w:tr>
          </w:tbl>
          <w:p w:rsidR="005613AB" w:rsidRPr="00BE1959" w:rsidRDefault="005613AB" w:rsidP="005613AB">
            <w:pPr>
              <w:spacing w:after="0" w:line="240" w:lineRule="auto"/>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467"/>
            </w:tblGrid>
            <w:tr w:rsidR="00DE3173" w:rsidRPr="0043174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(xx)</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6E3030"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стаття</w:t>
                  </w:r>
                  <w:r w:rsidR="005613AB" w:rsidRPr="00BE1959">
                    <w:rPr>
                      <w:rFonts w:ascii="Times New Roman" w:eastAsia="Times New Roman" w:hAnsi="Times New Roman" w:cs="Times New Roman"/>
                      <w:sz w:val="24"/>
                      <w:szCs w:val="24"/>
                      <w:lang w:val="uk-UA"/>
                    </w:rPr>
                    <w:t xml:space="preserve"> 34(2), </w:t>
                  </w:r>
                  <w:r w:rsidR="00A57121" w:rsidRPr="00BE1959">
                    <w:rPr>
                      <w:rFonts w:ascii="Times New Roman" w:eastAsia="Times New Roman" w:hAnsi="Times New Roman" w:cs="Times New Roman"/>
                      <w:sz w:val="24"/>
                      <w:szCs w:val="24"/>
                      <w:lang w:val="uk-UA"/>
                    </w:rPr>
                    <w:t>перше речення</w:t>
                  </w:r>
                  <w:r w:rsidR="005613AB" w:rsidRPr="00BE1959">
                    <w:rPr>
                      <w:rFonts w:ascii="Times New Roman" w:eastAsia="Times New Roman" w:hAnsi="Times New Roman" w:cs="Times New Roman"/>
                      <w:sz w:val="24"/>
                      <w:szCs w:val="24"/>
                      <w:lang w:val="uk-UA"/>
                    </w:rPr>
                    <w:t xml:space="preserve"> </w:t>
                  </w:r>
                  <w:r w:rsidR="0065313E" w:rsidRPr="00BE1959">
                    <w:rPr>
                      <w:rFonts w:ascii="Times New Roman" w:eastAsia="Times New Roman" w:hAnsi="Times New Roman" w:cs="Times New Roman"/>
                      <w:sz w:val="24"/>
                      <w:szCs w:val="24"/>
                      <w:lang w:val="uk-UA"/>
                    </w:rPr>
                    <w:t>статті</w:t>
                  </w:r>
                  <w:r w:rsidR="005613AB" w:rsidRPr="00BE1959">
                    <w:rPr>
                      <w:rFonts w:ascii="Times New Roman" w:eastAsia="Times New Roman" w:hAnsi="Times New Roman" w:cs="Times New Roman"/>
                      <w:sz w:val="24"/>
                      <w:szCs w:val="24"/>
                      <w:lang w:val="uk-UA"/>
                    </w:rPr>
                    <w:t xml:space="preserve"> 34(4), </w:t>
                  </w:r>
                  <w:r w:rsidR="00A57121" w:rsidRPr="00BE1959">
                    <w:rPr>
                      <w:rFonts w:ascii="Times New Roman" w:eastAsia="Times New Roman" w:hAnsi="Times New Roman" w:cs="Times New Roman"/>
                      <w:sz w:val="24"/>
                      <w:szCs w:val="24"/>
                      <w:lang w:val="uk-UA"/>
                    </w:rPr>
                    <w:t>перше речення</w:t>
                  </w:r>
                  <w:r w:rsidR="005613AB" w:rsidRPr="00BE1959">
                    <w:rPr>
                      <w:rFonts w:ascii="Times New Roman" w:eastAsia="Times New Roman" w:hAnsi="Times New Roman" w:cs="Times New Roman"/>
                      <w:sz w:val="24"/>
                      <w:szCs w:val="24"/>
                      <w:lang w:val="uk-UA"/>
                    </w:rPr>
                    <w:t xml:space="preserve"> </w:t>
                  </w:r>
                  <w:r w:rsidR="0065313E" w:rsidRPr="00BE1959">
                    <w:rPr>
                      <w:rFonts w:ascii="Times New Roman" w:eastAsia="Times New Roman" w:hAnsi="Times New Roman" w:cs="Times New Roman"/>
                      <w:sz w:val="24"/>
                      <w:szCs w:val="24"/>
                      <w:lang w:val="uk-UA"/>
                    </w:rPr>
                    <w:t>статті</w:t>
                  </w:r>
                  <w:r w:rsidR="005613AB" w:rsidRPr="00BE1959">
                    <w:rPr>
                      <w:rFonts w:ascii="Times New Roman" w:eastAsia="Times New Roman" w:hAnsi="Times New Roman" w:cs="Times New Roman"/>
                      <w:sz w:val="24"/>
                      <w:szCs w:val="24"/>
                      <w:lang w:val="uk-UA"/>
                    </w:rPr>
                    <w:t xml:space="preserve"> 34(5), </w:t>
                  </w:r>
                  <w:r w:rsidR="00A57121" w:rsidRPr="00BE1959">
                    <w:rPr>
                      <w:rFonts w:ascii="Times New Roman" w:eastAsia="Times New Roman" w:hAnsi="Times New Roman" w:cs="Times New Roman"/>
                      <w:sz w:val="24"/>
                      <w:szCs w:val="24"/>
                      <w:lang w:val="uk-UA"/>
                    </w:rPr>
                    <w:t xml:space="preserve">перше </w:t>
                  </w:r>
                  <w:r w:rsidR="00A57121" w:rsidRPr="00BE1959">
                    <w:rPr>
                      <w:rFonts w:ascii="Times New Roman" w:eastAsia="Times New Roman" w:hAnsi="Times New Roman" w:cs="Times New Roman"/>
                      <w:sz w:val="24"/>
                      <w:szCs w:val="24"/>
                      <w:lang w:val="uk-UA"/>
                    </w:rPr>
                    <w:lastRenderedPageBreak/>
                    <w:t>речення</w:t>
                  </w:r>
                  <w:r w:rsidR="005613AB" w:rsidRPr="00BE1959">
                    <w:rPr>
                      <w:rFonts w:ascii="Times New Roman" w:eastAsia="Times New Roman" w:hAnsi="Times New Roman" w:cs="Times New Roman"/>
                      <w:sz w:val="24"/>
                      <w:szCs w:val="24"/>
                      <w:lang w:val="uk-UA"/>
                    </w:rPr>
                    <w:t xml:space="preserve"> </w:t>
                  </w:r>
                  <w:r w:rsidR="0065313E" w:rsidRPr="00BE1959">
                    <w:rPr>
                      <w:rFonts w:ascii="Times New Roman" w:eastAsia="Times New Roman" w:hAnsi="Times New Roman" w:cs="Times New Roman"/>
                      <w:sz w:val="24"/>
                      <w:szCs w:val="24"/>
                      <w:lang w:val="uk-UA"/>
                    </w:rPr>
                    <w:t>статті</w:t>
                  </w:r>
                  <w:r w:rsidR="005613AB" w:rsidRPr="00BE1959">
                    <w:rPr>
                      <w:rFonts w:ascii="Times New Roman" w:eastAsia="Times New Roman" w:hAnsi="Times New Roman" w:cs="Times New Roman"/>
                      <w:sz w:val="24"/>
                      <w:szCs w:val="24"/>
                      <w:lang w:val="uk-UA"/>
                    </w:rPr>
                    <w:t xml:space="preserve"> 34(7);</w:t>
                  </w:r>
                </w:p>
              </w:tc>
            </w:tr>
          </w:tbl>
          <w:p w:rsidR="005613AB" w:rsidRPr="00BE1959" w:rsidRDefault="005613AB" w:rsidP="005613AB">
            <w:pPr>
              <w:spacing w:after="0" w:line="240" w:lineRule="auto"/>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64"/>
              <w:gridCol w:w="8308"/>
            </w:tblGrid>
            <w:tr w:rsidR="00DE3173" w:rsidRPr="0043174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(xxi)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6E3030"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стаття</w:t>
                  </w:r>
                  <w:r w:rsidR="005613AB" w:rsidRPr="00BE1959">
                    <w:rPr>
                      <w:rFonts w:ascii="Times New Roman" w:eastAsia="Times New Roman" w:hAnsi="Times New Roman" w:cs="Times New Roman"/>
                      <w:sz w:val="24"/>
                      <w:szCs w:val="24"/>
                      <w:lang w:val="uk-UA"/>
                    </w:rPr>
                    <w:t xml:space="preserve"> 35(2), </w:t>
                  </w:r>
                  <w:r w:rsidR="00A57121" w:rsidRPr="00BE1959">
                    <w:rPr>
                      <w:rFonts w:ascii="Times New Roman" w:eastAsia="Times New Roman" w:hAnsi="Times New Roman" w:cs="Times New Roman"/>
                      <w:sz w:val="24"/>
                      <w:szCs w:val="24"/>
                      <w:lang w:val="uk-UA"/>
                    </w:rPr>
                    <w:t>перший абзац</w:t>
                  </w:r>
                  <w:r w:rsidR="005613AB" w:rsidRPr="00BE1959">
                    <w:rPr>
                      <w:rFonts w:ascii="Times New Roman" w:eastAsia="Times New Roman" w:hAnsi="Times New Roman" w:cs="Times New Roman"/>
                      <w:sz w:val="24"/>
                      <w:szCs w:val="24"/>
                      <w:lang w:val="uk-UA"/>
                    </w:rPr>
                    <w:t xml:space="preserve"> </w:t>
                  </w:r>
                  <w:r w:rsidR="0065313E" w:rsidRPr="00BE1959">
                    <w:rPr>
                      <w:rFonts w:ascii="Times New Roman" w:eastAsia="Times New Roman" w:hAnsi="Times New Roman" w:cs="Times New Roman"/>
                      <w:sz w:val="24"/>
                      <w:szCs w:val="24"/>
                      <w:lang w:val="uk-UA"/>
                    </w:rPr>
                    <w:t>статті</w:t>
                  </w:r>
                  <w:r w:rsidR="005613AB" w:rsidRPr="00BE1959">
                    <w:rPr>
                      <w:rFonts w:ascii="Times New Roman" w:eastAsia="Times New Roman" w:hAnsi="Times New Roman" w:cs="Times New Roman"/>
                      <w:sz w:val="24"/>
                      <w:szCs w:val="24"/>
                      <w:lang w:val="uk-UA"/>
                    </w:rPr>
                    <w:t xml:space="preserve"> 35(7), </w:t>
                  </w:r>
                  <w:r w:rsidR="00A57121" w:rsidRPr="00BE1959">
                    <w:rPr>
                      <w:rFonts w:ascii="Times New Roman" w:eastAsia="Times New Roman" w:hAnsi="Times New Roman" w:cs="Times New Roman"/>
                      <w:sz w:val="24"/>
                      <w:szCs w:val="24"/>
                      <w:lang w:val="uk-UA"/>
                    </w:rPr>
                    <w:t>перше речення</w:t>
                  </w:r>
                  <w:r w:rsidR="005613AB" w:rsidRPr="00BE1959">
                    <w:rPr>
                      <w:rFonts w:ascii="Times New Roman" w:eastAsia="Times New Roman" w:hAnsi="Times New Roman" w:cs="Times New Roman"/>
                      <w:sz w:val="24"/>
                      <w:szCs w:val="24"/>
                      <w:lang w:val="uk-UA"/>
                    </w:rPr>
                    <w:t xml:space="preserve"> </w:t>
                  </w:r>
                  <w:r w:rsidR="0065313E" w:rsidRPr="00BE1959">
                    <w:rPr>
                      <w:rFonts w:ascii="Times New Roman" w:eastAsia="Times New Roman" w:hAnsi="Times New Roman" w:cs="Times New Roman"/>
                      <w:sz w:val="24"/>
                      <w:szCs w:val="24"/>
                      <w:lang w:val="uk-UA"/>
                    </w:rPr>
                    <w:t>статті</w:t>
                  </w:r>
                  <w:r w:rsidR="005613AB" w:rsidRPr="00BE1959">
                    <w:rPr>
                      <w:rFonts w:ascii="Times New Roman" w:eastAsia="Times New Roman" w:hAnsi="Times New Roman" w:cs="Times New Roman"/>
                      <w:sz w:val="24"/>
                      <w:szCs w:val="24"/>
                      <w:lang w:val="uk-UA"/>
                    </w:rPr>
                    <w:t xml:space="preserve"> 35(10);</w:t>
                  </w:r>
                </w:p>
              </w:tc>
            </w:tr>
          </w:tbl>
          <w:p w:rsidR="005613AB" w:rsidRPr="00BE1959" w:rsidRDefault="005613AB" w:rsidP="005613AB">
            <w:pPr>
              <w:spacing w:after="0" w:line="240" w:lineRule="auto"/>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826"/>
              <w:gridCol w:w="6146"/>
            </w:tblGrid>
            <w:tr w:rsidR="00DE3173" w:rsidRPr="00BE1959">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(xxii)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6E3030"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стаття</w:t>
                  </w:r>
                  <w:r w:rsidR="005613AB" w:rsidRPr="00BE1959">
                    <w:rPr>
                      <w:rFonts w:ascii="Times New Roman" w:eastAsia="Times New Roman" w:hAnsi="Times New Roman" w:cs="Times New Roman"/>
                      <w:sz w:val="24"/>
                      <w:szCs w:val="24"/>
                      <w:lang w:val="uk-UA"/>
                    </w:rPr>
                    <w:t xml:space="preserve"> 36(1);</w:t>
                  </w:r>
                </w:p>
              </w:tc>
            </w:tr>
          </w:tbl>
          <w:p w:rsidR="005613AB" w:rsidRPr="00BE1959" w:rsidRDefault="005613AB" w:rsidP="005613AB">
            <w:pPr>
              <w:spacing w:after="0" w:line="240" w:lineRule="auto"/>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705"/>
              <w:gridCol w:w="8267"/>
            </w:tblGrid>
            <w:tr w:rsidR="00DE3173" w:rsidRPr="0043174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(xxiii)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A57121" w:rsidP="0057645E">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перший абзац</w:t>
                  </w:r>
                  <w:r w:rsidR="005613AB" w:rsidRPr="00BE1959">
                    <w:rPr>
                      <w:rFonts w:ascii="Times New Roman" w:eastAsia="Times New Roman" w:hAnsi="Times New Roman" w:cs="Times New Roman"/>
                      <w:sz w:val="24"/>
                      <w:szCs w:val="24"/>
                      <w:lang w:val="uk-UA"/>
                    </w:rPr>
                    <w:t xml:space="preserve"> </w:t>
                  </w:r>
                  <w:r w:rsidR="007E0A70" w:rsidRPr="00BE1959">
                    <w:rPr>
                      <w:rFonts w:ascii="Times New Roman" w:eastAsia="Times New Roman" w:hAnsi="Times New Roman" w:cs="Times New Roman"/>
                      <w:sz w:val="24"/>
                      <w:szCs w:val="24"/>
                      <w:lang w:val="uk-UA"/>
                    </w:rPr>
                    <w:t>та</w:t>
                  </w:r>
                  <w:r w:rsidR="005613AB" w:rsidRPr="00BE1959">
                    <w:rPr>
                      <w:rFonts w:ascii="Times New Roman" w:eastAsia="Times New Roman" w:hAnsi="Times New Roman" w:cs="Times New Roman"/>
                      <w:sz w:val="24"/>
                      <w:szCs w:val="24"/>
                      <w:lang w:val="uk-UA"/>
                    </w:rPr>
                    <w:t xml:space="preserve"> </w:t>
                  </w:r>
                  <w:r w:rsidRPr="00BE1959">
                    <w:rPr>
                      <w:rFonts w:ascii="Times New Roman" w:eastAsia="Times New Roman" w:hAnsi="Times New Roman" w:cs="Times New Roman"/>
                      <w:sz w:val="24"/>
                      <w:szCs w:val="24"/>
                      <w:lang w:val="uk-UA"/>
                    </w:rPr>
                    <w:t>перше речення</w:t>
                  </w:r>
                  <w:r w:rsidR="005613AB" w:rsidRPr="00BE1959">
                    <w:rPr>
                      <w:rFonts w:ascii="Times New Roman" w:eastAsia="Times New Roman" w:hAnsi="Times New Roman" w:cs="Times New Roman"/>
                      <w:sz w:val="24"/>
                      <w:szCs w:val="24"/>
                      <w:lang w:val="uk-UA"/>
                    </w:rPr>
                    <w:t xml:space="preserve"> </w:t>
                  </w:r>
                  <w:r w:rsidRPr="00BE1959">
                    <w:rPr>
                      <w:rFonts w:ascii="Times New Roman" w:eastAsia="Times New Roman" w:hAnsi="Times New Roman" w:cs="Times New Roman"/>
                      <w:sz w:val="24"/>
                      <w:szCs w:val="24"/>
                      <w:lang w:val="uk-UA"/>
                    </w:rPr>
                    <w:t>друг</w:t>
                  </w:r>
                  <w:r w:rsidR="0057645E" w:rsidRPr="00BE1959">
                    <w:rPr>
                      <w:rFonts w:ascii="Times New Roman" w:eastAsia="Times New Roman" w:hAnsi="Times New Roman" w:cs="Times New Roman"/>
                      <w:sz w:val="24"/>
                      <w:szCs w:val="24"/>
                      <w:lang w:val="uk-UA"/>
                    </w:rPr>
                    <w:t>ого</w:t>
                  </w:r>
                  <w:r w:rsidRPr="00BE1959">
                    <w:rPr>
                      <w:rFonts w:ascii="Times New Roman" w:eastAsia="Times New Roman" w:hAnsi="Times New Roman" w:cs="Times New Roman"/>
                      <w:sz w:val="24"/>
                      <w:szCs w:val="24"/>
                      <w:lang w:val="uk-UA"/>
                    </w:rPr>
                    <w:t xml:space="preserve"> абзац</w:t>
                  </w:r>
                  <w:r w:rsidR="0057645E" w:rsidRPr="00BE1959">
                    <w:rPr>
                      <w:rFonts w:ascii="Times New Roman" w:eastAsia="Times New Roman" w:hAnsi="Times New Roman" w:cs="Times New Roman"/>
                      <w:sz w:val="24"/>
                      <w:szCs w:val="24"/>
                      <w:lang w:val="uk-UA"/>
                    </w:rPr>
                    <w:t>у</w:t>
                  </w:r>
                  <w:r w:rsidR="005613AB" w:rsidRPr="00BE1959">
                    <w:rPr>
                      <w:rFonts w:ascii="Times New Roman" w:eastAsia="Times New Roman" w:hAnsi="Times New Roman" w:cs="Times New Roman"/>
                      <w:sz w:val="24"/>
                      <w:szCs w:val="24"/>
                      <w:lang w:val="uk-UA"/>
                    </w:rPr>
                    <w:t xml:space="preserve"> </w:t>
                  </w:r>
                  <w:r w:rsidR="0065313E" w:rsidRPr="00BE1959">
                    <w:rPr>
                      <w:rFonts w:ascii="Times New Roman" w:eastAsia="Times New Roman" w:hAnsi="Times New Roman" w:cs="Times New Roman"/>
                      <w:sz w:val="24"/>
                      <w:szCs w:val="24"/>
                      <w:lang w:val="uk-UA"/>
                    </w:rPr>
                    <w:t>статті</w:t>
                  </w:r>
                  <w:r w:rsidR="005613AB" w:rsidRPr="00BE1959">
                    <w:rPr>
                      <w:rFonts w:ascii="Times New Roman" w:eastAsia="Times New Roman" w:hAnsi="Times New Roman" w:cs="Times New Roman"/>
                      <w:sz w:val="24"/>
                      <w:szCs w:val="24"/>
                      <w:lang w:val="uk-UA"/>
                    </w:rPr>
                    <w:t xml:space="preserve"> 37(1), </w:t>
                  </w:r>
                  <w:r w:rsidR="007E0A70" w:rsidRPr="00BE1959">
                    <w:rPr>
                      <w:rFonts w:ascii="Times New Roman" w:eastAsia="Times New Roman" w:hAnsi="Times New Roman" w:cs="Times New Roman"/>
                      <w:sz w:val="24"/>
                      <w:szCs w:val="24"/>
                      <w:lang w:val="uk-UA"/>
                    </w:rPr>
                    <w:t>та</w:t>
                  </w:r>
                  <w:r w:rsidR="005613AB" w:rsidRPr="00BE1959">
                    <w:rPr>
                      <w:rFonts w:ascii="Times New Roman" w:eastAsia="Times New Roman" w:hAnsi="Times New Roman" w:cs="Times New Roman"/>
                      <w:sz w:val="24"/>
                      <w:szCs w:val="24"/>
                      <w:lang w:val="uk-UA"/>
                    </w:rPr>
                    <w:t xml:space="preserve"> </w:t>
                  </w:r>
                  <w:r w:rsidRPr="00BE1959">
                    <w:rPr>
                      <w:rFonts w:ascii="Times New Roman" w:eastAsia="Times New Roman" w:hAnsi="Times New Roman" w:cs="Times New Roman"/>
                      <w:sz w:val="24"/>
                      <w:szCs w:val="24"/>
                      <w:lang w:val="uk-UA"/>
                    </w:rPr>
                    <w:t>перший абзац</w:t>
                  </w:r>
                  <w:r w:rsidR="005613AB" w:rsidRPr="00BE1959">
                    <w:rPr>
                      <w:rFonts w:ascii="Times New Roman" w:eastAsia="Times New Roman" w:hAnsi="Times New Roman" w:cs="Times New Roman"/>
                      <w:sz w:val="24"/>
                      <w:szCs w:val="24"/>
                      <w:lang w:val="uk-UA"/>
                    </w:rPr>
                    <w:t xml:space="preserve"> </w:t>
                  </w:r>
                  <w:r w:rsidR="0065313E" w:rsidRPr="00BE1959">
                    <w:rPr>
                      <w:rFonts w:ascii="Times New Roman" w:eastAsia="Times New Roman" w:hAnsi="Times New Roman" w:cs="Times New Roman"/>
                      <w:sz w:val="24"/>
                      <w:szCs w:val="24"/>
                      <w:lang w:val="uk-UA"/>
                    </w:rPr>
                    <w:t>статті</w:t>
                  </w:r>
                  <w:r w:rsidR="005613AB" w:rsidRPr="00BE1959">
                    <w:rPr>
                      <w:rFonts w:ascii="Times New Roman" w:eastAsia="Times New Roman" w:hAnsi="Times New Roman" w:cs="Times New Roman"/>
                      <w:sz w:val="24"/>
                      <w:szCs w:val="24"/>
                      <w:lang w:val="uk-UA"/>
                    </w:rPr>
                    <w:t xml:space="preserve"> 37(2);</w:t>
                  </w:r>
                </w:p>
              </w:tc>
            </w:tr>
          </w:tbl>
          <w:p w:rsidR="005613AB" w:rsidRPr="00BE1959" w:rsidRDefault="005613AB" w:rsidP="005613AB">
            <w:pPr>
              <w:spacing w:after="0" w:line="240" w:lineRule="auto"/>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92"/>
              <w:gridCol w:w="8280"/>
            </w:tblGrid>
            <w:tr w:rsidR="00DE3173" w:rsidRPr="00BE1959">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(xxiv)</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7645E" w:rsidP="0057645E">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четвертий абзац</w:t>
                  </w:r>
                  <w:r w:rsidR="005613AB" w:rsidRPr="00BE1959">
                    <w:rPr>
                      <w:rFonts w:ascii="Times New Roman" w:eastAsia="Times New Roman" w:hAnsi="Times New Roman" w:cs="Times New Roman"/>
                      <w:sz w:val="24"/>
                      <w:szCs w:val="24"/>
                      <w:lang w:val="uk-UA"/>
                    </w:rPr>
                    <w:t xml:space="preserve"> </w:t>
                  </w:r>
                  <w:r w:rsidR="0065313E" w:rsidRPr="00BE1959">
                    <w:rPr>
                      <w:rFonts w:ascii="Times New Roman" w:eastAsia="Times New Roman" w:hAnsi="Times New Roman" w:cs="Times New Roman"/>
                      <w:sz w:val="24"/>
                      <w:szCs w:val="24"/>
                      <w:lang w:val="uk-UA"/>
                    </w:rPr>
                    <w:t>статті</w:t>
                  </w:r>
                  <w:r w:rsidR="005613AB" w:rsidRPr="00BE1959">
                    <w:rPr>
                      <w:rFonts w:ascii="Times New Roman" w:eastAsia="Times New Roman" w:hAnsi="Times New Roman" w:cs="Times New Roman"/>
                      <w:sz w:val="24"/>
                      <w:szCs w:val="24"/>
                      <w:lang w:val="uk-UA"/>
                    </w:rPr>
                    <w:t xml:space="preserve"> 44(1), </w:t>
                  </w:r>
                  <w:r w:rsidR="00A57121" w:rsidRPr="00BE1959">
                    <w:rPr>
                      <w:rFonts w:ascii="Times New Roman" w:eastAsia="Times New Roman" w:hAnsi="Times New Roman" w:cs="Times New Roman"/>
                      <w:sz w:val="24"/>
                      <w:szCs w:val="24"/>
                      <w:lang w:val="uk-UA"/>
                    </w:rPr>
                    <w:t>перше речення</w:t>
                  </w:r>
                  <w:r w:rsidR="005613AB" w:rsidRPr="00BE1959">
                    <w:rPr>
                      <w:rFonts w:ascii="Times New Roman" w:eastAsia="Times New Roman" w:hAnsi="Times New Roman" w:cs="Times New Roman"/>
                      <w:sz w:val="24"/>
                      <w:szCs w:val="24"/>
                      <w:lang w:val="uk-UA"/>
                    </w:rPr>
                    <w:t xml:space="preserve"> </w:t>
                  </w:r>
                  <w:r w:rsidR="0065313E" w:rsidRPr="00BE1959">
                    <w:rPr>
                      <w:rFonts w:ascii="Times New Roman" w:eastAsia="Times New Roman" w:hAnsi="Times New Roman" w:cs="Times New Roman"/>
                      <w:sz w:val="24"/>
                      <w:szCs w:val="24"/>
                      <w:lang w:val="uk-UA"/>
                    </w:rPr>
                    <w:t>статті</w:t>
                  </w:r>
                  <w:r w:rsidR="005613AB" w:rsidRPr="00BE1959">
                    <w:rPr>
                      <w:rFonts w:ascii="Times New Roman" w:eastAsia="Times New Roman" w:hAnsi="Times New Roman" w:cs="Times New Roman"/>
                      <w:sz w:val="24"/>
                      <w:szCs w:val="24"/>
                      <w:lang w:val="uk-UA"/>
                    </w:rPr>
                    <w:t xml:space="preserve"> 44(2), </w:t>
                  </w:r>
                  <w:r w:rsidR="00A57121" w:rsidRPr="00BE1959">
                    <w:rPr>
                      <w:rFonts w:ascii="Times New Roman" w:eastAsia="Times New Roman" w:hAnsi="Times New Roman" w:cs="Times New Roman"/>
                      <w:sz w:val="24"/>
                      <w:szCs w:val="24"/>
                      <w:lang w:val="uk-UA"/>
                    </w:rPr>
                    <w:t>перший абзац</w:t>
                  </w:r>
                  <w:r w:rsidR="005613AB" w:rsidRPr="00BE1959">
                    <w:rPr>
                      <w:rFonts w:ascii="Times New Roman" w:eastAsia="Times New Roman" w:hAnsi="Times New Roman" w:cs="Times New Roman"/>
                      <w:sz w:val="24"/>
                      <w:szCs w:val="24"/>
                      <w:lang w:val="uk-UA"/>
                    </w:rPr>
                    <w:t xml:space="preserve"> </w:t>
                  </w:r>
                  <w:r w:rsidR="0065313E" w:rsidRPr="00BE1959">
                    <w:rPr>
                      <w:rFonts w:ascii="Times New Roman" w:eastAsia="Times New Roman" w:hAnsi="Times New Roman" w:cs="Times New Roman"/>
                      <w:sz w:val="24"/>
                      <w:szCs w:val="24"/>
                      <w:lang w:val="uk-UA"/>
                    </w:rPr>
                    <w:t>статті</w:t>
                  </w:r>
                  <w:r w:rsidR="005613AB" w:rsidRPr="00BE1959">
                    <w:rPr>
                      <w:rFonts w:ascii="Times New Roman" w:eastAsia="Times New Roman" w:hAnsi="Times New Roman" w:cs="Times New Roman"/>
                      <w:sz w:val="24"/>
                      <w:szCs w:val="24"/>
                      <w:lang w:val="uk-UA"/>
                    </w:rPr>
                    <w:t xml:space="preserve"> 44(3) </w:t>
                  </w:r>
                  <w:r w:rsidR="007E0A70" w:rsidRPr="00BE1959">
                    <w:rPr>
                      <w:rFonts w:ascii="Times New Roman" w:eastAsia="Times New Roman" w:hAnsi="Times New Roman" w:cs="Times New Roman"/>
                      <w:sz w:val="24"/>
                      <w:szCs w:val="24"/>
                      <w:lang w:val="uk-UA"/>
                    </w:rPr>
                    <w:t>та</w:t>
                  </w:r>
                  <w:r w:rsidR="005613AB" w:rsidRPr="00BE1959">
                    <w:rPr>
                      <w:rFonts w:ascii="Times New Roman" w:eastAsia="Times New Roman" w:hAnsi="Times New Roman" w:cs="Times New Roman"/>
                      <w:sz w:val="24"/>
                      <w:szCs w:val="24"/>
                      <w:lang w:val="uk-UA"/>
                    </w:rPr>
                    <w:t xml:space="preserve"> </w:t>
                  </w:r>
                  <w:r w:rsidRPr="00BE1959">
                    <w:rPr>
                      <w:rFonts w:ascii="Times New Roman" w:eastAsia="Times New Roman" w:hAnsi="Times New Roman" w:cs="Times New Roman"/>
                      <w:sz w:val="24"/>
                      <w:szCs w:val="24"/>
                      <w:lang w:val="uk-UA"/>
                    </w:rPr>
                    <w:t>пп.</w:t>
                  </w:r>
                  <w:r w:rsidR="005613AB" w:rsidRPr="00BE1959">
                    <w:rPr>
                      <w:rFonts w:ascii="Times New Roman" w:eastAsia="Times New Roman" w:hAnsi="Times New Roman" w:cs="Times New Roman"/>
                      <w:sz w:val="24"/>
                      <w:szCs w:val="24"/>
                      <w:lang w:val="uk-UA"/>
                    </w:rPr>
                    <w:t xml:space="preserve"> (b) </w:t>
                  </w:r>
                  <w:r w:rsidR="0065313E" w:rsidRPr="00BE1959">
                    <w:rPr>
                      <w:rFonts w:ascii="Times New Roman" w:eastAsia="Times New Roman" w:hAnsi="Times New Roman" w:cs="Times New Roman"/>
                      <w:sz w:val="24"/>
                      <w:szCs w:val="24"/>
                      <w:lang w:val="uk-UA"/>
                    </w:rPr>
                    <w:t>статті</w:t>
                  </w:r>
                  <w:r w:rsidR="005613AB" w:rsidRPr="00BE1959">
                    <w:rPr>
                      <w:rFonts w:ascii="Times New Roman" w:eastAsia="Times New Roman" w:hAnsi="Times New Roman" w:cs="Times New Roman"/>
                      <w:sz w:val="24"/>
                      <w:szCs w:val="24"/>
                      <w:lang w:val="uk-UA"/>
                    </w:rPr>
                    <w:t xml:space="preserve"> 44(5);</w:t>
                  </w:r>
                </w:p>
              </w:tc>
            </w:tr>
          </w:tbl>
          <w:p w:rsidR="005613AB" w:rsidRPr="00BE1959" w:rsidRDefault="005613AB" w:rsidP="005613AB">
            <w:pPr>
              <w:spacing w:after="0" w:line="240" w:lineRule="auto"/>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805"/>
              <w:gridCol w:w="7167"/>
            </w:tblGrid>
            <w:tr w:rsidR="00DE3173" w:rsidRPr="00BE1959">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(xxv)</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6E3030"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стаття</w:t>
                  </w:r>
                  <w:r w:rsidR="005613AB" w:rsidRPr="00BE1959">
                    <w:rPr>
                      <w:rFonts w:ascii="Times New Roman" w:eastAsia="Times New Roman" w:hAnsi="Times New Roman" w:cs="Times New Roman"/>
                      <w:sz w:val="24"/>
                      <w:szCs w:val="24"/>
                      <w:lang w:val="uk-UA"/>
                    </w:rPr>
                    <w:t xml:space="preserve"> 45(1) </w:t>
                  </w:r>
                  <w:r w:rsidR="007E0A70" w:rsidRPr="00BE1959">
                    <w:rPr>
                      <w:rFonts w:ascii="Times New Roman" w:eastAsia="Times New Roman" w:hAnsi="Times New Roman" w:cs="Times New Roman"/>
                      <w:sz w:val="24"/>
                      <w:szCs w:val="24"/>
                      <w:lang w:val="uk-UA"/>
                    </w:rPr>
                    <w:t>-</w:t>
                  </w:r>
                  <w:r w:rsidR="005613AB" w:rsidRPr="00BE1959">
                    <w:rPr>
                      <w:rFonts w:ascii="Times New Roman" w:eastAsia="Times New Roman" w:hAnsi="Times New Roman" w:cs="Times New Roman"/>
                      <w:sz w:val="24"/>
                      <w:szCs w:val="24"/>
                      <w:lang w:val="uk-UA"/>
                    </w:rPr>
                    <w:t xml:space="preserve"> (6) </w:t>
                  </w:r>
                  <w:r w:rsidR="007E0A70" w:rsidRPr="00BE1959">
                    <w:rPr>
                      <w:rFonts w:ascii="Times New Roman" w:eastAsia="Times New Roman" w:hAnsi="Times New Roman" w:cs="Times New Roman"/>
                      <w:sz w:val="24"/>
                      <w:szCs w:val="24"/>
                      <w:lang w:val="uk-UA"/>
                    </w:rPr>
                    <w:t>та</w:t>
                  </w:r>
                  <w:r w:rsidR="005613AB" w:rsidRPr="00BE1959">
                    <w:rPr>
                      <w:rFonts w:ascii="Times New Roman" w:eastAsia="Times New Roman" w:hAnsi="Times New Roman" w:cs="Times New Roman"/>
                      <w:sz w:val="24"/>
                      <w:szCs w:val="24"/>
                      <w:lang w:val="uk-UA"/>
                    </w:rPr>
                    <w:t xml:space="preserve"> (8);</w:t>
                  </w:r>
                </w:p>
              </w:tc>
            </w:tr>
          </w:tbl>
          <w:p w:rsidR="005613AB" w:rsidRPr="00BE1959" w:rsidRDefault="005613AB" w:rsidP="005613AB">
            <w:pPr>
              <w:spacing w:after="0" w:line="240" w:lineRule="auto"/>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324"/>
              <w:gridCol w:w="7648"/>
            </w:tblGrid>
            <w:tr w:rsidR="00DE3173" w:rsidRPr="0043174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(xxvi)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6E3030" w:rsidP="0057645E">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стаття</w:t>
                  </w:r>
                  <w:r w:rsidR="005613AB" w:rsidRPr="00BE1959">
                    <w:rPr>
                      <w:rFonts w:ascii="Times New Roman" w:eastAsia="Times New Roman" w:hAnsi="Times New Roman" w:cs="Times New Roman"/>
                      <w:sz w:val="24"/>
                      <w:szCs w:val="24"/>
                      <w:lang w:val="uk-UA"/>
                    </w:rPr>
                    <w:t xml:space="preserve"> 46(1), </w:t>
                  </w:r>
                  <w:r w:rsidR="0057645E" w:rsidRPr="00BE1959">
                    <w:rPr>
                      <w:rFonts w:ascii="Times New Roman" w:eastAsia="Times New Roman" w:hAnsi="Times New Roman" w:cs="Times New Roman"/>
                      <w:sz w:val="24"/>
                      <w:szCs w:val="24"/>
                      <w:lang w:val="uk-UA"/>
                    </w:rPr>
                    <w:t>пп.</w:t>
                  </w:r>
                  <w:r w:rsidR="005613AB" w:rsidRPr="00BE1959">
                    <w:rPr>
                      <w:rFonts w:ascii="Times New Roman" w:eastAsia="Times New Roman" w:hAnsi="Times New Roman" w:cs="Times New Roman"/>
                      <w:sz w:val="24"/>
                      <w:szCs w:val="24"/>
                      <w:lang w:val="uk-UA"/>
                    </w:rPr>
                    <w:t xml:space="preserve"> (a) </w:t>
                  </w:r>
                  <w:r w:rsidR="007E0A70" w:rsidRPr="00BE1959">
                    <w:rPr>
                      <w:rFonts w:ascii="Times New Roman" w:eastAsia="Times New Roman" w:hAnsi="Times New Roman" w:cs="Times New Roman"/>
                      <w:sz w:val="24"/>
                      <w:szCs w:val="24"/>
                      <w:lang w:val="uk-UA"/>
                    </w:rPr>
                    <w:t>та</w:t>
                  </w:r>
                  <w:r w:rsidR="005613AB" w:rsidRPr="00BE1959">
                    <w:rPr>
                      <w:rFonts w:ascii="Times New Roman" w:eastAsia="Times New Roman" w:hAnsi="Times New Roman" w:cs="Times New Roman"/>
                      <w:sz w:val="24"/>
                      <w:szCs w:val="24"/>
                      <w:lang w:val="uk-UA"/>
                    </w:rPr>
                    <w:t xml:space="preserve"> (b) </w:t>
                  </w:r>
                  <w:r w:rsidR="0065313E" w:rsidRPr="00BE1959">
                    <w:rPr>
                      <w:rFonts w:ascii="Times New Roman" w:eastAsia="Times New Roman" w:hAnsi="Times New Roman" w:cs="Times New Roman"/>
                      <w:sz w:val="24"/>
                      <w:szCs w:val="24"/>
                      <w:lang w:val="uk-UA"/>
                    </w:rPr>
                    <w:t>статті</w:t>
                  </w:r>
                  <w:r w:rsidR="005613AB" w:rsidRPr="00BE1959">
                    <w:rPr>
                      <w:rFonts w:ascii="Times New Roman" w:eastAsia="Times New Roman" w:hAnsi="Times New Roman" w:cs="Times New Roman"/>
                      <w:sz w:val="24"/>
                      <w:szCs w:val="24"/>
                      <w:lang w:val="uk-UA"/>
                    </w:rPr>
                    <w:t xml:space="preserve"> 46(2);</w:t>
                  </w:r>
                </w:p>
              </w:tc>
            </w:tr>
          </w:tbl>
          <w:p w:rsidR="005613AB" w:rsidRPr="00BE1959" w:rsidRDefault="005613AB" w:rsidP="005613AB">
            <w:pPr>
              <w:spacing w:after="0" w:line="240" w:lineRule="auto"/>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644"/>
              <w:gridCol w:w="5328"/>
            </w:tblGrid>
            <w:tr w:rsidR="00DE3173" w:rsidRPr="00BE1959">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(xxvii)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6E3030"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стаття</w:t>
                  </w:r>
                  <w:r w:rsidR="005613AB" w:rsidRPr="00BE1959">
                    <w:rPr>
                      <w:rFonts w:ascii="Times New Roman" w:eastAsia="Times New Roman" w:hAnsi="Times New Roman" w:cs="Times New Roman"/>
                      <w:sz w:val="24"/>
                      <w:szCs w:val="24"/>
                      <w:lang w:val="uk-UA"/>
                    </w:rPr>
                    <w:t xml:space="preserve"> 47;</w:t>
                  </w:r>
                </w:p>
              </w:tc>
            </w:tr>
          </w:tbl>
          <w:p w:rsidR="005613AB" w:rsidRPr="00BE1959" w:rsidRDefault="005613AB" w:rsidP="005613AB">
            <w:pPr>
              <w:spacing w:after="0" w:line="240" w:lineRule="auto"/>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629"/>
              <w:gridCol w:w="6343"/>
            </w:tblGrid>
            <w:tr w:rsidR="00DE3173" w:rsidRPr="00BE1959">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(xxviii)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6E3030"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стаття</w:t>
                  </w:r>
                  <w:r w:rsidR="005613AB" w:rsidRPr="00BE1959">
                    <w:rPr>
                      <w:rFonts w:ascii="Times New Roman" w:eastAsia="Times New Roman" w:hAnsi="Times New Roman" w:cs="Times New Roman"/>
                      <w:sz w:val="24"/>
                      <w:szCs w:val="24"/>
                      <w:lang w:val="uk-UA"/>
                    </w:rPr>
                    <w:t xml:space="preserve"> 48(1) </w:t>
                  </w:r>
                  <w:r w:rsidR="007E0A70" w:rsidRPr="00BE1959">
                    <w:rPr>
                      <w:rFonts w:ascii="Times New Roman" w:eastAsia="Times New Roman" w:hAnsi="Times New Roman" w:cs="Times New Roman"/>
                      <w:sz w:val="24"/>
                      <w:szCs w:val="24"/>
                      <w:lang w:val="uk-UA"/>
                    </w:rPr>
                    <w:t>-</w:t>
                  </w:r>
                  <w:r w:rsidR="005613AB" w:rsidRPr="00BE1959">
                    <w:rPr>
                      <w:rFonts w:ascii="Times New Roman" w:eastAsia="Times New Roman" w:hAnsi="Times New Roman" w:cs="Times New Roman"/>
                      <w:sz w:val="24"/>
                      <w:szCs w:val="24"/>
                      <w:lang w:val="uk-UA"/>
                    </w:rPr>
                    <w:t xml:space="preserve"> (11);</w:t>
                  </w:r>
                </w:p>
              </w:tc>
            </w:tr>
          </w:tbl>
          <w:p w:rsidR="005613AB" w:rsidRPr="00BE1959" w:rsidRDefault="005613AB" w:rsidP="005613AB">
            <w:pPr>
              <w:spacing w:after="0" w:line="240" w:lineRule="auto"/>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982"/>
              <w:gridCol w:w="5990"/>
            </w:tblGrid>
            <w:tr w:rsidR="00DE3173" w:rsidRPr="00BE1959">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(xxix)</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6E3030"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стаття</w:t>
                  </w:r>
                  <w:r w:rsidR="005613AB" w:rsidRPr="00BE1959">
                    <w:rPr>
                      <w:rFonts w:ascii="Times New Roman" w:eastAsia="Times New Roman" w:hAnsi="Times New Roman" w:cs="Times New Roman"/>
                      <w:sz w:val="24"/>
                      <w:szCs w:val="24"/>
                      <w:lang w:val="uk-UA"/>
                    </w:rPr>
                    <w:t xml:space="preserve"> 49(1);</w:t>
                  </w:r>
                </w:p>
              </w:tc>
            </w:tr>
          </w:tbl>
          <w:p w:rsidR="005613AB" w:rsidRPr="00BE1959" w:rsidRDefault="005613AB" w:rsidP="005613AB">
            <w:pPr>
              <w:spacing w:after="0" w:line="240" w:lineRule="auto"/>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783"/>
              <w:gridCol w:w="6189"/>
            </w:tblGrid>
            <w:tr w:rsidR="00DE3173" w:rsidRPr="00BE1959">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(xxx)</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6E3030"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стаття</w:t>
                  </w:r>
                  <w:r w:rsidR="005613AB" w:rsidRPr="00BE1959">
                    <w:rPr>
                      <w:rFonts w:ascii="Times New Roman" w:eastAsia="Times New Roman" w:hAnsi="Times New Roman" w:cs="Times New Roman"/>
                      <w:sz w:val="24"/>
                      <w:szCs w:val="24"/>
                      <w:lang w:val="uk-UA"/>
                    </w:rPr>
                    <w:t xml:space="preserve"> 50(1);</w:t>
                  </w:r>
                </w:p>
              </w:tc>
            </w:tr>
          </w:tbl>
          <w:p w:rsidR="005613AB" w:rsidRPr="00BE1959" w:rsidRDefault="005613AB" w:rsidP="005613AB">
            <w:pPr>
              <w:spacing w:after="0" w:line="240" w:lineRule="auto"/>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3"/>
              <w:gridCol w:w="7859"/>
            </w:tblGrid>
            <w:tr w:rsidR="00DE3173" w:rsidRPr="0043174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(xxxi)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6E3030"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стаття</w:t>
                  </w:r>
                  <w:r w:rsidR="005613AB" w:rsidRPr="00BE1959">
                    <w:rPr>
                      <w:rFonts w:ascii="Times New Roman" w:eastAsia="Times New Roman" w:hAnsi="Times New Roman" w:cs="Times New Roman"/>
                      <w:sz w:val="24"/>
                      <w:szCs w:val="24"/>
                      <w:lang w:val="uk-UA"/>
                    </w:rPr>
                    <w:t xml:space="preserve"> 51(1) </w:t>
                  </w:r>
                  <w:r w:rsidR="007E0A70" w:rsidRPr="00BE1959">
                    <w:rPr>
                      <w:rFonts w:ascii="Times New Roman" w:eastAsia="Times New Roman" w:hAnsi="Times New Roman" w:cs="Times New Roman"/>
                      <w:sz w:val="24"/>
                      <w:szCs w:val="24"/>
                      <w:lang w:val="uk-UA"/>
                    </w:rPr>
                    <w:t>-</w:t>
                  </w:r>
                  <w:r w:rsidR="005613AB" w:rsidRPr="00BE1959">
                    <w:rPr>
                      <w:rFonts w:ascii="Times New Roman" w:eastAsia="Times New Roman" w:hAnsi="Times New Roman" w:cs="Times New Roman"/>
                      <w:sz w:val="24"/>
                      <w:szCs w:val="24"/>
                      <w:lang w:val="uk-UA"/>
                    </w:rPr>
                    <w:t xml:space="preserve"> (4) </w:t>
                  </w:r>
                  <w:r w:rsidR="007E0A70" w:rsidRPr="00BE1959">
                    <w:rPr>
                      <w:rFonts w:ascii="Times New Roman" w:eastAsia="Times New Roman" w:hAnsi="Times New Roman" w:cs="Times New Roman"/>
                      <w:sz w:val="24"/>
                      <w:szCs w:val="24"/>
                      <w:lang w:val="uk-UA"/>
                    </w:rPr>
                    <w:t>та</w:t>
                  </w:r>
                  <w:r w:rsidR="005613AB" w:rsidRPr="00BE1959">
                    <w:rPr>
                      <w:rFonts w:ascii="Times New Roman" w:eastAsia="Times New Roman" w:hAnsi="Times New Roman" w:cs="Times New Roman"/>
                      <w:sz w:val="24"/>
                      <w:szCs w:val="24"/>
                      <w:lang w:val="uk-UA"/>
                    </w:rPr>
                    <w:t xml:space="preserve"> </w:t>
                  </w:r>
                  <w:r w:rsidR="007E0A70" w:rsidRPr="00BE1959">
                    <w:rPr>
                      <w:rFonts w:ascii="Times New Roman" w:eastAsia="Times New Roman" w:hAnsi="Times New Roman" w:cs="Times New Roman"/>
                      <w:sz w:val="24"/>
                      <w:szCs w:val="24"/>
                      <w:lang w:val="uk-UA"/>
                    </w:rPr>
                    <w:t>друге речення</w:t>
                  </w:r>
                  <w:r w:rsidR="005613AB" w:rsidRPr="00BE1959">
                    <w:rPr>
                      <w:rFonts w:ascii="Times New Roman" w:eastAsia="Times New Roman" w:hAnsi="Times New Roman" w:cs="Times New Roman"/>
                      <w:sz w:val="24"/>
                      <w:szCs w:val="24"/>
                      <w:lang w:val="uk-UA"/>
                    </w:rPr>
                    <w:t xml:space="preserve"> </w:t>
                  </w:r>
                  <w:r w:rsidR="0065313E" w:rsidRPr="00BE1959">
                    <w:rPr>
                      <w:rFonts w:ascii="Times New Roman" w:eastAsia="Times New Roman" w:hAnsi="Times New Roman" w:cs="Times New Roman"/>
                      <w:sz w:val="24"/>
                      <w:szCs w:val="24"/>
                      <w:lang w:val="uk-UA"/>
                    </w:rPr>
                    <w:t>статті</w:t>
                  </w:r>
                  <w:r w:rsidR="005613AB" w:rsidRPr="00BE1959">
                    <w:rPr>
                      <w:rFonts w:ascii="Times New Roman" w:eastAsia="Times New Roman" w:hAnsi="Times New Roman" w:cs="Times New Roman"/>
                      <w:sz w:val="24"/>
                      <w:szCs w:val="24"/>
                      <w:lang w:val="uk-UA"/>
                    </w:rPr>
                    <w:t xml:space="preserve"> 51(5);</w:t>
                  </w:r>
                </w:p>
              </w:tc>
            </w:tr>
          </w:tbl>
          <w:p w:rsidR="005613AB" w:rsidRPr="00BE1959" w:rsidRDefault="005613AB" w:rsidP="005613AB">
            <w:pPr>
              <w:spacing w:after="0" w:line="240" w:lineRule="auto"/>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96"/>
              <w:gridCol w:w="7976"/>
            </w:tblGrid>
            <w:tr w:rsidR="00DE3173" w:rsidRPr="0043174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(xxxii)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6E3030" w:rsidP="0057645E">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стаття</w:t>
                  </w:r>
                  <w:r w:rsidR="005613AB" w:rsidRPr="00BE1959">
                    <w:rPr>
                      <w:rFonts w:ascii="Times New Roman" w:eastAsia="Times New Roman" w:hAnsi="Times New Roman" w:cs="Times New Roman"/>
                      <w:sz w:val="24"/>
                      <w:szCs w:val="24"/>
                      <w:lang w:val="uk-UA"/>
                    </w:rPr>
                    <w:t xml:space="preserve"> 52(1), </w:t>
                  </w:r>
                  <w:r w:rsidR="0057645E" w:rsidRPr="00BE1959">
                    <w:rPr>
                      <w:rFonts w:ascii="Times New Roman" w:eastAsia="Times New Roman" w:hAnsi="Times New Roman" w:cs="Times New Roman"/>
                      <w:sz w:val="24"/>
                      <w:szCs w:val="24"/>
                      <w:lang w:val="uk-UA"/>
                    </w:rPr>
                    <w:t>перший, другий та п’ятий абзаці</w:t>
                  </w:r>
                  <w:r w:rsidR="005613AB" w:rsidRPr="00BE1959">
                    <w:rPr>
                      <w:rFonts w:ascii="Times New Roman" w:eastAsia="Times New Roman" w:hAnsi="Times New Roman" w:cs="Times New Roman"/>
                      <w:sz w:val="24"/>
                      <w:szCs w:val="24"/>
                      <w:lang w:val="uk-UA"/>
                    </w:rPr>
                    <w:t xml:space="preserve"> </w:t>
                  </w:r>
                  <w:r w:rsidR="0065313E" w:rsidRPr="00BE1959">
                    <w:rPr>
                      <w:rFonts w:ascii="Times New Roman" w:eastAsia="Times New Roman" w:hAnsi="Times New Roman" w:cs="Times New Roman"/>
                      <w:sz w:val="24"/>
                      <w:szCs w:val="24"/>
                      <w:lang w:val="uk-UA"/>
                    </w:rPr>
                    <w:t>статті</w:t>
                  </w:r>
                  <w:r w:rsidR="005613AB" w:rsidRPr="00BE1959">
                    <w:rPr>
                      <w:rFonts w:ascii="Times New Roman" w:eastAsia="Times New Roman" w:hAnsi="Times New Roman" w:cs="Times New Roman"/>
                      <w:sz w:val="24"/>
                      <w:szCs w:val="24"/>
                      <w:lang w:val="uk-UA"/>
                    </w:rPr>
                    <w:t xml:space="preserve"> 52(2);</w:t>
                  </w:r>
                </w:p>
              </w:tc>
            </w:tr>
          </w:tbl>
          <w:p w:rsidR="005613AB" w:rsidRPr="00BE1959" w:rsidRDefault="005613AB" w:rsidP="005613AB">
            <w:pPr>
              <w:spacing w:after="0" w:line="240" w:lineRule="auto"/>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25"/>
              <w:gridCol w:w="8147"/>
            </w:tblGrid>
            <w:tr w:rsidR="00DE3173" w:rsidRPr="0043174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(xxxiii)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6E3030" w:rsidP="00432EC0">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стаття</w:t>
                  </w:r>
                  <w:r w:rsidR="005613AB" w:rsidRPr="00BE1959">
                    <w:rPr>
                      <w:rFonts w:ascii="Times New Roman" w:eastAsia="Times New Roman" w:hAnsi="Times New Roman" w:cs="Times New Roman"/>
                      <w:sz w:val="24"/>
                      <w:szCs w:val="24"/>
                      <w:lang w:val="uk-UA"/>
                    </w:rPr>
                    <w:t xml:space="preserve"> 53(1), (2) </w:t>
                  </w:r>
                  <w:r w:rsidR="007E0A70" w:rsidRPr="00BE1959">
                    <w:rPr>
                      <w:rFonts w:ascii="Times New Roman" w:eastAsia="Times New Roman" w:hAnsi="Times New Roman" w:cs="Times New Roman"/>
                      <w:sz w:val="24"/>
                      <w:szCs w:val="24"/>
                      <w:lang w:val="uk-UA"/>
                    </w:rPr>
                    <w:t>та</w:t>
                  </w:r>
                  <w:r w:rsidR="005613AB" w:rsidRPr="00BE1959">
                    <w:rPr>
                      <w:rFonts w:ascii="Times New Roman" w:eastAsia="Times New Roman" w:hAnsi="Times New Roman" w:cs="Times New Roman"/>
                      <w:sz w:val="24"/>
                      <w:szCs w:val="24"/>
                      <w:lang w:val="uk-UA"/>
                    </w:rPr>
                    <w:t xml:space="preserve"> (3) </w:t>
                  </w:r>
                  <w:r w:rsidR="007E0A70" w:rsidRPr="00BE1959">
                    <w:rPr>
                      <w:rFonts w:ascii="Times New Roman" w:eastAsia="Times New Roman" w:hAnsi="Times New Roman" w:cs="Times New Roman"/>
                      <w:sz w:val="24"/>
                      <w:szCs w:val="24"/>
                      <w:lang w:val="uk-UA"/>
                    </w:rPr>
                    <w:t>та</w:t>
                  </w:r>
                  <w:r w:rsidR="005613AB" w:rsidRPr="00BE1959">
                    <w:rPr>
                      <w:rFonts w:ascii="Times New Roman" w:eastAsia="Times New Roman" w:hAnsi="Times New Roman" w:cs="Times New Roman"/>
                      <w:sz w:val="24"/>
                      <w:szCs w:val="24"/>
                      <w:lang w:val="uk-UA"/>
                    </w:rPr>
                    <w:t xml:space="preserve"> </w:t>
                  </w:r>
                  <w:r w:rsidR="00A57121" w:rsidRPr="00BE1959">
                    <w:rPr>
                      <w:rFonts w:ascii="Times New Roman" w:eastAsia="Times New Roman" w:hAnsi="Times New Roman" w:cs="Times New Roman"/>
                      <w:sz w:val="24"/>
                      <w:szCs w:val="24"/>
                      <w:lang w:val="uk-UA"/>
                    </w:rPr>
                    <w:t>перше речення</w:t>
                  </w:r>
                  <w:r w:rsidR="005613AB" w:rsidRPr="00BE1959">
                    <w:rPr>
                      <w:rFonts w:ascii="Times New Roman" w:eastAsia="Times New Roman" w:hAnsi="Times New Roman" w:cs="Times New Roman"/>
                      <w:sz w:val="24"/>
                      <w:szCs w:val="24"/>
                      <w:lang w:val="uk-UA"/>
                    </w:rPr>
                    <w:t xml:space="preserve"> </w:t>
                  </w:r>
                  <w:r w:rsidR="00A57121" w:rsidRPr="00BE1959">
                    <w:rPr>
                      <w:rFonts w:ascii="Times New Roman" w:eastAsia="Times New Roman" w:hAnsi="Times New Roman" w:cs="Times New Roman"/>
                      <w:sz w:val="24"/>
                      <w:szCs w:val="24"/>
                      <w:lang w:val="uk-UA"/>
                    </w:rPr>
                    <w:t>друг</w:t>
                  </w:r>
                  <w:r w:rsidR="00432EC0" w:rsidRPr="00BE1959">
                    <w:rPr>
                      <w:rFonts w:ascii="Times New Roman" w:eastAsia="Times New Roman" w:hAnsi="Times New Roman" w:cs="Times New Roman"/>
                      <w:sz w:val="24"/>
                      <w:szCs w:val="24"/>
                      <w:lang w:val="uk-UA"/>
                    </w:rPr>
                    <w:t>ого</w:t>
                  </w:r>
                  <w:r w:rsidR="00A57121" w:rsidRPr="00BE1959">
                    <w:rPr>
                      <w:rFonts w:ascii="Times New Roman" w:eastAsia="Times New Roman" w:hAnsi="Times New Roman" w:cs="Times New Roman"/>
                      <w:sz w:val="24"/>
                      <w:szCs w:val="24"/>
                      <w:lang w:val="uk-UA"/>
                    </w:rPr>
                    <w:t xml:space="preserve"> абзац</w:t>
                  </w:r>
                  <w:r w:rsidR="00432EC0" w:rsidRPr="00BE1959">
                    <w:rPr>
                      <w:rFonts w:ascii="Times New Roman" w:eastAsia="Times New Roman" w:hAnsi="Times New Roman" w:cs="Times New Roman"/>
                      <w:sz w:val="24"/>
                      <w:szCs w:val="24"/>
                      <w:lang w:val="uk-UA"/>
                    </w:rPr>
                    <w:t>у</w:t>
                  </w:r>
                  <w:r w:rsidR="005613AB" w:rsidRPr="00BE1959">
                    <w:rPr>
                      <w:rFonts w:ascii="Times New Roman" w:eastAsia="Times New Roman" w:hAnsi="Times New Roman" w:cs="Times New Roman"/>
                      <w:sz w:val="24"/>
                      <w:szCs w:val="24"/>
                      <w:lang w:val="uk-UA"/>
                    </w:rPr>
                    <w:t xml:space="preserve"> </w:t>
                  </w:r>
                  <w:r w:rsidR="0065313E" w:rsidRPr="00BE1959">
                    <w:rPr>
                      <w:rFonts w:ascii="Times New Roman" w:eastAsia="Times New Roman" w:hAnsi="Times New Roman" w:cs="Times New Roman"/>
                      <w:sz w:val="24"/>
                      <w:szCs w:val="24"/>
                      <w:lang w:val="uk-UA"/>
                    </w:rPr>
                    <w:t>статті</w:t>
                  </w:r>
                  <w:r w:rsidR="005613AB" w:rsidRPr="00BE1959">
                    <w:rPr>
                      <w:rFonts w:ascii="Times New Roman" w:eastAsia="Times New Roman" w:hAnsi="Times New Roman" w:cs="Times New Roman"/>
                      <w:sz w:val="24"/>
                      <w:szCs w:val="24"/>
                      <w:lang w:val="uk-UA"/>
                    </w:rPr>
                    <w:t xml:space="preserve"> 53(6), </w:t>
                  </w:r>
                  <w:r w:rsidRPr="00BE1959">
                    <w:rPr>
                      <w:rFonts w:ascii="Times New Roman" w:eastAsia="Times New Roman" w:hAnsi="Times New Roman" w:cs="Times New Roman"/>
                      <w:sz w:val="24"/>
                      <w:szCs w:val="24"/>
                      <w:lang w:val="uk-UA"/>
                    </w:rPr>
                    <w:t>стаття</w:t>
                  </w:r>
                  <w:r w:rsidR="005613AB" w:rsidRPr="00BE1959">
                    <w:rPr>
                      <w:rFonts w:ascii="Times New Roman" w:eastAsia="Times New Roman" w:hAnsi="Times New Roman" w:cs="Times New Roman"/>
                      <w:sz w:val="24"/>
                      <w:szCs w:val="24"/>
                      <w:lang w:val="uk-UA"/>
                    </w:rPr>
                    <w:t xml:space="preserve"> 53(7);</w:t>
                  </w:r>
                </w:p>
              </w:tc>
            </w:tr>
          </w:tbl>
          <w:p w:rsidR="005613AB" w:rsidRPr="00BE1959" w:rsidRDefault="005613AB" w:rsidP="005613AB">
            <w:pPr>
              <w:spacing w:after="0" w:line="240" w:lineRule="auto"/>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7"/>
              <w:gridCol w:w="7855"/>
            </w:tblGrid>
            <w:tr w:rsidR="00DE3173" w:rsidRPr="0043174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(xxxiv)</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6E3030"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стаття</w:t>
                  </w:r>
                  <w:r w:rsidR="005613AB" w:rsidRPr="00BE1959">
                    <w:rPr>
                      <w:rFonts w:ascii="Times New Roman" w:eastAsia="Times New Roman" w:hAnsi="Times New Roman" w:cs="Times New Roman"/>
                      <w:sz w:val="24"/>
                      <w:szCs w:val="24"/>
                      <w:lang w:val="uk-UA"/>
                    </w:rPr>
                    <w:t xml:space="preserve"> 54(1), </w:t>
                  </w:r>
                  <w:r w:rsidR="00A57121" w:rsidRPr="00BE1959">
                    <w:rPr>
                      <w:rFonts w:ascii="Times New Roman" w:eastAsia="Times New Roman" w:hAnsi="Times New Roman" w:cs="Times New Roman"/>
                      <w:sz w:val="24"/>
                      <w:szCs w:val="24"/>
                      <w:lang w:val="uk-UA"/>
                    </w:rPr>
                    <w:t>перший абзац</w:t>
                  </w:r>
                  <w:r w:rsidR="005613AB" w:rsidRPr="00BE1959">
                    <w:rPr>
                      <w:rFonts w:ascii="Times New Roman" w:eastAsia="Times New Roman" w:hAnsi="Times New Roman" w:cs="Times New Roman"/>
                      <w:sz w:val="24"/>
                      <w:szCs w:val="24"/>
                      <w:lang w:val="uk-UA"/>
                    </w:rPr>
                    <w:t xml:space="preserve"> </w:t>
                  </w:r>
                  <w:r w:rsidR="0065313E" w:rsidRPr="00BE1959">
                    <w:rPr>
                      <w:rFonts w:ascii="Times New Roman" w:eastAsia="Times New Roman" w:hAnsi="Times New Roman" w:cs="Times New Roman"/>
                      <w:sz w:val="24"/>
                      <w:szCs w:val="24"/>
                      <w:lang w:val="uk-UA"/>
                    </w:rPr>
                    <w:t>статті</w:t>
                  </w:r>
                  <w:r w:rsidR="005613AB" w:rsidRPr="00BE1959">
                    <w:rPr>
                      <w:rFonts w:ascii="Times New Roman" w:eastAsia="Times New Roman" w:hAnsi="Times New Roman" w:cs="Times New Roman"/>
                      <w:sz w:val="24"/>
                      <w:szCs w:val="24"/>
                      <w:lang w:val="uk-UA"/>
                    </w:rPr>
                    <w:t xml:space="preserve"> 54(2) </w:t>
                  </w:r>
                  <w:r w:rsidR="007E0A70" w:rsidRPr="00BE1959">
                    <w:rPr>
                      <w:rFonts w:ascii="Times New Roman" w:eastAsia="Times New Roman" w:hAnsi="Times New Roman" w:cs="Times New Roman"/>
                      <w:sz w:val="24"/>
                      <w:szCs w:val="24"/>
                      <w:lang w:val="uk-UA"/>
                    </w:rPr>
                    <w:t>та</w:t>
                  </w:r>
                  <w:r w:rsidR="005613AB" w:rsidRPr="00BE1959">
                    <w:rPr>
                      <w:rFonts w:ascii="Times New Roman" w:eastAsia="Times New Roman" w:hAnsi="Times New Roman" w:cs="Times New Roman"/>
                      <w:sz w:val="24"/>
                      <w:szCs w:val="24"/>
                      <w:lang w:val="uk-UA"/>
                    </w:rPr>
                    <w:t xml:space="preserve"> </w:t>
                  </w:r>
                  <w:r w:rsidRPr="00BE1959">
                    <w:rPr>
                      <w:rFonts w:ascii="Times New Roman" w:eastAsia="Times New Roman" w:hAnsi="Times New Roman" w:cs="Times New Roman"/>
                      <w:sz w:val="24"/>
                      <w:szCs w:val="24"/>
                      <w:lang w:val="uk-UA"/>
                    </w:rPr>
                    <w:t>стаття</w:t>
                  </w:r>
                  <w:r w:rsidR="005613AB" w:rsidRPr="00BE1959">
                    <w:rPr>
                      <w:rFonts w:ascii="Times New Roman" w:eastAsia="Times New Roman" w:hAnsi="Times New Roman" w:cs="Times New Roman"/>
                      <w:sz w:val="24"/>
                      <w:szCs w:val="24"/>
                      <w:lang w:val="uk-UA"/>
                    </w:rPr>
                    <w:t xml:space="preserve"> 54(3);</w:t>
                  </w:r>
                </w:p>
              </w:tc>
            </w:tr>
          </w:tbl>
          <w:p w:rsidR="005613AB" w:rsidRPr="00BE1959" w:rsidRDefault="005613AB" w:rsidP="005613AB">
            <w:pPr>
              <w:spacing w:after="0" w:line="240" w:lineRule="auto"/>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30"/>
              <w:gridCol w:w="8042"/>
            </w:tblGrid>
            <w:tr w:rsidR="00DE3173" w:rsidRPr="0043174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(xxxv)</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6E3030"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стаття</w:t>
                  </w:r>
                  <w:r w:rsidR="005613AB" w:rsidRPr="00BE1959">
                    <w:rPr>
                      <w:rFonts w:ascii="Times New Roman" w:eastAsia="Times New Roman" w:hAnsi="Times New Roman" w:cs="Times New Roman"/>
                      <w:sz w:val="24"/>
                      <w:szCs w:val="24"/>
                      <w:lang w:val="uk-UA"/>
                    </w:rPr>
                    <w:t xml:space="preserve"> 57(1) </w:t>
                  </w:r>
                  <w:r w:rsidR="007E0A70" w:rsidRPr="00BE1959">
                    <w:rPr>
                      <w:rFonts w:ascii="Times New Roman" w:eastAsia="Times New Roman" w:hAnsi="Times New Roman" w:cs="Times New Roman"/>
                      <w:sz w:val="24"/>
                      <w:szCs w:val="24"/>
                      <w:lang w:val="uk-UA"/>
                    </w:rPr>
                    <w:t>та</w:t>
                  </w:r>
                  <w:r w:rsidR="005613AB" w:rsidRPr="00BE1959">
                    <w:rPr>
                      <w:rFonts w:ascii="Times New Roman" w:eastAsia="Times New Roman" w:hAnsi="Times New Roman" w:cs="Times New Roman"/>
                      <w:sz w:val="24"/>
                      <w:szCs w:val="24"/>
                      <w:lang w:val="uk-UA"/>
                    </w:rPr>
                    <w:t xml:space="preserve"> (2), </w:t>
                  </w:r>
                  <w:r w:rsidRPr="00BE1959">
                    <w:rPr>
                      <w:rFonts w:ascii="Times New Roman" w:eastAsia="Times New Roman" w:hAnsi="Times New Roman" w:cs="Times New Roman"/>
                      <w:sz w:val="24"/>
                      <w:szCs w:val="24"/>
                      <w:lang w:val="uk-UA"/>
                    </w:rPr>
                    <w:t>стаття</w:t>
                  </w:r>
                  <w:r w:rsidR="005613AB" w:rsidRPr="00BE1959">
                    <w:rPr>
                      <w:rFonts w:ascii="Times New Roman" w:eastAsia="Times New Roman" w:hAnsi="Times New Roman" w:cs="Times New Roman"/>
                      <w:sz w:val="24"/>
                      <w:szCs w:val="24"/>
                      <w:lang w:val="uk-UA"/>
                    </w:rPr>
                    <w:t xml:space="preserve"> 57(8) </w:t>
                  </w:r>
                  <w:r w:rsidR="007E0A70" w:rsidRPr="00BE1959">
                    <w:rPr>
                      <w:rFonts w:ascii="Times New Roman" w:eastAsia="Times New Roman" w:hAnsi="Times New Roman" w:cs="Times New Roman"/>
                      <w:sz w:val="24"/>
                      <w:szCs w:val="24"/>
                      <w:lang w:val="uk-UA"/>
                    </w:rPr>
                    <w:t>та</w:t>
                  </w:r>
                  <w:r w:rsidR="005613AB" w:rsidRPr="00BE1959">
                    <w:rPr>
                      <w:rFonts w:ascii="Times New Roman" w:eastAsia="Times New Roman" w:hAnsi="Times New Roman" w:cs="Times New Roman"/>
                      <w:sz w:val="24"/>
                      <w:szCs w:val="24"/>
                      <w:lang w:val="uk-UA"/>
                    </w:rPr>
                    <w:t xml:space="preserve"> </w:t>
                  </w:r>
                  <w:r w:rsidR="00A57121" w:rsidRPr="00BE1959">
                    <w:rPr>
                      <w:rFonts w:ascii="Times New Roman" w:eastAsia="Times New Roman" w:hAnsi="Times New Roman" w:cs="Times New Roman"/>
                      <w:sz w:val="24"/>
                      <w:szCs w:val="24"/>
                      <w:lang w:val="uk-UA"/>
                    </w:rPr>
                    <w:t>перший абзац</w:t>
                  </w:r>
                  <w:r w:rsidR="005613AB" w:rsidRPr="00BE1959">
                    <w:rPr>
                      <w:rFonts w:ascii="Times New Roman" w:eastAsia="Times New Roman" w:hAnsi="Times New Roman" w:cs="Times New Roman"/>
                      <w:sz w:val="24"/>
                      <w:szCs w:val="24"/>
                      <w:lang w:val="uk-UA"/>
                    </w:rPr>
                    <w:t xml:space="preserve"> </w:t>
                  </w:r>
                  <w:r w:rsidR="0065313E" w:rsidRPr="00BE1959">
                    <w:rPr>
                      <w:rFonts w:ascii="Times New Roman" w:eastAsia="Times New Roman" w:hAnsi="Times New Roman" w:cs="Times New Roman"/>
                      <w:sz w:val="24"/>
                      <w:szCs w:val="24"/>
                      <w:lang w:val="uk-UA"/>
                    </w:rPr>
                    <w:t>статті</w:t>
                  </w:r>
                  <w:r w:rsidR="005613AB" w:rsidRPr="00BE1959">
                    <w:rPr>
                      <w:rFonts w:ascii="Times New Roman" w:eastAsia="Times New Roman" w:hAnsi="Times New Roman" w:cs="Times New Roman"/>
                      <w:sz w:val="24"/>
                      <w:szCs w:val="24"/>
                      <w:lang w:val="uk-UA"/>
                    </w:rPr>
                    <w:t xml:space="preserve"> 57(10);</w:t>
                  </w:r>
                </w:p>
              </w:tc>
            </w:tr>
          </w:tbl>
          <w:p w:rsidR="005613AB" w:rsidRPr="00BE1959" w:rsidRDefault="005613AB" w:rsidP="005613AB">
            <w:pPr>
              <w:spacing w:after="0" w:line="240" w:lineRule="auto"/>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716"/>
              <w:gridCol w:w="6256"/>
            </w:tblGrid>
            <w:tr w:rsidR="00DE3173" w:rsidRPr="00BE1959">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(xxxvi)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6E3030"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стаття</w:t>
                  </w:r>
                  <w:r w:rsidR="005613AB" w:rsidRPr="00BE1959">
                    <w:rPr>
                      <w:rFonts w:ascii="Times New Roman" w:eastAsia="Times New Roman" w:hAnsi="Times New Roman" w:cs="Times New Roman"/>
                      <w:sz w:val="24"/>
                      <w:szCs w:val="24"/>
                      <w:lang w:val="uk-UA"/>
                    </w:rPr>
                    <w:t xml:space="preserve"> 58(1) </w:t>
                  </w:r>
                  <w:r w:rsidR="007E0A70" w:rsidRPr="00BE1959">
                    <w:rPr>
                      <w:rFonts w:ascii="Times New Roman" w:eastAsia="Times New Roman" w:hAnsi="Times New Roman" w:cs="Times New Roman"/>
                      <w:sz w:val="24"/>
                      <w:szCs w:val="24"/>
                      <w:lang w:val="uk-UA"/>
                    </w:rPr>
                    <w:t>-</w:t>
                  </w:r>
                  <w:r w:rsidR="005613AB" w:rsidRPr="00BE1959">
                    <w:rPr>
                      <w:rFonts w:ascii="Times New Roman" w:eastAsia="Times New Roman" w:hAnsi="Times New Roman" w:cs="Times New Roman"/>
                      <w:sz w:val="24"/>
                      <w:szCs w:val="24"/>
                      <w:lang w:val="uk-UA"/>
                    </w:rPr>
                    <w:t xml:space="preserve"> (4);</w:t>
                  </w:r>
                </w:p>
              </w:tc>
            </w:tr>
          </w:tbl>
          <w:p w:rsidR="005613AB" w:rsidRPr="00BE1959" w:rsidRDefault="005613AB" w:rsidP="005613AB">
            <w:pPr>
              <w:spacing w:after="0" w:line="240" w:lineRule="auto"/>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404"/>
              <w:gridCol w:w="6568"/>
            </w:tblGrid>
            <w:tr w:rsidR="00DE3173" w:rsidRPr="00BE1959">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(xxxvii)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6E3030"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стаття</w:t>
                  </w:r>
                  <w:r w:rsidR="005613AB" w:rsidRPr="00BE1959">
                    <w:rPr>
                      <w:rFonts w:ascii="Times New Roman" w:eastAsia="Times New Roman" w:hAnsi="Times New Roman" w:cs="Times New Roman"/>
                      <w:sz w:val="24"/>
                      <w:szCs w:val="24"/>
                      <w:lang w:val="uk-UA"/>
                    </w:rPr>
                    <w:t xml:space="preserve"> 63(1), (3) </w:t>
                  </w:r>
                  <w:r w:rsidR="007E0A70" w:rsidRPr="00BE1959">
                    <w:rPr>
                      <w:rFonts w:ascii="Times New Roman" w:eastAsia="Times New Roman" w:hAnsi="Times New Roman" w:cs="Times New Roman"/>
                      <w:sz w:val="24"/>
                      <w:szCs w:val="24"/>
                      <w:lang w:val="uk-UA"/>
                    </w:rPr>
                    <w:t>та</w:t>
                  </w:r>
                  <w:r w:rsidR="005613AB" w:rsidRPr="00BE1959">
                    <w:rPr>
                      <w:rFonts w:ascii="Times New Roman" w:eastAsia="Times New Roman" w:hAnsi="Times New Roman" w:cs="Times New Roman"/>
                      <w:sz w:val="24"/>
                      <w:szCs w:val="24"/>
                      <w:lang w:val="uk-UA"/>
                    </w:rPr>
                    <w:t xml:space="preserve"> (4);</w:t>
                  </w:r>
                </w:p>
              </w:tc>
            </w:tr>
          </w:tbl>
          <w:p w:rsidR="005613AB" w:rsidRPr="00BE1959" w:rsidRDefault="005613AB" w:rsidP="005613AB">
            <w:pPr>
              <w:spacing w:after="0" w:line="240" w:lineRule="auto"/>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012"/>
              <w:gridCol w:w="5960"/>
            </w:tblGrid>
            <w:tr w:rsidR="00DE3173" w:rsidRPr="00BE1959">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(xxxviii)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6E3030"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стаття</w:t>
                  </w:r>
                  <w:r w:rsidR="005613AB" w:rsidRPr="00BE1959">
                    <w:rPr>
                      <w:rFonts w:ascii="Times New Roman" w:eastAsia="Times New Roman" w:hAnsi="Times New Roman" w:cs="Times New Roman"/>
                      <w:sz w:val="24"/>
                      <w:szCs w:val="24"/>
                      <w:lang w:val="uk-UA"/>
                    </w:rPr>
                    <w:t xml:space="preserve"> 64(1) </w:t>
                  </w:r>
                  <w:r w:rsidR="007E0A70" w:rsidRPr="00BE1959">
                    <w:rPr>
                      <w:rFonts w:ascii="Times New Roman" w:eastAsia="Times New Roman" w:hAnsi="Times New Roman" w:cs="Times New Roman"/>
                      <w:sz w:val="24"/>
                      <w:szCs w:val="24"/>
                      <w:lang w:val="uk-UA"/>
                    </w:rPr>
                    <w:t>-</w:t>
                  </w:r>
                  <w:r w:rsidR="005613AB" w:rsidRPr="00BE1959">
                    <w:rPr>
                      <w:rFonts w:ascii="Times New Roman" w:eastAsia="Times New Roman" w:hAnsi="Times New Roman" w:cs="Times New Roman"/>
                      <w:sz w:val="24"/>
                      <w:szCs w:val="24"/>
                      <w:lang w:val="uk-UA"/>
                    </w:rPr>
                    <w:t xml:space="preserve"> (5);</w:t>
                  </w:r>
                </w:p>
              </w:tc>
            </w:tr>
          </w:tbl>
          <w:p w:rsidR="005613AB" w:rsidRPr="00BE1959" w:rsidRDefault="005613AB" w:rsidP="005613AB">
            <w:pPr>
              <w:spacing w:after="0" w:line="240" w:lineRule="auto"/>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716"/>
              <w:gridCol w:w="6256"/>
            </w:tblGrid>
            <w:tr w:rsidR="00DE3173" w:rsidRPr="00BE1959">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(xxxix)</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6E3030"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стаття</w:t>
                  </w:r>
                  <w:r w:rsidR="005613AB" w:rsidRPr="00BE1959">
                    <w:rPr>
                      <w:rFonts w:ascii="Times New Roman" w:eastAsia="Times New Roman" w:hAnsi="Times New Roman" w:cs="Times New Roman"/>
                      <w:sz w:val="24"/>
                      <w:szCs w:val="24"/>
                      <w:lang w:val="uk-UA"/>
                    </w:rPr>
                    <w:t xml:space="preserve"> 65(1) </w:t>
                  </w:r>
                  <w:r w:rsidR="007E0A70" w:rsidRPr="00BE1959">
                    <w:rPr>
                      <w:rFonts w:ascii="Times New Roman" w:eastAsia="Times New Roman" w:hAnsi="Times New Roman" w:cs="Times New Roman"/>
                      <w:sz w:val="24"/>
                      <w:szCs w:val="24"/>
                      <w:lang w:val="uk-UA"/>
                    </w:rPr>
                    <w:t>-</w:t>
                  </w:r>
                  <w:r w:rsidR="005613AB" w:rsidRPr="00BE1959">
                    <w:rPr>
                      <w:rFonts w:ascii="Times New Roman" w:eastAsia="Times New Roman" w:hAnsi="Times New Roman" w:cs="Times New Roman"/>
                      <w:sz w:val="24"/>
                      <w:szCs w:val="24"/>
                      <w:lang w:val="uk-UA"/>
                    </w:rPr>
                    <w:t xml:space="preserve"> (5);</w:t>
                  </w:r>
                </w:p>
              </w:tc>
            </w:tr>
          </w:tbl>
          <w:p w:rsidR="005613AB" w:rsidRPr="00BE1959" w:rsidRDefault="005613AB" w:rsidP="005613AB">
            <w:pPr>
              <w:spacing w:after="0" w:line="240" w:lineRule="auto"/>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316"/>
              <w:gridCol w:w="6656"/>
            </w:tblGrid>
            <w:tr w:rsidR="00DE3173" w:rsidRPr="00BE1959">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(xxxx)</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6E3030"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стаття</w:t>
                  </w:r>
                  <w:r w:rsidR="005613AB" w:rsidRPr="00BE1959">
                    <w:rPr>
                      <w:rFonts w:ascii="Times New Roman" w:eastAsia="Times New Roman" w:hAnsi="Times New Roman" w:cs="Times New Roman"/>
                      <w:sz w:val="24"/>
                      <w:szCs w:val="24"/>
                      <w:lang w:val="uk-UA"/>
                    </w:rPr>
                    <w:t xml:space="preserve"> 66(1) </w:t>
                  </w:r>
                  <w:r w:rsidR="007E0A70" w:rsidRPr="00BE1959">
                    <w:rPr>
                      <w:rFonts w:ascii="Times New Roman" w:eastAsia="Times New Roman" w:hAnsi="Times New Roman" w:cs="Times New Roman"/>
                      <w:sz w:val="24"/>
                      <w:szCs w:val="24"/>
                      <w:lang w:val="uk-UA"/>
                    </w:rPr>
                    <w:t>-</w:t>
                  </w:r>
                  <w:r w:rsidR="005613AB" w:rsidRPr="00BE1959">
                    <w:rPr>
                      <w:rFonts w:ascii="Times New Roman" w:eastAsia="Times New Roman" w:hAnsi="Times New Roman" w:cs="Times New Roman"/>
                      <w:sz w:val="24"/>
                      <w:szCs w:val="24"/>
                      <w:lang w:val="uk-UA"/>
                    </w:rPr>
                    <w:t xml:space="preserve"> (4); </w:t>
                  </w:r>
                  <w:r w:rsidR="007E0A70" w:rsidRPr="00BE1959">
                    <w:rPr>
                      <w:rFonts w:ascii="Times New Roman" w:eastAsia="Times New Roman" w:hAnsi="Times New Roman" w:cs="Times New Roman"/>
                      <w:sz w:val="24"/>
                      <w:szCs w:val="24"/>
                      <w:lang w:val="uk-UA"/>
                    </w:rPr>
                    <w:t>та</w:t>
                  </w:r>
                </w:p>
              </w:tc>
            </w:tr>
          </w:tbl>
          <w:p w:rsidR="005613AB" w:rsidRPr="00BE1959" w:rsidRDefault="005613AB" w:rsidP="005613AB">
            <w:pPr>
              <w:spacing w:after="0" w:line="240" w:lineRule="auto"/>
              <w:rPr>
                <w:rFonts w:ascii="Times New Roman" w:eastAsia="Times New Roman" w:hAnsi="Times New Roman" w:cs="Times New Roman"/>
                <w:sz w:val="24"/>
                <w:szCs w:val="24"/>
                <w:lang w:val="uk-UA"/>
              </w:rPr>
            </w:pP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DE3173" w:rsidRPr="00BE1959"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A872F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стосовно Регламенту</w:t>
            </w:r>
            <w:r w:rsidR="005613AB" w:rsidRPr="00BE1959">
              <w:rPr>
                <w:rFonts w:ascii="Times New Roman" w:eastAsia="Times New Roman" w:hAnsi="Times New Roman" w:cs="Times New Roman"/>
                <w:sz w:val="24"/>
                <w:szCs w:val="24"/>
                <w:lang w:val="uk-UA"/>
              </w:rPr>
              <w:t xml:space="preserve"> </w:t>
            </w:r>
            <w:r w:rsidR="007B0149" w:rsidRPr="00BE1959">
              <w:rPr>
                <w:rFonts w:ascii="Times New Roman" w:eastAsia="Times New Roman" w:hAnsi="Times New Roman" w:cs="Times New Roman"/>
                <w:sz w:val="24"/>
                <w:szCs w:val="24"/>
                <w:lang w:val="uk-UA"/>
              </w:rPr>
              <w:t>(EU) № 600/2014</w:t>
            </w:r>
            <w:r w:rsidR="005613AB" w:rsidRPr="00BE1959">
              <w:rPr>
                <w:rFonts w:ascii="Times New Roman" w:eastAsia="Times New Roman" w:hAnsi="Times New Roman" w:cs="Times New Roman"/>
                <w:sz w:val="24"/>
                <w:szCs w:val="24"/>
                <w:lang w:val="uk-UA"/>
              </w:rP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371"/>
              <w:gridCol w:w="7588"/>
            </w:tblGrid>
            <w:tr w:rsidR="00DE3173" w:rsidRPr="00BE1959">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432EC0" w:rsidP="00432EC0">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с</w:t>
                  </w:r>
                  <w:r w:rsidR="006E3030" w:rsidRPr="00BE1959">
                    <w:rPr>
                      <w:rFonts w:ascii="Times New Roman" w:eastAsia="Times New Roman" w:hAnsi="Times New Roman" w:cs="Times New Roman"/>
                      <w:sz w:val="24"/>
                      <w:szCs w:val="24"/>
                      <w:lang w:val="uk-UA"/>
                    </w:rPr>
                    <w:t>татті</w:t>
                  </w:r>
                  <w:r w:rsidR="005613AB" w:rsidRPr="00BE1959">
                    <w:rPr>
                      <w:rFonts w:ascii="Times New Roman" w:eastAsia="Times New Roman" w:hAnsi="Times New Roman" w:cs="Times New Roman"/>
                      <w:sz w:val="24"/>
                      <w:szCs w:val="24"/>
                      <w:lang w:val="uk-UA"/>
                    </w:rPr>
                    <w:t xml:space="preserve"> 3(1) </w:t>
                  </w:r>
                  <w:r w:rsidR="007E0A70" w:rsidRPr="00BE1959">
                    <w:rPr>
                      <w:rFonts w:ascii="Times New Roman" w:eastAsia="Times New Roman" w:hAnsi="Times New Roman" w:cs="Times New Roman"/>
                      <w:sz w:val="24"/>
                      <w:szCs w:val="24"/>
                      <w:lang w:val="uk-UA"/>
                    </w:rPr>
                    <w:t>та</w:t>
                  </w:r>
                  <w:r w:rsidR="005613AB" w:rsidRPr="00BE1959">
                    <w:rPr>
                      <w:rFonts w:ascii="Times New Roman" w:eastAsia="Times New Roman" w:hAnsi="Times New Roman" w:cs="Times New Roman"/>
                      <w:sz w:val="24"/>
                      <w:szCs w:val="24"/>
                      <w:lang w:val="uk-UA"/>
                    </w:rPr>
                    <w:t xml:space="preserve"> (3);</w:t>
                  </w:r>
                </w:p>
              </w:tc>
            </w:tr>
          </w:tbl>
          <w:p w:rsidR="005613AB" w:rsidRPr="00BE1959" w:rsidRDefault="005613AB" w:rsidP="005613AB">
            <w:pPr>
              <w:spacing w:after="0" w:line="240" w:lineRule="auto"/>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53"/>
              <w:gridCol w:w="7806"/>
            </w:tblGrid>
            <w:tr w:rsidR="00DE3173" w:rsidRPr="00BE1959">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lastRenderedPageBreak/>
                    <w:t>(ii)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A57121"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перший абзац</w:t>
                  </w:r>
                  <w:r w:rsidR="005613AB" w:rsidRPr="00BE1959">
                    <w:rPr>
                      <w:rFonts w:ascii="Times New Roman" w:eastAsia="Times New Roman" w:hAnsi="Times New Roman" w:cs="Times New Roman"/>
                      <w:sz w:val="24"/>
                      <w:szCs w:val="24"/>
                      <w:lang w:val="uk-UA"/>
                    </w:rPr>
                    <w:t xml:space="preserve"> </w:t>
                  </w:r>
                  <w:r w:rsidR="0065313E" w:rsidRPr="00BE1959">
                    <w:rPr>
                      <w:rFonts w:ascii="Times New Roman" w:eastAsia="Times New Roman" w:hAnsi="Times New Roman" w:cs="Times New Roman"/>
                      <w:sz w:val="24"/>
                      <w:szCs w:val="24"/>
                      <w:lang w:val="uk-UA"/>
                    </w:rPr>
                    <w:t>статті</w:t>
                  </w:r>
                  <w:r w:rsidR="005613AB" w:rsidRPr="00BE1959">
                    <w:rPr>
                      <w:rFonts w:ascii="Times New Roman" w:eastAsia="Times New Roman" w:hAnsi="Times New Roman" w:cs="Times New Roman"/>
                      <w:sz w:val="24"/>
                      <w:szCs w:val="24"/>
                      <w:lang w:val="uk-UA"/>
                    </w:rPr>
                    <w:t xml:space="preserve"> 4(3);</w:t>
                  </w:r>
                </w:p>
              </w:tc>
            </w:tr>
          </w:tbl>
          <w:p w:rsidR="005613AB" w:rsidRPr="00BE1959" w:rsidRDefault="005613AB" w:rsidP="005613AB">
            <w:pPr>
              <w:spacing w:after="0" w:line="240" w:lineRule="auto"/>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863"/>
              <w:gridCol w:w="6096"/>
            </w:tblGrid>
            <w:tr w:rsidR="00DE3173" w:rsidRPr="00BE1959">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(iii)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6E3030"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стаття</w:t>
                  </w:r>
                  <w:r w:rsidR="005613AB" w:rsidRPr="00BE1959">
                    <w:rPr>
                      <w:rFonts w:ascii="Times New Roman" w:eastAsia="Times New Roman" w:hAnsi="Times New Roman" w:cs="Times New Roman"/>
                      <w:sz w:val="24"/>
                      <w:szCs w:val="24"/>
                      <w:lang w:val="uk-UA"/>
                    </w:rPr>
                    <w:t xml:space="preserve"> 6;</w:t>
                  </w:r>
                </w:p>
              </w:tc>
            </w:tr>
          </w:tbl>
          <w:p w:rsidR="005613AB" w:rsidRPr="00BE1959" w:rsidRDefault="005613AB" w:rsidP="005613AB">
            <w:pPr>
              <w:spacing w:after="0" w:line="240" w:lineRule="auto"/>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18"/>
              <w:gridCol w:w="8141"/>
            </w:tblGrid>
            <w:tr w:rsidR="00DE3173" w:rsidRPr="0043174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(iv)</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A57121" w:rsidP="00432EC0">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перше речення</w:t>
                  </w:r>
                  <w:r w:rsidR="005613AB" w:rsidRPr="00BE1959">
                    <w:rPr>
                      <w:rFonts w:ascii="Times New Roman" w:eastAsia="Times New Roman" w:hAnsi="Times New Roman" w:cs="Times New Roman"/>
                      <w:sz w:val="24"/>
                      <w:szCs w:val="24"/>
                      <w:lang w:val="uk-UA"/>
                    </w:rPr>
                    <w:t xml:space="preserve"> </w:t>
                  </w:r>
                  <w:r w:rsidR="00432EC0" w:rsidRPr="00BE1959">
                    <w:rPr>
                      <w:rFonts w:ascii="Times New Roman" w:eastAsia="Times New Roman" w:hAnsi="Times New Roman" w:cs="Times New Roman"/>
                      <w:sz w:val="24"/>
                      <w:szCs w:val="24"/>
                      <w:lang w:val="uk-UA"/>
                    </w:rPr>
                    <w:t>третього абзацу</w:t>
                  </w:r>
                  <w:r w:rsidR="005613AB" w:rsidRPr="00BE1959">
                    <w:rPr>
                      <w:rFonts w:ascii="Times New Roman" w:eastAsia="Times New Roman" w:hAnsi="Times New Roman" w:cs="Times New Roman"/>
                      <w:sz w:val="24"/>
                      <w:szCs w:val="24"/>
                      <w:lang w:val="uk-UA"/>
                    </w:rPr>
                    <w:t xml:space="preserve"> </w:t>
                  </w:r>
                  <w:r w:rsidR="0065313E" w:rsidRPr="00BE1959">
                    <w:rPr>
                      <w:rFonts w:ascii="Times New Roman" w:eastAsia="Times New Roman" w:hAnsi="Times New Roman" w:cs="Times New Roman"/>
                      <w:sz w:val="24"/>
                      <w:szCs w:val="24"/>
                      <w:lang w:val="uk-UA"/>
                    </w:rPr>
                    <w:t>статті</w:t>
                  </w:r>
                  <w:r w:rsidR="005613AB" w:rsidRPr="00BE1959">
                    <w:rPr>
                      <w:rFonts w:ascii="Times New Roman" w:eastAsia="Times New Roman" w:hAnsi="Times New Roman" w:cs="Times New Roman"/>
                      <w:sz w:val="24"/>
                      <w:szCs w:val="24"/>
                      <w:lang w:val="uk-UA"/>
                    </w:rPr>
                    <w:t xml:space="preserve"> 7(1);</w:t>
                  </w:r>
                </w:p>
              </w:tc>
            </w:tr>
          </w:tbl>
          <w:p w:rsidR="005613AB" w:rsidRPr="00BE1959" w:rsidRDefault="005613AB" w:rsidP="005613AB">
            <w:pPr>
              <w:spacing w:after="0" w:line="240" w:lineRule="auto"/>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294"/>
              <w:gridCol w:w="7665"/>
            </w:tblGrid>
            <w:tr w:rsidR="00DE3173" w:rsidRPr="00BE1959">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(v)</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6E3030" w:rsidP="00432EC0">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стаття</w:t>
                  </w:r>
                  <w:r w:rsidR="005613AB" w:rsidRPr="00BE1959">
                    <w:rPr>
                      <w:rFonts w:ascii="Times New Roman" w:eastAsia="Times New Roman" w:hAnsi="Times New Roman" w:cs="Times New Roman"/>
                      <w:sz w:val="24"/>
                      <w:szCs w:val="24"/>
                      <w:lang w:val="uk-UA"/>
                    </w:rPr>
                    <w:t xml:space="preserve"> 8(1), (3) </w:t>
                  </w:r>
                  <w:r w:rsidR="007E0A70" w:rsidRPr="00BE1959">
                    <w:rPr>
                      <w:rFonts w:ascii="Times New Roman" w:eastAsia="Times New Roman" w:hAnsi="Times New Roman" w:cs="Times New Roman"/>
                      <w:sz w:val="24"/>
                      <w:szCs w:val="24"/>
                      <w:lang w:val="uk-UA"/>
                    </w:rPr>
                    <w:t>та</w:t>
                  </w:r>
                  <w:r w:rsidR="005613AB" w:rsidRPr="00BE1959">
                    <w:rPr>
                      <w:rFonts w:ascii="Times New Roman" w:eastAsia="Times New Roman" w:hAnsi="Times New Roman" w:cs="Times New Roman"/>
                      <w:sz w:val="24"/>
                      <w:szCs w:val="24"/>
                      <w:lang w:val="uk-UA"/>
                    </w:rPr>
                    <w:t xml:space="preserve"> (4);</w:t>
                  </w:r>
                </w:p>
              </w:tc>
            </w:tr>
          </w:tbl>
          <w:p w:rsidR="005613AB" w:rsidRPr="00BE1959" w:rsidRDefault="005613AB" w:rsidP="005613AB">
            <w:pPr>
              <w:spacing w:after="0" w:line="240" w:lineRule="auto"/>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592"/>
              <w:gridCol w:w="6367"/>
            </w:tblGrid>
            <w:tr w:rsidR="00DE3173" w:rsidRPr="00BE1959">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(vi)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6E3030"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стаття</w:t>
                  </w:r>
                  <w:r w:rsidR="005613AB" w:rsidRPr="00BE1959">
                    <w:rPr>
                      <w:rFonts w:ascii="Times New Roman" w:eastAsia="Times New Roman" w:hAnsi="Times New Roman" w:cs="Times New Roman"/>
                      <w:sz w:val="24"/>
                      <w:szCs w:val="24"/>
                      <w:lang w:val="uk-UA"/>
                    </w:rPr>
                    <w:t xml:space="preserve"> 10;</w:t>
                  </w:r>
                </w:p>
              </w:tc>
            </w:tr>
          </w:tbl>
          <w:p w:rsidR="005613AB" w:rsidRPr="00BE1959" w:rsidRDefault="005613AB" w:rsidP="005613AB">
            <w:pPr>
              <w:spacing w:after="0" w:line="240" w:lineRule="auto"/>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85"/>
              <w:gridCol w:w="8374"/>
            </w:tblGrid>
            <w:tr w:rsidR="00DE3173" w:rsidRPr="0043174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(vii)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A57121" w:rsidP="00432EC0">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перше речення</w:t>
                  </w:r>
                  <w:r w:rsidR="005613AB" w:rsidRPr="00BE1959">
                    <w:rPr>
                      <w:rFonts w:ascii="Times New Roman" w:eastAsia="Times New Roman" w:hAnsi="Times New Roman" w:cs="Times New Roman"/>
                      <w:sz w:val="24"/>
                      <w:szCs w:val="24"/>
                      <w:lang w:val="uk-UA"/>
                    </w:rPr>
                    <w:t xml:space="preserve"> </w:t>
                  </w:r>
                  <w:r w:rsidR="00432EC0" w:rsidRPr="00BE1959">
                    <w:rPr>
                      <w:rFonts w:ascii="Times New Roman" w:eastAsia="Times New Roman" w:hAnsi="Times New Roman" w:cs="Times New Roman"/>
                      <w:sz w:val="24"/>
                      <w:szCs w:val="24"/>
                      <w:lang w:val="uk-UA"/>
                    </w:rPr>
                    <w:t>третього абзацу</w:t>
                  </w:r>
                  <w:r w:rsidR="005613AB" w:rsidRPr="00BE1959">
                    <w:rPr>
                      <w:rFonts w:ascii="Times New Roman" w:eastAsia="Times New Roman" w:hAnsi="Times New Roman" w:cs="Times New Roman"/>
                      <w:sz w:val="24"/>
                      <w:szCs w:val="24"/>
                      <w:lang w:val="uk-UA"/>
                    </w:rPr>
                    <w:t xml:space="preserve"> </w:t>
                  </w:r>
                  <w:r w:rsidR="0065313E" w:rsidRPr="00BE1959">
                    <w:rPr>
                      <w:rFonts w:ascii="Times New Roman" w:eastAsia="Times New Roman" w:hAnsi="Times New Roman" w:cs="Times New Roman"/>
                      <w:sz w:val="24"/>
                      <w:szCs w:val="24"/>
                      <w:lang w:val="uk-UA"/>
                    </w:rPr>
                    <w:t>статті</w:t>
                  </w:r>
                  <w:r w:rsidR="005613AB" w:rsidRPr="00BE1959">
                    <w:rPr>
                      <w:rFonts w:ascii="Times New Roman" w:eastAsia="Times New Roman" w:hAnsi="Times New Roman" w:cs="Times New Roman"/>
                      <w:sz w:val="24"/>
                      <w:szCs w:val="24"/>
                      <w:lang w:val="uk-UA"/>
                    </w:rPr>
                    <w:t xml:space="preserve"> 11(1) </w:t>
                  </w:r>
                  <w:r w:rsidR="007E0A70" w:rsidRPr="00BE1959">
                    <w:rPr>
                      <w:rFonts w:ascii="Times New Roman" w:eastAsia="Times New Roman" w:hAnsi="Times New Roman" w:cs="Times New Roman"/>
                      <w:sz w:val="24"/>
                      <w:szCs w:val="24"/>
                      <w:lang w:val="uk-UA"/>
                    </w:rPr>
                    <w:t>та</w:t>
                  </w:r>
                  <w:r w:rsidR="005613AB" w:rsidRPr="00BE1959">
                    <w:rPr>
                      <w:rFonts w:ascii="Times New Roman" w:eastAsia="Times New Roman" w:hAnsi="Times New Roman" w:cs="Times New Roman"/>
                      <w:sz w:val="24"/>
                      <w:szCs w:val="24"/>
                      <w:lang w:val="uk-UA"/>
                    </w:rPr>
                    <w:t xml:space="preserve"> </w:t>
                  </w:r>
                  <w:r w:rsidRPr="00BE1959">
                    <w:rPr>
                      <w:rFonts w:ascii="Times New Roman" w:eastAsia="Times New Roman" w:hAnsi="Times New Roman" w:cs="Times New Roman"/>
                      <w:sz w:val="24"/>
                      <w:szCs w:val="24"/>
                      <w:lang w:val="uk-UA"/>
                    </w:rPr>
                    <w:t>третій абзац</w:t>
                  </w:r>
                  <w:r w:rsidR="005613AB" w:rsidRPr="00BE1959">
                    <w:rPr>
                      <w:rFonts w:ascii="Times New Roman" w:eastAsia="Times New Roman" w:hAnsi="Times New Roman" w:cs="Times New Roman"/>
                      <w:sz w:val="24"/>
                      <w:szCs w:val="24"/>
                      <w:lang w:val="uk-UA"/>
                    </w:rPr>
                    <w:t xml:space="preserve"> </w:t>
                  </w:r>
                  <w:r w:rsidR="0065313E" w:rsidRPr="00BE1959">
                    <w:rPr>
                      <w:rFonts w:ascii="Times New Roman" w:eastAsia="Times New Roman" w:hAnsi="Times New Roman" w:cs="Times New Roman"/>
                      <w:sz w:val="24"/>
                      <w:szCs w:val="24"/>
                      <w:lang w:val="uk-UA"/>
                    </w:rPr>
                    <w:t>статті</w:t>
                  </w:r>
                  <w:r w:rsidR="005613AB" w:rsidRPr="00BE1959">
                    <w:rPr>
                      <w:rFonts w:ascii="Times New Roman" w:eastAsia="Times New Roman" w:hAnsi="Times New Roman" w:cs="Times New Roman"/>
                      <w:sz w:val="24"/>
                      <w:szCs w:val="24"/>
                      <w:lang w:val="uk-UA"/>
                    </w:rPr>
                    <w:t xml:space="preserve"> 11(3);</w:t>
                  </w:r>
                </w:p>
              </w:tc>
            </w:tr>
          </w:tbl>
          <w:p w:rsidR="005613AB" w:rsidRPr="00BE1959" w:rsidRDefault="005613AB" w:rsidP="005613AB">
            <w:pPr>
              <w:spacing w:after="0" w:line="240" w:lineRule="auto"/>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654"/>
              <w:gridCol w:w="6305"/>
            </w:tblGrid>
            <w:tr w:rsidR="00DE3173" w:rsidRPr="00BE1959">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(viii)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6E3030"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стаття</w:t>
                  </w:r>
                  <w:r w:rsidR="005613AB" w:rsidRPr="00BE1959">
                    <w:rPr>
                      <w:rFonts w:ascii="Times New Roman" w:eastAsia="Times New Roman" w:hAnsi="Times New Roman" w:cs="Times New Roman"/>
                      <w:sz w:val="24"/>
                      <w:szCs w:val="24"/>
                      <w:lang w:val="uk-UA"/>
                    </w:rPr>
                    <w:t xml:space="preserve"> 12(1);</w:t>
                  </w:r>
                </w:p>
              </w:tc>
            </w:tr>
          </w:tbl>
          <w:p w:rsidR="005613AB" w:rsidRPr="00BE1959" w:rsidRDefault="005613AB" w:rsidP="005613AB">
            <w:pPr>
              <w:spacing w:after="0" w:line="240" w:lineRule="auto"/>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98"/>
              <w:gridCol w:w="6761"/>
            </w:tblGrid>
            <w:tr w:rsidR="00DE3173" w:rsidRPr="00BE1959">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(ix)</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6E3030"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стаття</w:t>
                  </w:r>
                  <w:r w:rsidR="005613AB" w:rsidRPr="00BE1959">
                    <w:rPr>
                      <w:rFonts w:ascii="Times New Roman" w:eastAsia="Times New Roman" w:hAnsi="Times New Roman" w:cs="Times New Roman"/>
                      <w:sz w:val="24"/>
                      <w:szCs w:val="24"/>
                      <w:lang w:val="uk-UA"/>
                    </w:rPr>
                    <w:t xml:space="preserve"> 13(1);</w:t>
                  </w:r>
                </w:p>
              </w:tc>
            </w:tr>
          </w:tbl>
          <w:p w:rsidR="005613AB" w:rsidRPr="00BE1959" w:rsidRDefault="005613AB" w:rsidP="005613AB">
            <w:pPr>
              <w:spacing w:after="0" w:line="240" w:lineRule="auto"/>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574"/>
            </w:tblGrid>
            <w:tr w:rsidR="00DE3173" w:rsidRPr="0043174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(x)</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6E3030" w:rsidP="00432EC0">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стаття</w:t>
                  </w:r>
                  <w:r w:rsidR="005613AB" w:rsidRPr="00BE1959">
                    <w:rPr>
                      <w:rFonts w:ascii="Times New Roman" w:eastAsia="Times New Roman" w:hAnsi="Times New Roman" w:cs="Times New Roman"/>
                      <w:sz w:val="24"/>
                      <w:szCs w:val="24"/>
                      <w:lang w:val="uk-UA"/>
                    </w:rPr>
                    <w:t xml:space="preserve"> 14(1), </w:t>
                  </w:r>
                  <w:r w:rsidR="00A57121" w:rsidRPr="00BE1959">
                    <w:rPr>
                      <w:rFonts w:ascii="Times New Roman" w:eastAsia="Times New Roman" w:hAnsi="Times New Roman" w:cs="Times New Roman"/>
                      <w:sz w:val="24"/>
                      <w:szCs w:val="24"/>
                      <w:lang w:val="uk-UA"/>
                    </w:rPr>
                    <w:t>перше речення</w:t>
                  </w:r>
                  <w:r w:rsidR="005613AB" w:rsidRPr="00BE1959">
                    <w:rPr>
                      <w:rFonts w:ascii="Times New Roman" w:eastAsia="Times New Roman" w:hAnsi="Times New Roman" w:cs="Times New Roman"/>
                      <w:sz w:val="24"/>
                      <w:szCs w:val="24"/>
                      <w:lang w:val="uk-UA"/>
                    </w:rPr>
                    <w:t xml:space="preserve"> </w:t>
                  </w:r>
                  <w:r w:rsidR="0065313E" w:rsidRPr="00BE1959">
                    <w:rPr>
                      <w:rFonts w:ascii="Times New Roman" w:eastAsia="Times New Roman" w:hAnsi="Times New Roman" w:cs="Times New Roman"/>
                      <w:sz w:val="24"/>
                      <w:szCs w:val="24"/>
                      <w:lang w:val="uk-UA"/>
                    </w:rPr>
                    <w:t>статті</w:t>
                  </w:r>
                  <w:r w:rsidR="005613AB" w:rsidRPr="00BE1959">
                    <w:rPr>
                      <w:rFonts w:ascii="Times New Roman" w:eastAsia="Times New Roman" w:hAnsi="Times New Roman" w:cs="Times New Roman"/>
                      <w:sz w:val="24"/>
                      <w:szCs w:val="24"/>
                      <w:lang w:val="uk-UA"/>
                    </w:rPr>
                    <w:t xml:space="preserve"> 14(2) </w:t>
                  </w:r>
                  <w:r w:rsidR="007E0A70" w:rsidRPr="00BE1959">
                    <w:rPr>
                      <w:rFonts w:ascii="Times New Roman" w:eastAsia="Times New Roman" w:hAnsi="Times New Roman" w:cs="Times New Roman"/>
                      <w:sz w:val="24"/>
                      <w:szCs w:val="24"/>
                      <w:lang w:val="uk-UA"/>
                    </w:rPr>
                    <w:t>та</w:t>
                  </w:r>
                  <w:r w:rsidR="005613AB" w:rsidRPr="00BE1959">
                    <w:rPr>
                      <w:rFonts w:ascii="Times New Roman" w:eastAsia="Times New Roman" w:hAnsi="Times New Roman" w:cs="Times New Roman"/>
                      <w:sz w:val="24"/>
                      <w:szCs w:val="24"/>
                      <w:lang w:val="uk-UA"/>
                    </w:rPr>
                    <w:t xml:space="preserve"> </w:t>
                  </w:r>
                  <w:r w:rsidR="00432EC0" w:rsidRPr="00BE1959">
                    <w:rPr>
                      <w:rFonts w:ascii="Times New Roman" w:eastAsia="Times New Roman" w:hAnsi="Times New Roman" w:cs="Times New Roman"/>
                      <w:sz w:val="24"/>
                      <w:szCs w:val="24"/>
                      <w:lang w:val="uk-UA"/>
                    </w:rPr>
                    <w:t>друге, третє та четверте речення</w:t>
                  </w:r>
                  <w:r w:rsidR="005613AB" w:rsidRPr="00BE1959">
                    <w:rPr>
                      <w:rFonts w:ascii="Times New Roman" w:eastAsia="Times New Roman" w:hAnsi="Times New Roman" w:cs="Times New Roman"/>
                      <w:sz w:val="24"/>
                      <w:szCs w:val="24"/>
                      <w:lang w:val="uk-UA"/>
                    </w:rPr>
                    <w:t xml:space="preserve"> </w:t>
                  </w:r>
                  <w:r w:rsidR="0065313E" w:rsidRPr="00BE1959">
                    <w:rPr>
                      <w:rFonts w:ascii="Times New Roman" w:eastAsia="Times New Roman" w:hAnsi="Times New Roman" w:cs="Times New Roman"/>
                      <w:sz w:val="24"/>
                      <w:szCs w:val="24"/>
                      <w:lang w:val="uk-UA"/>
                    </w:rPr>
                    <w:t>статті</w:t>
                  </w:r>
                  <w:r w:rsidR="005613AB" w:rsidRPr="00BE1959">
                    <w:rPr>
                      <w:rFonts w:ascii="Times New Roman" w:eastAsia="Times New Roman" w:hAnsi="Times New Roman" w:cs="Times New Roman"/>
                      <w:sz w:val="24"/>
                      <w:szCs w:val="24"/>
                      <w:lang w:val="uk-UA"/>
                    </w:rPr>
                    <w:t xml:space="preserve"> 14(3);</w:t>
                  </w:r>
                </w:p>
              </w:tc>
            </w:tr>
          </w:tbl>
          <w:p w:rsidR="005613AB" w:rsidRPr="00BE1959" w:rsidRDefault="005613AB" w:rsidP="005613AB">
            <w:pPr>
              <w:spacing w:after="0" w:line="240" w:lineRule="auto"/>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52"/>
              <w:gridCol w:w="8507"/>
            </w:tblGrid>
            <w:tr w:rsidR="00DE3173" w:rsidRPr="0043174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(xi)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A57121" w:rsidP="00BE1959">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перший абзац</w:t>
                  </w:r>
                  <w:r w:rsidR="005613AB" w:rsidRPr="00BE1959">
                    <w:rPr>
                      <w:rFonts w:ascii="Times New Roman" w:eastAsia="Times New Roman" w:hAnsi="Times New Roman" w:cs="Times New Roman"/>
                      <w:sz w:val="24"/>
                      <w:szCs w:val="24"/>
                      <w:lang w:val="uk-UA"/>
                    </w:rPr>
                    <w:t xml:space="preserve"> </w:t>
                  </w:r>
                  <w:r w:rsidR="007E0A70" w:rsidRPr="00BE1959">
                    <w:rPr>
                      <w:rFonts w:ascii="Times New Roman" w:eastAsia="Times New Roman" w:hAnsi="Times New Roman" w:cs="Times New Roman"/>
                      <w:sz w:val="24"/>
                      <w:szCs w:val="24"/>
                      <w:lang w:val="uk-UA"/>
                    </w:rPr>
                    <w:t>та</w:t>
                  </w:r>
                  <w:r w:rsidR="005613AB" w:rsidRPr="00BE1959">
                    <w:rPr>
                      <w:rFonts w:ascii="Times New Roman" w:eastAsia="Times New Roman" w:hAnsi="Times New Roman" w:cs="Times New Roman"/>
                      <w:sz w:val="24"/>
                      <w:szCs w:val="24"/>
                      <w:lang w:val="uk-UA"/>
                    </w:rPr>
                    <w:t xml:space="preserve"> </w:t>
                  </w:r>
                  <w:r w:rsidR="00432EC0" w:rsidRPr="00BE1959">
                    <w:rPr>
                      <w:rFonts w:ascii="Times New Roman" w:eastAsia="Times New Roman" w:hAnsi="Times New Roman" w:cs="Times New Roman"/>
                      <w:sz w:val="24"/>
                      <w:szCs w:val="24"/>
                      <w:lang w:val="uk-UA"/>
                    </w:rPr>
                    <w:t>перш</w:t>
                  </w:r>
                  <w:r w:rsidR="00BE1959" w:rsidRPr="00BE1959">
                    <w:rPr>
                      <w:rFonts w:ascii="Times New Roman" w:eastAsia="Times New Roman" w:hAnsi="Times New Roman" w:cs="Times New Roman"/>
                      <w:sz w:val="24"/>
                      <w:szCs w:val="24"/>
                      <w:lang w:val="uk-UA"/>
                    </w:rPr>
                    <w:t>е</w:t>
                  </w:r>
                  <w:r w:rsidR="00432EC0" w:rsidRPr="00BE1959">
                    <w:rPr>
                      <w:rFonts w:ascii="Times New Roman" w:eastAsia="Times New Roman" w:hAnsi="Times New Roman" w:cs="Times New Roman"/>
                      <w:sz w:val="24"/>
                      <w:szCs w:val="24"/>
                      <w:lang w:val="uk-UA"/>
                    </w:rPr>
                    <w:t xml:space="preserve"> і третє речення другого абзацу</w:t>
                  </w:r>
                  <w:r w:rsidR="005613AB" w:rsidRPr="00BE1959">
                    <w:rPr>
                      <w:rFonts w:ascii="Times New Roman" w:eastAsia="Times New Roman" w:hAnsi="Times New Roman" w:cs="Times New Roman"/>
                      <w:sz w:val="24"/>
                      <w:szCs w:val="24"/>
                      <w:lang w:val="uk-UA"/>
                    </w:rPr>
                    <w:t xml:space="preserve"> </w:t>
                  </w:r>
                  <w:r w:rsidR="0065313E" w:rsidRPr="00BE1959">
                    <w:rPr>
                      <w:rFonts w:ascii="Times New Roman" w:eastAsia="Times New Roman" w:hAnsi="Times New Roman" w:cs="Times New Roman"/>
                      <w:sz w:val="24"/>
                      <w:szCs w:val="24"/>
                      <w:lang w:val="uk-UA"/>
                    </w:rPr>
                    <w:t>статті</w:t>
                  </w:r>
                  <w:r w:rsidR="005613AB" w:rsidRPr="00BE1959">
                    <w:rPr>
                      <w:rFonts w:ascii="Times New Roman" w:eastAsia="Times New Roman" w:hAnsi="Times New Roman" w:cs="Times New Roman"/>
                      <w:sz w:val="24"/>
                      <w:szCs w:val="24"/>
                      <w:lang w:val="uk-UA"/>
                    </w:rPr>
                    <w:t xml:space="preserve"> 15(1), </w:t>
                  </w:r>
                  <w:r w:rsidR="006E3030" w:rsidRPr="00BE1959">
                    <w:rPr>
                      <w:rFonts w:ascii="Times New Roman" w:eastAsia="Times New Roman" w:hAnsi="Times New Roman" w:cs="Times New Roman"/>
                      <w:sz w:val="24"/>
                      <w:szCs w:val="24"/>
                      <w:lang w:val="uk-UA"/>
                    </w:rPr>
                    <w:t>стаття</w:t>
                  </w:r>
                  <w:r w:rsidR="005613AB" w:rsidRPr="00BE1959">
                    <w:rPr>
                      <w:rFonts w:ascii="Times New Roman" w:eastAsia="Times New Roman" w:hAnsi="Times New Roman" w:cs="Times New Roman"/>
                      <w:sz w:val="24"/>
                      <w:szCs w:val="24"/>
                      <w:lang w:val="uk-UA"/>
                    </w:rPr>
                    <w:t xml:space="preserve"> 15(2) </w:t>
                  </w:r>
                  <w:r w:rsidR="007E0A70" w:rsidRPr="00BE1959">
                    <w:rPr>
                      <w:rFonts w:ascii="Times New Roman" w:eastAsia="Times New Roman" w:hAnsi="Times New Roman" w:cs="Times New Roman"/>
                      <w:sz w:val="24"/>
                      <w:szCs w:val="24"/>
                      <w:lang w:val="uk-UA"/>
                    </w:rPr>
                    <w:t>та</w:t>
                  </w:r>
                  <w:r w:rsidR="005613AB" w:rsidRPr="00BE1959">
                    <w:rPr>
                      <w:rFonts w:ascii="Times New Roman" w:eastAsia="Times New Roman" w:hAnsi="Times New Roman" w:cs="Times New Roman"/>
                      <w:sz w:val="24"/>
                      <w:szCs w:val="24"/>
                      <w:lang w:val="uk-UA"/>
                    </w:rPr>
                    <w:t xml:space="preserve"> </w:t>
                  </w:r>
                  <w:r w:rsidR="007E0A70" w:rsidRPr="00BE1959">
                    <w:rPr>
                      <w:rFonts w:ascii="Times New Roman" w:eastAsia="Times New Roman" w:hAnsi="Times New Roman" w:cs="Times New Roman"/>
                      <w:sz w:val="24"/>
                      <w:szCs w:val="24"/>
                      <w:lang w:val="uk-UA"/>
                    </w:rPr>
                    <w:t>друге речення</w:t>
                  </w:r>
                  <w:r w:rsidR="005613AB" w:rsidRPr="00BE1959">
                    <w:rPr>
                      <w:rFonts w:ascii="Times New Roman" w:eastAsia="Times New Roman" w:hAnsi="Times New Roman" w:cs="Times New Roman"/>
                      <w:sz w:val="24"/>
                      <w:szCs w:val="24"/>
                      <w:lang w:val="uk-UA"/>
                    </w:rPr>
                    <w:t xml:space="preserve"> </w:t>
                  </w:r>
                  <w:r w:rsidR="0065313E" w:rsidRPr="00BE1959">
                    <w:rPr>
                      <w:rFonts w:ascii="Times New Roman" w:eastAsia="Times New Roman" w:hAnsi="Times New Roman" w:cs="Times New Roman"/>
                      <w:sz w:val="24"/>
                      <w:szCs w:val="24"/>
                      <w:lang w:val="uk-UA"/>
                    </w:rPr>
                    <w:t>статті</w:t>
                  </w:r>
                  <w:r w:rsidR="005613AB" w:rsidRPr="00BE1959">
                    <w:rPr>
                      <w:rFonts w:ascii="Times New Roman" w:eastAsia="Times New Roman" w:hAnsi="Times New Roman" w:cs="Times New Roman"/>
                      <w:sz w:val="24"/>
                      <w:szCs w:val="24"/>
                      <w:lang w:val="uk-UA"/>
                    </w:rPr>
                    <w:t xml:space="preserve"> 15(4);</w:t>
                  </w:r>
                </w:p>
              </w:tc>
            </w:tr>
          </w:tbl>
          <w:p w:rsidR="005613AB" w:rsidRPr="00BE1959" w:rsidRDefault="005613AB" w:rsidP="005613AB">
            <w:pPr>
              <w:spacing w:after="0" w:line="240" w:lineRule="auto"/>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379"/>
              <w:gridCol w:w="7580"/>
            </w:tblGrid>
            <w:tr w:rsidR="00DE3173" w:rsidRPr="00BE1959">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(xii)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7E0A70"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друге речення</w:t>
                  </w:r>
                  <w:r w:rsidR="005613AB" w:rsidRPr="00BE1959">
                    <w:rPr>
                      <w:rFonts w:ascii="Times New Roman" w:eastAsia="Times New Roman" w:hAnsi="Times New Roman" w:cs="Times New Roman"/>
                      <w:sz w:val="24"/>
                      <w:szCs w:val="24"/>
                      <w:lang w:val="uk-UA"/>
                    </w:rPr>
                    <w:t xml:space="preserve"> </w:t>
                  </w:r>
                  <w:r w:rsidR="0065313E" w:rsidRPr="00BE1959">
                    <w:rPr>
                      <w:rFonts w:ascii="Times New Roman" w:eastAsia="Times New Roman" w:hAnsi="Times New Roman" w:cs="Times New Roman"/>
                      <w:sz w:val="24"/>
                      <w:szCs w:val="24"/>
                      <w:lang w:val="uk-UA"/>
                    </w:rPr>
                    <w:t>статті</w:t>
                  </w:r>
                  <w:r w:rsidR="005613AB" w:rsidRPr="00BE1959">
                    <w:rPr>
                      <w:rFonts w:ascii="Times New Roman" w:eastAsia="Times New Roman" w:hAnsi="Times New Roman" w:cs="Times New Roman"/>
                      <w:sz w:val="24"/>
                      <w:szCs w:val="24"/>
                      <w:lang w:val="uk-UA"/>
                    </w:rPr>
                    <w:t xml:space="preserve"> 17(1);</w:t>
                  </w:r>
                </w:p>
              </w:tc>
            </w:tr>
          </w:tbl>
          <w:p w:rsidR="005613AB" w:rsidRPr="00BE1959" w:rsidRDefault="005613AB" w:rsidP="005613AB">
            <w:pPr>
              <w:spacing w:after="0" w:line="240" w:lineRule="auto"/>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85"/>
              <w:gridCol w:w="8374"/>
            </w:tblGrid>
            <w:tr w:rsidR="00DE3173" w:rsidRPr="0043174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(xiii)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6E3030"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стаття</w:t>
                  </w:r>
                  <w:r w:rsidR="005613AB" w:rsidRPr="00BE1959">
                    <w:rPr>
                      <w:rFonts w:ascii="Times New Roman" w:eastAsia="Times New Roman" w:hAnsi="Times New Roman" w:cs="Times New Roman"/>
                      <w:sz w:val="24"/>
                      <w:szCs w:val="24"/>
                      <w:lang w:val="uk-UA"/>
                    </w:rPr>
                    <w:t xml:space="preserve"> 18(1) </w:t>
                  </w:r>
                  <w:r w:rsidR="007E0A70" w:rsidRPr="00BE1959">
                    <w:rPr>
                      <w:rFonts w:ascii="Times New Roman" w:eastAsia="Times New Roman" w:hAnsi="Times New Roman" w:cs="Times New Roman"/>
                      <w:sz w:val="24"/>
                      <w:szCs w:val="24"/>
                      <w:lang w:val="uk-UA"/>
                    </w:rPr>
                    <w:t>та</w:t>
                  </w:r>
                  <w:r w:rsidR="005613AB" w:rsidRPr="00BE1959">
                    <w:rPr>
                      <w:rFonts w:ascii="Times New Roman" w:eastAsia="Times New Roman" w:hAnsi="Times New Roman" w:cs="Times New Roman"/>
                      <w:sz w:val="24"/>
                      <w:szCs w:val="24"/>
                      <w:lang w:val="uk-UA"/>
                    </w:rPr>
                    <w:t xml:space="preserve"> (2), </w:t>
                  </w:r>
                  <w:r w:rsidR="007E0A70" w:rsidRPr="00BE1959">
                    <w:rPr>
                      <w:rFonts w:ascii="Times New Roman" w:eastAsia="Times New Roman" w:hAnsi="Times New Roman" w:cs="Times New Roman"/>
                      <w:sz w:val="24"/>
                      <w:szCs w:val="24"/>
                      <w:lang w:val="uk-UA"/>
                    </w:rPr>
                    <w:t>перше речення</w:t>
                  </w:r>
                  <w:r w:rsidR="005613AB" w:rsidRPr="00BE1959">
                    <w:rPr>
                      <w:rFonts w:ascii="Times New Roman" w:eastAsia="Times New Roman" w:hAnsi="Times New Roman" w:cs="Times New Roman"/>
                      <w:sz w:val="24"/>
                      <w:szCs w:val="24"/>
                      <w:lang w:val="uk-UA"/>
                    </w:rPr>
                    <w:t xml:space="preserve"> </w:t>
                  </w:r>
                  <w:r w:rsidR="0065313E" w:rsidRPr="00BE1959">
                    <w:rPr>
                      <w:rFonts w:ascii="Times New Roman" w:eastAsia="Times New Roman" w:hAnsi="Times New Roman" w:cs="Times New Roman"/>
                      <w:sz w:val="24"/>
                      <w:szCs w:val="24"/>
                      <w:lang w:val="uk-UA"/>
                    </w:rPr>
                    <w:t>статті</w:t>
                  </w:r>
                  <w:r w:rsidR="005613AB" w:rsidRPr="00BE1959">
                    <w:rPr>
                      <w:rFonts w:ascii="Times New Roman" w:eastAsia="Times New Roman" w:hAnsi="Times New Roman" w:cs="Times New Roman"/>
                      <w:sz w:val="24"/>
                      <w:szCs w:val="24"/>
                      <w:lang w:val="uk-UA"/>
                    </w:rPr>
                    <w:t xml:space="preserve"> 18(4), </w:t>
                  </w:r>
                  <w:r w:rsidR="007E0A70" w:rsidRPr="00BE1959">
                    <w:rPr>
                      <w:rFonts w:ascii="Times New Roman" w:eastAsia="Times New Roman" w:hAnsi="Times New Roman" w:cs="Times New Roman"/>
                      <w:sz w:val="24"/>
                      <w:szCs w:val="24"/>
                      <w:lang w:val="uk-UA"/>
                    </w:rPr>
                    <w:t>перше речення</w:t>
                  </w:r>
                  <w:r w:rsidR="005613AB" w:rsidRPr="00BE1959">
                    <w:rPr>
                      <w:rFonts w:ascii="Times New Roman" w:eastAsia="Times New Roman" w:hAnsi="Times New Roman" w:cs="Times New Roman"/>
                      <w:sz w:val="24"/>
                      <w:szCs w:val="24"/>
                      <w:lang w:val="uk-UA"/>
                    </w:rPr>
                    <w:t xml:space="preserve"> </w:t>
                  </w:r>
                  <w:r w:rsidR="0065313E" w:rsidRPr="00BE1959">
                    <w:rPr>
                      <w:rFonts w:ascii="Times New Roman" w:eastAsia="Times New Roman" w:hAnsi="Times New Roman" w:cs="Times New Roman"/>
                      <w:sz w:val="24"/>
                      <w:szCs w:val="24"/>
                      <w:lang w:val="uk-UA"/>
                    </w:rPr>
                    <w:t>статті</w:t>
                  </w:r>
                  <w:r w:rsidR="005613AB" w:rsidRPr="00BE1959">
                    <w:rPr>
                      <w:rFonts w:ascii="Times New Roman" w:eastAsia="Times New Roman" w:hAnsi="Times New Roman" w:cs="Times New Roman"/>
                      <w:sz w:val="24"/>
                      <w:szCs w:val="24"/>
                      <w:lang w:val="uk-UA"/>
                    </w:rPr>
                    <w:t xml:space="preserve"> 18(5), </w:t>
                  </w:r>
                  <w:r w:rsidR="00A57121" w:rsidRPr="00BE1959">
                    <w:rPr>
                      <w:rFonts w:ascii="Times New Roman" w:eastAsia="Times New Roman" w:hAnsi="Times New Roman" w:cs="Times New Roman"/>
                      <w:sz w:val="24"/>
                      <w:szCs w:val="24"/>
                      <w:lang w:val="uk-UA"/>
                    </w:rPr>
                    <w:t>перший абзац</w:t>
                  </w:r>
                  <w:r w:rsidR="005613AB" w:rsidRPr="00BE1959">
                    <w:rPr>
                      <w:rFonts w:ascii="Times New Roman" w:eastAsia="Times New Roman" w:hAnsi="Times New Roman" w:cs="Times New Roman"/>
                      <w:sz w:val="24"/>
                      <w:szCs w:val="24"/>
                      <w:lang w:val="uk-UA"/>
                    </w:rPr>
                    <w:t xml:space="preserve"> </w:t>
                  </w:r>
                  <w:r w:rsidR="0065313E" w:rsidRPr="00BE1959">
                    <w:rPr>
                      <w:rFonts w:ascii="Times New Roman" w:eastAsia="Times New Roman" w:hAnsi="Times New Roman" w:cs="Times New Roman"/>
                      <w:sz w:val="24"/>
                      <w:szCs w:val="24"/>
                      <w:lang w:val="uk-UA"/>
                    </w:rPr>
                    <w:t>статті</w:t>
                  </w:r>
                  <w:r w:rsidR="005613AB" w:rsidRPr="00BE1959">
                    <w:rPr>
                      <w:rFonts w:ascii="Times New Roman" w:eastAsia="Times New Roman" w:hAnsi="Times New Roman" w:cs="Times New Roman"/>
                      <w:sz w:val="24"/>
                      <w:szCs w:val="24"/>
                      <w:lang w:val="uk-UA"/>
                    </w:rPr>
                    <w:t xml:space="preserve"> 18(6), </w:t>
                  </w:r>
                  <w:r w:rsidRPr="00BE1959">
                    <w:rPr>
                      <w:rFonts w:ascii="Times New Roman" w:eastAsia="Times New Roman" w:hAnsi="Times New Roman" w:cs="Times New Roman"/>
                      <w:sz w:val="24"/>
                      <w:szCs w:val="24"/>
                      <w:lang w:val="uk-UA"/>
                    </w:rPr>
                    <w:t>стаття</w:t>
                  </w:r>
                  <w:r w:rsidR="005613AB" w:rsidRPr="00BE1959">
                    <w:rPr>
                      <w:rFonts w:ascii="Times New Roman" w:eastAsia="Times New Roman" w:hAnsi="Times New Roman" w:cs="Times New Roman"/>
                      <w:sz w:val="24"/>
                      <w:szCs w:val="24"/>
                      <w:lang w:val="uk-UA"/>
                    </w:rPr>
                    <w:t xml:space="preserve"> 18(8) </w:t>
                  </w:r>
                  <w:r w:rsidR="007E0A70" w:rsidRPr="00BE1959">
                    <w:rPr>
                      <w:rFonts w:ascii="Times New Roman" w:eastAsia="Times New Roman" w:hAnsi="Times New Roman" w:cs="Times New Roman"/>
                      <w:sz w:val="24"/>
                      <w:szCs w:val="24"/>
                      <w:lang w:val="uk-UA"/>
                    </w:rPr>
                    <w:t>та</w:t>
                  </w:r>
                  <w:r w:rsidR="005613AB" w:rsidRPr="00BE1959">
                    <w:rPr>
                      <w:rFonts w:ascii="Times New Roman" w:eastAsia="Times New Roman" w:hAnsi="Times New Roman" w:cs="Times New Roman"/>
                      <w:sz w:val="24"/>
                      <w:szCs w:val="24"/>
                      <w:lang w:val="uk-UA"/>
                    </w:rPr>
                    <w:t xml:space="preserve"> (9);</w:t>
                  </w:r>
                </w:p>
              </w:tc>
            </w:tr>
          </w:tbl>
          <w:p w:rsidR="005613AB" w:rsidRPr="00BE1959" w:rsidRDefault="005613AB" w:rsidP="005613AB">
            <w:pPr>
              <w:spacing w:after="0" w:line="240" w:lineRule="auto"/>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014"/>
              <w:gridCol w:w="7945"/>
            </w:tblGrid>
            <w:tr w:rsidR="00DE3173" w:rsidRPr="0043174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(xiv)</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6E3030"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стаття</w:t>
                  </w:r>
                  <w:r w:rsidR="005613AB" w:rsidRPr="00BE1959">
                    <w:rPr>
                      <w:rFonts w:ascii="Times New Roman" w:eastAsia="Times New Roman" w:hAnsi="Times New Roman" w:cs="Times New Roman"/>
                      <w:sz w:val="24"/>
                      <w:szCs w:val="24"/>
                      <w:lang w:val="uk-UA"/>
                    </w:rPr>
                    <w:t xml:space="preserve"> 20(1) </w:t>
                  </w:r>
                  <w:r w:rsidR="007E0A70" w:rsidRPr="00BE1959">
                    <w:rPr>
                      <w:rFonts w:ascii="Times New Roman" w:eastAsia="Times New Roman" w:hAnsi="Times New Roman" w:cs="Times New Roman"/>
                      <w:sz w:val="24"/>
                      <w:szCs w:val="24"/>
                      <w:lang w:val="uk-UA"/>
                    </w:rPr>
                    <w:t>та</w:t>
                  </w:r>
                  <w:r w:rsidR="005613AB" w:rsidRPr="00BE1959">
                    <w:rPr>
                      <w:rFonts w:ascii="Times New Roman" w:eastAsia="Times New Roman" w:hAnsi="Times New Roman" w:cs="Times New Roman"/>
                      <w:sz w:val="24"/>
                      <w:szCs w:val="24"/>
                      <w:lang w:val="uk-UA"/>
                    </w:rPr>
                    <w:t xml:space="preserve"> </w:t>
                  </w:r>
                  <w:r w:rsidR="00A57121" w:rsidRPr="00BE1959">
                    <w:rPr>
                      <w:rFonts w:ascii="Times New Roman" w:eastAsia="Times New Roman" w:hAnsi="Times New Roman" w:cs="Times New Roman"/>
                      <w:sz w:val="24"/>
                      <w:szCs w:val="24"/>
                      <w:lang w:val="uk-UA"/>
                    </w:rPr>
                    <w:t>перше речення</w:t>
                  </w:r>
                  <w:r w:rsidR="005613AB" w:rsidRPr="00BE1959">
                    <w:rPr>
                      <w:rFonts w:ascii="Times New Roman" w:eastAsia="Times New Roman" w:hAnsi="Times New Roman" w:cs="Times New Roman"/>
                      <w:sz w:val="24"/>
                      <w:szCs w:val="24"/>
                      <w:lang w:val="uk-UA"/>
                    </w:rPr>
                    <w:t xml:space="preserve"> </w:t>
                  </w:r>
                  <w:r w:rsidR="0065313E" w:rsidRPr="00BE1959">
                    <w:rPr>
                      <w:rFonts w:ascii="Times New Roman" w:eastAsia="Times New Roman" w:hAnsi="Times New Roman" w:cs="Times New Roman"/>
                      <w:sz w:val="24"/>
                      <w:szCs w:val="24"/>
                      <w:lang w:val="uk-UA"/>
                    </w:rPr>
                    <w:t>статті</w:t>
                  </w:r>
                  <w:r w:rsidR="005613AB" w:rsidRPr="00BE1959">
                    <w:rPr>
                      <w:rFonts w:ascii="Times New Roman" w:eastAsia="Times New Roman" w:hAnsi="Times New Roman" w:cs="Times New Roman"/>
                      <w:sz w:val="24"/>
                      <w:szCs w:val="24"/>
                      <w:lang w:val="uk-UA"/>
                    </w:rPr>
                    <w:t xml:space="preserve"> 20(2);</w:t>
                  </w:r>
                </w:p>
              </w:tc>
            </w:tr>
          </w:tbl>
          <w:p w:rsidR="005613AB" w:rsidRPr="00BE1959" w:rsidRDefault="005613AB" w:rsidP="005613AB">
            <w:pPr>
              <w:spacing w:after="0" w:line="240" w:lineRule="auto"/>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557"/>
              <w:gridCol w:w="7402"/>
            </w:tblGrid>
            <w:tr w:rsidR="00DE3173" w:rsidRPr="00BE1959">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(xv)</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6E3030"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стаття</w:t>
                  </w:r>
                  <w:r w:rsidR="005613AB" w:rsidRPr="00BE1959">
                    <w:rPr>
                      <w:rFonts w:ascii="Times New Roman" w:eastAsia="Times New Roman" w:hAnsi="Times New Roman" w:cs="Times New Roman"/>
                      <w:sz w:val="24"/>
                      <w:szCs w:val="24"/>
                      <w:lang w:val="uk-UA"/>
                    </w:rPr>
                    <w:t xml:space="preserve"> 21(1), (2) </w:t>
                  </w:r>
                  <w:r w:rsidR="007E0A70" w:rsidRPr="00BE1959">
                    <w:rPr>
                      <w:rFonts w:ascii="Times New Roman" w:eastAsia="Times New Roman" w:hAnsi="Times New Roman" w:cs="Times New Roman"/>
                      <w:sz w:val="24"/>
                      <w:szCs w:val="24"/>
                      <w:lang w:val="uk-UA"/>
                    </w:rPr>
                    <w:t>та</w:t>
                  </w:r>
                  <w:r w:rsidR="005613AB" w:rsidRPr="00BE1959">
                    <w:rPr>
                      <w:rFonts w:ascii="Times New Roman" w:eastAsia="Times New Roman" w:hAnsi="Times New Roman" w:cs="Times New Roman"/>
                      <w:sz w:val="24"/>
                      <w:szCs w:val="24"/>
                      <w:lang w:val="uk-UA"/>
                    </w:rPr>
                    <w:t xml:space="preserve"> (3);</w:t>
                  </w:r>
                </w:p>
              </w:tc>
            </w:tr>
          </w:tbl>
          <w:p w:rsidR="005613AB" w:rsidRPr="00BE1959" w:rsidRDefault="005613AB" w:rsidP="005613AB">
            <w:pPr>
              <w:spacing w:after="0" w:line="240" w:lineRule="auto"/>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612"/>
              <w:gridCol w:w="6347"/>
            </w:tblGrid>
            <w:tr w:rsidR="00DE3173" w:rsidRPr="00BE1959">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(xvi)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6E3030"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стаття</w:t>
                  </w:r>
                  <w:r w:rsidR="005613AB" w:rsidRPr="00BE1959">
                    <w:rPr>
                      <w:rFonts w:ascii="Times New Roman" w:eastAsia="Times New Roman" w:hAnsi="Times New Roman" w:cs="Times New Roman"/>
                      <w:sz w:val="24"/>
                      <w:szCs w:val="24"/>
                      <w:lang w:val="uk-UA"/>
                    </w:rPr>
                    <w:t xml:space="preserve"> 22(2);</w:t>
                  </w:r>
                </w:p>
              </w:tc>
            </w:tr>
          </w:tbl>
          <w:p w:rsidR="005613AB" w:rsidRPr="00BE1959" w:rsidRDefault="005613AB" w:rsidP="005613AB">
            <w:pPr>
              <w:spacing w:after="0" w:line="240" w:lineRule="auto"/>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68"/>
              <w:gridCol w:w="6791"/>
            </w:tblGrid>
            <w:tr w:rsidR="00DE3173" w:rsidRPr="00BE1959">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(xvii)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6E3030"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стаття</w:t>
                  </w:r>
                  <w:r w:rsidR="005613AB" w:rsidRPr="00BE1959">
                    <w:rPr>
                      <w:rFonts w:ascii="Times New Roman" w:eastAsia="Times New Roman" w:hAnsi="Times New Roman" w:cs="Times New Roman"/>
                      <w:sz w:val="24"/>
                      <w:szCs w:val="24"/>
                      <w:lang w:val="uk-UA"/>
                    </w:rPr>
                    <w:t xml:space="preserve"> 23(1) </w:t>
                  </w:r>
                  <w:r w:rsidR="007E0A70" w:rsidRPr="00BE1959">
                    <w:rPr>
                      <w:rFonts w:ascii="Times New Roman" w:eastAsia="Times New Roman" w:hAnsi="Times New Roman" w:cs="Times New Roman"/>
                      <w:sz w:val="24"/>
                      <w:szCs w:val="24"/>
                      <w:lang w:val="uk-UA"/>
                    </w:rPr>
                    <w:t>та</w:t>
                  </w:r>
                  <w:r w:rsidR="005613AB" w:rsidRPr="00BE1959">
                    <w:rPr>
                      <w:rFonts w:ascii="Times New Roman" w:eastAsia="Times New Roman" w:hAnsi="Times New Roman" w:cs="Times New Roman"/>
                      <w:sz w:val="24"/>
                      <w:szCs w:val="24"/>
                      <w:lang w:val="uk-UA"/>
                    </w:rPr>
                    <w:t xml:space="preserve"> (2);</w:t>
                  </w:r>
                </w:p>
              </w:tc>
            </w:tr>
          </w:tbl>
          <w:p w:rsidR="005613AB" w:rsidRPr="00BE1959" w:rsidRDefault="005613AB" w:rsidP="005613AB">
            <w:pPr>
              <w:spacing w:after="0" w:line="240" w:lineRule="auto"/>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334"/>
              <w:gridCol w:w="6625"/>
            </w:tblGrid>
            <w:tr w:rsidR="00DE3173" w:rsidRPr="00BE1959">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(xviii)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6E3030"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стаття</w:t>
                  </w:r>
                  <w:r w:rsidR="005613AB" w:rsidRPr="00BE1959">
                    <w:rPr>
                      <w:rFonts w:ascii="Times New Roman" w:eastAsia="Times New Roman" w:hAnsi="Times New Roman" w:cs="Times New Roman"/>
                      <w:sz w:val="24"/>
                      <w:szCs w:val="24"/>
                      <w:lang w:val="uk-UA"/>
                    </w:rPr>
                    <w:t xml:space="preserve"> 25(1) </w:t>
                  </w:r>
                  <w:r w:rsidR="007E0A70" w:rsidRPr="00BE1959">
                    <w:rPr>
                      <w:rFonts w:ascii="Times New Roman" w:eastAsia="Times New Roman" w:hAnsi="Times New Roman" w:cs="Times New Roman"/>
                      <w:sz w:val="24"/>
                      <w:szCs w:val="24"/>
                      <w:lang w:val="uk-UA"/>
                    </w:rPr>
                    <w:t>та</w:t>
                  </w:r>
                  <w:r w:rsidR="005613AB" w:rsidRPr="00BE1959">
                    <w:rPr>
                      <w:rFonts w:ascii="Times New Roman" w:eastAsia="Times New Roman" w:hAnsi="Times New Roman" w:cs="Times New Roman"/>
                      <w:sz w:val="24"/>
                      <w:szCs w:val="24"/>
                      <w:lang w:val="uk-UA"/>
                    </w:rPr>
                    <w:t xml:space="preserve"> (2);</w:t>
                  </w:r>
                </w:p>
              </w:tc>
            </w:tr>
          </w:tbl>
          <w:p w:rsidR="005613AB" w:rsidRPr="00BE1959" w:rsidRDefault="005613AB" w:rsidP="005613AB">
            <w:pPr>
              <w:spacing w:after="0" w:line="240" w:lineRule="auto"/>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72"/>
              <w:gridCol w:w="8387"/>
            </w:tblGrid>
            <w:tr w:rsidR="00DE3173" w:rsidRPr="0043174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(xix)</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A57121" w:rsidP="0089538E">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перший абзац</w:t>
                  </w:r>
                  <w:r w:rsidR="005613AB" w:rsidRPr="00BE1959">
                    <w:rPr>
                      <w:rFonts w:ascii="Times New Roman" w:eastAsia="Times New Roman" w:hAnsi="Times New Roman" w:cs="Times New Roman"/>
                      <w:sz w:val="24"/>
                      <w:szCs w:val="24"/>
                      <w:lang w:val="uk-UA"/>
                    </w:rPr>
                    <w:t xml:space="preserve"> </w:t>
                  </w:r>
                  <w:r w:rsidR="0065313E" w:rsidRPr="00BE1959">
                    <w:rPr>
                      <w:rFonts w:ascii="Times New Roman" w:eastAsia="Times New Roman" w:hAnsi="Times New Roman" w:cs="Times New Roman"/>
                      <w:sz w:val="24"/>
                      <w:szCs w:val="24"/>
                      <w:lang w:val="uk-UA"/>
                    </w:rPr>
                    <w:t>статті</w:t>
                  </w:r>
                  <w:r w:rsidR="005613AB" w:rsidRPr="00BE1959">
                    <w:rPr>
                      <w:rFonts w:ascii="Times New Roman" w:eastAsia="Times New Roman" w:hAnsi="Times New Roman" w:cs="Times New Roman"/>
                      <w:sz w:val="24"/>
                      <w:szCs w:val="24"/>
                      <w:lang w:val="uk-UA"/>
                    </w:rPr>
                    <w:t xml:space="preserve"> 26(1), </w:t>
                  </w:r>
                  <w:r w:rsidR="006E3030" w:rsidRPr="00BE1959">
                    <w:rPr>
                      <w:rFonts w:ascii="Times New Roman" w:eastAsia="Times New Roman" w:hAnsi="Times New Roman" w:cs="Times New Roman"/>
                      <w:sz w:val="24"/>
                      <w:szCs w:val="24"/>
                      <w:lang w:val="uk-UA"/>
                    </w:rPr>
                    <w:t>стаття</w:t>
                  </w:r>
                  <w:r w:rsidR="005613AB" w:rsidRPr="00BE1959">
                    <w:rPr>
                      <w:rFonts w:ascii="Times New Roman" w:eastAsia="Times New Roman" w:hAnsi="Times New Roman" w:cs="Times New Roman"/>
                      <w:sz w:val="24"/>
                      <w:szCs w:val="24"/>
                      <w:lang w:val="uk-UA"/>
                    </w:rPr>
                    <w:t xml:space="preserve"> 26(2) </w:t>
                  </w:r>
                  <w:r w:rsidR="007E0A70" w:rsidRPr="00BE1959">
                    <w:rPr>
                      <w:rFonts w:ascii="Times New Roman" w:eastAsia="Times New Roman" w:hAnsi="Times New Roman" w:cs="Times New Roman"/>
                      <w:sz w:val="24"/>
                      <w:szCs w:val="24"/>
                      <w:lang w:val="uk-UA"/>
                    </w:rPr>
                    <w:t>-</w:t>
                  </w:r>
                  <w:r w:rsidR="005613AB" w:rsidRPr="00BE1959">
                    <w:rPr>
                      <w:rFonts w:ascii="Times New Roman" w:eastAsia="Times New Roman" w:hAnsi="Times New Roman" w:cs="Times New Roman"/>
                      <w:sz w:val="24"/>
                      <w:szCs w:val="24"/>
                      <w:lang w:val="uk-UA"/>
                    </w:rPr>
                    <w:t xml:space="preserve"> (5), </w:t>
                  </w:r>
                  <w:r w:rsidRPr="00BE1959">
                    <w:rPr>
                      <w:rFonts w:ascii="Times New Roman" w:eastAsia="Times New Roman" w:hAnsi="Times New Roman" w:cs="Times New Roman"/>
                      <w:sz w:val="24"/>
                      <w:szCs w:val="24"/>
                      <w:lang w:val="uk-UA"/>
                    </w:rPr>
                    <w:t>перший абзац</w:t>
                  </w:r>
                  <w:r w:rsidR="005613AB" w:rsidRPr="00BE1959">
                    <w:rPr>
                      <w:rFonts w:ascii="Times New Roman" w:eastAsia="Times New Roman" w:hAnsi="Times New Roman" w:cs="Times New Roman"/>
                      <w:sz w:val="24"/>
                      <w:szCs w:val="24"/>
                      <w:lang w:val="uk-UA"/>
                    </w:rPr>
                    <w:t xml:space="preserve"> </w:t>
                  </w:r>
                  <w:r w:rsidR="0065313E" w:rsidRPr="00BE1959">
                    <w:rPr>
                      <w:rFonts w:ascii="Times New Roman" w:eastAsia="Times New Roman" w:hAnsi="Times New Roman" w:cs="Times New Roman"/>
                      <w:sz w:val="24"/>
                      <w:szCs w:val="24"/>
                      <w:lang w:val="uk-UA"/>
                    </w:rPr>
                    <w:t>статті</w:t>
                  </w:r>
                  <w:r w:rsidR="005613AB" w:rsidRPr="00BE1959">
                    <w:rPr>
                      <w:rFonts w:ascii="Times New Roman" w:eastAsia="Times New Roman" w:hAnsi="Times New Roman" w:cs="Times New Roman"/>
                      <w:sz w:val="24"/>
                      <w:szCs w:val="24"/>
                      <w:lang w:val="uk-UA"/>
                    </w:rPr>
                    <w:t xml:space="preserve"> 26(6), </w:t>
                  </w:r>
                  <w:r w:rsidR="0089538E" w:rsidRPr="00BE1959">
                    <w:rPr>
                      <w:rFonts w:ascii="Times New Roman" w:eastAsia="Times New Roman" w:hAnsi="Times New Roman" w:cs="Times New Roman"/>
                      <w:sz w:val="24"/>
                      <w:szCs w:val="24"/>
                      <w:lang w:val="uk-UA"/>
                    </w:rPr>
                    <w:t>перший-п’ятий та восьмий абзаці</w:t>
                  </w:r>
                  <w:r w:rsidR="005613AB" w:rsidRPr="00BE1959">
                    <w:rPr>
                      <w:rFonts w:ascii="Times New Roman" w:eastAsia="Times New Roman" w:hAnsi="Times New Roman" w:cs="Times New Roman"/>
                      <w:sz w:val="24"/>
                      <w:szCs w:val="24"/>
                      <w:lang w:val="uk-UA"/>
                    </w:rPr>
                    <w:t xml:space="preserve"> </w:t>
                  </w:r>
                  <w:r w:rsidR="0065313E" w:rsidRPr="00BE1959">
                    <w:rPr>
                      <w:rFonts w:ascii="Times New Roman" w:eastAsia="Times New Roman" w:hAnsi="Times New Roman" w:cs="Times New Roman"/>
                      <w:sz w:val="24"/>
                      <w:szCs w:val="24"/>
                      <w:lang w:val="uk-UA"/>
                    </w:rPr>
                    <w:t>статті</w:t>
                  </w:r>
                  <w:r w:rsidR="005613AB" w:rsidRPr="00BE1959">
                    <w:rPr>
                      <w:rFonts w:ascii="Times New Roman" w:eastAsia="Times New Roman" w:hAnsi="Times New Roman" w:cs="Times New Roman"/>
                      <w:sz w:val="24"/>
                      <w:szCs w:val="24"/>
                      <w:lang w:val="uk-UA"/>
                    </w:rPr>
                    <w:t xml:space="preserve"> 26(7);</w:t>
                  </w:r>
                </w:p>
              </w:tc>
            </w:tr>
          </w:tbl>
          <w:p w:rsidR="005613AB" w:rsidRPr="00BE1959" w:rsidRDefault="005613AB" w:rsidP="005613AB">
            <w:pPr>
              <w:spacing w:after="0" w:line="240" w:lineRule="auto"/>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387"/>
              <w:gridCol w:w="6572"/>
            </w:tblGrid>
            <w:tr w:rsidR="00DE3173" w:rsidRPr="00BE1959">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(xx)</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6E3030"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стаття</w:t>
                  </w:r>
                  <w:r w:rsidR="005613AB" w:rsidRPr="00BE1959">
                    <w:rPr>
                      <w:rFonts w:ascii="Times New Roman" w:eastAsia="Times New Roman" w:hAnsi="Times New Roman" w:cs="Times New Roman"/>
                      <w:sz w:val="24"/>
                      <w:szCs w:val="24"/>
                      <w:lang w:val="uk-UA"/>
                    </w:rPr>
                    <w:t xml:space="preserve"> 27(1);</w:t>
                  </w:r>
                </w:p>
              </w:tc>
            </w:tr>
          </w:tbl>
          <w:p w:rsidR="005613AB" w:rsidRPr="00BE1959" w:rsidRDefault="005613AB" w:rsidP="005613AB">
            <w:pPr>
              <w:spacing w:after="0" w:line="240" w:lineRule="auto"/>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037"/>
              <w:gridCol w:w="7922"/>
            </w:tblGrid>
            <w:tr w:rsidR="00DE3173" w:rsidRPr="0043174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(xxi)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6E3030"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стаття</w:t>
                  </w:r>
                  <w:r w:rsidR="005613AB" w:rsidRPr="00BE1959">
                    <w:rPr>
                      <w:rFonts w:ascii="Times New Roman" w:eastAsia="Times New Roman" w:hAnsi="Times New Roman" w:cs="Times New Roman"/>
                      <w:sz w:val="24"/>
                      <w:szCs w:val="24"/>
                      <w:lang w:val="uk-UA"/>
                    </w:rPr>
                    <w:t xml:space="preserve"> 28(1) </w:t>
                  </w:r>
                  <w:r w:rsidR="007E0A70" w:rsidRPr="00BE1959">
                    <w:rPr>
                      <w:rFonts w:ascii="Times New Roman" w:eastAsia="Times New Roman" w:hAnsi="Times New Roman" w:cs="Times New Roman"/>
                      <w:sz w:val="24"/>
                      <w:szCs w:val="24"/>
                      <w:lang w:val="uk-UA"/>
                    </w:rPr>
                    <w:t>та</w:t>
                  </w:r>
                  <w:r w:rsidR="005613AB" w:rsidRPr="00BE1959">
                    <w:rPr>
                      <w:rFonts w:ascii="Times New Roman" w:eastAsia="Times New Roman" w:hAnsi="Times New Roman" w:cs="Times New Roman"/>
                      <w:sz w:val="24"/>
                      <w:szCs w:val="24"/>
                      <w:lang w:val="uk-UA"/>
                    </w:rPr>
                    <w:t xml:space="preserve"> </w:t>
                  </w:r>
                  <w:r w:rsidR="00A57121" w:rsidRPr="00BE1959">
                    <w:rPr>
                      <w:rFonts w:ascii="Times New Roman" w:eastAsia="Times New Roman" w:hAnsi="Times New Roman" w:cs="Times New Roman"/>
                      <w:sz w:val="24"/>
                      <w:szCs w:val="24"/>
                      <w:lang w:val="uk-UA"/>
                    </w:rPr>
                    <w:t>перший абзац</w:t>
                  </w:r>
                  <w:r w:rsidR="005613AB" w:rsidRPr="00BE1959">
                    <w:rPr>
                      <w:rFonts w:ascii="Times New Roman" w:eastAsia="Times New Roman" w:hAnsi="Times New Roman" w:cs="Times New Roman"/>
                      <w:sz w:val="24"/>
                      <w:szCs w:val="24"/>
                      <w:lang w:val="uk-UA"/>
                    </w:rPr>
                    <w:t xml:space="preserve"> </w:t>
                  </w:r>
                  <w:r w:rsidR="0065313E" w:rsidRPr="00BE1959">
                    <w:rPr>
                      <w:rFonts w:ascii="Times New Roman" w:eastAsia="Times New Roman" w:hAnsi="Times New Roman" w:cs="Times New Roman"/>
                      <w:sz w:val="24"/>
                      <w:szCs w:val="24"/>
                      <w:lang w:val="uk-UA"/>
                    </w:rPr>
                    <w:t>статті</w:t>
                  </w:r>
                  <w:r w:rsidR="005613AB" w:rsidRPr="00BE1959">
                    <w:rPr>
                      <w:rFonts w:ascii="Times New Roman" w:eastAsia="Times New Roman" w:hAnsi="Times New Roman" w:cs="Times New Roman"/>
                      <w:sz w:val="24"/>
                      <w:szCs w:val="24"/>
                      <w:lang w:val="uk-UA"/>
                    </w:rPr>
                    <w:t xml:space="preserve"> 28(2);</w:t>
                  </w:r>
                </w:p>
              </w:tc>
            </w:tr>
          </w:tbl>
          <w:p w:rsidR="005613AB" w:rsidRPr="00BE1959" w:rsidRDefault="005613AB" w:rsidP="005613AB">
            <w:pPr>
              <w:spacing w:after="0" w:line="240" w:lineRule="auto"/>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68"/>
              <w:gridCol w:w="6791"/>
            </w:tblGrid>
            <w:tr w:rsidR="00DE3173" w:rsidRPr="00BE1959">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(xxii)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6E3030"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стаття</w:t>
                  </w:r>
                  <w:r w:rsidR="005613AB" w:rsidRPr="00BE1959">
                    <w:rPr>
                      <w:rFonts w:ascii="Times New Roman" w:eastAsia="Times New Roman" w:hAnsi="Times New Roman" w:cs="Times New Roman"/>
                      <w:sz w:val="24"/>
                      <w:szCs w:val="24"/>
                      <w:lang w:val="uk-UA"/>
                    </w:rPr>
                    <w:t xml:space="preserve"> 29(1) </w:t>
                  </w:r>
                  <w:r w:rsidR="007E0A70" w:rsidRPr="00BE1959">
                    <w:rPr>
                      <w:rFonts w:ascii="Times New Roman" w:eastAsia="Times New Roman" w:hAnsi="Times New Roman" w:cs="Times New Roman"/>
                      <w:sz w:val="24"/>
                      <w:szCs w:val="24"/>
                      <w:lang w:val="uk-UA"/>
                    </w:rPr>
                    <w:t>та</w:t>
                  </w:r>
                  <w:r w:rsidR="005613AB" w:rsidRPr="00BE1959">
                    <w:rPr>
                      <w:rFonts w:ascii="Times New Roman" w:eastAsia="Times New Roman" w:hAnsi="Times New Roman" w:cs="Times New Roman"/>
                      <w:sz w:val="24"/>
                      <w:szCs w:val="24"/>
                      <w:lang w:val="uk-UA"/>
                    </w:rPr>
                    <w:t xml:space="preserve"> (2);</w:t>
                  </w:r>
                </w:p>
              </w:tc>
            </w:tr>
          </w:tbl>
          <w:p w:rsidR="005613AB" w:rsidRPr="00BE1959" w:rsidRDefault="005613AB" w:rsidP="005613AB">
            <w:pPr>
              <w:spacing w:after="0" w:line="240" w:lineRule="auto"/>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015"/>
              <w:gridCol w:w="5944"/>
            </w:tblGrid>
            <w:tr w:rsidR="00DE3173" w:rsidRPr="00BE1959">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(xxiii)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6E3030"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стаття</w:t>
                  </w:r>
                  <w:r w:rsidR="005613AB" w:rsidRPr="00BE1959">
                    <w:rPr>
                      <w:rFonts w:ascii="Times New Roman" w:eastAsia="Times New Roman" w:hAnsi="Times New Roman" w:cs="Times New Roman"/>
                      <w:sz w:val="24"/>
                      <w:szCs w:val="24"/>
                      <w:lang w:val="uk-UA"/>
                    </w:rPr>
                    <w:t xml:space="preserve"> 30(1);</w:t>
                  </w:r>
                </w:p>
              </w:tc>
            </w:tr>
          </w:tbl>
          <w:p w:rsidR="005613AB" w:rsidRPr="00BE1959" w:rsidRDefault="005613AB" w:rsidP="005613AB">
            <w:pPr>
              <w:spacing w:after="0" w:line="240" w:lineRule="auto"/>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302"/>
              <w:gridCol w:w="6657"/>
            </w:tblGrid>
            <w:tr w:rsidR="00DE3173" w:rsidRPr="00BE1959">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lastRenderedPageBreak/>
                    <w:t>(xxiv)</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6E3030"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стаття</w:t>
                  </w:r>
                  <w:r w:rsidR="005613AB" w:rsidRPr="00BE1959">
                    <w:rPr>
                      <w:rFonts w:ascii="Times New Roman" w:eastAsia="Times New Roman" w:hAnsi="Times New Roman" w:cs="Times New Roman"/>
                      <w:sz w:val="24"/>
                      <w:szCs w:val="24"/>
                      <w:lang w:val="uk-UA"/>
                    </w:rPr>
                    <w:t xml:space="preserve"> 31(2) </w:t>
                  </w:r>
                  <w:r w:rsidR="007E0A70" w:rsidRPr="00BE1959">
                    <w:rPr>
                      <w:rFonts w:ascii="Times New Roman" w:eastAsia="Times New Roman" w:hAnsi="Times New Roman" w:cs="Times New Roman"/>
                      <w:sz w:val="24"/>
                      <w:szCs w:val="24"/>
                      <w:lang w:val="uk-UA"/>
                    </w:rPr>
                    <w:t>та</w:t>
                  </w:r>
                  <w:r w:rsidR="005613AB" w:rsidRPr="00BE1959">
                    <w:rPr>
                      <w:rFonts w:ascii="Times New Roman" w:eastAsia="Times New Roman" w:hAnsi="Times New Roman" w:cs="Times New Roman"/>
                      <w:sz w:val="24"/>
                      <w:szCs w:val="24"/>
                      <w:lang w:val="uk-UA"/>
                    </w:rPr>
                    <w:t xml:space="preserve"> (3);</w:t>
                  </w:r>
                </w:p>
              </w:tc>
            </w:tr>
          </w:tbl>
          <w:p w:rsidR="005613AB" w:rsidRPr="00BE1959" w:rsidRDefault="005613AB" w:rsidP="005613AB">
            <w:pPr>
              <w:spacing w:after="0" w:line="240" w:lineRule="auto"/>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850"/>
              <w:gridCol w:w="7109"/>
            </w:tblGrid>
            <w:tr w:rsidR="00DE3173" w:rsidRPr="00BE1959">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(xxv)</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6E3030"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стаття</w:t>
                  </w:r>
                  <w:r w:rsidR="005613AB" w:rsidRPr="00BE1959">
                    <w:rPr>
                      <w:rFonts w:ascii="Times New Roman" w:eastAsia="Times New Roman" w:hAnsi="Times New Roman" w:cs="Times New Roman"/>
                      <w:sz w:val="24"/>
                      <w:szCs w:val="24"/>
                      <w:lang w:val="uk-UA"/>
                    </w:rPr>
                    <w:t xml:space="preserve"> 35(1), (2) </w:t>
                  </w:r>
                  <w:r w:rsidR="007E0A70" w:rsidRPr="00BE1959">
                    <w:rPr>
                      <w:rFonts w:ascii="Times New Roman" w:eastAsia="Times New Roman" w:hAnsi="Times New Roman" w:cs="Times New Roman"/>
                      <w:sz w:val="24"/>
                      <w:szCs w:val="24"/>
                      <w:lang w:val="uk-UA"/>
                    </w:rPr>
                    <w:t>та</w:t>
                  </w:r>
                  <w:r w:rsidR="005613AB" w:rsidRPr="00BE1959">
                    <w:rPr>
                      <w:rFonts w:ascii="Times New Roman" w:eastAsia="Times New Roman" w:hAnsi="Times New Roman" w:cs="Times New Roman"/>
                      <w:sz w:val="24"/>
                      <w:szCs w:val="24"/>
                      <w:lang w:val="uk-UA"/>
                    </w:rPr>
                    <w:t xml:space="preserve"> (3);</w:t>
                  </w:r>
                </w:p>
              </w:tc>
            </w:tr>
          </w:tbl>
          <w:p w:rsidR="005613AB" w:rsidRPr="00BE1959" w:rsidRDefault="005613AB" w:rsidP="005613AB">
            <w:pPr>
              <w:spacing w:after="0" w:line="240" w:lineRule="auto"/>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004"/>
              <w:gridCol w:w="6955"/>
            </w:tblGrid>
            <w:tr w:rsidR="00DE3173" w:rsidRPr="00BE1959">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(xxvi)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6E3030"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стаття</w:t>
                  </w:r>
                  <w:r w:rsidR="005613AB" w:rsidRPr="00BE1959">
                    <w:rPr>
                      <w:rFonts w:ascii="Times New Roman" w:eastAsia="Times New Roman" w:hAnsi="Times New Roman" w:cs="Times New Roman"/>
                      <w:sz w:val="24"/>
                      <w:szCs w:val="24"/>
                      <w:lang w:val="uk-UA"/>
                    </w:rPr>
                    <w:t xml:space="preserve"> 36(1), (2) </w:t>
                  </w:r>
                  <w:r w:rsidR="007E0A70" w:rsidRPr="00BE1959">
                    <w:rPr>
                      <w:rFonts w:ascii="Times New Roman" w:eastAsia="Times New Roman" w:hAnsi="Times New Roman" w:cs="Times New Roman"/>
                      <w:sz w:val="24"/>
                      <w:szCs w:val="24"/>
                      <w:lang w:val="uk-UA"/>
                    </w:rPr>
                    <w:t>та</w:t>
                  </w:r>
                  <w:r w:rsidR="005613AB" w:rsidRPr="00BE1959">
                    <w:rPr>
                      <w:rFonts w:ascii="Times New Roman" w:eastAsia="Times New Roman" w:hAnsi="Times New Roman" w:cs="Times New Roman"/>
                      <w:sz w:val="24"/>
                      <w:szCs w:val="24"/>
                      <w:lang w:val="uk-UA"/>
                    </w:rPr>
                    <w:t xml:space="preserve"> (3);</w:t>
                  </w:r>
                </w:p>
              </w:tc>
            </w:tr>
          </w:tbl>
          <w:p w:rsidR="005613AB" w:rsidRPr="00BE1959" w:rsidRDefault="005613AB" w:rsidP="005613AB">
            <w:pPr>
              <w:spacing w:after="0" w:line="240" w:lineRule="auto"/>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464"/>
              <w:gridCol w:w="6495"/>
            </w:tblGrid>
            <w:tr w:rsidR="00DE3173" w:rsidRPr="00BE1959">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(xxvii)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6E3030"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стаття</w:t>
                  </w:r>
                  <w:r w:rsidR="005613AB" w:rsidRPr="00BE1959">
                    <w:rPr>
                      <w:rFonts w:ascii="Times New Roman" w:eastAsia="Times New Roman" w:hAnsi="Times New Roman" w:cs="Times New Roman"/>
                      <w:sz w:val="24"/>
                      <w:szCs w:val="24"/>
                      <w:lang w:val="uk-UA"/>
                    </w:rPr>
                    <w:t xml:space="preserve"> 37(1) </w:t>
                  </w:r>
                  <w:r w:rsidR="007E0A70" w:rsidRPr="00BE1959">
                    <w:rPr>
                      <w:rFonts w:ascii="Times New Roman" w:eastAsia="Times New Roman" w:hAnsi="Times New Roman" w:cs="Times New Roman"/>
                      <w:sz w:val="24"/>
                      <w:szCs w:val="24"/>
                      <w:lang w:val="uk-UA"/>
                    </w:rPr>
                    <w:t>та</w:t>
                  </w:r>
                  <w:r w:rsidR="005613AB" w:rsidRPr="00BE1959">
                    <w:rPr>
                      <w:rFonts w:ascii="Times New Roman" w:eastAsia="Times New Roman" w:hAnsi="Times New Roman" w:cs="Times New Roman"/>
                      <w:sz w:val="24"/>
                      <w:szCs w:val="24"/>
                      <w:lang w:val="uk-UA"/>
                    </w:rPr>
                    <w:t xml:space="preserve"> (3);</w:t>
                  </w:r>
                </w:p>
              </w:tc>
            </w:tr>
          </w:tbl>
          <w:p w:rsidR="005613AB" w:rsidRPr="00BE1959" w:rsidRDefault="005613AB" w:rsidP="005613AB">
            <w:pPr>
              <w:spacing w:after="0" w:line="240" w:lineRule="auto"/>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625"/>
              <w:gridCol w:w="6334"/>
            </w:tblGrid>
            <w:tr w:rsidR="00DE3173" w:rsidRPr="00BE1959">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(xxviii)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89538E" w:rsidP="0089538E">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с</w:t>
                  </w:r>
                  <w:r w:rsidR="006E3030" w:rsidRPr="00BE1959">
                    <w:rPr>
                      <w:rFonts w:ascii="Times New Roman" w:eastAsia="Times New Roman" w:hAnsi="Times New Roman" w:cs="Times New Roman"/>
                      <w:sz w:val="24"/>
                      <w:szCs w:val="24"/>
                      <w:lang w:val="uk-UA"/>
                    </w:rPr>
                    <w:t>татті</w:t>
                  </w:r>
                  <w:r w:rsidR="005613AB" w:rsidRPr="00BE1959">
                    <w:rPr>
                      <w:rFonts w:ascii="Times New Roman" w:eastAsia="Times New Roman" w:hAnsi="Times New Roman" w:cs="Times New Roman"/>
                      <w:sz w:val="24"/>
                      <w:szCs w:val="24"/>
                      <w:lang w:val="uk-UA"/>
                    </w:rPr>
                    <w:t xml:space="preserve"> 40, 41 </w:t>
                  </w:r>
                  <w:r w:rsidR="007E0A70" w:rsidRPr="00BE1959">
                    <w:rPr>
                      <w:rFonts w:ascii="Times New Roman" w:eastAsia="Times New Roman" w:hAnsi="Times New Roman" w:cs="Times New Roman"/>
                      <w:sz w:val="24"/>
                      <w:szCs w:val="24"/>
                      <w:lang w:val="uk-UA"/>
                    </w:rPr>
                    <w:t>та</w:t>
                  </w:r>
                  <w:r w:rsidR="005613AB" w:rsidRPr="00BE1959">
                    <w:rPr>
                      <w:rFonts w:ascii="Times New Roman" w:eastAsia="Times New Roman" w:hAnsi="Times New Roman" w:cs="Times New Roman"/>
                      <w:sz w:val="24"/>
                      <w:szCs w:val="24"/>
                      <w:lang w:val="uk-UA"/>
                    </w:rPr>
                    <w:t xml:space="preserve"> 42.</w:t>
                  </w:r>
                </w:p>
              </w:tc>
            </w:tr>
          </w:tbl>
          <w:p w:rsidR="005613AB" w:rsidRPr="00BE1959" w:rsidRDefault="005613AB" w:rsidP="005613AB">
            <w:pPr>
              <w:spacing w:after="0" w:line="240" w:lineRule="auto"/>
              <w:rPr>
                <w:rFonts w:ascii="Times New Roman" w:eastAsia="Times New Roman" w:hAnsi="Times New Roman" w:cs="Times New Roman"/>
                <w:sz w:val="24"/>
                <w:szCs w:val="24"/>
                <w:lang w:val="uk-UA"/>
              </w:rPr>
            </w:pPr>
          </w:p>
        </w:tc>
      </w:tr>
    </w:tbl>
    <w:p w:rsidR="005613AB" w:rsidRPr="00BE1959" w:rsidRDefault="005613AB" w:rsidP="008A1D46">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lastRenderedPageBreak/>
        <w:t>4.   </w:t>
      </w:r>
      <w:r w:rsidR="008A1D46" w:rsidRPr="00BE1959">
        <w:rPr>
          <w:rFonts w:ascii="Times New Roman" w:eastAsia="Times New Roman" w:hAnsi="Times New Roman" w:cs="Times New Roman"/>
          <w:sz w:val="24"/>
          <w:szCs w:val="24"/>
          <w:lang w:val="uk-UA"/>
        </w:rPr>
        <w:t>Надання інвестиційних послуг або ведення інвестиційної діяльності без необхідного дозволу чи затвердження відповідно до наступних положень</w:t>
      </w:r>
      <w:r w:rsidRPr="00BE1959">
        <w:rPr>
          <w:rFonts w:ascii="Times New Roman" w:eastAsia="Times New Roman" w:hAnsi="Times New Roman" w:cs="Times New Roman"/>
          <w:sz w:val="24"/>
          <w:szCs w:val="24"/>
          <w:lang w:val="uk-UA"/>
        </w:rPr>
        <w:t xml:space="preserve"> </w:t>
      </w:r>
      <w:r w:rsidR="00432567" w:rsidRPr="00BE1959">
        <w:rPr>
          <w:rFonts w:ascii="Times New Roman" w:eastAsia="Times New Roman" w:hAnsi="Times New Roman" w:cs="Times New Roman"/>
          <w:sz w:val="24"/>
          <w:szCs w:val="24"/>
          <w:lang w:val="uk-UA"/>
        </w:rPr>
        <w:t>цієї директиви</w:t>
      </w:r>
      <w:r w:rsidRPr="00BE1959">
        <w:rPr>
          <w:rFonts w:ascii="Times New Roman" w:eastAsia="Times New Roman" w:hAnsi="Times New Roman" w:cs="Times New Roman"/>
          <w:sz w:val="24"/>
          <w:szCs w:val="24"/>
          <w:lang w:val="uk-UA"/>
        </w:rPr>
        <w:t xml:space="preserve"> </w:t>
      </w:r>
      <w:r w:rsidR="005B3A26" w:rsidRPr="00BE1959">
        <w:rPr>
          <w:rFonts w:ascii="Times New Roman" w:eastAsia="Times New Roman" w:hAnsi="Times New Roman" w:cs="Times New Roman"/>
          <w:sz w:val="24"/>
          <w:szCs w:val="24"/>
          <w:lang w:val="uk-UA"/>
        </w:rPr>
        <w:t>або Регламенту</w:t>
      </w:r>
      <w:r w:rsidRPr="00BE1959">
        <w:rPr>
          <w:rFonts w:ascii="Times New Roman" w:eastAsia="Times New Roman" w:hAnsi="Times New Roman" w:cs="Times New Roman"/>
          <w:sz w:val="24"/>
          <w:szCs w:val="24"/>
          <w:lang w:val="uk-UA"/>
        </w:rPr>
        <w:t xml:space="preserve"> </w:t>
      </w:r>
      <w:r w:rsidR="007B0149" w:rsidRPr="00BE1959">
        <w:rPr>
          <w:rFonts w:ascii="Times New Roman" w:eastAsia="Times New Roman" w:hAnsi="Times New Roman" w:cs="Times New Roman"/>
          <w:sz w:val="24"/>
          <w:szCs w:val="24"/>
          <w:lang w:val="uk-UA"/>
        </w:rPr>
        <w:t>(EU) № 600/2014</w:t>
      </w:r>
      <w:r w:rsidRPr="00BE1959">
        <w:rPr>
          <w:rFonts w:ascii="Times New Roman" w:eastAsia="Times New Roman" w:hAnsi="Times New Roman" w:cs="Times New Roman"/>
          <w:sz w:val="24"/>
          <w:szCs w:val="24"/>
          <w:lang w:val="uk-UA"/>
        </w:rPr>
        <w:t xml:space="preserve"> </w:t>
      </w:r>
      <w:r w:rsidR="008A1D46" w:rsidRPr="00BE1959">
        <w:rPr>
          <w:rFonts w:ascii="Times New Roman" w:eastAsia="Times New Roman" w:hAnsi="Times New Roman" w:cs="Times New Roman"/>
          <w:sz w:val="24"/>
          <w:szCs w:val="24"/>
          <w:lang w:val="uk-UA"/>
        </w:rPr>
        <w:t>також вважається порушенням</w:t>
      </w:r>
      <w:r w:rsidRPr="00BE1959">
        <w:rPr>
          <w:rFonts w:ascii="Times New Roman" w:eastAsia="Times New Roman" w:hAnsi="Times New Roman" w:cs="Times New Roman"/>
          <w:sz w:val="24"/>
          <w:szCs w:val="24"/>
          <w:lang w:val="uk-UA"/>
        </w:rPr>
        <w:t xml:space="preserve"> </w:t>
      </w:r>
      <w:r w:rsidR="00432567" w:rsidRPr="00BE1959">
        <w:rPr>
          <w:rFonts w:ascii="Times New Roman" w:eastAsia="Times New Roman" w:hAnsi="Times New Roman" w:cs="Times New Roman"/>
          <w:sz w:val="24"/>
          <w:szCs w:val="24"/>
          <w:lang w:val="uk-UA"/>
        </w:rPr>
        <w:t>цієї директиви</w:t>
      </w:r>
      <w:r w:rsidRPr="00BE1959">
        <w:rPr>
          <w:rFonts w:ascii="Times New Roman" w:eastAsia="Times New Roman" w:hAnsi="Times New Roman" w:cs="Times New Roman"/>
          <w:sz w:val="24"/>
          <w:szCs w:val="24"/>
          <w:lang w:val="uk-UA"/>
        </w:rPr>
        <w:t xml:space="preserve"> </w:t>
      </w:r>
      <w:r w:rsidR="005B3A26" w:rsidRPr="00BE1959">
        <w:rPr>
          <w:rFonts w:ascii="Times New Roman" w:eastAsia="Times New Roman" w:hAnsi="Times New Roman" w:cs="Times New Roman"/>
          <w:sz w:val="24"/>
          <w:szCs w:val="24"/>
          <w:lang w:val="uk-UA"/>
        </w:rPr>
        <w:t>або Регламенту</w:t>
      </w:r>
      <w:r w:rsidRPr="00BE1959">
        <w:rPr>
          <w:rFonts w:ascii="Times New Roman" w:eastAsia="Times New Roman" w:hAnsi="Times New Roman" w:cs="Times New Roman"/>
          <w:sz w:val="24"/>
          <w:szCs w:val="24"/>
          <w:lang w:val="uk-UA"/>
        </w:rPr>
        <w:t xml:space="preserve"> </w:t>
      </w:r>
      <w:r w:rsidR="007B0149" w:rsidRPr="00BE1959">
        <w:rPr>
          <w:rFonts w:ascii="Times New Roman" w:eastAsia="Times New Roman" w:hAnsi="Times New Roman" w:cs="Times New Roman"/>
          <w:sz w:val="24"/>
          <w:szCs w:val="24"/>
          <w:lang w:val="uk-UA"/>
        </w:rPr>
        <w:t>(EU) № 600/2014</w:t>
      </w:r>
      <w:r w:rsidRPr="00BE1959">
        <w:rPr>
          <w:rFonts w:ascii="Times New Roman" w:eastAsia="Times New Roman" w:hAnsi="Times New Roman" w:cs="Times New Roman"/>
          <w:sz w:val="24"/>
          <w:szCs w:val="24"/>
          <w:lang w:val="uk-UA"/>
        </w:rP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25"/>
        <w:gridCol w:w="904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8A1D46" w:rsidP="008A1D46">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с</w:t>
            </w:r>
            <w:r w:rsidR="00162A11" w:rsidRPr="00BE1959">
              <w:rPr>
                <w:rFonts w:ascii="Times New Roman" w:eastAsia="Times New Roman" w:hAnsi="Times New Roman" w:cs="Times New Roman"/>
                <w:sz w:val="24"/>
                <w:szCs w:val="24"/>
                <w:lang w:val="uk-UA"/>
              </w:rPr>
              <w:t>таття</w:t>
            </w:r>
            <w:r w:rsidR="005613AB" w:rsidRPr="00BE1959">
              <w:rPr>
                <w:rFonts w:ascii="Times New Roman" w:eastAsia="Times New Roman" w:hAnsi="Times New Roman" w:cs="Times New Roman"/>
                <w:sz w:val="24"/>
                <w:szCs w:val="24"/>
                <w:lang w:val="uk-UA"/>
              </w:rPr>
              <w:t xml:space="preserve"> 5 </w:t>
            </w:r>
            <w:r w:rsidRPr="00BE1959">
              <w:rPr>
                <w:rFonts w:ascii="Times New Roman" w:eastAsia="Times New Roman" w:hAnsi="Times New Roman" w:cs="Times New Roman"/>
                <w:sz w:val="24"/>
                <w:szCs w:val="24"/>
                <w:lang w:val="uk-UA"/>
              </w:rPr>
              <w:t>або</w:t>
            </w:r>
            <w:r w:rsidR="005613AB" w:rsidRPr="00BE1959">
              <w:rPr>
                <w:rFonts w:ascii="Times New Roman" w:eastAsia="Times New Roman" w:hAnsi="Times New Roman" w:cs="Times New Roman"/>
                <w:sz w:val="24"/>
                <w:szCs w:val="24"/>
                <w:lang w:val="uk-UA"/>
              </w:rPr>
              <w:t xml:space="preserve"> </w:t>
            </w:r>
            <w:r w:rsidR="00162A11" w:rsidRPr="00BE1959">
              <w:rPr>
                <w:rFonts w:ascii="Times New Roman" w:eastAsia="Times New Roman" w:hAnsi="Times New Roman" w:cs="Times New Roman"/>
                <w:sz w:val="24"/>
                <w:szCs w:val="24"/>
                <w:lang w:val="uk-UA"/>
              </w:rPr>
              <w:t>Стаття</w:t>
            </w:r>
            <w:r w:rsidR="005613AB" w:rsidRPr="00BE1959">
              <w:rPr>
                <w:rFonts w:ascii="Times New Roman" w:eastAsia="Times New Roman" w:hAnsi="Times New Roman" w:cs="Times New Roman"/>
                <w:sz w:val="24"/>
                <w:szCs w:val="24"/>
                <w:lang w:val="uk-UA"/>
              </w:rPr>
              <w:t xml:space="preserve"> 6(2) </w:t>
            </w:r>
            <w:r w:rsidRPr="00BE1959">
              <w:rPr>
                <w:rFonts w:ascii="Times New Roman" w:eastAsia="Times New Roman" w:hAnsi="Times New Roman" w:cs="Times New Roman"/>
                <w:sz w:val="24"/>
                <w:szCs w:val="24"/>
                <w:lang w:val="uk-UA"/>
              </w:rPr>
              <w:t>або</w:t>
            </w:r>
            <w:r w:rsidR="005613AB" w:rsidRPr="00BE1959">
              <w:rPr>
                <w:rFonts w:ascii="Times New Roman" w:eastAsia="Times New Roman" w:hAnsi="Times New Roman" w:cs="Times New Roman"/>
                <w:sz w:val="24"/>
                <w:szCs w:val="24"/>
                <w:lang w:val="uk-UA"/>
              </w:rPr>
              <w:t xml:space="preserve"> </w:t>
            </w:r>
            <w:r w:rsidR="00162A11" w:rsidRPr="00BE1959">
              <w:rPr>
                <w:rFonts w:ascii="Times New Roman" w:eastAsia="Times New Roman" w:hAnsi="Times New Roman" w:cs="Times New Roman"/>
                <w:sz w:val="24"/>
                <w:szCs w:val="24"/>
                <w:lang w:val="uk-UA"/>
              </w:rPr>
              <w:t>Стаття</w:t>
            </w:r>
            <w:r w:rsidR="005613AB" w:rsidRPr="00BE1959">
              <w:rPr>
                <w:rFonts w:ascii="Times New Roman" w:eastAsia="Times New Roman" w:hAnsi="Times New Roman" w:cs="Times New Roman"/>
                <w:sz w:val="24"/>
                <w:szCs w:val="24"/>
                <w:lang w:val="uk-UA"/>
              </w:rPr>
              <w:t xml:space="preserve">s 34, 35, 39, 44 </w:t>
            </w:r>
            <w:r w:rsidRPr="00BE1959">
              <w:rPr>
                <w:rFonts w:ascii="Times New Roman" w:eastAsia="Times New Roman" w:hAnsi="Times New Roman" w:cs="Times New Roman"/>
                <w:sz w:val="24"/>
                <w:szCs w:val="24"/>
                <w:lang w:val="uk-UA"/>
              </w:rPr>
              <w:t>або</w:t>
            </w:r>
            <w:r w:rsidR="005613AB" w:rsidRPr="00BE1959">
              <w:rPr>
                <w:rFonts w:ascii="Times New Roman" w:eastAsia="Times New Roman" w:hAnsi="Times New Roman" w:cs="Times New Roman"/>
                <w:sz w:val="24"/>
                <w:szCs w:val="24"/>
                <w:lang w:val="uk-UA"/>
              </w:rPr>
              <w:t xml:space="preserve"> 59 </w:t>
            </w:r>
            <w:r w:rsidR="00432567" w:rsidRPr="00BE1959">
              <w:rPr>
                <w:rFonts w:ascii="Times New Roman" w:eastAsia="Times New Roman" w:hAnsi="Times New Roman" w:cs="Times New Roman"/>
                <w:sz w:val="24"/>
                <w:szCs w:val="24"/>
                <w:lang w:val="uk-UA"/>
              </w:rPr>
              <w:t>цієї директиви</w:t>
            </w:r>
            <w:r w:rsidR="005613AB" w:rsidRPr="00BE1959">
              <w:rPr>
                <w:rFonts w:ascii="Times New Roman" w:eastAsia="Times New Roman" w:hAnsi="Times New Roman" w:cs="Times New Roman"/>
                <w:sz w:val="24"/>
                <w:szCs w:val="24"/>
                <w:lang w:val="uk-UA"/>
              </w:rPr>
              <w:t xml:space="preserve">; </w:t>
            </w:r>
            <w:r w:rsidRPr="00BE1959">
              <w:rPr>
                <w:rFonts w:ascii="Times New Roman" w:eastAsia="Times New Roman" w:hAnsi="Times New Roman" w:cs="Times New Roman"/>
                <w:sz w:val="24"/>
                <w:szCs w:val="24"/>
                <w:lang w:val="uk-UA"/>
              </w:rPr>
              <w:t>або</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64"/>
        <w:gridCol w:w="9001"/>
      </w:tblGrid>
      <w:tr w:rsidR="00DE3173"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8A1D46" w:rsidP="009D0504">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третє речення</w:t>
            </w:r>
            <w:r w:rsidR="005613AB" w:rsidRPr="00BE1959">
              <w:rPr>
                <w:rFonts w:ascii="Times New Roman" w:eastAsia="Times New Roman" w:hAnsi="Times New Roman" w:cs="Times New Roman"/>
                <w:sz w:val="24"/>
                <w:szCs w:val="24"/>
                <w:lang w:val="uk-UA"/>
              </w:rPr>
              <w:t xml:space="preserve"> </w:t>
            </w:r>
            <w:r w:rsidR="0065313E" w:rsidRPr="00BE1959">
              <w:rPr>
                <w:rFonts w:ascii="Times New Roman" w:eastAsia="Times New Roman" w:hAnsi="Times New Roman" w:cs="Times New Roman"/>
                <w:sz w:val="24"/>
                <w:szCs w:val="24"/>
                <w:lang w:val="uk-UA"/>
              </w:rPr>
              <w:t>статті</w:t>
            </w:r>
            <w:r w:rsidR="005613AB" w:rsidRPr="00BE1959">
              <w:rPr>
                <w:rFonts w:ascii="Times New Roman" w:eastAsia="Times New Roman" w:hAnsi="Times New Roman" w:cs="Times New Roman"/>
                <w:sz w:val="24"/>
                <w:szCs w:val="24"/>
                <w:lang w:val="uk-UA"/>
              </w:rPr>
              <w:t xml:space="preserve"> 7(1) </w:t>
            </w:r>
            <w:r w:rsidR="009D0504" w:rsidRPr="00BE1959">
              <w:rPr>
                <w:rFonts w:ascii="Times New Roman" w:eastAsia="Times New Roman" w:hAnsi="Times New Roman" w:cs="Times New Roman"/>
                <w:sz w:val="24"/>
                <w:szCs w:val="24"/>
                <w:lang w:val="uk-UA"/>
              </w:rPr>
              <w:t>або</w:t>
            </w:r>
            <w:r w:rsidR="005613AB" w:rsidRPr="00BE1959">
              <w:rPr>
                <w:rFonts w:ascii="Times New Roman" w:eastAsia="Times New Roman" w:hAnsi="Times New Roman" w:cs="Times New Roman"/>
                <w:sz w:val="24"/>
                <w:szCs w:val="24"/>
                <w:lang w:val="uk-UA"/>
              </w:rPr>
              <w:t xml:space="preserve"> </w:t>
            </w:r>
            <w:r w:rsidR="00162A11" w:rsidRPr="00BE1959">
              <w:rPr>
                <w:rFonts w:ascii="Times New Roman" w:eastAsia="Times New Roman" w:hAnsi="Times New Roman" w:cs="Times New Roman"/>
                <w:sz w:val="24"/>
                <w:szCs w:val="24"/>
                <w:lang w:val="uk-UA"/>
              </w:rPr>
              <w:t>Стаття</w:t>
            </w:r>
            <w:r w:rsidR="005613AB" w:rsidRPr="00BE1959">
              <w:rPr>
                <w:rFonts w:ascii="Times New Roman" w:eastAsia="Times New Roman" w:hAnsi="Times New Roman" w:cs="Times New Roman"/>
                <w:sz w:val="24"/>
                <w:szCs w:val="24"/>
                <w:lang w:val="uk-UA"/>
              </w:rPr>
              <w:t xml:space="preserve"> 11(1) </w:t>
            </w:r>
            <w:r w:rsidR="008824AE" w:rsidRPr="00BE1959">
              <w:rPr>
                <w:rFonts w:ascii="Times New Roman" w:eastAsia="Times New Roman" w:hAnsi="Times New Roman" w:cs="Times New Roman"/>
                <w:sz w:val="24"/>
                <w:szCs w:val="24"/>
                <w:lang w:val="uk-UA"/>
              </w:rPr>
              <w:t>Регламенту</w:t>
            </w:r>
            <w:r w:rsidR="005613AB" w:rsidRPr="00BE1959">
              <w:rPr>
                <w:rFonts w:ascii="Times New Roman" w:eastAsia="Times New Roman" w:hAnsi="Times New Roman" w:cs="Times New Roman"/>
                <w:sz w:val="24"/>
                <w:szCs w:val="24"/>
                <w:lang w:val="uk-UA"/>
              </w:rPr>
              <w:t xml:space="preserve"> </w:t>
            </w:r>
            <w:r w:rsidR="007B0149" w:rsidRPr="00BE1959">
              <w:rPr>
                <w:rFonts w:ascii="Times New Roman" w:eastAsia="Times New Roman" w:hAnsi="Times New Roman" w:cs="Times New Roman"/>
                <w:sz w:val="24"/>
                <w:szCs w:val="24"/>
                <w:lang w:val="uk-UA"/>
              </w:rPr>
              <w:t>(EU) № 600/2014</w:t>
            </w:r>
            <w:r w:rsidR="005613AB" w:rsidRPr="00BE1959">
              <w:rPr>
                <w:rFonts w:ascii="Times New Roman" w:eastAsia="Times New Roman" w:hAnsi="Times New Roman" w:cs="Times New Roman"/>
                <w:sz w:val="24"/>
                <w:szCs w:val="24"/>
                <w:lang w:val="uk-UA"/>
              </w:rPr>
              <w:t>.</w:t>
            </w:r>
          </w:p>
        </w:tc>
      </w:tr>
    </w:tbl>
    <w:p w:rsidR="005613AB" w:rsidRPr="00BE1959" w:rsidRDefault="005613AB" w:rsidP="0052099F">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5.   </w:t>
      </w:r>
      <w:r w:rsidR="009D0504" w:rsidRPr="00BE1959">
        <w:rPr>
          <w:rFonts w:ascii="Times New Roman" w:eastAsia="Times New Roman" w:hAnsi="Times New Roman" w:cs="Times New Roman"/>
          <w:sz w:val="24"/>
          <w:szCs w:val="24"/>
          <w:lang w:val="uk-UA"/>
        </w:rPr>
        <w:t xml:space="preserve">Відсутність співробітництва, невиконання вимог при розслідуванні чи </w:t>
      </w:r>
      <w:r w:rsidR="0052099F" w:rsidRPr="00BE1959">
        <w:rPr>
          <w:rFonts w:ascii="Times New Roman" w:eastAsia="Times New Roman" w:hAnsi="Times New Roman" w:cs="Times New Roman"/>
          <w:sz w:val="24"/>
          <w:szCs w:val="24"/>
          <w:lang w:val="uk-UA"/>
        </w:rPr>
        <w:t>перевірці або невиконання вимог, установлених статтею 69, також вважається порушенням</w:t>
      </w:r>
      <w:r w:rsidRPr="00BE1959">
        <w:rPr>
          <w:rFonts w:ascii="Times New Roman" w:eastAsia="Times New Roman" w:hAnsi="Times New Roman" w:cs="Times New Roman"/>
          <w:sz w:val="24"/>
          <w:szCs w:val="24"/>
          <w:lang w:val="uk-UA"/>
        </w:rPr>
        <w:t xml:space="preserve"> </w:t>
      </w:r>
      <w:r w:rsidR="00432567" w:rsidRPr="00BE1959">
        <w:rPr>
          <w:rFonts w:ascii="Times New Roman" w:eastAsia="Times New Roman" w:hAnsi="Times New Roman" w:cs="Times New Roman"/>
          <w:sz w:val="24"/>
          <w:szCs w:val="24"/>
          <w:lang w:val="uk-UA"/>
        </w:rPr>
        <w:t>цієї директиви</w:t>
      </w:r>
      <w:r w:rsidRPr="00BE1959">
        <w:rPr>
          <w:rFonts w:ascii="Times New Roman" w:eastAsia="Times New Roman" w:hAnsi="Times New Roman" w:cs="Times New Roman"/>
          <w:sz w:val="24"/>
          <w:szCs w:val="24"/>
          <w:lang w:val="uk-UA"/>
        </w:rPr>
        <w:t>.</w:t>
      </w:r>
    </w:p>
    <w:p w:rsidR="005613AB" w:rsidRPr="00BE1959" w:rsidRDefault="005613AB" w:rsidP="0052099F">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6.   </w:t>
      </w:r>
      <w:r w:rsidR="0052099F" w:rsidRPr="00BE1959">
        <w:rPr>
          <w:rFonts w:ascii="Times New Roman" w:eastAsia="Times New Roman" w:hAnsi="Times New Roman" w:cs="Times New Roman"/>
          <w:sz w:val="24"/>
          <w:szCs w:val="24"/>
          <w:lang w:val="uk-UA"/>
        </w:rPr>
        <w:t>У випадках порушень, згаданих у пунктах</w:t>
      </w:r>
      <w:r w:rsidRPr="00BE1959">
        <w:rPr>
          <w:rFonts w:ascii="Times New Roman" w:eastAsia="Times New Roman" w:hAnsi="Times New Roman" w:cs="Times New Roman"/>
          <w:sz w:val="24"/>
          <w:szCs w:val="24"/>
          <w:lang w:val="uk-UA"/>
        </w:rPr>
        <w:t xml:space="preserve"> 3, 4 </w:t>
      </w:r>
      <w:r w:rsidR="0052099F" w:rsidRPr="00BE1959">
        <w:rPr>
          <w:rFonts w:ascii="Times New Roman" w:eastAsia="Times New Roman" w:hAnsi="Times New Roman" w:cs="Times New Roman"/>
          <w:sz w:val="24"/>
          <w:szCs w:val="24"/>
          <w:lang w:val="uk-UA"/>
        </w:rPr>
        <w:t>та</w:t>
      </w:r>
      <w:r w:rsidRPr="00BE1959">
        <w:rPr>
          <w:rFonts w:ascii="Times New Roman" w:eastAsia="Times New Roman" w:hAnsi="Times New Roman" w:cs="Times New Roman"/>
          <w:sz w:val="24"/>
          <w:szCs w:val="24"/>
          <w:lang w:val="uk-UA"/>
        </w:rPr>
        <w:t xml:space="preserve"> 5, </w:t>
      </w:r>
      <w:r w:rsidR="0052099F" w:rsidRPr="00BE1959">
        <w:rPr>
          <w:rFonts w:ascii="Times New Roman" w:eastAsia="Times New Roman" w:hAnsi="Times New Roman" w:cs="Times New Roman"/>
          <w:sz w:val="24"/>
          <w:szCs w:val="24"/>
          <w:lang w:val="uk-UA"/>
        </w:rPr>
        <w:t>д</w:t>
      </w:r>
      <w:r w:rsidR="001F5C90" w:rsidRPr="00BE1959">
        <w:rPr>
          <w:rFonts w:ascii="Times New Roman" w:eastAsia="Times New Roman" w:hAnsi="Times New Roman" w:cs="Times New Roman"/>
          <w:sz w:val="24"/>
          <w:szCs w:val="24"/>
          <w:lang w:val="uk-UA"/>
        </w:rPr>
        <w:t>ержави-члени</w:t>
      </w:r>
      <w:r w:rsidRPr="00BE1959">
        <w:rPr>
          <w:rFonts w:ascii="Times New Roman" w:eastAsia="Times New Roman" w:hAnsi="Times New Roman" w:cs="Times New Roman"/>
          <w:sz w:val="24"/>
          <w:szCs w:val="24"/>
          <w:lang w:val="uk-UA"/>
        </w:rPr>
        <w:t xml:space="preserve">, </w:t>
      </w:r>
      <w:r w:rsidR="0052099F" w:rsidRPr="00BE1959">
        <w:rPr>
          <w:rFonts w:ascii="Times New Roman" w:eastAsia="Times New Roman" w:hAnsi="Times New Roman" w:cs="Times New Roman"/>
          <w:sz w:val="24"/>
          <w:szCs w:val="24"/>
          <w:lang w:val="uk-UA"/>
        </w:rPr>
        <w:t xml:space="preserve">відповідно до національного законодавства, передбачають, щоб </w:t>
      </w:r>
      <w:r w:rsidR="00434A96" w:rsidRPr="00BE1959">
        <w:rPr>
          <w:rFonts w:ascii="Times New Roman" w:eastAsia="Times New Roman" w:hAnsi="Times New Roman" w:cs="Times New Roman"/>
          <w:sz w:val="24"/>
          <w:szCs w:val="24"/>
          <w:lang w:val="uk-UA"/>
        </w:rPr>
        <w:t>компетентні органи</w:t>
      </w:r>
      <w:r w:rsidRPr="00BE1959">
        <w:rPr>
          <w:rFonts w:ascii="Times New Roman" w:eastAsia="Times New Roman" w:hAnsi="Times New Roman" w:cs="Times New Roman"/>
          <w:sz w:val="24"/>
          <w:szCs w:val="24"/>
          <w:lang w:val="uk-UA"/>
        </w:rPr>
        <w:t xml:space="preserve"> </w:t>
      </w:r>
      <w:r w:rsidR="0052099F" w:rsidRPr="00BE1959">
        <w:rPr>
          <w:rFonts w:ascii="Times New Roman" w:eastAsia="Times New Roman" w:hAnsi="Times New Roman" w:cs="Times New Roman"/>
          <w:sz w:val="24"/>
          <w:szCs w:val="24"/>
          <w:lang w:val="uk-UA"/>
        </w:rPr>
        <w:t>мали повноваження на накладання і вжиття принаймні наступних адміністративних санкцій та заходів:</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9093"/>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96403E" w:rsidP="0096403E">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публічна заява з зазначенням фізичної чи юридичної особи та характеру порушення відповідно до статті 71;</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96403E" w:rsidP="0096403E">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наказ, що вимагає від фізичної чи юридичної особи припинити таку поведінку та утриматися від її повторення;</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9093"/>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96403E" w:rsidP="0096403E">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у випадку інвестиційної фірми, оператора ринку, що має дозвіл на управління БТМ чи ОТМ, регульованого ринку, ЗМП, НЗД і ЗМЗ – відкликання чи призупинення дії дозволу, наданого цій установі, відповідно до статей </w:t>
            </w:r>
            <w:r w:rsidR="005613AB" w:rsidRPr="00BE1959">
              <w:rPr>
                <w:rFonts w:ascii="Times New Roman" w:eastAsia="Times New Roman" w:hAnsi="Times New Roman" w:cs="Times New Roman"/>
                <w:sz w:val="24"/>
                <w:szCs w:val="24"/>
                <w:lang w:val="uk-UA"/>
              </w:rPr>
              <w:t xml:space="preserve">8, 43 </w:t>
            </w:r>
            <w:r w:rsidRPr="00BE1959">
              <w:rPr>
                <w:rFonts w:ascii="Times New Roman" w:eastAsia="Times New Roman" w:hAnsi="Times New Roman" w:cs="Times New Roman"/>
                <w:sz w:val="24"/>
                <w:szCs w:val="24"/>
                <w:lang w:val="uk-UA"/>
              </w:rPr>
              <w:t>та</w:t>
            </w:r>
            <w:r w:rsidR="005613AB" w:rsidRPr="00BE1959">
              <w:rPr>
                <w:rFonts w:ascii="Times New Roman" w:eastAsia="Times New Roman" w:hAnsi="Times New Roman" w:cs="Times New Roman"/>
                <w:sz w:val="24"/>
                <w:szCs w:val="24"/>
                <w:lang w:val="uk-UA"/>
              </w:rPr>
              <w:t xml:space="preserve"> 65;</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96403E" w:rsidP="00075C67">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тимчасова, а у разі </w:t>
            </w:r>
            <w:r w:rsidR="00075C67" w:rsidRPr="00BE1959">
              <w:rPr>
                <w:rFonts w:ascii="Times New Roman" w:eastAsia="Times New Roman" w:hAnsi="Times New Roman" w:cs="Times New Roman"/>
                <w:sz w:val="24"/>
                <w:szCs w:val="24"/>
                <w:lang w:val="uk-UA"/>
              </w:rPr>
              <w:t>повторних серйозних порушень – постійна заборона членові керівного органу інвестиційної фірми або іншій фізичній особі, визнаній відповідальною, виконувати управлінські функції в інвестиційних фірмах;</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9093"/>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(e)</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7F76FB" w:rsidP="00A602C6">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тимчасова заборона</w:t>
            </w:r>
            <w:r w:rsidR="002D30DD" w:rsidRPr="00BE1959">
              <w:rPr>
                <w:rFonts w:ascii="Times New Roman" w:eastAsia="Times New Roman" w:hAnsi="Times New Roman" w:cs="Times New Roman"/>
                <w:sz w:val="24"/>
                <w:szCs w:val="24"/>
                <w:lang w:val="uk-UA"/>
              </w:rPr>
              <w:t xml:space="preserve"> </w:t>
            </w:r>
            <w:r w:rsidR="00A602C6" w:rsidRPr="00BE1959">
              <w:rPr>
                <w:rFonts w:ascii="Times New Roman" w:eastAsia="Times New Roman" w:hAnsi="Times New Roman" w:cs="Times New Roman"/>
                <w:sz w:val="24"/>
                <w:szCs w:val="24"/>
                <w:lang w:val="uk-UA"/>
              </w:rPr>
              <w:t xml:space="preserve">на діяльність </w:t>
            </w:r>
            <w:r w:rsidR="002D30DD" w:rsidRPr="00BE1959">
              <w:rPr>
                <w:rFonts w:ascii="Times New Roman" w:eastAsia="Times New Roman" w:hAnsi="Times New Roman" w:cs="Times New Roman"/>
                <w:sz w:val="24"/>
                <w:szCs w:val="24"/>
                <w:lang w:val="uk-UA"/>
              </w:rPr>
              <w:t>будь-якої інвестиційної фірми</w:t>
            </w:r>
            <w:r w:rsidR="00A602C6" w:rsidRPr="00BE1959">
              <w:rPr>
                <w:rFonts w:ascii="Times New Roman" w:eastAsia="Times New Roman" w:hAnsi="Times New Roman" w:cs="Times New Roman"/>
                <w:sz w:val="24"/>
                <w:szCs w:val="24"/>
                <w:lang w:val="uk-UA"/>
              </w:rPr>
              <w:t>, що є членом або учасником регульованих ринків або БТМ, або будь-якого клієнта ОТМ;</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912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(f)</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1B4C4D" w:rsidP="001B4C4D">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у випадку юридичної особи – максимальні адміністративні штрафи у розмірі щонайменше 5 млн. євро, а у державах-членах, валютою яких не є євро, - у </w:t>
            </w:r>
            <w:r w:rsidRPr="00BE1959">
              <w:rPr>
                <w:rFonts w:ascii="Times New Roman" w:eastAsia="Times New Roman" w:hAnsi="Times New Roman" w:cs="Times New Roman"/>
                <w:sz w:val="24"/>
                <w:szCs w:val="24"/>
                <w:lang w:val="uk-UA"/>
              </w:rPr>
              <w:lastRenderedPageBreak/>
              <w:t>відповідному розмірі в національній валюті станом на 2 липня 2014 року</w:t>
            </w:r>
            <w:r w:rsidR="004075AD" w:rsidRPr="00BE1959">
              <w:rPr>
                <w:rFonts w:ascii="Times New Roman" w:eastAsia="Times New Roman" w:hAnsi="Times New Roman" w:cs="Times New Roman"/>
                <w:sz w:val="24"/>
                <w:szCs w:val="24"/>
                <w:lang w:val="uk-UA"/>
              </w:rPr>
              <w:t>, або в сумі до 10% загального річного обігу юридичної ос</w:t>
            </w:r>
            <w:r w:rsidR="00D16C65" w:rsidRPr="00BE1959">
              <w:rPr>
                <w:rFonts w:ascii="Times New Roman" w:eastAsia="Times New Roman" w:hAnsi="Times New Roman" w:cs="Times New Roman"/>
                <w:sz w:val="24"/>
                <w:szCs w:val="24"/>
                <w:lang w:val="uk-UA"/>
              </w:rPr>
              <w:t>оби згідно з останніми наявними звітами, затвердженими керівним органом; якщо юридична особа є материнським підприємством або дочірнім підприємством материнського підприємства, яке повинно готувати зведені фінансові звіти</w:t>
            </w:r>
            <w:r w:rsidR="005613AB" w:rsidRPr="00BE1959">
              <w:rPr>
                <w:rFonts w:ascii="Times New Roman" w:eastAsia="Times New Roman" w:hAnsi="Times New Roman" w:cs="Times New Roman"/>
                <w:sz w:val="24"/>
                <w:szCs w:val="24"/>
                <w:lang w:val="uk-UA"/>
              </w:rPr>
              <w:t xml:space="preserve"> </w:t>
            </w:r>
            <w:r w:rsidR="00945D41" w:rsidRPr="00BE1959">
              <w:rPr>
                <w:rFonts w:ascii="Times New Roman" w:eastAsia="Times New Roman" w:hAnsi="Times New Roman" w:cs="Times New Roman"/>
                <w:sz w:val="24"/>
                <w:szCs w:val="24"/>
                <w:lang w:val="uk-UA"/>
              </w:rPr>
              <w:t>відповідно до Директиви</w:t>
            </w:r>
            <w:r w:rsidR="005613AB" w:rsidRPr="00BE1959">
              <w:rPr>
                <w:rFonts w:ascii="Times New Roman" w:eastAsia="Times New Roman" w:hAnsi="Times New Roman" w:cs="Times New Roman"/>
                <w:sz w:val="24"/>
                <w:szCs w:val="24"/>
                <w:lang w:val="uk-UA"/>
              </w:rPr>
              <w:t xml:space="preserve"> 2013/34/EU, </w:t>
            </w:r>
            <w:r w:rsidR="00D16C65" w:rsidRPr="00BE1959">
              <w:rPr>
                <w:rFonts w:ascii="Times New Roman" w:eastAsia="Times New Roman" w:hAnsi="Times New Roman" w:cs="Times New Roman"/>
                <w:sz w:val="24"/>
                <w:szCs w:val="24"/>
                <w:lang w:val="uk-UA"/>
              </w:rPr>
              <w:t xml:space="preserve">то відповідним загальним річним обігом є </w:t>
            </w:r>
            <w:r w:rsidR="001F0402" w:rsidRPr="00BE1959">
              <w:rPr>
                <w:rFonts w:ascii="Times New Roman" w:eastAsia="Times New Roman" w:hAnsi="Times New Roman" w:cs="Times New Roman"/>
                <w:sz w:val="24"/>
                <w:szCs w:val="24"/>
                <w:lang w:val="uk-UA"/>
              </w:rPr>
              <w:t xml:space="preserve">загальний </w:t>
            </w:r>
            <w:r w:rsidR="005D343E" w:rsidRPr="00BE1959">
              <w:rPr>
                <w:rFonts w:ascii="Times New Roman" w:eastAsia="Times New Roman" w:hAnsi="Times New Roman" w:cs="Times New Roman"/>
                <w:sz w:val="24"/>
                <w:szCs w:val="24"/>
                <w:lang w:val="uk-UA"/>
              </w:rPr>
              <w:t xml:space="preserve">річний обіг або відповідний вид доходу згідно з чинними законодавчими актами в сфері бухгалтерського обліку за останніми наявними зведеними звітами, затвердженими керівним органом </w:t>
            </w:r>
            <w:r w:rsidRPr="00BE1959">
              <w:rPr>
                <w:rFonts w:ascii="Times New Roman" w:eastAsia="Times New Roman" w:hAnsi="Times New Roman" w:cs="Times New Roman"/>
                <w:sz w:val="24"/>
                <w:szCs w:val="24"/>
                <w:lang w:val="uk-UA"/>
              </w:rPr>
              <w:t>головного материнського підприємства</w:t>
            </w:r>
            <w:r w:rsidR="005613AB" w:rsidRPr="00BE1959">
              <w:rPr>
                <w:rFonts w:ascii="Times New Roman" w:eastAsia="Times New Roman" w:hAnsi="Times New Roman" w:cs="Times New Roman"/>
                <w:sz w:val="24"/>
                <w:szCs w:val="24"/>
                <w:lang w:val="uk-UA"/>
              </w:rPr>
              <w:t>;</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(g)</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1B4C4D" w:rsidP="001B4C4D">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у випадку фізичної особи – максимальні адміністративні штрафи у розмірі щонайменше 5 млн. євро, а у державах-членах, валютою яких не є євро, - у відповідному розмірі в національній валюті станом на 2 липня 2014 року;</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DE3173" w:rsidRPr="00BE1959"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(h)</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1B4C4D" w:rsidP="001B4C4D">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максимальні адміністративні штрафи, які щонайменше вдвічі перевищують суму вигоди, отриманої через порушення, якщо цю вигоду можна визначити, навіть якщо вона перевищує максимальні суми, зазначені у пп.</w:t>
            </w:r>
            <w:r w:rsidR="005613AB" w:rsidRPr="00BE1959">
              <w:rPr>
                <w:rFonts w:ascii="Times New Roman" w:eastAsia="Times New Roman" w:hAnsi="Times New Roman" w:cs="Times New Roman"/>
                <w:sz w:val="24"/>
                <w:szCs w:val="24"/>
                <w:lang w:val="uk-UA"/>
              </w:rPr>
              <w:t xml:space="preserve"> (f) </w:t>
            </w:r>
            <w:r w:rsidRPr="00BE1959">
              <w:rPr>
                <w:rFonts w:ascii="Times New Roman" w:eastAsia="Times New Roman" w:hAnsi="Times New Roman" w:cs="Times New Roman"/>
                <w:sz w:val="24"/>
                <w:szCs w:val="24"/>
                <w:lang w:val="uk-UA"/>
              </w:rPr>
              <w:t>та</w:t>
            </w:r>
            <w:r w:rsidR="005613AB" w:rsidRPr="00BE1959">
              <w:rPr>
                <w:rFonts w:ascii="Times New Roman" w:eastAsia="Times New Roman" w:hAnsi="Times New Roman" w:cs="Times New Roman"/>
                <w:sz w:val="24"/>
                <w:szCs w:val="24"/>
                <w:lang w:val="uk-UA"/>
              </w:rPr>
              <w:t xml:space="preserve"> (g).</w:t>
            </w:r>
          </w:p>
        </w:tc>
      </w:tr>
    </w:tbl>
    <w:p w:rsidR="005613AB" w:rsidRPr="00BE1959" w:rsidRDefault="005613AB" w:rsidP="001B4C4D">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7.   </w:t>
      </w:r>
      <w:r w:rsidR="00C87244" w:rsidRPr="00BE1959">
        <w:rPr>
          <w:rFonts w:ascii="Times New Roman" w:eastAsia="Times New Roman" w:hAnsi="Times New Roman" w:cs="Times New Roman"/>
          <w:sz w:val="24"/>
          <w:szCs w:val="24"/>
          <w:lang w:val="uk-UA"/>
        </w:rPr>
        <w:t>Держави-члени можуть</w:t>
      </w:r>
      <w:r w:rsidRPr="00BE1959">
        <w:rPr>
          <w:rFonts w:ascii="Times New Roman" w:eastAsia="Times New Roman" w:hAnsi="Times New Roman" w:cs="Times New Roman"/>
          <w:sz w:val="24"/>
          <w:szCs w:val="24"/>
          <w:lang w:val="uk-UA"/>
        </w:rPr>
        <w:t xml:space="preserve"> </w:t>
      </w:r>
      <w:r w:rsidR="001B4C4D" w:rsidRPr="00BE1959">
        <w:rPr>
          <w:rFonts w:ascii="Times New Roman" w:eastAsia="Times New Roman" w:hAnsi="Times New Roman" w:cs="Times New Roman"/>
          <w:sz w:val="24"/>
          <w:szCs w:val="24"/>
          <w:lang w:val="uk-UA"/>
        </w:rPr>
        <w:t>уповноважити</w:t>
      </w:r>
      <w:r w:rsidRPr="00BE1959">
        <w:rPr>
          <w:rFonts w:ascii="Times New Roman" w:eastAsia="Times New Roman" w:hAnsi="Times New Roman" w:cs="Times New Roman"/>
          <w:sz w:val="24"/>
          <w:szCs w:val="24"/>
          <w:lang w:val="uk-UA"/>
        </w:rPr>
        <w:t xml:space="preserve"> </w:t>
      </w:r>
      <w:r w:rsidR="00434A96" w:rsidRPr="00BE1959">
        <w:rPr>
          <w:rFonts w:ascii="Times New Roman" w:eastAsia="Times New Roman" w:hAnsi="Times New Roman" w:cs="Times New Roman"/>
          <w:sz w:val="24"/>
          <w:szCs w:val="24"/>
          <w:lang w:val="uk-UA"/>
        </w:rPr>
        <w:t>компетентні органи</w:t>
      </w:r>
      <w:r w:rsidRPr="00BE1959">
        <w:rPr>
          <w:rFonts w:ascii="Times New Roman" w:eastAsia="Times New Roman" w:hAnsi="Times New Roman" w:cs="Times New Roman"/>
          <w:sz w:val="24"/>
          <w:szCs w:val="24"/>
          <w:lang w:val="uk-UA"/>
        </w:rPr>
        <w:t xml:space="preserve"> </w:t>
      </w:r>
      <w:r w:rsidR="001B4C4D" w:rsidRPr="00BE1959">
        <w:rPr>
          <w:rFonts w:ascii="Times New Roman" w:eastAsia="Times New Roman" w:hAnsi="Times New Roman" w:cs="Times New Roman"/>
          <w:sz w:val="24"/>
          <w:szCs w:val="24"/>
          <w:lang w:val="uk-UA"/>
        </w:rPr>
        <w:t>на застосування інших видів санкцій на додаток до згаданих у пункті 6 або на стягування штрафів, що перевищують суми, згадані у пп.</w:t>
      </w:r>
      <w:r w:rsidRPr="00BE1959">
        <w:rPr>
          <w:rFonts w:ascii="Times New Roman" w:eastAsia="Times New Roman" w:hAnsi="Times New Roman" w:cs="Times New Roman"/>
          <w:sz w:val="24"/>
          <w:szCs w:val="24"/>
          <w:lang w:val="uk-UA"/>
        </w:rPr>
        <w:t xml:space="preserve"> (f), (g) </w:t>
      </w:r>
      <w:r w:rsidR="001B4C4D" w:rsidRPr="00BE1959">
        <w:rPr>
          <w:rFonts w:ascii="Times New Roman" w:eastAsia="Times New Roman" w:hAnsi="Times New Roman" w:cs="Times New Roman"/>
          <w:sz w:val="24"/>
          <w:szCs w:val="24"/>
          <w:lang w:val="uk-UA"/>
        </w:rPr>
        <w:t>та</w:t>
      </w:r>
      <w:r w:rsidRPr="00BE1959">
        <w:rPr>
          <w:rFonts w:ascii="Times New Roman" w:eastAsia="Times New Roman" w:hAnsi="Times New Roman" w:cs="Times New Roman"/>
          <w:sz w:val="24"/>
          <w:szCs w:val="24"/>
          <w:lang w:val="uk-UA"/>
        </w:rPr>
        <w:t xml:space="preserve"> (h) </w:t>
      </w:r>
      <w:r w:rsidR="001B4C4D" w:rsidRPr="00BE1959">
        <w:rPr>
          <w:rFonts w:ascii="Times New Roman" w:eastAsia="Times New Roman" w:hAnsi="Times New Roman" w:cs="Times New Roman"/>
          <w:sz w:val="24"/>
          <w:szCs w:val="24"/>
          <w:lang w:val="uk-UA"/>
        </w:rPr>
        <w:t>пункту 6.</w:t>
      </w:r>
    </w:p>
    <w:p w:rsidR="005613AB" w:rsidRPr="00BE1959" w:rsidRDefault="00162A11" w:rsidP="005613AB">
      <w:pPr>
        <w:spacing w:before="360" w:after="120" w:line="312" w:lineRule="atLeast"/>
        <w:jc w:val="center"/>
        <w:textAlignment w:val="baseline"/>
        <w:rPr>
          <w:rFonts w:ascii="Times New Roman" w:eastAsia="Times New Roman" w:hAnsi="Times New Roman" w:cs="Times New Roman"/>
          <w:i/>
          <w:iCs/>
          <w:sz w:val="24"/>
          <w:szCs w:val="24"/>
          <w:lang w:val="uk-UA"/>
        </w:rPr>
      </w:pPr>
      <w:r w:rsidRPr="00BE1959">
        <w:rPr>
          <w:rFonts w:ascii="Times New Roman" w:eastAsia="Times New Roman" w:hAnsi="Times New Roman" w:cs="Times New Roman"/>
          <w:i/>
          <w:iCs/>
          <w:sz w:val="24"/>
          <w:szCs w:val="24"/>
          <w:lang w:val="uk-UA"/>
        </w:rPr>
        <w:t>Стаття</w:t>
      </w:r>
      <w:r w:rsidR="005613AB" w:rsidRPr="00BE1959">
        <w:rPr>
          <w:rFonts w:ascii="Times New Roman" w:eastAsia="Times New Roman" w:hAnsi="Times New Roman" w:cs="Times New Roman"/>
          <w:i/>
          <w:iCs/>
          <w:sz w:val="24"/>
          <w:szCs w:val="24"/>
          <w:lang w:val="uk-UA"/>
        </w:rPr>
        <w:t xml:space="preserve"> 71</w:t>
      </w:r>
    </w:p>
    <w:p w:rsidR="005613AB" w:rsidRPr="00BE1959" w:rsidRDefault="001B4C4D" w:rsidP="005613AB">
      <w:pPr>
        <w:spacing w:before="60" w:after="120" w:line="312" w:lineRule="atLeast"/>
        <w:jc w:val="center"/>
        <w:textAlignment w:val="baseline"/>
        <w:rPr>
          <w:rFonts w:ascii="Times New Roman" w:eastAsia="Times New Roman" w:hAnsi="Times New Roman" w:cs="Times New Roman"/>
          <w:b/>
          <w:bCs/>
          <w:sz w:val="24"/>
          <w:szCs w:val="24"/>
          <w:lang w:val="uk-UA"/>
        </w:rPr>
      </w:pPr>
      <w:r w:rsidRPr="00BE1959">
        <w:rPr>
          <w:rFonts w:ascii="Times New Roman" w:eastAsia="Times New Roman" w:hAnsi="Times New Roman" w:cs="Times New Roman"/>
          <w:b/>
          <w:bCs/>
          <w:sz w:val="24"/>
          <w:szCs w:val="24"/>
          <w:lang w:val="uk-UA"/>
        </w:rPr>
        <w:t>Публікація рішень</w:t>
      </w:r>
    </w:p>
    <w:p w:rsidR="005613AB" w:rsidRPr="00BE1959" w:rsidRDefault="005613AB" w:rsidP="00681611">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1.   </w:t>
      </w:r>
      <w:r w:rsidR="001F5C90" w:rsidRPr="00BE1959">
        <w:rPr>
          <w:rFonts w:ascii="Times New Roman" w:eastAsia="Times New Roman" w:hAnsi="Times New Roman" w:cs="Times New Roman"/>
          <w:sz w:val="24"/>
          <w:szCs w:val="24"/>
          <w:lang w:val="uk-UA"/>
        </w:rPr>
        <w:t>Держави-члени</w:t>
      </w:r>
      <w:r w:rsidRPr="00BE1959">
        <w:rPr>
          <w:rFonts w:ascii="Times New Roman" w:eastAsia="Times New Roman" w:hAnsi="Times New Roman" w:cs="Times New Roman"/>
          <w:sz w:val="24"/>
          <w:szCs w:val="24"/>
          <w:lang w:val="uk-UA"/>
        </w:rPr>
        <w:t xml:space="preserve"> </w:t>
      </w:r>
      <w:r w:rsidR="003728B2" w:rsidRPr="00BE1959">
        <w:rPr>
          <w:rFonts w:ascii="Times New Roman" w:eastAsia="Times New Roman" w:hAnsi="Times New Roman" w:cs="Times New Roman"/>
          <w:sz w:val="24"/>
          <w:szCs w:val="24"/>
          <w:lang w:val="uk-UA"/>
        </w:rPr>
        <w:t xml:space="preserve">передбачають публікацію </w:t>
      </w:r>
      <w:r w:rsidR="00434A96" w:rsidRPr="00BE1959">
        <w:rPr>
          <w:rFonts w:ascii="Times New Roman" w:eastAsia="Times New Roman" w:hAnsi="Times New Roman" w:cs="Times New Roman"/>
          <w:sz w:val="24"/>
          <w:szCs w:val="24"/>
          <w:lang w:val="uk-UA"/>
        </w:rPr>
        <w:t>компетентн</w:t>
      </w:r>
      <w:r w:rsidR="003728B2" w:rsidRPr="00BE1959">
        <w:rPr>
          <w:rFonts w:ascii="Times New Roman" w:eastAsia="Times New Roman" w:hAnsi="Times New Roman" w:cs="Times New Roman"/>
          <w:sz w:val="24"/>
          <w:szCs w:val="24"/>
          <w:lang w:val="uk-UA"/>
        </w:rPr>
        <w:t>ими</w:t>
      </w:r>
      <w:r w:rsidR="00434A96" w:rsidRPr="00BE1959">
        <w:rPr>
          <w:rFonts w:ascii="Times New Roman" w:eastAsia="Times New Roman" w:hAnsi="Times New Roman" w:cs="Times New Roman"/>
          <w:sz w:val="24"/>
          <w:szCs w:val="24"/>
          <w:lang w:val="uk-UA"/>
        </w:rPr>
        <w:t xml:space="preserve"> орган</w:t>
      </w:r>
      <w:r w:rsidR="003728B2" w:rsidRPr="00BE1959">
        <w:rPr>
          <w:rFonts w:ascii="Times New Roman" w:eastAsia="Times New Roman" w:hAnsi="Times New Roman" w:cs="Times New Roman"/>
          <w:sz w:val="24"/>
          <w:szCs w:val="24"/>
          <w:lang w:val="uk-UA"/>
        </w:rPr>
        <w:t>ам</w:t>
      </w:r>
      <w:r w:rsidR="00434A96" w:rsidRPr="00BE1959">
        <w:rPr>
          <w:rFonts w:ascii="Times New Roman" w:eastAsia="Times New Roman" w:hAnsi="Times New Roman" w:cs="Times New Roman"/>
          <w:sz w:val="24"/>
          <w:szCs w:val="24"/>
          <w:lang w:val="uk-UA"/>
        </w:rPr>
        <w:t>и</w:t>
      </w:r>
      <w:r w:rsidRPr="00BE1959">
        <w:rPr>
          <w:rFonts w:ascii="Times New Roman" w:eastAsia="Times New Roman" w:hAnsi="Times New Roman" w:cs="Times New Roman"/>
          <w:sz w:val="24"/>
          <w:szCs w:val="24"/>
          <w:lang w:val="uk-UA"/>
        </w:rPr>
        <w:t xml:space="preserve"> </w:t>
      </w:r>
      <w:r w:rsidR="003728B2" w:rsidRPr="00BE1959">
        <w:rPr>
          <w:rFonts w:ascii="Times New Roman" w:eastAsia="Times New Roman" w:hAnsi="Times New Roman" w:cs="Times New Roman"/>
          <w:sz w:val="24"/>
          <w:szCs w:val="24"/>
          <w:lang w:val="uk-UA"/>
        </w:rPr>
        <w:t>будь-яких рішень про застосування адміністративної санкції чи заходу за порушення</w:t>
      </w:r>
      <w:r w:rsidRPr="00BE1959">
        <w:rPr>
          <w:rFonts w:ascii="Times New Roman" w:eastAsia="Times New Roman" w:hAnsi="Times New Roman" w:cs="Times New Roman"/>
          <w:sz w:val="24"/>
          <w:szCs w:val="24"/>
          <w:lang w:val="uk-UA"/>
        </w:rPr>
        <w:t xml:space="preserve"> </w:t>
      </w:r>
      <w:r w:rsidR="008824AE" w:rsidRPr="00BE1959">
        <w:rPr>
          <w:rFonts w:ascii="Times New Roman" w:eastAsia="Times New Roman" w:hAnsi="Times New Roman" w:cs="Times New Roman"/>
          <w:sz w:val="24"/>
          <w:szCs w:val="24"/>
          <w:lang w:val="uk-UA"/>
        </w:rPr>
        <w:t>Регламенту</w:t>
      </w:r>
      <w:r w:rsidRPr="00BE1959">
        <w:rPr>
          <w:rFonts w:ascii="Times New Roman" w:eastAsia="Times New Roman" w:hAnsi="Times New Roman" w:cs="Times New Roman"/>
          <w:sz w:val="24"/>
          <w:szCs w:val="24"/>
          <w:lang w:val="uk-UA"/>
        </w:rPr>
        <w:t xml:space="preserve"> </w:t>
      </w:r>
      <w:r w:rsidR="007B0149" w:rsidRPr="00BE1959">
        <w:rPr>
          <w:rFonts w:ascii="Times New Roman" w:eastAsia="Times New Roman" w:hAnsi="Times New Roman" w:cs="Times New Roman"/>
          <w:sz w:val="24"/>
          <w:szCs w:val="24"/>
          <w:lang w:val="uk-UA"/>
        </w:rPr>
        <w:t>(EU) № 600/2014</w:t>
      </w:r>
      <w:r w:rsidRPr="00BE1959">
        <w:rPr>
          <w:rFonts w:ascii="Times New Roman" w:eastAsia="Times New Roman" w:hAnsi="Times New Roman" w:cs="Times New Roman"/>
          <w:sz w:val="24"/>
          <w:szCs w:val="24"/>
          <w:lang w:val="uk-UA"/>
        </w:rPr>
        <w:t xml:space="preserve"> </w:t>
      </w:r>
      <w:r w:rsidR="003728B2" w:rsidRPr="00BE1959">
        <w:rPr>
          <w:rFonts w:ascii="Times New Roman" w:eastAsia="Times New Roman" w:hAnsi="Times New Roman" w:cs="Times New Roman"/>
          <w:sz w:val="24"/>
          <w:szCs w:val="24"/>
          <w:lang w:val="uk-UA"/>
        </w:rPr>
        <w:t xml:space="preserve">або національних положень, прийнятих на виконання цієї директиви, на їхніх веб-сайтах без неналежної затримки після того, як особа, на яку накладено санкцію, поінформована про це рішення. </w:t>
      </w:r>
      <w:r w:rsidR="00681611" w:rsidRPr="00BE1959">
        <w:rPr>
          <w:rFonts w:ascii="Times New Roman" w:eastAsia="Times New Roman" w:hAnsi="Times New Roman" w:cs="Times New Roman"/>
          <w:sz w:val="24"/>
          <w:szCs w:val="24"/>
          <w:lang w:val="uk-UA"/>
        </w:rPr>
        <w:t>Інформація, що публікується, включає, як мінімум, дані про вид і характер порушення та про особи відповідальних. Це зобов’язання не поширюється на рішення, якими застосовуються заходи слідчого характеру.</w:t>
      </w:r>
    </w:p>
    <w:p w:rsidR="005613AB" w:rsidRPr="00BE1959" w:rsidRDefault="00681611" w:rsidP="001B1690">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Проте, </w:t>
      </w:r>
      <w:r w:rsidR="001B1690" w:rsidRPr="00BE1959">
        <w:rPr>
          <w:rFonts w:ascii="Times New Roman" w:eastAsia="Times New Roman" w:hAnsi="Times New Roman" w:cs="Times New Roman"/>
          <w:sz w:val="24"/>
          <w:szCs w:val="24"/>
          <w:lang w:val="uk-UA"/>
        </w:rPr>
        <w:t xml:space="preserve">якщо компетентний орган вважає </w:t>
      </w:r>
      <w:r w:rsidRPr="00BE1959">
        <w:rPr>
          <w:rFonts w:ascii="Times New Roman" w:eastAsia="Times New Roman" w:hAnsi="Times New Roman" w:cs="Times New Roman"/>
          <w:sz w:val="24"/>
          <w:szCs w:val="24"/>
          <w:lang w:val="uk-UA"/>
        </w:rPr>
        <w:t>публікаці</w:t>
      </w:r>
      <w:r w:rsidR="001B1690" w:rsidRPr="00BE1959">
        <w:rPr>
          <w:rFonts w:ascii="Times New Roman" w:eastAsia="Times New Roman" w:hAnsi="Times New Roman" w:cs="Times New Roman"/>
          <w:sz w:val="24"/>
          <w:szCs w:val="24"/>
          <w:lang w:val="uk-UA"/>
        </w:rPr>
        <w:t>ю</w:t>
      </w:r>
      <w:r w:rsidRPr="00BE1959">
        <w:rPr>
          <w:rFonts w:ascii="Times New Roman" w:eastAsia="Times New Roman" w:hAnsi="Times New Roman" w:cs="Times New Roman"/>
          <w:sz w:val="24"/>
          <w:szCs w:val="24"/>
          <w:lang w:val="uk-UA"/>
        </w:rPr>
        <w:t xml:space="preserve"> даних про юридичні особи або персональних даних фізичних осіб</w:t>
      </w:r>
      <w:r w:rsidR="001B1690" w:rsidRPr="00BE1959">
        <w:rPr>
          <w:rFonts w:ascii="Times New Roman" w:eastAsia="Times New Roman" w:hAnsi="Times New Roman" w:cs="Times New Roman"/>
          <w:sz w:val="24"/>
          <w:szCs w:val="24"/>
          <w:lang w:val="uk-UA"/>
        </w:rPr>
        <w:t xml:space="preserve"> несумірною, виходячи з результатів індивідуальної оцінки сумірності публікації таких даних, або якщо публікація ставить під загрозу стабільність фінансових ринків або хід поточного розслідування, то держави-члени забезпечують, щоб </w:t>
      </w:r>
      <w:r w:rsidR="00434A96" w:rsidRPr="00BE1959">
        <w:rPr>
          <w:rFonts w:ascii="Times New Roman" w:eastAsia="Times New Roman" w:hAnsi="Times New Roman" w:cs="Times New Roman"/>
          <w:sz w:val="24"/>
          <w:szCs w:val="24"/>
          <w:lang w:val="uk-UA"/>
        </w:rPr>
        <w:t>компетентні органи</w:t>
      </w:r>
      <w:r w:rsidR="005613AB" w:rsidRPr="00BE1959">
        <w:rPr>
          <w:rFonts w:ascii="Times New Roman" w:eastAsia="Times New Roman" w:hAnsi="Times New Roman" w:cs="Times New Roman"/>
          <w:sz w:val="24"/>
          <w:szCs w:val="24"/>
          <w:lang w:val="uk-UA"/>
        </w:rP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9093"/>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607D61" w:rsidP="00E2743E">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відкла</w:t>
            </w:r>
            <w:r w:rsidR="00816F03" w:rsidRPr="00BE1959">
              <w:rPr>
                <w:rFonts w:ascii="Times New Roman" w:eastAsia="Times New Roman" w:hAnsi="Times New Roman" w:cs="Times New Roman"/>
                <w:sz w:val="24"/>
                <w:szCs w:val="24"/>
                <w:lang w:val="uk-UA"/>
              </w:rPr>
              <w:t>да</w:t>
            </w:r>
            <w:r w:rsidRPr="00BE1959">
              <w:rPr>
                <w:rFonts w:ascii="Times New Roman" w:eastAsia="Times New Roman" w:hAnsi="Times New Roman" w:cs="Times New Roman"/>
                <w:sz w:val="24"/>
                <w:szCs w:val="24"/>
                <w:lang w:val="uk-UA"/>
              </w:rPr>
              <w:t xml:space="preserve">ли публікацію </w:t>
            </w:r>
            <w:r w:rsidR="00816F03" w:rsidRPr="00BE1959">
              <w:rPr>
                <w:rFonts w:ascii="Times New Roman" w:eastAsia="Times New Roman" w:hAnsi="Times New Roman" w:cs="Times New Roman"/>
                <w:sz w:val="24"/>
                <w:szCs w:val="24"/>
                <w:lang w:val="uk-UA"/>
              </w:rPr>
              <w:t>рішення про застосування санкції або заходу до моменту, коли підстави дл</w:t>
            </w:r>
            <w:r w:rsidR="00E2743E" w:rsidRPr="00BE1959">
              <w:rPr>
                <w:rFonts w:ascii="Times New Roman" w:eastAsia="Times New Roman" w:hAnsi="Times New Roman" w:cs="Times New Roman"/>
                <w:sz w:val="24"/>
                <w:szCs w:val="24"/>
                <w:lang w:val="uk-UA"/>
              </w:rPr>
              <w:t>я того, щоб не публікувати це рішення, припинять існувати;</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E2743E" w:rsidP="00E2743E">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публікували рішення про застосування санкції або заходу анонімно у спосіб, що </w:t>
            </w:r>
            <w:r w:rsidRPr="00BE1959">
              <w:rPr>
                <w:rFonts w:ascii="Times New Roman" w:eastAsia="Times New Roman" w:hAnsi="Times New Roman" w:cs="Times New Roman"/>
                <w:sz w:val="24"/>
                <w:szCs w:val="24"/>
                <w:lang w:val="uk-UA"/>
              </w:rPr>
              <w:lastRenderedPageBreak/>
              <w:t>відповідає національному законодавству, якщо така анонімна публікація забезпечує ефективний захист відповідних персональних даних;</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9093"/>
      </w:tblGrid>
      <w:tr w:rsidR="00DE3173"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E2743E" w:rsidP="00C66991">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взагалі не публікували рішення про застосування санкції або заходу, якщо </w:t>
            </w:r>
            <w:r w:rsidR="00C66991" w:rsidRPr="00BE1959">
              <w:rPr>
                <w:rFonts w:ascii="Times New Roman" w:eastAsia="Times New Roman" w:hAnsi="Times New Roman" w:cs="Times New Roman"/>
                <w:sz w:val="24"/>
                <w:szCs w:val="24"/>
                <w:lang w:val="uk-UA"/>
              </w:rPr>
              <w:t>варіанти, викладені у пп.</w:t>
            </w:r>
            <w:r w:rsidR="005613AB" w:rsidRPr="00BE1959">
              <w:rPr>
                <w:rFonts w:ascii="Times New Roman" w:eastAsia="Times New Roman" w:hAnsi="Times New Roman" w:cs="Times New Roman"/>
                <w:sz w:val="24"/>
                <w:szCs w:val="24"/>
                <w:lang w:val="uk-UA"/>
              </w:rPr>
              <w:t xml:space="preserve"> (a) </w:t>
            </w:r>
            <w:r w:rsidR="00C66991" w:rsidRPr="00BE1959">
              <w:rPr>
                <w:rFonts w:ascii="Times New Roman" w:eastAsia="Times New Roman" w:hAnsi="Times New Roman" w:cs="Times New Roman"/>
                <w:sz w:val="24"/>
                <w:szCs w:val="24"/>
                <w:lang w:val="uk-UA"/>
              </w:rPr>
              <w:t>та</w:t>
            </w:r>
            <w:r w:rsidR="005613AB" w:rsidRPr="00BE1959">
              <w:rPr>
                <w:rFonts w:ascii="Times New Roman" w:eastAsia="Times New Roman" w:hAnsi="Times New Roman" w:cs="Times New Roman"/>
                <w:sz w:val="24"/>
                <w:szCs w:val="24"/>
                <w:lang w:val="uk-UA"/>
              </w:rPr>
              <w:t xml:space="preserve"> (b)</w:t>
            </w:r>
            <w:r w:rsidR="00C66991" w:rsidRPr="00BE1959">
              <w:rPr>
                <w:rFonts w:ascii="Times New Roman" w:eastAsia="Times New Roman" w:hAnsi="Times New Roman" w:cs="Times New Roman"/>
                <w:sz w:val="24"/>
                <w:szCs w:val="24"/>
                <w:lang w:val="uk-UA"/>
              </w:rPr>
              <w:t>, вважаються недостатніми для забезпечення:</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3"/>
              <w:gridCol w:w="8599"/>
            </w:tblGrid>
            <w:tr w:rsidR="00DE3173" w:rsidRPr="0043174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7B248B" w:rsidP="00C66991">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того, щоб </w:t>
                  </w:r>
                  <w:r w:rsidR="00C66991" w:rsidRPr="00BE1959">
                    <w:rPr>
                      <w:rFonts w:ascii="Times New Roman" w:eastAsia="Times New Roman" w:hAnsi="Times New Roman" w:cs="Times New Roman"/>
                      <w:sz w:val="24"/>
                      <w:szCs w:val="24"/>
                      <w:lang w:val="uk-UA"/>
                    </w:rPr>
                    <w:t>стабільність фінансових ринків не була поставлена під загрозу;</w:t>
                  </w:r>
                </w:p>
              </w:tc>
            </w:tr>
          </w:tbl>
          <w:p w:rsidR="005613AB" w:rsidRPr="00BE1959" w:rsidRDefault="005613AB" w:rsidP="005613AB">
            <w:pPr>
              <w:spacing w:after="0" w:line="240" w:lineRule="auto"/>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07"/>
              <w:gridCol w:w="8565"/>
            </w:tblGrid>
            <w:tr w:rsidR="00DE3173" w:rsidRPr="0043174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C66991" w:rsidP="007B248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с</w:t>
                  </w:r>
                  <w:r w:rsidR="007B248B" w:rsidRPr="00BE1959">
                    <w:rPr>
                      <w:rFonts w:ascii="Times New Roman" w:eastAsia="Times New Roman" w:hAnsi="Times New Roman" w:cs="Times New Roman"/>
                      <w:sz w:val="24"/>
                      <w:szCs w:val="24"/>
                      <w:lang w:val="uk-UA"/>
                    </w:rPr>
                    <w:t>умірності</w:t>
                  </w:r>
                  <w:r w:rsidRPr="00BE1959">
                    <w:rPr>
                      <w:rFonts w:ascii="Times New Roman" w:eastAsia="Times New Roman" w:hAnsi="Times New Roman" w:cs="Times New Roman"/>
                      <w:sz w:val="24"/>
                      <w:szCs w:val="24"/>
                      <w:lang w:val="uk-UA"/>
                    </w:rPr>
                    <w:t xml:space="preserve"> публікації таких рішень щодо </w:t>
                  </w:r>
                  <w:r w:rsidR="007B248B" w:rsidRPr="00BE1959">
                    <w:rPr>
                      <w:rFonts w:ascii="Times New Roman" w:eastAsia="Times New Roman" w:hAnsi="Times New Roman" w:cs="Times New Roman"/>
                      <w:sz w:val="24"/>
                      <w:szCs w:val="24"/>
                      <w:lang w:val="uk-UA"/>
                    </w:rPr>
                    <w:t>заходів, які вважаються другорядними.</w:t>
                  </w:r>
                </w:p>
              </w:tc>
            </w:tr>
          </w:tbl>
          <w:p w:rsidR="005613AB" w:rsidRPr="00BE1959" w:rsidRDefault="005613AB" w:rsidP="005613AB">
            <w:pPr>
              <w:spacing w:after="0" w:line="240" w:lineRule="auto"/>
              <w:rPr>
                <w:rFonts w:ascii="Times New Roman" w:eastAsia="Times New Roman" w:hAnsi="Times New Roman" w:cs="Times New Roman"/>
                <w:sz w:val="24"/>
                <w:szCs w:val="24"/>
                <w:lang w:val="uk-UA"/>
              </w:rPr>
            </w:pPr>
          </w:p>
        </w:tc>
      </w:tr>
    </w:tbl>
    <w:p w:rsidR="005613AB" w:rsidRPr="00BE1959" w:rsidRDefault="007B248B" w:rsidP="00C71208">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У випадку рішення про публікацію інформації про санкцію або захід в анонімному порядку</w:t>
      </w:r>
      <w:r w:rsidR="00C71208" w:rsidRPr="00BE1959">
        <w:rPr>
          <w:rFonts w:ascii="Times New Roman" w:eastAsia="Times New Roman" w:hAnsi="Times New Roman" w:cs="Times New Roman"/>
          <w:sz w:val="24"/>
          <w:szCs w:val="24"/>
          <w:lang w:val="uk-UA"/>
        </w:rPr>
        <w:t xml:space="preserve"> публікація відповідних даних може бути відкладена на розумний період часу, якщо передбачається, що протягом цього періоду підстави для анонімної публікації припинять існувати.</w:t>
      </w:r>
    </w:p>
    <w:p w:rsidR="005613AB" w:rsidRPr="00BE1959" w:rsidRDefault="005613AB" w:rsidP="00897C9F">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2.   </w:t>
      </w:r>
      <w:r w:rsidR="00A80345" w:rsidRPr="00BE1959">
        <w:rPr>
          <w:rFonts w:ascii="Times New Roman" w:eastAsia="Times New Roman" w:hAnsi="Times New Roman" w:cs="Times New Roman"/>
          <w:sz w:val="24"/>
          <w:szCs w:val="24"/>
          <w:lang w:val="uk-UA"/>
        </w:rPr>
        <w:t>Я</w:t>
      </w:r>
      <w:r w:rsidR="00897C9F" w:rsidRPr="00BE1959">
        <w:rPr>
          <w:rFonts w:ascii="Times New Roman" w:eastAsia="Times New Roman" w:hAnsi="Times New Roman" w:cs="Times New Roman"/>
          <w:sz w:val="24"/>
          <w:szCs w:val="24"/>
          <w:lang w:val="uk-UA"/>
        </w:rPr>
        <w:t>кщо рішення про застосування санкції або заходу підлягає оскарженню у відповідних судових чи інших органах, то</w:t>
      </w:r>
      <w:r w:rsidRPr="00BE1959">
        <w:rPr>
          <w:rFonts w:ascii="Times New Roman" w:eastAsia="Times New Roman" w:hAnsi="Times New Roman" w:cs="Times New Roman"/>
          <w:sz w:val="24"/>
          <w:szCs w:val="24"/>
          <w:lang w:val="uk-UA"/>
        </w:rPr>
        <w:t xml:space="preserve"> </w:t>
      </w:r>
      <w:r w:rsidR="00434A96" w:rsidRPr="00BE1959">
        <w:rPr>
          <w:rFonts w:ascii="Times New Roman" w:eastAsia="Times New Roman" w:hAnsi="Times New Roman" w:cs="Times New Roman"/>
          <w:sz w:val="24"/>
          <w:szCs w:val="24"/>
          <w:lang w:val="uk-UA"/>
        </w:rPr>
        <w:t>компетентні органи</w:t>
      </w:r>
      <w:r w:rsidRPr="00BE1959">
        <w:rPr>
          <w:rFonts w:ascii="Times New Roman" w:eastAsia="Times New Roman" w:hAnsi="Times New Roman" w:cs="Times New Roman"/>
          <w:sz w:val="24"/>
          <w:szCs w:val="24"/>
          <w:lang w:val="uk-UA"/>
        </w:rPr>
        <w:t xml:space="preserve"> </w:t>
      </w:r>
      <w:r w:rsidR="00897C9F" w:rsidRPr="00BE1959">
        <w:rPr>
          <w:rFonts w:ascii="Times New Roman" w:eastAsia="Times New Roman" w:hAnsi="Times New Roman" w:cs="Times New Roman"/>
          <w:sz w:val="24"/>
          <w:szCs w:val="24"/>
          <w:lang w:val="uk-UA"/>
        </w:rPr>
        <w:t>також негайно публікують на своєму офіційному веб-сайті таку інформацію та всю наступну інформацію про результати такого оскарження. Крім того, публікується будь-яке рішення, що скасовує попереднє рішення про застосування санкції або заходу.</w:t>
      </w:r>
    </w:p>
    <w:p w:rsidR="005613AB" w:rsidRPr="00BE1959" w:rsidRDefault="005613AB" w:rsidP="00387B4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3.   </w:t>
      </w:r>
      <w:r w:rsidR="00434A96" w:rsidRPr="00BE1959">
        <w:rPr>
          <w:rFonts w:ascii="Times New Roman" w:eastAsia="Times New Roman" w:hAnsi="Times New Roman" w:cs="Times New Roman"/>
          <w:sz w:val="24"/>
          <w:szCs w:val="24"/>
          <w:lang w:val="uk-UA"/>
        </w:rPr>
        <w:t>Компетентні органи</w:t>
      </w:r>
      <w:r w:rsidRPr="00BE1959">
        <w:rPr>
          <w:rFonts w:ascii="Times New Roman" w:eastAsia="Times New Roman" w:hAnsi="Times New Roman" w:cs="Times New Roman"/>
          <w:sz w:val="24"/>
          <w:szCs w:val="24"/>
          <w:lang w:val="uk-UA"/>
        </w:rPr>
        <w:t xml:space="preserve"> </w:t>
      </w:r>
      <w:r w:rsidR="00D42299" w:rsidRPr="00BE1959">
        <w:rPr>
          <w:rFonts w:ascii="Times New Roman" w:eastAsia="Times New Roman" w:hAnsi="Times New Roman" w:cs="Times New Roman"/>
          <w:sz w:val="24"/>
          <w:szCs w:val="24"/>
          <w:lang w:val="uk-UA"/>
        </w:rPr>
        <w:t>за</w:t>
      </w:r>
      <w:r w:rsidR="00387B4B" w:rsidRPr="00BE1959">
        <w:rPr>
          <w:rFonts w:ascii="Times New Roman" w:eastAsia="Times New Roman" w:hAnsi="Times New Roman" w:cs="Times New Roman"/>
          <w:sz w:val="24"/>
          <w:szCs w:val="24"/>
          <w:lang w:val="uk-UA"/>
        </w:rPr>
        <w:t>безпечують, щоб будь-яка інформація, опублікована відповідно до цієї статті, залишалася на їхньому офіційному веб-сайті протягом щонайменше п’яти років після її публікації. Персональні дані, що містяться в опублікованій інформації, залишаються на офіційному веб-сайті компетентного органу протягом періоду, який є необхідним згідно з чинними правилами захисту даних.</w:t>
      </w:r>
    </w:p>
    <w:p w:rsidR="00435C85" w:rsidRPr="00BE1959" w:rsidRDefault="00434A96" w:rsidP="00435C85">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Компетентні органи</w:t>
      </w:r>
      <w:r w:rsidR="005613AB" w:rsidRPr="00BE1959">
        <w:rPr>
          <w:rFonts w:ascii="Times New Roman" w:eastAsia="Times New Roman" w:hAnsi="Times New Roman" w:cs="Times New Roman"/>
          <w:sz w:val="24"/>
          <w:szCs w:val="24"/>
          <w:lang w:val="uk-UA"/>
        </w:rPr>
        <w:t xml:space="preserve"> </w:t>
      </w:r>
      <w:r w:rsidR="00435C85" w:rsidRPr="00BE1959">
        <w:rPr>
          <w:rFonts w:ascii="Times New Roman" w:eastAsia="Times New Roman" w:hAnsi="Times New Roman" w:cs="Times New Roman"/>
          <w:sz w:val="24"/>
          <w:szCs w:val="24"/>
          <w:lang w:val="uk-UA"/>
        </w:rPr>
        <w:t>інформують</w:t>
      </w:r>
      <w:r w:rsidR="005613AB" w:rsidRPr="00BE1959">
        <w:rPr>
          <w:rFonts w:ascii="Times New Roman" w:eastAsia="Times New Roman" w:hAnsi="Times New Roman" w:cs="Times New Roman"/>
          <w:sz w:val="24"/>
          <w:szCs w:val="24"/>
          <w:lang w:val="uk-UA"/>
        </w:rPr>
        <w:t xml:space="preserve"> ESMA </w:t>
      </w:r>
      <w:r w:rsidR="00435C85" w:rsidRPr="00BE1959">
        <w:rPr>
          <w:rFonts w:ascii="Times New Roman" w:eastAsia="Times New Roman" w:hAnsi="Times New Roman" w:cs="Times New Roman"/>
          <w:sz w:val="24"/>
          <w:szCs w:val="24"/>
          <w:lang w:val="uk-UA"/>
        </w:rPr>
        <w:t>про всі адміністративні санкції, накладені, але не опубліковані згідно з пп. (с) пункту 1, зокрема про оскарження таких санкцій та результат оскарження.</w:t>
      </w:r>
      <w:r w:rsidR="005613AB" w:rsidRPr="00BE1959">
        <w:rPr>
          <w:rFonts w:ascii="Times New Roman" w:eastAsia="Times New Roman" w:hAnsi="Times New Roman" w:cs="Times New Roman"/>
          <w:sz w:val="24"/>
          <w:szCs w:val="24"/>
          <w:lang w:val="uk-UA"/>
        </w:rPr>
        <w:t xml:space="preserve"> </w:t>
      </w:r>
      <w:r w:rsidR="001F5C90" w:rsidRPr="00BE1959">
        <w:rPr>
          <w:rFonts w:ascii="Times New Roman" w:eastAsia="Times New Roman" w:hAnsi="Times New Roman" w:cs="Times New Roman"/>
          <w:sz w:val="24"/>
          <w:szCs w:val="24"/>
          <w:lang w:val="uk-UA"/>
        </w:rPr>
        <w:t>Держави-члени</w:t>
      </w:r>
      <w:r w:rsidR="005613AB" w:rsidRPr="00BE1959">
        <w:rPr>
          <w:rFonts w:ascii="Times New Roman" w:eastAsia="Times New Roman" w:hAnsi="Times New Roman" w:cs="Times New Roman"/>
          <w:sz w:val="24"/>
          <w:szCs w:val="24"/>
          <w:lang w:val="uk-UA"/>
        </w:rPr>
        <w:t xml:space="preserve"> </w:t>
      </w:r>
      <w:r w:rsidR="00435C85" w:rsidRPr="00BE1959">
        <w:rPr>
          <w:rFonts w:ascii="Times New Roman" w:eastAsia="Times New Roman" w:hAnsi="Times New Roman" w:cs="Times New Roman"/>
          <w:sz w:val="24"/>
          <w:szCs w:val="24"/>
          <w:lang w:val="uk-UA"/>
        </w:rPr>
        <w:t xml:space="preserve">забезпечують отримання </w:t>
      </w:r>
      <w:r w:rsidRPr="00BE1959">
        <w:rPr>
          <w:rFonts w:ascii="Times New Roman" w:eastAsia="Times New Roman" w:hAnsi="Times New Roman" w:cs="Times New Roman"/>
          <w:sz w:val="24"/>
          <w:szCs w:val="24"/>
          <w:lang w:val="uk-UA"/>
        </w:rPr>
        <w:t>компетентн</w:t>
      </w:r>
      <w:r w:rsidR="00435C85" w:rsidRPr="00BE1959">
        <w:rPr>
          <w:rFonts w:ascii="Times New Roman" w:eastAsia="Times New Roman" w:hAnsi="Times New Roman" w:cs="Times New Roman"/>
          <w:sz w:val="24"/>
          <w:szCs w:val="24"/>
          <w:lang w:val="uk-UA"/>
        </w:rPr>
        <w:t>ими</w:t>
      </w:r>
      <w:r w:rsidRPr="00BE1959">
        <w:rPr>
          <w:rFonts w:ascii="Times New Roman" w:eastAsia="Times New Roman" w:hAnsi="Times New Roman" w:cs="Times New Roman"/>
          <w:sz w:val="24"/>
          <w:szCs w:val="24"/>
          <w:lang w:val="uk-UA"/>
        </w:rPr>
        <w:t xml:space="preserve"> орган</w:t>
      </w:r>
      <w:r w:rsidR="00435C85" w:rsidRPr="00BE1959">
        <w:rPr>
          <w:rFonts w:ascii="Times New Roman" w:eastAsia="Times New Roman" w:hAnsi="Times New Roman" w:cs="Times New Roman"/>
          <w:sz w:val="24"/>
          <w:szCs w:val="24"/>
          <w:lang w:val="uk-UA"/>
        </w:rPr>
        <w:t>ам</w:t>
      </w:r>
      <w:r w:rsidRPr="00BE1959">
        <w:rPr>
          <w:rFonts w:ascii="Times New Roman" w:eastAsia="Times New Roman" w:hAnsi="Times New Roman" w:cs="Times New Roman"/>
          <w:sz w:val="24"/>
          <w:szCs w:val="24"/>
          <w:lang w:val="uk-UA"/>
        </w:rPr>
        <w:t>и</w:t>
      </w:r>
      <w:r w:rsidR="005613AB" w:rsidRPr="00BE1959">
        <w:rPr>
          <w:rFonts w:ascii="Times New Roman" w:eastAsia="Times New Roman" w:hAnsi="Times New Roman" w:cs="Times New Roman"/>
          <w:sz w:val="24"/>
          <w:szCs w:val="24"/>
          <w:lang w:val="uk-UA"/>
        </w:rPr>
        <w:t xml:space="preserve"> </w:t>
      </w:r>
      <w:r w:rsidR="00435C85" w:rsidRPr="00BE1959">
        <w:rPr>
          <w:rFonts w:ascii="Times New Roman" w:eastAsia="Times New Roman" w:hAnsi="Times New Roman" w:cs="Times New Roman"/>
          <w:sz w:val="24"/>
          <w:szCs w:val="24"/>
          <w:lang w:val="uk-UA"/>
        </w:rPr>
        <w:t xml:space="preserve">інформації та остаточного рішення щодо всіх накладених кримінальних санкцій та передачу </w:t>
      </w:r>
      <w:r w:rsidR="00B62E72" w:rsidRPr="00BE1959">
        <w:rPr>
          <w:rFonts w:ascii="Times New Roman" w:eastAsia="Times New Roman" w:hAnsi="Times New Roman" w:cs="Times New Roman"/>
          <w:sz w:val="24"/>
          <w:szCs w:val="24"/>
          <w:lang w:val="uk-UA"/>
        </w:rPr>
        <w:t>компетентними органами цієї інформації та рішення до ESMA. ESMA веде центральну базу даних про санкції, повідомлених їй, виключно в цілях обміну інформацією між компетентними органами. Ця база даних є доступною тільки компетентним органам і оновлюється на основі інформації, наданої компетентними органами.</w:t>
      </w:r>
    </w:p>
    <w:p w:rsidR="005613AB" w:rsidRPr="00BE1959" w:rsidRDefault="005613AB" w:rsidP="00B62E72">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4.   </w:t>
      </w:r>
      <w:r w:rsidR="001F5C90" w:rsidRPr="00BE1959">
        <w:rPr>
          <w:rFonts w:ascii="Times New Roman" w:eastAsia="Times New Roman" w:hAnsi="Times New Roman" w:cs="Times New Roman"/>
          <w:sz w:val="24"/>
          <w:szCs w:val="24"/>
          <w:lang w:val="uk-UA"/>
        </w:rPr>
        <w:t>Держави-члени</w:t>
      </w:r>
      <w:r w:rsidRPr="00BE1959">
        <w:rPr>
          <w:rFonts w:ascii="Times New Roman" w:eastAsia="Times New Roman" w:hAnsi="Times New Roman" w:cs="Times New Roman"/>
          <w:sz w:val="24"/>
          <w:szCs w:val="24"/>
          <w:lang w:val="uk-UA"/>
        </w:rPr>
        <w:t xml:space="preserve"> </w:t>
      </w:r>
      <w:r w:rsidR="00B62E72" w:rsidRPr="00BE1959">
        <w:rPr>
          <w:rFonts w:ascii="Times New Roman" w:eastAsia="Times New Roman" w:hAnsi="Times New Roman" w:cs="Times New Roman"/>
          <w:sz w:val="24"/>
          <w:szCs w:val="24"/>
          <w:lang w:val="uk-UA"/>
        </w:rPr>
        <w:t>щорічно надають ESMA узагальнену інформацію стосовно всіх санкцій та заходів, застосованих відповідно до пунктів 1 та 2. Це зобов’язання не поширюється на заходи слідчого характеру. ESMA публікує цю інформацію у річному звіті.</w:t>
      </w:r>
    </w:p>
    <w:p w:rsidR="00CA740D" w:rsidRPr="00BE1959" w:rsidRDefault="00CA740D"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Якщо держави-члени вирішили </w:t>
      </w:r>
      <w:r w:rsidR="00313A15" w:rsidRPr="00BE1959">
        <w:rPr>
          <w:rFonts w:ascii="Times New Roman" w:eastAsia="Times New Roman" w:hAnsi="Times New Roman" w:cs="Times New Roman"/>
          <w:sz w:val="24"/>
          <w:szCs w:val="24"/>
          <w:lang w:val="uk-UA"/>
        </w:rPr>
        <w:t xml:space="preserve">згідно зі статтею 70 встановити кримінальні санкції за порушення положень, згаданих у цій статті, то їхні компетентні органи щорічно подають </w:t>
      </w:r>
      <w:r w:rsidR="00313A15" w:rsidRPr="00BE1959">
        <w:rPr>
          <w:rFonts w:ascii="Times New Roman" w:eastAsia="Times New Roman" w:hAnsi="Times New Roman" w:cs="Times New Roman"/>
          <w:sz w:val="24"/>
          <w:szCs w:val="24"/>
          <w:lang w:val="uk-UA"/>
        </w:rPr>
        <w:lastRenderedPageBreak/>
        <w:t>до ESMA анонімні узагальнені дані стосовно всіх проведених кримінальних розслідувань і накладених санкцій. ESMA публікує дані про кримінальні санкції у річному звіті.</w:t>
      </w:r>
    </w:p>
    <w:p w:rsidR="003F218D"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5.   </w:t>
      </w:r>
      <w:r w:rsidR="003F218D" w:rsidRPr="00BE1959">
        <w:rPr>
          <w:rFonts w:ascii="Times New Roman" w:eastAsia="Times New Roman" w:hAnsi="Times New Roman" w:cs="Times New Roman"/>
          <w:sz w:val="24"/>
          <w:szCs w:val="24"/>
          <w:lang w:val="uk-UA"/>
        </w:rPr>
        <w:t>Якщо к</w:t>
      </w:r>
      <w:r w:rsidR="003A5348" w:rsidRPr="00BE1959">
        <w:rPr>
          <w:rFonts w:ascii="Times New Roman" w:eastAsia="Times New Roman" w:hAnsi="Times New Roman" w:cs="Times New Roman"/>
          <w:sz w:val="24"/>
          <w:szCs w:val="24"/>
          <w:lang w:val="uk-UA"/>
        </w:rPr>
        <w:t>омпетентний орган</w:t>
      </w:r>
      <w:r w:rsidRPr="00BE1959">
        <w:rPr>
          <w:rFonts w:ascii="Times New Roman" w:eastAsia="Times New Roman" w:hAnsi="Times New Roman" w:cs="Times New Roman"/>
          <w:sz w:val="24"/>
          <w:szCs w:val="24"/>
          <w:lang w:val="uk-UA"/>
        </w:rPr>
        <w:t xml:space="preserve"> </w:t>
      </w:r>
      <w:r w:rsidR="00EA4F48" w:rsidRPr="00BE1959">
        <w:rPr>
          <w:rFonts w:ascii="Times New Roman" w:eastAsia="Times New Roman" w:hAnsi="Times New Roman" w:cs="Times New Roman"/>
          <w:sz w:val="24"/>
          <w:szCs w:val="24"/>
          <w:lang w:val="uk-UA"/>
        </w:rPr>
        <w:t>оприлюднив інформацію про адміністративний захід, санкцію або кримінальну санкцію, він одночасно повідомляє про цей факт ESMA.</w:t>
      </w:r>
    </w:p>
    <w:p w:rsidR="00EA4F48"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6.   </w:t>
      </w:r>
      <w:r w:rsidR="00EA4F48" w:rsidRPr="00BE1959">
        <w:rPr>
          <w:rFonts w:ascii="Times New Roman" w:eastAsia="Times New Roman" w:hAnsi="Times New Roman" w:cs="Times New Roman"/>
          <w:sz w:val="24"/>
          <w:szCs w:val="24"/>
          <w:lang w:val="uk-UA"/>
        </w:rPr>
        <w:t>Якщо оприлюднена кримінальна чи адміністративна санкція стосується інвестиційної фірми, оператора ринку, надавача послуг із повідомлення даних, кредитної установи у зв'язку з інвестиційними послугами та інвестиційною діяльністю і додатковими послугами або філії фірми з третьої країни, що мають дозвіл згідно з цією директивою, то ESMA додає посилання на оприлюднену санкцію у відповідний реєстр.</w:t>
      </w:r>
    </w:p>
    <w:p w:rsidR="00AF37D4" w:rsidRPr="00BE1959" w:rsidRDefault="00C85D8A" w:rsidP="00C85D8A">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7</w:t>
      </w:r>
      <w:r w:rsidR="00AF37D4" w:rsidRPr="00BE1959">
        <w:rPr>
          <w:rFonts w:ascii="Times New Roman" w:eastAsia="Times New Roman" w:hAnsi="Times New Roman" w:cs="Times New Roman"/>
          <w:sz w:val="24"/>
          <w:szCs w:val="24"/>
          <w:lang w:val="uk-UA"/>
        </w:rPr>
        <w:t>.   ESMA розробляє проекти  виконавчих техніч</w:t>
      </w:r>
      <w:r w:rsidRPr="00BE1959">
        <w:rPr>
          <w:rFonts w:ascii="Times New Roman" w:eastAsia="Times New Roman" w:hAnsi="Times New Roman" w:cs="Times New Roman"/>
          <w:sz w:val="24"/>
          <w:szCs w:val="24"/>
          <w:lang w:val="uk-UA"/>
        </w:rPr>
        <w:t>них стандартів, де визначається порядок і форми подання інформації, згаданої у цій статті.</w:t>
      </w:r>
    </w:p>
    <w:p w:rsidR="00AF37D4" w:rsidRPr="00BE1959" w:rsidRDefault="00AF37D4" w:rsidP="00AF37D4">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ESMA подає проекти цих  виконавчих технічних стандартів Комісії до 3 січня 2016 року.</w:t>
      </w:r>
    </w:p>
    <w:p w:rsidR="00AF37D4" w:rsidRPr="00BE1959" w:rsidRDefault="00AF37D4" w:rsidP="00AF37D4">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Комісії делегується повноваження на прийняття виконавчих </w:t>
      </w:r>
      <w:r w:rsidR="00C85D8A" w:rsidRPr="00BE1959">
        <w:rPr>
          <w:rFonts w:ascii="Times New Roman" w:eastAsia="Times New Roman" w:hAnsi="Times New Roman" w:cs="Times New Roman"/>
          <w:sz w:val="24"/>
          <w:szCs w:val="24"/>
          <w:lang w:val="uk-UA"/>
        </w:rPr>
        <w:t xml:space="preserve">технічних </w:t>
      </w:r>
      <w:r w:rsidRPr="00BE1959">
        <w:rPr>
          <w:rFonts w:ascii="Times New Roman" w:eastAsia="Times New Roman" w:hAnsi="Times New Roman" w:cs="Times New Roman"/>
          <w:sz w:val="24"/>
          <w:szCs w:val="24"/>
          <w:lang w:val="uk-UA"/>
        </w:rPr>
        <w:t>стандартів, згаданих у першому абзаці цього пункту, згідно зі статтею 15 Регламенту (EU) № 1095/2010.</w:t>
      </w:r>
    </w:p>
    <w:p w:rsidR="005613AB" w:rsidRPr="00BE1959" w:rsidRDefault="00162A11" w:rsidP="005613AB">
      <w:pPr>
        <w:spacing w:before="360" w:after="120" w:line="312" w:lineRule="atLeast"/>
        <w:jc w:val="center"/>
        <w:textAlignment w:val="baseline"/>
        <w:rPr>
          <w:rFonts w:ascii="Times New Roman" w:eastAsia="Times New Roman" w:hAnsi="Times New Roman" w:cs="Times New Roman"/>
          <w:i/>
          <w:iCs/>
          <w:sz w:val="24"/>
          <w:szCs w:val="24"/>
          <w:lang w:val="uk-UA"/>
        </w:rPr>
      </w:pPr>
      <w:r w:rsidRPr="00BE1959">
        <w:rPr>
          <w:rFonts w:ascii="Times New Roman" w:eastAsia="Times New Roman" w:hAnsi="Times New Roman" w:cs="Times New Roman"/>
          <w:i/>
          <w:iCs/>
          <w:sz w:val="24"/>
          <w:szCs w:val="24"/>
          <w:lang w:val="uk-UA"/>
        </w:rPr>
        <w:t>Стаття</w:t>
      </w:r>
      <w:r w:rsidR="005613AB" w:rsidRPr="00BE1959">
        <w:rPr>
          <w:rFonts w:ascii="Times New Roman" w:eastAsia="Times New Roman" w:hAnsi="Times New Roman" w:cs="Times New Roman"/>
          <w:i/>
          <w:iCs/>
          <w:sz w:val="24"/>
          <w:szCs w:val="24"/>
          <w:lang w:val="uk-UA"/>
        </w:rPr>
        <w:t xml:space="preserve"> 72</w:t>
      </w:r>
    </w:p>
    <w:p w:rsidR="005613AB" w:rsidRPr="00BE1959" w:rsidRDefault="007466C0" w:rsidP="005613AB">
      <w:pPr>
        <w:spacing w:before="60" w:after="120" w:line="312" w:lineRule="atLeast"/>
        <w:jc w:val="center"/>
        <w:textAlignment w:val="baseline"/>
        <w:rPr>
          <w:rFonts w:ascii="Times New Roman" w:eastAsia="Times New Roman" w:hAnsi="Times New Roman" w:cs="Times New Roman"/>
          <w:b/>
          <w:bCs/>
          <w:sz w:val="24"/>
          <w:szCs w:val="24"/>
          <w:lang w:val="uk-UA"/>
        </w:rPr>
      </w:pPr>
      <w:r w:rsidRPr="00BE1959">
        <w:rPr>
          <w:rFonts w:ascii="Times New Roman" w:eastAsia="Times New Roman" w:hAnsi="Times New Roman" w:cs="Times New Roman"/>
          <w:b/>
          <w:bCs/>
          <w:sz w:val="24"/>
          <w:szCs w:val="24"/>
          <w:lang w:val="uk-UA"/>
        </w:rPr>
        <w:t>Здійснення наглядових повноважень і повноважень на накладання</w:t>
      </w:r>
      <w:r w:rsidR="00501648" w:rsidRPr="00BE1959">
        <w:rPr>
          <w:rFonts w:ascii="Times New Roman" w:eastAsia="Times New Roman" w:hAnsi="Times New Roman" w:cs="Times New Roman"/>
          <w:b/>
          <w:bCs/>
          <w:sz w:val="24"/>
          <w:szCs w:val="24"/>
          <w:lang w:val="uk-UA"/>
        </w:rPr>
        <w:t xml:space="preserve"> санкцій</w:t>
      </w:r>
    </w:p>
    <w:p w:rsidR="005613AB" w:rsidRPr="00BE1959" w:rsidRDefault="005613AB" w:rsidP="00327BA4">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1.   </w:t>
      </w:r>
      <w:r w:rsidR="00434A96" w:rsidRPr="00BE1959">
        <w:rPr>
          <w:rFonts w:ascii="Times New Roman" w:eastAsia="Times New Roman" w:hAnsi="Times New Roman" w:cs="Times New Roman"/>
          <w:sz w:val="24"/>
          <w:szCs w:val="24"/>
          <w:lang w:val="uk-UA"/>
        </w:rPr>
        <w:t>Компетентні органи</w:t>
      </w:r>
      <w:r w:rsidRPr="00BE1959">
        <w:rPr>
          <w:rFonts w:ascii="Times New Roman" w:eastAsia="Times New Roman" w:hAnsi="Times New Roman" w:cs="Times New Roman"/>
          <w:sz w:val="24"/>
          <w:szCs w:val="24"/>
          <w:lang w:val="uk-UA"/>
        </w:rPr>
        <w:t xml:space="preserve"> </w:t>
      </w:r>
      <w:r w:rsidR="00501648" w:rsidRPr="00BE1959">
        <w:rPr>
          <w:rFonts w:ascii="Times New Roman" w:eastAsia="Times New Roman" w:hAnsi="Times New Roman" w:cs="Times New Roman"/>
          <w:sz w:val="24"/>
          <w:szCs w:val="24"/>
          <w:lang w:val="uk-UA"/>
        </w:rPr>
        <w:t xml:space="preserve">здійснюють наглядові повноваження, зокрема повноваження на проведення розслідувань </w:t>
      </w:r>
      <w:r w:rsidR="00327BA4" w:rsidRPr="00BE1959">
        <w:rPr>
          <w:rFonts w:ascii="Times New Roman" w:eastAsia="Times New Roman" w:hAnsi="Times New Roman" w:cs="Times New Roman"/>
          <w:sz w:val="24"/>
          <w:szCs w:val="24"/>
          <w:lang w:val="uk-UA"/>
        </w:rPr>
        <w:t>та</w:t>
      </w:r>
      <w:r w:rsidR="00501648" w:rsidRPr="00BE1959">
        <w:rPr>
          <w:rFonts w:ascii="Times New Roman" w:eastAsia="Times New Roman" w:hAnsi="Times New Roman" w:cs="Times New Roman"/>
          <w:sz w:val="24"/>
          <w:szCs w:val="24"/>
          <w:lang w:val="uk-UA"/>
        </w:rPr>
        <w:t xml:space="preserve"> повноваження на застосування засобів правового захисту,</w:t>
      </w:r>
      <w:r w:rsidR="00327BA4" w:rsidRPr="00BE1959">
        <w:rPr>
          <w:rFonts w:ascii="Times New Roman" w:eastAsia="Times New Roman" w:hAnsi="Times New Roman" w:cs="Times New Roman"/>
          <w:sz w:val="24"/>
          <w:szCs w:val="24"/>
          <w:lang w:val="uk-UA"/>
        </w:rPr>
        <w:t xml:space="preserve"> згадані у статті 69, а також повноваження на накладання санкцій, згадані у статті 70, відповідно до своєї національної правової бази:</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2"/>
        <w:gridCol w:w="8963"/>
      </w:tblGrid>
      <w:tr w:rsidR="005613AB" w:rsidRPr="00BE1959" w:rsidTr="00327BA4">
        <w:tc>
          <w:tcPr>
            <w:tcW w:w="265"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(a)</w:t>
            </w:r>
          </w:p>
        </w:tc>
        <w:tc>
          <w:tcPr>
            <w:tcW w:w="4735"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327BA4"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безпосередньо</w:t>
            </w:r>
            <w:r w:rsidR="005613AB" w:rsidRPr="00BE1959">
              <w:rPr>
                <w:rFonts w:ascii="Times New Roman" w:eastAsia="Times New Roman" w:hAnsi="Times New Roman" w:cs="Times New Roman"/>
                <w:sz w:val="24"/>
                <w:szCs w:val="24"/>
                <w:lang w:val="uk-UA"/>
              </w:rPr>
              <w:t>;</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2"/>
        <w:gridCol w:w="8963"/>
      </w:tblGrid>
      <w:tr w:rsidR="005613AB" w:rsidRPr="0043174D" w:rsidTr="00327BA4">
        <w:tc>
          <w:tcPr>
            <w:tcW w:w="265"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(b)</w:t>
            </w:r>
          </w:p>
        </w:tc>
        <w:tc>
          <w:tcPr>
            <w:tcW w:w="4735"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327BA4"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у співробітництві з іншими органами</w:t>
            </w:r>
            <w:r w:rsidR="005613AB" w:rsidRPr="00BE1959">
              <w:rPr>
                <w:rFonts w:ascii="Times New Roman" w:eastAsia="Times New Roman" w:hAnsi="Times New Roman" w:cs="Times New Roman"/>
                <w:sz w:val="24"/>
                <w:szCs w:val="24"/>
                <w:lang w:val="uk-UA"/>
              </w:rPr>
              <w:t>;</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9093"/>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E276A1" w:rsidP="00E276A1">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під свою відповідальність шляхом делегування суб’єктам, яким були делеговані задачі відповідно до статті 67(2); або</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11"/>
        <w:gridCol w:w="8854"/>
      </w:tblGrid>
      <w:tr w:rsidR="00DE3173"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E276A1" w:rsidP="00E276A1">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шляхом звернення до компетентних судових органів.</w:t>
            </w:r>
          </w:p>
        </w:tc>
      </w:tr>
    </w:tbl>
    <w:p w:rsidR="005613AB" w:rsidRPr="00BE1959" w:rsidRDefault="005613AB" w:rsidP="007C7681">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2.   </w:t>
      </w:r>
      <w:r w:rsidR="001F5C90" w:rsidRPr="00BE1959">
        <w:rPr>
          <w:rFonts w:ascii="Times New Roman" w:eastAsia="Times New Roman" w:hAnsi="Times New Roman" w:cs="Times New Roman"/>
          <w:sz w:val="24"/>
          <w:szCs w:val="24"/>
          <w:lang w:val="uk-UA"/>
        </w:rPr>
        <w:t>Держави-члени</w:t>
      </w:r>
      <w:r w:rsidRPr="00BE1959">
        <w:rPr>
          <w:rFonts w:ascii="Times New Roman" w:eastAsia="Times New Roman" w:hAnsi="Times New Roman" w:cs="Times New Roman"/>
          <w:sz w:val="24"/>
          <w:szCs w:val="24"/>
          <w:lang w:val="uk-UA"/>
        </w:rPr>
        <w:t xml:space="preserve"> </w:t>
      </w:r>
      <w:r w:rsidR="0028673F" w:rsidRPr="00BE1959">
        <w:rPr>
          <w:rFonts w:ascii="Times New Roman" w:eastAsia="Times New Roman" w:hAnsi="Times New Roman" w:cs="Times New Roman"/>
          <w:sz w:val="24"/>
          <w:szCs w:val="24"/>
          <w:lang w:val="uk-UA"/>
        </w:rPr>
        <w:t>забезпечують, щоб</w:t>
      </w:r>
      <w:r w:rsidRPr="00BE1959">
        <w:rPr>
          <w:rFonts w:ascii="Times New Roman" w:eastAsia="Times New Roman" w:hAnsi="Times New Roman" w:cs="Times New Roman"/>
          <w:sz w:val="24"/>
          <w:szCs w:val="24"/>
          <w:lang w:val="uk-UA"/>
        </w:rPr>
        <w:t xml:space="preserve"> </w:t>
      </w:r>
      <w:r w:rsidR="00434A96" w:rsidRPr="00BE1959">
        <w:rPr>
          <w:rFonts w:ascii="Times New Roman" w:eastAsia="Times New Roman" w:hAnsi="Times New Roman" w:cs="Times New Roman"/>
          <w:sz w:val="24"/>
          <w:szCs w:val="24"/>
          <w:lang w:val="uk-UA"/>
        </w:rPr>
        <w:t>компетентні органи</w:t>
      </w:r>
      <w:r w:rsidR="0028673F" w:rsidRPr="00BE1959">
        <w:rPr>
          <w:rFonts w:ascii="Times New Roman" w:eastAsia="Times New Roman" w:hAnsi="Times New Roman" w:cs="Times New Roman"/>
          <w:sz w:val="24"/>
          <w:szCs w:val="24"/>
          <w:lang w:val="uk-UA"/>
        </w:rPr>
        <w:t xml:space="preserve"> при визначенні виду і рівня адміністративної санкції чи заходу, застосованих у рамках здійснення повноважень на накладання санкцій згідно зі статтею 70, </w:t>
      </w:r>
      <w:r w:rsidR="007C7681" w:rsidRPr="00BE1959">
        <w:rPr>
          <w:rFonts w:ascii="Times New Roman" w:eastAsia="Times New Roman" w:hAnsi="Times New Roman" w:cs="Times New Roman"/>
          <w:sz w:val="24"/>
          <w:szCs w:val="24"/>
          <w:lang w:val="uk-UA"/>
        </w:rPr>
        <w:t>ураховували всі важливі обставини, зокрема, де доцільно:</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2"/>
        <w:gridCol w:w="8963"/>
      </w:tblGrid>
      <w:tr w:rsidR="005613AB" w:rsidRPr="00BE1959" w:rsidTr="007C7681">
        <w:tc>
          <w:tcPr>
            <w:tcW w:w="265"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(a)</w:t>
            </w:r>
          </w:p>
        </w:tc>
        <w:tc>
          <w:tcPr>
            <w:tcW w:w="4735"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7C7681" w:rsidP="007C7681">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тяжкість і тривалість порушення;</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93"/>
        <w:gridCol w:w="9072"/>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EC74B1" w:rsidP="00EC74B1">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ступінь відповідальності фізичної чи юридичної особи, відповідальної за порушення;</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9093"/>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lastRenderedPageBreak/>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EC74B1" w:rsidP="00EC74B1">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фінансовий потенціал відповідальної фізичної чи юридичної особи, про який свідчить, зокрема, загальний обіг відповідальної юридичної особи або річний дохід і чисті активи відповідальної фізичної особи;</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EC74B1" w:rsidP="005D13D6">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важливіс</w:t>
            </w:r>
            <w:r w:rsidR="005D13D6" w:rsidRPr="00BE1959">
              <w:rPr>
                <w:rFonts w:ascii="Times New Roman" w:eastAsia="Times New Roman" w:hAnsi="Times New Roman" w:cs="Times New Roman"/>
                <w:sz w:val="24"/>
                <w:szCs w:val="24"/>
                <w:lang w:val="uk-UA"/>
              </w:rPr>
              <w:t>ть прибутків, які отримала відповідальна фізична чи юридична особа, або збитків, яких вона уник</w:t>
            </w:r>
            <w:r w:rsidR="004F7CC9" w:rsidRPr="00BE1959">
              <w:rPr>
                <w:rFonts w:ascii="Times New Roman" w:eastAsia="Times New Roman" w:hAnsi="Times New Roman" w:cs="Times New Roman"/>
                <w:sz w:val="24"/>
                <w:szCs w:val="24"/>
                <w:lang w:val="uk-UA"/>
              </w:rPr>
              <w:t>ну</w:t>
            </w:r>
            <w:r w:rsidR="005D13D6" w:rsidRPr="00BE1959">
              <w:rPr>
                <w:rFonts w:ascii="Times New Roman" w:eastAsia="Times New Roman" w:hAnsi="Times New Roman" w:cs="Times New Roman"/>
                <w:sz w:val="24"/>
                <w:szCs w:val="24"/>
                <w:lang w:val="uk-UA"/>
              </w:rPr>
              <w:t>ла, якщо їх можна визначити;</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61"/>
        <w:gridCol w:w="9004"/>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(e)</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95725A" w:rsidP="0095725A">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збитки третіх осіб, спричинені порушення, якщо їх можна визначити;</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912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(f)</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997A9A" w:rsidP="004F7CC9">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рівень співробітництва відповідальної юридичної чи фізичної особи з компетентним органом, без шкоди для необхідності забезпечити повернення прибутків, отриманих цією особою, або збитків, яких вона уник</w:t>
            </w:r>
            <w:r w:rsidR="004F7CC9" w:rsidRPr="00BE1959">
              <w:rPr>
                <w:rFonts w:ascii="Times New Roman" w:eastAsia="Times New Roman" w:hAnsi="Times New Roman" w:cs="Times New Roman"/>
                <w:sz w:val="24"/>
                <w:szCs w:val="24"/>
                <w:lang w:val="uk-UA"/>
              </w:rPr>
              <w:t>ну</w:t>
            </w:r>
            <w:r w:rsidRPr="00BE1959">
              <w:rPr>
                <w:rFonts w:ascii="Times New Roman" w:eastAsia="Times New Roman" w:hAnsi="Times New Roman" w:cs="Times New Roman"/>
                <w:sz w:val="24"/>
                <w:szCs w:val="24"/>
                <w:lang w:val="uk-UA"/>
              </w:rPr>
              <w:t>ла;</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49"/>
        <w:gridCol w:w="9016"/>
      </w:tblGrid>
      <w:tr w:rsidR="00DE3173"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(g)</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4F7CC9" w:rsidP="004F7CC9">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попередні порушення з боку відповідальної фізичної чи юридичної особи.</w:t>
            </w:r>
          </w:p>
        </w:tc>
      </w:tr>
    </w:tbl>
    <w:p w:rsidR="005613AB" w:rsidRPr="00BE1959" w:rsidRDefault="004F7CC9"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Визначаючи вид і рівень адміністративних санкцій та заходів, к</w:t>
      </w:r>
      <w:r w:rsidR="00434A96" w:rsidRPr="00BE1959">
        <w:rPr>
          <w:rFonts w:ascii="Times New Roman" w:eastAsia="Times New Roman" w:hAnsi="Times New Roman" w:cs="Times New Roman"/>
          <w:sz w:val="24"/>
          <w:szCs w:val="24"/>
          <w:lang w:val="uk-UA"/>
        </w:rPr>
        <w:t>омпетентні органи</w:t>
      </w:r>
      <w:r w:rsidR="005613AB" w:rsidRPr="00BE1959">
        <w:rPr>
          <w:rFonts w:ascii="Times New Roman" w:eastAsia="Times New Roman" w:hAnsi="Times New Roman" w:cs="Times New Roman"/>
          <w:sz w:val="24"/>
          <w:szCs w:val="24"/>
          <w:lang w:val="uk-UA"/>
        </w:rPr>
        <w:t xml:space="preserve"> </w:t>
      </w:r>
      <w:r w:rsidRPr="00BE1959">
        <w:rPr>
          <w:rFonts w:ascii="Times New Roman" w:eastAsia="Times New Roman" w:hAnsi="Times New Roman" w:cs="Times New Roman"/>
          <w:sz w:val="24"/>
          <w:szCs w:val="24"/>
          <w:lang w:val="uk-UA"/>
        </w:rPr>
        <w:t>можуть ураховувати інші фактори на додаток до тих, що згадані у першому абзаці</w:t>
      </w:r>
      <w:r w:rsidR="005613AB" w:rsidRPr="00BE1959">
        <w:rPr>
          <w:rFonts w:ascii="Times New Roman" w:eastAsia="Times New Roman" w:hAnsi="Times New Roman" w:cs="Times New Roman"/>
          <w:sz w:val="24"/>
          <w:szCs w:val="24"/>
          <w:lang w:val="uk-UA"/>
        </w:rPr>
        <w:t>.</w:t>
      </w:r>
    </w:p>
    <w:p w:rsidR="005613AB" w:rsidRPr="00BE1959" w:rsidRDefault="00162A11" w:rsidP="005613AB">
      <w:pPr>
        <w:spacing w:before="360" w:after="120" w:line="312" w:lineRule="atLeast"/>
        <w:jc w:val="center"/>
        <w:textAlignment w:val="baseline"/>
        <w:rPr>
          <w:rFonts w:ascii="Times New Roman" w:eastAsia="Times New Roman" w:hAnsi="Times New Roman" w:cs="Times New Roman"/>
          <w:i/>
          <w:iCs/>
          <w:sz w:val="24"/>
          <w:szCs w:val="24"/>
          <w:lang w:val="uk-UA"/>
        </w:rPr>
      </w:pPr>
      <w:r w:rsidRPr="00BE1959">
        <w:rPr>
          <w:rFonts w:ascii="Times New Roman" w:eastAsia="Times New Roman" w:hAnsi="Times New Roman" w:cs="Times New Roman"/>
          <w:i/>
          <w:iCs/>
          <w:sz w:val="24"/>
          <w:szCs w:val="24"/>
          <w:lang w:val="uk-UA"/>
        </w:rPr>
        <w:t>Стаття</w:t>
      </w:r>
      <w:r w:rsidR="005613AB" w:rsidRPr="00BE1959">
        <w:rPr>
          <w:rFonts w:ascii="Times New Roman" w:eastAsia="Times New Roman" w:hAnsi="Times New Roman" w:cs="Times New Roman"/>
          <w:i/>
          <w:iCs/>
          <w:sz w:val="24"/>
          <w:szCs w:val="24"/>
          <w:lang w:val="uk-UA"/>
        </w:rPr>
        <w:t xml:space="preserve"> 73</w:t>
      </w:r>
    </w:p>
    <w:p w:rsidR="005613AB" w:rsidRPr="00BE1959" w:rsidRDefault="00DD217C" w:rsidP="005613AB">
      <w:pPr>
        <w:spacing w:before="60" w:after="120" w:line="312" w:lineRule="atLeast"/>
        <w:jc w:val="center"/>
        <w:textAlignment w:val="baseline"/>
        <w:rPr>
          <w:rFonts w:ascii="Times New Roman" w:eastAsia="Times New Roman" w:hAnsi="Times New Roman" w:cs="Times New Roman"/>
          <w:b/>
          <w:bCs/>
          <w:sz w:val="24"/>
          <w:szCs w:val="24"/>
          <w:lang w:val="uk-UA"/>
        </w:rPr>
      </w:pPr>
      <w:r w:rsidRPr="00BE1959">
        <w:rPr>
          <w:rFonts w:ascii="Times New Roman" w:eastAsia="Times New Roman" w:hAnsi="Times New Roman" w:cs="Times New Roman"/>
          <w:b/>
          <w:bCs/>
          <w:sz w:val="24"/>
          <w:szCs w:val="24"/>
          <w:lang w:val="uk-UA"/>
        </w:rPr>
        <w:t>Повідомл</w:t>
      </w:r>
      <w:r w:rsidR="00A3715B" w:rsidRPr="00BE1959">
        <w:rPr>
          <w:rFonts w:ascii="Times New Roman" w:eastAsia="Times New Roman" w:hAnsi="Times New Roman" w:cs="Times New Roman"/>
          <w:b/>
          <w:bCs/>
          <w:sz w:val="24"/>
          <w:szCs w:val="24"/>
          <w:lang w:val="uk-UA"/>
        </w:rPr>
        <w:t>я</w:t>
      </w:r>
      <w:r w:rsidRPr="00BE1959">
        <w:rPr>
          <w:rFonts w:ascii="Times New Roman" w:eastAsia="Times New Roman" w:hAnsi="Times New Roman" w:cs="Times New Roman"/>
          <w:b/>
          <w:bCs/>
          <w:sz w:val="24"/>
          <w:szCs w:val="24"/>
          <w:lang w:val="uk-UA"/>
        </w:rPr>
        <w:t>ння</w:t>
      </w:r>
      <w:r w:rsidR="00C9012C" w:rsidRPr="00BE1959">
        <w:rPr>
          <w:rFonts w:ascii="Times New Roman" w:eastAsia="Times New Roman" w:hAnsi="Times New Roman" w:cs="Times New Roman"/>
          <w:b/>
          <w:bCs/>
          <w:sz w:val="24"/>
          <w:szCs w:val="24"/>
          <w:lang w:val="uk-UA"/>
        </w:rPr>
        <w:t xml:space="preserve"> про порушення</w:t>
      </w:r>
    </w:p>
    <w:p w:rsidR="005613AB" w:rsidRPr="00BE1959" w:rsidRDefault="005613AB" w:rsidP="00311323">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1.   </w:t>
      </w:r>
      <w:r w:rsidR="001F5C90" w:rsidRPr="00BE1959">
        <w:rPr>
          <w:rFonts w:ascii="Times New Roman" w:eastAsia="Times New Roman" w:hAnsi="Times New Roman" w:cs="Times New Roman"/>
          <w:sz w:val="24"/>
          <w:szCs w:val="24"/>
          <w:lang w:val="uk-UA"/>
        </w:rPr>
        <w:t>Держави-члени</w:t>
      </w:r>
      <w:r w:rsidRPr="00BE1959">
        <w:rPr>
          <w:rFonts w:ascii="Times New Roman" w:eastAsia="Times New Roman" w:hAnsi="Times New Roman" w:cs="Times New Roman"/>
          <w:sz w:val="24"/>
          <w:szCs w:val="24"/>
          <w:lang w:val="uk-UA"/>
        </w:rPr>
        <w:t xml:space="preserve"> </w:t>
      </w:r>
      <w:r w:rsidR="00201245" w:rsidRPr="00BE1959">
        <w:rPr>
          <w:rFonts w:ascii="Times New Roman" w:eastAsia="Times New Roman" w:hAnsi="Times New Roman" w:cs="Times New Roman"/>
          <w:sz w:val="24"/>
          <w:szCs w:val="24"/>
          <w:lang w:val="uk-UA"/>
        </w:rPr>
        <w:t xml:space="preserve">забезпечують створення компетентними органами ефективних механізмів </w:t>
      </w:r>
      <w:r w:rsidR="00311323" w:rsidRPr="00BE1959">
        <w:rPr>
          <w:rFonts w:ascii="Times New Roman" w:eastAsia="Times New Roman" w:hAnsi="Times New Roman" w:cs="Times New Roman"/>
          <w:sz w:val="24"/>
          <w:szCs w:val="24"/>
          <w:lang w:val="uk-UA"/>
        </w:rPr>
        <w:t>для повідомл</w:t>
      </w:r>
      <w:r w:rsidR="00A3715B" w:rsidRPr="00BE1959">
        <w:rPr>
          <w:rFonts w:ascii="Times New Roman" w:eastAsia="Times New Roman" w:hAnsi="Times New Roman" w:cs="Times New Roman"/>
          <w:sz w:val="24"/>
          <w:szCs w:val="24"/>
          <w:lang w:val="uk-UA"/>
        </w:rPr>
        <w:t>я</w:t>
      </w:r>
      <w:r w:rsidR="00311323" w:rsidRPr="00BE1959">
        <w:rPr>
          <w:rFonts w:ascii="Times New Roman" w:eastAsia="Times New Roman" w:hAnsi="Times New Roman" w:cs="Times New Roman"/>
          <w:sz w:val="24"/>
          <w:szCs w:val="24"/>
          <w:lang w:val="uk-UA"/>
        </w:rPr>
        <w:t>ння компетентни</w:t>
      </w:r>
      <w:r w:rsidR="00A3715B" w:rsidRPr="00BE1959">
        <w:rPr>
          <w:rFonts w:ascii="Times New Roman" w:eastAsia="Times New Roman" w:hAnsi="Times New Roman" w:cs="Times New Roman"/>
          <w:sz w:val="24"/>
          <w:szCs w:val="24"/>
          <w:lang w:val="uk-UA"/>
        </w:rPr>
        <w:t>х</w:t>
      </w:r>
      <w:r w:rsidR="00311323" w:rsidRPr="00BE1959">
        <w:rPr>
          <w:rFonts w:ascii="Times New Roman" w:eastAsia="Times New Roman" w:hAnsi="Times New Roman" w:cs="Times New Roman"/>
          <w:sz w:val="24"/>
          <w:szCs w:val="24"/>
          <w:lang w:val="uk-UA"/>
        </w:rPr>
        <w:t xml:space="preserve"> орган</w:t>
      </w:r>
      <w:r w:rsidR="00A3715B" w:rsidRPr="00BE1959">
        <w:rPr>
          <w:rFonts w:ascii="Times New Roman" w:eastAsia="Times New Roman" w:hAnsi="Times New Roman" w:cs="Times New Roman"/>
          <w:sz w:val="24"/>
          <w:szCs w:val="24"/>
          <w:lang w:val="uk-UA"/>
        </w:rPr>
        <w:t>ів</w:t>
      </w:r>
      <w:r w:rsidR="00311323" w:rsidRPr="00BE1959">
        <w:rPr>
          <w:rFonts w:ascii="Times New Roman" w:eastAsia="Times New Roman" w:hAnsi="Times New Roman" w:cs="Times New Roman"/>
          <w:sz w:val="24"/>
          <w:szCs w:val="24"/>
          <w:lang w:val="uk-UA"/>
        </w:rPr>
        <w:t xml:space="preserve"> про можливі або фактичні порушення положень</w:t>
      </w:r>
      <w:r w:rsidRPr="00BE1959">
        <w:rPr>
          <w:rFonts w:ascii="Times New Roman" w:eastAsia="Times New Roman" w:hAnsi="Times New Roman" w:cs="Times New Roman"/>
          <w:sz w:val="24"/>
          <w:szCs w:val="24"/>
          <w:lang w:val="uk-UA"/>
        </w:rPr>
        <w:t xml:space="preserve"> </w:t>
      </w:r>
      <w:r w:rsidR="008824AE" w:rsidRPr="00BE1959">
        <w:rPr>
          <w:rFonts w:ascii="Times New Roman" w:eastAsia="Times New Roman" w:hAnsi="Times New Roman" w:cs="Times New Roman"/>
          <w:sz w:val="24"/>
          <w:szCs w:val="24"/>
          <w:lang w:val="uk-UA"/>
        </w:rPr>
        <w:t>Регламенту</w:t>
      </w:r>
      <w:r w:rsidRPr="00BE1959">
        <w:rPr>
          <w:rFonts w:ascii="Times New Roman" w:eastAsia="Times New Roman" w:hAnsi="Times New Roman" w:cs="Times New Roman"/>
          <w:sz w:val="24"/>
          <w:szCs w:val="24"/>
          <w:lang w:val="uk-UA"/>
        </w:rPr>
        <w:t xml:space="preserve"> </w:t>
      </w:r>
      <w:r w:rsidR="007B0149" w:rsidRPr="00BE1959">
        <w:rPr>
          <w:rFonts w:ascii="Times New Roman" w:eastAsia="Times New Roman" w:hAnsi="Times New Roman" w:cs="Times New Roman"/>
          <w:sz w:val="24"/>
          <w:szCs w:val="24"/>
          <w:lang w:val="uk-UA"/>
        </w:rPr>
        <w:t>(EU) № 600/2014</w:t>
      </w:r>
      <w:r w:rsidRPr="00BE1959">
        <w:rPr>
          <w:rFonts w:ascii="Times New Roman" w:eastAsia="Times New Roman" w:hAnsi="Times New Roman" w:cs="Times New Roman"/>
          <w:sz w:val="24"/>
          <w:szCs w:val="24"/>
          <w:lang w:val="uk-UA"/>
        </w:rPr>
        <w:t xml:space="preserve"> </w:t>
      </w:r>
      <w:r w:rsidR="00311323" w:rsidRPr="00BE1959">
        <w:rPr>
          <w:rFonts w:ascii="Times New Roman" w:eastAsia="Times New Roman" w:hAnsi="Times New Roman" w:cs="Times New Roman"/>
          <w:sz w:val="24"/>
          <w:szCs w:val="24"/>
          <w:lang w:val="uk-UA"/>
        </w:rPr>
        <w:t>і національних положень, прийнятих на виконання цієї директиви.</w:t>
      </w:r>
    </w:p>
    <w:p w:rsidR="005613AB" w:rsidRPr="00BE1959" w:rsidRDefault="00311323" w:rsidP="00311323">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Механізми, згадані у першому абзаці, включають, як мінімум:</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9093"/>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38644F" w:rsidP="005435C9">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конкретні процедури </w:t>
            </w:r>
            <w:r w:rsidR="00DD217C" w:rsidRPr="00BE1959">
              <w:rPr>
                <w:rFonts w:ascii="Times New Roman" w:eastAsia="Times New Roman" w:hAnsi="Times New Roman" w:cs="Times New Roman"/>
                <w:sz w:val="24"/>
                <w:szCs w:val="24"/>
                <w:lang w:val="uk-UA"/>
              </w:rPr>
              <w:t>приймання повідомлень</w:t>
            </w:r>
            <w:r w:rsidRPr="00BE1959">
              <w:rPr>
                <w:rFonts w:ascii="Times New Roman" w:eastAsia="Times New Roman" w:hAnsi="Times New Roman" w:cs="Times New Roman"/>
                <w:sz w:val="24"/>
                <w:szCs w:val="24"/>
                <w:lang w:val="uk-UA"/>
              </w:rPr>
              <w:t xml:space="preserve"> щодо можливих або фактичних порушень та </w:t>
            </w:r>
            <w:r w:rsidR="009C7D8B" w:rsidRPr="00BE1959">
              <w:rPr>
                <w:rFonts w:ascii="Times New Roman" w:eastAsia="Times New Roman" w:hAnsi="Times New Roman" w:cs="Times New Roman"/>
                <w:sz w:val="24"/>
                <w:szCs w:val="24"/>
                <w:lang w:val="uk-UA"/>
              </w:rPr>
              <w:t>їх відстеження</w:t>
            </w:r>
            <w:r w:rsidRPr="00BE1959">
              <w:rPr>
                <w:rFonts w:ascii="Times New Roman" w:eastAsia="Times New Roman" w:hAnsi="Times New Roman" w:cs="Times New Roman"/>
                <w:sz w:val="24"/>
                <w:szCs w:val="24"/>
                <w:lang w:val="uk-UA"/>
              </w:rPr>
              <w:t xml:space="preserve">, зокрема створення захищених каналів </w:t>
            </w:r>
            <w:r w:rsidR="009C7D8B" w:rsidRPr="00BE1959">
              <w:rPr>
                <w:rFonts w:ascii="Times New Roman" w:eastAsia="Times New Roman" w:hAnsi="Times New Roman" w:cs="Times New Roman"/>
                <w:sz w:val="24"/>
                <w:szCs w:val="24"/>
                <w:lang w:val="uk-UA"/>
              </w:rPr>
              <w:t xml:space="preserve">зв'язку для таких </w:t>
            </w:r>
            <w:r w:rsidR="005435C9" w:rsidRPr="00BE1959">
              <w:rPr>
                <w:rFonts w:ascii="Times New Roman" w:eastAsia="Times New Roman" w:hAnsi="Times New Roman" w:cs="Times New Roman"/>
                <w:sz w:val="24"/>
                <w:szCs w:val="24"/>
                <w:lang w:val="uk-UA"/>
              </w:rPr>
              <w:t>повідомлень</w:t>
            </w:r>
            <w:r w:rsidR="009C7D8B" w:rsidRPr="00BE1959">
              <w:rPr>
                <w:rFonts w:ascii="Times New Roman" w:eastAsia="Times New Roman" w:hAnsi="Times New Roman" w:cs="Times New Roman"/>
                <w:sz w:val="24"/>
                <w:szCs w:val="24"/>
                <w:lang w:val="uk-UA"/>
              </w:rPr>
              <w:t>;</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9C7D8B" w:rsidP="00DD217C">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належний захист працівників фінансових установ, які повідомляють про</w:t>
            </w:r>
            <w:r w:rsidR="00DD217C" w:rsidRPr="00BE1959">
              <w:rPr>
                <w:rFonts w:ascii="Times New Roman" w:eastAsia="Times New Roman" w:hAnsi="Times New Roman" w:cs="Times New Roman"/>
                <w:sz w:val="24"/>
                <w:szCs w:val="24"/>
                <w:lang w:val="uk-UA"/>
              </w:rPr>
              <w:t xml:space="preserve"> порушення, вчинені у фінансовій установі, принаймні від репресалій, дискримінації та інших форм несправедливого ставлення;</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9093"/>
      </w:tblGrid>
      <w:tr w:rsidR="00DE3173"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435C9" w:rsidP="005435C9">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захист персональних даних як особи, яка повідомила про порушення, так і фізичної особи, яка, за твердженням, відповідальна за порушення, на всіх етапах процедури, крім випадків, коли такого розголошення вимагає національне законодавство в контексті подальшого розслідування або наступного адміністративного чи судового провадження.</w:t>
            </w:r>
          </w:p>
        </w:tc>
      </w:tr>
    </w:tbl>
    <w:p w:rsidR="005613AB" w:rsidRPr="00BE1959" w:rsidRDefault="005613AB" w:rsidP="00A3715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2.   </w:t>
      </w:r>
      <w:r w:rsidR="001F5C90" w:rsidRPr="00BE1959">
        <w:rPr>
          <w:rFonts w:ascii="Times New Roman" w:eastAsia="Times New Roman" w:hAnsi="Times New Roman" w:cs="Times New Roman"/>
          <w:sz w:val="24"/>
          <w:szCs w:val="24"/>
          <w:lang w:val="uk-UA"/>
        </w:rPr>
        <w:t>Держави-члени</w:t>
      </w:r>
      <w:r w:rsidRPr="00BE1959">
        <w:rPr>
          <w:rFonts w:ascii="Times New Roman" w:eastAsia="Times New Roman" w:hAnsi="Times New Roman" w:cs="Times New Roman"/>
          <w:sz w:val="24"/>
          <w:szCs w:val="24"/>
          <w:lang w:val="uk-UA"/>
        </w:rPr>
        <w:t xml:space="preserve"> </w:t>
      </w:r>
      <w:r w:rsidR="006E69F5" w:rsidRPr="00BE1959">
        <w:rPr>
          <w:rFonts w:ascii="Times New Roman" w:eastAsia="Times New Roman" w:hAnsi="Times New Roman" w:cs="Times New Roman"/>
          <w:sz w:val="24"/>
          <w:szCs w:val="24"/>
          <w:lang w:val="uk-UA"/>
        </w:rPr>
        <w:t>вимагають, щоб інвестиційні фірми</w:t>
      </w:r>
      <w:r w:rsidRPr="00BE1959">
        <w:rPr>
          <w:rFonts w:ascii="Times New Roman" w:eastAsia="Times New Roman" w:hAnsi="Times New Roman" w:cs="Times New Roman"/>
          <w:sz w:val="24"/>
          <w:szCs w:val="24"/>
          <w:lang w:val="uk-UA"/>
        </w:rPr>
        <w:t xml:space="preserve">, </w:t>
      </w:r>
      <w:r w:rsidR="005435C9" w:rsidRPr="00BE1959">
        <w:rPr>
          <w:rFonts w:ascii="Times New Roman" w:eastAsia="Times New Roman" w:hAnsi="Times New Roman" w:cs="Times New Roman"/>
          <w:sz w:val="24"/>
          <w:szCs w:val="24"/>
          <w:lang w:val="uk-UA"/>
        </w:rPr>
        <w:t xml:space="preserve">оператори ринку, надавачі послуг із повідомлення даних, кредитні установи у зв'язку з інвестиційними послугами чи інвестиційною діяльністю та додатковими послугами та філії фірм із третіх країн мали </w:t>
      </w:r>
      <w:r w:rsidR="005435C9" w:rsidRPr="00BE1959">
        <w:rPr>
          <w:rFonts w:ascii="Times New Roman" w:eastAsia="Times New Roman" w:hAnsi="Times New Roman" w:cs="Times New Roman"/>
          <w:sz w:val="24"/>
          <w:szCs w:val="24"/>
          <w:lang w:val="uk-UA"/>
        </w:rPr>
        <w:lastRenderedPageBreak/>
        <w:t>належн</w:t>
      </w:r>
      <w:r w:rsidR="00A3715B" w:rsidRPr="00BE1959">
        <w:rPr>
          <w:rFonts w:ascii="Times New Roman" w:eastAsia="Times New Roman" w:hAnsi="Times New Roman" w:cs="Times New Roman"/>
          <w:sz w:val="24"/>
          <w:szCs w:val="24"/>
          <w:lang w:val="uk-UA"/>
        </w:rPr>
        <w:t>і процедури для повідомляння їхніми працівниками у межах організації про можливі або фактичні порушення окремим, незалежним і автономним каналом.</w:t>
      </w:r>
    </w:p>
    <w:p w:rsidR="005613AB" w:rsidRPr="00BE1959" w:rsidRDefault="00162A11" w:rsidP="005613AB">
      <w:pPr>
        <w:spacing w:before="360" w:after="120" w:line="312" w:lineRule="atLeast"/>
        <w:jc w:val="center"/>
        <w:textAlignment w:val="baseline"/>
        <w:rPr>
          <w:rFonts w:ascii="Times New Roman" w:eastAsia="Times New Roman" w:hAnsi="Times New Roman" w:cs="Times New Roman"/>
          <w:i/>
          <w:iCs/>
          <w:sz w:val="24"/>
          <w:szCs w:val="24"/>
          <w:lang w:val="uk-UA"/>
        </w:rPr>
      </w:pPr>
      <w:r w:rsidRPr="00BE1959">
        <w:rPr>
          <w:rFonts w:ascii="Times New Roman" w:eastAsia="Times New Roman" w:hAnsi="Times New Roman" w:cs="Times New Roman"/>
          <w:i/>
          <w:iCs/>
          <w:sz w:val="24"/>
          <w:szCs w:val="24"/>
          <w:lang w:val="uk-UA"/>
        </w:rPr>
        <w:t>Стаття</w:t>
      </w:r>
      <w:r w:rsidR="005613AB" w:rsidRPr="00BE1959">
        <w:rPr>
          <w:rFonts w:ascii="Times New Roman" w:eastAsia="Times New Roman" w:hAnsi="Times New Roman" w:cs="Times New Roman"/>
          <w:i/>
          <w:iCs/>
          <w:sz w:val="24"/>
          <w:szCs w:val="24"/>
          <w:lang w:val="uk-UA"/>
        </w:rPr>
        <w:t xml:space="preserve"> 74</w:t>
      </w:r>
    </w:p>
    <w:p w:rsidR="005613AB" w:rsidRPr="00BE1959" w:rsidRDefault="00D04E48" w:rsidP="005613AB">
      <w:pPr>
        <w:spacing w:before="60" w:after="120" w:line="312" w:lineRule="atLeast"/>
        <w:jc w:val="center"/>
        <w:textAlignment w:val="baseline"/>
        <w:rPr>
          <w:rFonts w:ascii="Times New Roman" w:eastAsia="Times New Roman" w:hAnsi="Times New Roman" w:cs="Times New Roman"/>
          <w:b/>
          <w:bCs/>
          <w:sz w:val="24"/>
          <w:szCs w:val="24"/>
          <w:lang w:val="uk-UA"/>
        </w:rPr>
      </w:pPr>
      <w:r w:rsidRPr="00BE1959">
        <w:rPr>
          <w:rFonts w:ascii="Times New Roman" w:eastAsia="Times New Roman" w:hAnsi="Times New Roman" w:cs="Times New Roman"/>
          <w:b/>
          <w:bCs/>
          <w:sz w:val="24"/>
          <w:szCs w:val="24"/>
          <w:lang w:val="uk-UA"/>
        </w:rPr>
        <w:t>Право оскарження</w:t>
      </w:r>
    </w:p>
    <w:p w:rsidR="005613AB" w:rsidRPr="00BE1959" w:rsidRDefault="005613AB" w:rsidP="001E1509">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1.   </w:t>
      </w:r>
      <w:r w:rsidR="001F5C90" w:rsidRPr="00BE1959">
        <w:rPr>
          <w:rFonts w:ascii="Times New Roman" w:eastAsia="Times New Roman" w:hAnsi="Times New Roman" w:cs="Times New Roman"/>
          <w:sz w:val="24"/>
          <w:szCs w:val="24"/>
          <w:lang w:val="uk-UA"/>
        </w:rPr>
        <w:t>Держави-члени</w:t>
      </w:r>
      <w:r w:rsidRPr="00BE1959">
        <w:rPr>
          <w:rFonts w:ascii="Times New Roman" w:eastAsia="Times New Roman" w:hAnsi="Times New Roman" w:cs="Times New Roman"/>
          <w:sz w:val="24"/>
          <w:szCs w:val="24"/>
          <w:lang w:val="uk-UA"/>
        </w:rPr>
        <w:t xml:space="preserve"> </w:t>
      </w:r>
      <w:r w:rsidR="00D40881" w:rsidRPr="00BE1959">
        <w:rPr>
          <w:rFonts w:ascii="Times New Roman" w:eastAsia="Times New Roman" w:hAnsi="Times New Roman" w:cs="Times New Roman"/>
          <w:sz w:val="24"/>
          <w:szCs w:val="24"/>
          <w:lang w:val="uk-UA"/>
        </w:rPr>
        <w:t>забезпечують, щоб будь-яке рішення, прийняте згідно з положеннями</w:t>
      </w:r>
      <w:r w:rsidRPr="00BE1959">
        <w:rPr>
          <w:rFonts w:ascii="Times New Roman" w:eastAsia="Times New Roman" w:hAnsi="Times New Roman" w:cs="Times New Roman"/>
          <w:sz w:val="24"/>
          <w:szCs w:val="24"/>
          <w:lang w:val="uk-UA"/>
        </w:rPr>
        <w:t xml:space="preserve"> </w:t>
      </w:r>
      <w:r w:rsidR="008824AE" w:rsidRPr="00BE1959">
        <w:rPr>
          <w:rFonts w:ascii="Times New Roman" w:eastAsia="Times New Roman" w:hAnsi="Times New Roman" w:cs="Times New Roman"/>
          <w:sz w:val="24"/>
          <w:szCs w:val="24"/>
          <w:lang w:val="uk-UA"/>
        </w:rPr>
        <w:t>Регламенту</w:t>
      </w:r>
      <w:r w:rsidRPr="00BE1959">
        <w:rPr>
          <w:rFonts w:ascii="Times New Roman" w:eastAsia="Times New Roman" w:hAnsi="Times New Roman" w:cs="Times New Roman"/>
          <w:sz w:val="24"/>
          <w:szCs w:val="24"/>
          <w:lang w:val="uk-UA"/>
        </w:rPr>
        <w:t xml:space="preserve"> </w:t>
      </w:r>
      <w:r w:rsidR="007B0149" w:rsidRPr="00BE1959">
        <w:rPr>
          <w:rFonts w:ascii="Times New Roman" w:eastAsia="Times New Roman" w:hAnsi="Times New Roman" w:cs="Times New Roman"/>
          <w:sz w:val="24"/>
          <w:szCs w:val="24"/>
          <w:lang w:val="uk-UA"/>
        </w:rPr>
        <w:t>(EU) № 600/2014</w:t>
      </w:r>
      <w:r w:rsidRPr="00BE1959">
        <w:rPr>
          <w:rFonts w:ascii="Times New Roman" w:eastAsia="Times New Roman" w:hAnsi="Times New Roman" w:cs="Times New Roman"/>
          <w:sz w:val="24"/>
          <w:szCs w:val="24"/>
          <w:lang w:val="uk-UA"/>
        </w:rPr>
        <w:t xml:space="preserve"> </w:t>
      </w:r>
      <w:r w:rsidR="00D40881" w:rsidRPr="00BE1959">
        <w:rPr>
          <w:rFonts w:ascii="Times New Roman" w:eastAsia="Times New Roman" w:hAnsi="Times New Roman" w:cs="Times New Roman"/>
          <w:sz w:val="24"/>
          <w:szCs w:val="24"/>
          <w:lang w:val="uk-UA"/>
        </w:rPr>
        <w:t xml:space="preserve">або згідно з законами, нормативними актами або адміністративними положеннями, прийнятими відповідно до цієї директиви, було належним чином </w:t>
      </w:r>
      <w:r w:rsidR="00A31DE6" w:rsidRPr="00BE1959">
        <w:rPr>
          <w:rFonts w:ascii="Times New Roman" w:eastAsia="Times New Roman" w:hAnsi="Times New Roman" w:cs="Times New Roman"/>
          <w:sz w:val="24"/>
          <w:szCs w:val="24"/>
          <w:lang w:val="uk-UA"/>
        </w:rPr>
        <w:t xml:space="preserve">аргументовано і підпадало під дію право оскарження в суді. Право оскарження в суді також застосовується у випадках, де </w:t>
      </w:r>
      <w:r w:rsidR="001E1509" w:rsidRPr="00BE1959">
        <w:rPr>
          <w:rFonts w:ascii="Times New Roman" w:eastAsia="Times New Roman" w:hAnsi="Times New Roman" w:cs="Times New Roman"/>
          <w:sz w:val="24"/>
          <w:szCs w:val="24"/>
          <w:lang w:val="uk-UA"/>
        </w:rPr>
        <w:t>після подання заяви на видачу дозволу з усією потрібною інформацією рішення за цією заявою не прийнято протягом шести місяців з моменту її подання.</w:t>
      </w:r>
    </w:p>
    <w:p w:rsidR="005613AB" w:rsidRPr="00BE1959" w:rsidRDefault="005613AB" w:rsidP="003B400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2.   </w:t>
      </w:r>
      <w:r w:rsidR="001F5C90" w:rsidRPr="00BE1959">
        <w:rPr>
          <w:rFonts w:ascii="Times New Roman" w:eastAsia="Times New Roman" w:hAnsi="Times New Roman" w:cs="Times New Roman"/>
          <w:sz w:val="24"/>
          <w:szCs w:val="24"/>
          <w:lang w:val="uk-UA"/>
        </w:rPr>
        <w:t>Держави-члени</w:t>
      </w:r>
      <w:r w:rsidRPr="00BE1959">
        <w:rPr>
          <w:rFonts w:ascii="Times New Roman" w:eastAsia="Times New Roman" w:hAnsi="Times New Roman" w:cs="Times New Roman"/>
          <w:sz w:val="24"/>
          <w:szCs w:val="24"/>
          <w:lang w:val="uk-UA"/>
        </w:rPr>
        <w:t xml:space="preserve"> </w:t>
      </w:r>
      <w:r w:rsidR="001E1509" w:rsidRPr="00BE1959">
        <w:rPr>
          <w:rFonts w:ascii="Times New Roman" w:eastAsia="Times New Roman" w:hAnsi="Times New Roman" w:cs="Times New Roman"/>
          <w:sz w:val="24"/>
          <w:szCs w:val="24"/>
          <w:lang w:val="uk-UA"/>
        </w:rPr>
        <w:t>передбачають, що один або декілька з наступних органів, згідно з визначенням у національному законодавстві, можуть також в інтересах споживачів та відповідно до національного законо</w:t>
      </w:r>
      <w:r w:rsidR="003B400B" w:rsidRPr="00BE1959">
        <w:rPr>
          <w:rFonts w:ascii="Times New Roman" w:eastAsia="Times New Roman" w:hAnsi="Times New Roman" w:cs="Times New Roman"/>
          <w:sz w:val="24"/>
          <w:szCs w:val="24"/>
          <w:lang w:val="uk-UA"/>
        </w:rPr>
        <w:t>давства звертатися до судів або компетентних адміністративних органів на предмет забезпечення застосування Регламенту</w:t>
      </w:r>
      <w:r w:rsidRPr="00BE1959">
        <w:rPr>
          <w:rFonts w:ascii="Times New Roman" w:eastAsia="Times New Roman" w:hAnsi="Times New Roman" w:cs="Times New Roman"/>
          <w:sz w:val="24"/>
          <w:szCs w:val="24"/>
          <w:lang w:val="uk-UA"/>
        </w:rPr>
        <w:t xml:space="preserve"> </w:t>
      </w:r>
      <w:r w:rsidR="007B0149" w:rsidRPr="00BE1959">
        <w:rPr>
          <w:rFonts w:ascii="Times New Roman" w:eastAsia="Times New Roman" w:hAnsi="Times New Roman" w:cs="Times New Roman"/>
          <w:sz w:val="24"/>
          <w:szCs w:val="24"/>
          <w:lang w:val="uk-UA"/>
        </w:rPr>
        <w:t>(EU) № 600/2014</w:t>
      </w:r>
      <w:r w:rsidRPr="00BE1959">
        <w:rPr>
          <w:rFonts w:ascii="Times New Roman" w:eastAsia="Times New Roman" w:hAnsi="Times New Roman" w:cs="Times New Roman"/>
          <w:sz w:val="24"/>
          <w:szCs w:val="24"/>
          <w:lang w:val="uk-UA"/>
        </w:rPr>
        <w:t xml:space="preserve"> </w:t>
      </w:r>
      <w:r w:rsidR="003B400B" w:rsidRPr="00BE1959">
        <w:rPr>
          <w:rFonts w:ascii="Times New Roman" w:eastAsia="Times New Roman" w:hAnsi="Times New Roman" w:cs="Times New Roman"/>
          <w:sz w:val="24"/>
          <w:szCs w:val="24"/>
          <w:lang w:val="uk-UA"/>
        </w:rPr>
        <w:t xml:space="preserve">і національних положень, прийнятих на виконання </w:t>
      </w:r>
      <w:r w:rsidR="00432567" w:rsidRPr="00BE1959">
        <w:rPr>
          <w:rFonts w:ascii="Times New Roman" w:eastAsia="Times New Roman" w:hAnsi="Times New Roman" w:cs="Times New Roman"/>
          <w:sz w:val="24"/>
          <w:szCs w:val="24"/>
          <w:lang w:val="uk-UA"/>
        </w:rPr>
        <w:t>цієї директиви</w:t>
      </w:r>
      <w:r w:rsidRPr="00BE1959">
        <w:rPr>
          <w:rFonts w:ascii="Times New Roman" w:eastAsia="Times New Roman" w:hAnsi="Times New Roman" w:cs="Times New Roman"/>
          <w:sz w:val="24"/>
          <w:szCs w:val="24"/>
          <w:lang w:val="uk-UA"/>
        </w:rP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3"/>
        <w:gridCol w:w="9092"/>
      </w:tblGrid>
      <w:tr w:rsidR="005613AB" w:rsidRPr="0043174D" w:rsidTr="002B1E44">
        <w:tc>
          <w:tcPr>
            <w:tcW w:w="197"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(a)</w:t>
            </w:r>
          </w:p>
        </w:tc>
        <w:tc>
          <w:tcPr>
            <w:tcW w:w="4803"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712774" w:rsidP="00712774">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державні органи або їхні представники</w:t>
            </w:r>
            <w:r w:rsidR="005613AB" w:rsidRPr="00BE1959">
              <w:rPr>
                <w:rFonts w:ascii="Times New Roman" w:eastAsia="Times New Roman" w:hAnsi="Times New Roman" w:cs="Times New Roman"/>
                <w:sz w:val="24"/>
                <w:szCs w:val="24"/>
                <w:lang w:val="uk-UA"/>
              </w:rPr>
              <w:t>;</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5613AB" w:rsidRPr="0043174D" w:rsidTr="002B1E44">
        <w:tc>
          <w:tcPr>
            <w:tcW w:w="203"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(b)</w:t>
            </w:r>
          </w:p>
        </w:tc>
        <w:tc>
          <w:tcPr>
            <w:tcW w:w="4797"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712774" w:rsidP="00EA44F9">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організації споживачів, які </w:t>
            </w:r>
            <w:r w:rsidR="00EA44F9" w:rsidRPr="00BE1959">
              <w:rPr>
                <w:rFonts w:ascii="Times New Roman" w:eastAsia="Times New Roman" w:hAnsi="Times New Roman" w:cs="Times New Roman"/>
                <w:sz w:val="24"/>
                <w:szCs w:val="24"/>
                <w:lang w:val="uk-UA"/>
              </w:rPr>
              <w:t>законним чином зацікавлені</w:t>
            </w:r>
            <w:r w:rsidRPr="00BE1959">
              <w:rPr>
                <w:rFonts w:ascii="Times New Roman" w:eastAsia="Times New Roman" w:hAnsi="Times New Roman" w:cs="Times New Roman"/>
                <w:sz w:val="24"/>
                <w:szCs w:val="24"/>
                <w:lang w:val="uk-UA"/>
              </w:rPr>
              <w:t xml:space="preserve"> у захи</w:t>
            </w:r>
            <w:r w:rsidR="00EA44F9" w:rsidRPr="00BE1959">
              <w:rPr>
                <w:rFonts w:ascii="Times New Roman" w:eastAsia="Times New Roman" w:hAnsi="Times New Roman" w:cs="Times New Roman"/>
                <w:sz w:val="24"/>
                <w:szCs w:val="24"/>
                <w:lang w:val="uk-UA"/>
              </w:rPr>
              <w:t>cті споживачів;</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16"/>
        <w:gridCol w:w="9049"/>
      </w:tblGrid>
      <w:tr w:rsidR="00DE3173"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EA44F9" w:rsidP="00792D3E">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професійні організації, які </w:t>
            </w:r>
            <w:r w:rsidR="00792D3E" w:rsidRPr="00BE1959">
              <w:rPr>
                <w:rFonts w:ascii="Times New Roman" w:eastAsia="Times New Roman" w:hAnsi="Times New Roman" w:cs="Times New Roman"/>
                <w:sz w:val="24"/>
                <w:szCs w:val="24"/>
                <w:lang w:val="uk-UA"/>
              </w:rPr>
              <w:t>законним чином зацікавлені у захисті своїх членів</w:t>
            </w:r>
            <w:r w:rsidRPr="00BE1959">
              <w:rPr>
                <w:rFonts w:ascii="Times New Roman" w:eastAsia="Times New Roman" w:hAnsi="Times New Roman" w:cs="Times New Roman"/>
                <w:sz w:val="24"/>
                <w:szCs w:val="24"/>
                <w:lang w:val="uk-UA"/>
              </w:rPr>
              <w:t>.</w:t>
            </w:r>
          </w:p>
        </w:tc>
      </w:tr>
    </w:tbl>
    <w:p w:rsidR="005613AB" w:rsidRPr="00BE1959" w:rsidRDefault="00162A11" w:rsidP="005613AB">
      <w:pPr>
        <w:spacing w:before="360" w:after="120" w:line="312" w:lineRule="atLeast"/>
        <w:jc w:val="center"/>
        <w:textAlignment w:val="baseline"/>
        <w:rPr>
          <w:rFonts w:ascii="Times New Roman" w:eastAsia="Times New Roman" w:hAnsi="Times New Roman" w:cs="Times New Roman"/>
          <w:i/>
          <w:iCs/>
          <w:sz w:val="24"/>
          <w:szCs w:val="24"/>
          <w:lang w:val="uk-UA"/>
        </w:rPr>
      </w:pPr>
      <w:r w:rsidRPr="00BE1959">
        <w:rPr>
          <w:rFonts w:ascii="Times New Roman" w:eastAsia="Times New Roman" w:hAnsi="Times New Roman" w:cs="Times New Roman"/>
          <w:i/>
          <w:iCs/>
          <w:sz w:val="24"/>
          <w:szCs w:val="24"/>
          <w:lang w:val="uk-UA"/>
        </w:rPr>
        <w:t>Стаття</w:t>
      </w:r>
      <w:r w:rsidR="005613AB" w:rsidRPr="00BE1959">
        <w:rPr>
          <w:rFonts w:ascii="Times New Roman" w:eastAsia="Times New Roman" w:hAnsi="Times New Roman" w:cs="Times New Roman"/>
          <w:i/>
          <w:iCs/>
          <w:sz w:val="24"/>
          <w:szCs w:val="24"/>
          <w:lang w:val="uk-UA"/>
        </w:rPr>
        <w:t xml:space="preserve"> 75</w:t>
      </w:r>
    </w:p>
    <w:p w:rsidR="005613AB" w:rsidRPr="00BE1959" w:rsidRDefault="00792D3E" w:rsidP="005613AB">
      <w:pPr>
        <w:spacing w:before="60" w:after="120" w:line="312" w:lineRule="atLeast"/>
        <w:jc w:val="center"/>
        <w:textAlignment w:val="baseline"/>
        <w:rPr>
          <w:rFonts w:ascii="Times New Roman" w:eastAsia="Times New Roman" w:hAnsi="Times New Roman" w:cs="Times New Roman"/>
          <w:b/>
          <w:bCs/>
          <w:sz w:val="24"/>
          <w:szCs w:val="24"/>
          <w:lang w:val="uk-UA"/>
        </w:rPr>
      </w:pPr>
      <w:r w:rsidRPr="00BE1959">
        <w:rPr>
          <w:rFonts w:ascii="Times New Roman" w:eastAsia="Times New Roman" w:hAnsi="Times New Roman" w:cs="Times New Roman"/>
          <w:b/>
          <w:bCs/>
          <w:sz w:val="24"/>
          <w:szCs w:val="24"/>
          <w:lang w:val="uk-UA"/>
        </w:rPr>
        <w:t>Позасудовий механізм розгляду скарг споживачів</w:t>
      </w:r>
    </w:p>
    <w:p w:rsidR="005613AB" w:rsidRPr="00BE1959" w:rsidRDefault="005613AB" w:rsidP="0082797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1.   </w:t>
      </w:r>
      <w:r w:rsidR="001F5C90" w:rsidRPr="00BE1959">
        <w:rPr>
          <w:rFonts w:ascii="Times New Roman" w:eastAsia="Times New Roman" w:hAnsi="Times New Roman" w:cs="Times New Roman"/>
          <w:sz w:val="24"/>
          <w:szCs w:val="24"/>
          <w:lang w:val="uk-UA"/>
        </w:rPr>
        <w:t>Держави-члени</w:t>
      </w:r>
      <w:r w:rsidRPr="00BE1959">
        <w:rPr>
          <w:rFonts w:ascii="Times New Roman" w:eastAsia="Times New Roman" w:hAnsi="Times New Roman" w:cs="Times New Roman"/>
          <w:sz w:val="24"/>
          <w:szCs w:val="24"/>
          <w:lang w:val="uk-UA"/>
        </w:rPr>
        <w:t xml:space="preserve"> </w:t>
      </w:r>
      <w:r w:rsidR="004B0210" w:rsidRPr="00BE1959">
        <w:rPr>
          <w:rFonts w:ascii="Times New Roman" w:eastAsia="Times New Roman" w:hAnsi="Times New Roman" w:cs="Times New Roman"/>
          <w:sz w:val="24"/>
          <w:szCs w:val="24"/>
          <w:lang w:val="uk-UA"/>
        </w:rPr>
        <w:t>забезпечують запровадження ефективних і дієвих процедур розгляду скарг і відшкодування для позасудового врегулювання</w:t>
      </w:r>
      <w:r w:rsidR="009C7C83" w:rsidRPr="00BE1959">
        <w:rPr>
          <w:rFonts w:ascii="Times New Roman" w:eastAsia="Times New Roman" w:hAnsi="Times New Roman" w:cs="Times New Roman"/>
          <w:sz w:val="24"/>
          <w:szCs w:val="24"/>
          <w:lang w:val="uk-UA"/>
        </w:rPr>
        <w:t xml:space="preserve"> </w:t>
      </w:r>
      <w:r w:rsidR="007F061D" w:rsidRPr="00BE1959">
        <w:rPr>
          <w:rFonts w:ascii="Times New Roman" w:eastAsia="Times New Roman" w:hAnsi="Times New Roman" w:cs="Times New Roman"/>
          <w:sz w:val="24"/>
          <w:szCs w:val="24"/>
          <w:lang w:val="uk-UA"/>
        </w:rPr>
        <w:t>спорів із споживачами</w:t>
      </w:r>
      <w:r w:rsidR="006918A7" w:rsidRPr="00BE1959">
        <w:rPr>
          <w:rFonts w:ascii="Times New Roman" w:eastAsia="Times New Roman" w:hAnsi="Times New Roman" w:cs="Times New Roman"/>
          <w:sz w:val="24"/>
          <w:szCs w:val="24"/>
          <w:lang w:val="uk-UA"/>
        </w:rPr>
        <w:t xml:space="preserve"> стосовно надання інвестиційних та додаткових послуг інвестиційними фірмами, залучаючи, де доречно, існуючі органи.</w:t>
      </w:r>
      <w:r w:rsidRPr="00BE1959">
        <w:rPr>
          <w:rFonts w:ascii="Times New Roman" w:eastAsia="Times New Roman" w:hAnsi="Times New Roman" w:cs="Times New Roman"/>
          <w:sz w:val="24"/>
          <w:szCs w:val="24"/>
          <w:lang w:val="uk-UA"/>
        </w:rPr>
        <w:t xml:space="preserve"> </w:t>
      </w:r>
      <w:r w:rsidR="001F5C90" w:rsidRPr="00BE1959">
        <w:rPr>
          <w:rFonts w:ascii="Times New Roman" w:eastAsia="Times New Roman" w:hAnsi="Times New Roman" w:cs="Times New Roman"/>
          <w:sz w:val="24"/>
          <w:szCs w:val="24"/>
          <w:lang w:val="uk-UA"/>
        </w:rPr>
        <w:t>Держави-члени</w:t>
      </w:r>
      <w:r w:rsidRPr="00BE1959">
        <w:rPr>
          <w:rFonts w:ascii="Times New Roman" w:eastAsia="Times New Roman" w:hAnsi="Times New Roman" w:cs="Times New Roman"/>
          <w:sz w:val="24"/>
          <w:szCs w:val="24"/>
          <w:lang w:val="uk-UA"/>
        </w:rPr>
        <w:t xml:space="preserve"> </w:t>
      </w:r>
      <w:r w:rsidR="006918A7" w:rsidRPr="00BE1959">
        <w:rPr>
          <w:rFonts w:ascii="Times New Roman" w:eastAsia="Times New Roman" w:hAnsi="Times New Roman" w:cs="Times New Roman"/>
          <w:sz w:val="24"/>
          <w:szCs w:val="24"/>
          <w:lang w:val="uk-UA"/>
        </w:rPr>
        <w:t xml:space="preserve">забезпечують також, щоб усі інвестиційні фірми </w:t>
      </w:r>
      <w:r w:rsidR="0082797B" w:rsidRPr="00BE1959">
        <w:rPr>
          <w:rFonts w:ascii="Times New Roman" w:eastAsia="Times New Roman" w:hAnsi="Times New Roman" w:cs="Times New Roman"/>
          <w:sz w:val="24"/>
          <w:szCs w:val="24"/>
          <w:lang w:val="uk-UA"/>
        </w:rPr>
        <w:t>дотримувалися рішень одного чи декількох таких органів, які реалізують такі процедури розгляду скарг і відшкодування.</w:t>
      </w:r>
    </w:p>
    <w:p w:rsidR="005613AB" w:rsidRPr="00BE1959" w:rsidRDefault="005613AB" w:rsidP="00BB6396">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2.   </w:t>
      </w:r>
      <w:r w:rsidR="001F5C90" w:rsidRPr="00BE1959">
        <w:rPr>
          <w:rFonts w:ascii="Times New Roman" w:eastAsia="Times New Roman" w:hAnsi="Times New Roman" w:cs="Times New Roman"/>
          <w:sz w:val="24"/>
          <w:szCs w:val="24"/>
          <w:lang w:val="uk-UA"/>
        </w:rPr>
        <w:t>Держави-члени</w:t>
      </w:r>
      <w:r w:rsidRPr="00BE1959">
        <w:rPr>
          <w:rFonts w:ascii="Times New Roman" w:eastAsia="Times New Roman" w:hAnsi="Times New Roman" w:cs="Times New Roman"/>
          <w:sz w:val="24"/>
          <w:szCs w:val="24"/>
          <w:lang w:val="uk-UA"/>
        </w:rPr>
        <w:t xml:space="preserve"> </w:t>
      </w:r>
      <w:r w:rsidR="0082797B" w:rsidRPr="00BE1959">
        <w:rPr>
          <w:rFonts w:ascii="Times New Roman" w:eastAsia="Times New Roman" w:hAnsi="Times New Roman" w:cs="Times New Roman"/>
          <w:sz w:val="24"/>
          <w:szCs w:val="24"/>
          <w:lang w:val="uk-UA"/>
        </w:rPr>
        <w:t>забезпечують, щоб ці органи активно співпрацювали з відповідними органами інших держав-членів у врегулюванні спорів міжнародного характеру.</w:t>
      </w:r>
    </w:p>
    <w:p w:rsidR="005613AB" w:rsidRPr="00BE1959" w:rsidRDefault="005613AB" w:rsidP="00BD1291">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3.   </w:t>
      </w:r>
      <w:r w:rsidR="007E2686" w:rsidRPr="00BE1959">
        <w:rPr>
          <w:rFonts w:ascii="Times New Roman" w:eastAsia="Times New Roman" w:hAnsi="Times New Roman" w:cs="Times New Roman"/>
          <w:sz w:val="24"/>
          <w:szCs w:val="24"/>
          <w:lang w:val="uk-UA"/>
        </w:rPr>
        <w:t>Компетентні органи</w:t>
      </w:r>
      <w:r w:rsidRPr="00BE1959">
        <w:rPr>
          <w:rFonts w:ascii="Times New Roman" w:eastAsia="Times New Roman" w:hAnsi="Times New Roman" w:cs="Times New Roman"/>
          <w:sz w:val="24"/>
          <w:szCs w:val="24"/>
          <w:lang w:val="uk-UA"/>
        </w:rPr>
        <w:t xml:space="preserve"> </w:t>
      </w:r>
      <w:r w:rsidR="00BB6396" w:rsidRPr="00BE1959">
        <w:rPr>
          <w:rFonts w:ascii="Times New Roman" w:eastAsia="Times New Roman" w:hAnsi="Times New Roman" w:cs="Times New Roman"/>
          <w:sz w:val="24"/>
          <w:szCs w:val="24"/>
          <w:lang w:val="uk-UA"/>
        </w:rPr>
        <w:t>повідомляють</w:t>
      </w:r>
      <w:r w:rsidRPr="00BE1959">
        <w:rPr>
          <w:rFonts w:ascii="Times New Roman" w:eastAsia="Times New Roman" w:hAnsi="Times New Roman" w:cs="Times New Roman"/>
          <w:sz w:val="24"/>
          <w:szCs w:val="24"/>
          <w:lang w:val="uk-UA"/>
        </w:rPr>
        <w:t xml:space="preserve"> ESMA </w:t>
      </w:r>
      <w:r w:rsidR="00BB6396" w:rsidRPr="00BE1959">
        <w:rPr>
          <w:rFonts w:ascii="Times New Roman" w:eastAsia="Times New Roman" w:hAnsi="Times New Roman" w:cs="Times New Roman"/>
          <w:sz w:val="24"/>
          <w:szCs w:val="24"/>
          <w:lang w:val="uk-UA"/>
        </w:rPr>
        <w:t xml:space="preserve">про процедури розгляду скарг і відшкодування, згадані у пункті 1, які </w:t>
      </w:r>
      <w:r w:rsidR="00BD1291" w:rsidRPr="00BE1959">
        <w:rPr>
          <w:rFonts w:ascii="Times New Roman" w:eastAsia="Times New Roman" w:hAnsi="Times New Roman" w:cs="Times New Roman"/>
          <w:sz w:val="24"/>
          <w:szCs w:val="24"/>
          <w:lang w:val="uk-UA"/>
        </w:rPr>
        <w:t>діють у їхній юрисдикції.</w:t>
      </w:r>
    </w:p>
    <w:p w:rsidR="005613AB" w:rsidRPr="00BE1959" w:rsidRDefault="005613AB" w:rsidP="00BD1291">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ESMA </w:t>
      </w:r>
      <w:r w:rsidR="00BD1291" w:rsidRPr="00BE1959">
        <w:rPr>
          <w:rFonts w:ascii="Times New Roman" w:eastAsia="Times New Roman" w:hAnsi="Times New Roman" w:cs="Times New Roman"/>
          <w:sz w:val="24"/>
          <w:szCs w:val="24"/>
          <w:lang w:val="uk-UA"/>
        </w:rPr>
        <w:t>публікує перелік усіх позасудових механізмів на своєму веб-сайті та регулярно оновлює його.</w:t>
      </w:r>
    </w:p>
    <w:p w:rsidR="005613AB" w:rsidRPr="00BE1959" w:rsidRDefault="00162A11" w:rsidP="005613AB">
      <w:pPr>
        <w:spacing w:before="360" w:after="120" w:line="312" w:lineRule="atLeast"/>
        <w:jc w:val="center"/>
        <w:textAlignment w:val="baseline"/>
        <w:rPr>
          <w:rFonts w:ascii="Times New Roman" w:eastAsia="Times New Roman" w:hAnsi="Times New Roman" w:cs="Times New Roman"/>
          <w:i/>
          <w:iCs/>
          <w:sz w:val="24"/>
          <w:szCs w:val="24"/>
          <w:lang w:val="uk-UA"/>
        </w:rPr>
      </w:pPr>
      <w:r w:rsidRPr="00BE1959">
        <w:rPr>
          <w:rFonts w:ascii="Times New Roman" w:eastAsia="Times New Roman" w:hAnsi="Times New Roman" w:cs="Times New Roman"/>
          <w:i/>
          <w:iCs/>
          <w:sz w:val="24"/>
          <w:szCs w:val="24"/>
          <w:lang w:val="uk-UA"/>
        </w:rPr>
        <w:lastRenderedPageBreak/>
        <w:t>Стаття</w:t>
      </w:r>
      <w:r w:rsidR="005613AB" w:rsidRPr="00BE1959">
        <w:rPr>
          <w:rFonts w:ascii="Times New Roman" w:eastAsia="Times New Roman" w:hAnsi="Times New Roman" w:cs="Times New Roman"/>
          <w:i/>
          <w:iCs/>
          <w:sz w:val="24"/>
          <w:szCs w:val="24"/>
          <w:lang w:val="uk-UA"/>
        </w:rPr>
        <w:t xml:space="preserve"> 76</w:t>
      </w:r>
    </w:p>
    <w:p w:rsidR="005613AB" w:rsidRPr="00BE1959" w:rsidRDefault="00792D3E" w:rsidP="005613AB">
      <w:pPr>
        <w:spacing w:before="60" w:after="120" w:line="312" w:lineRule="atLeast"/>
        <w:jc w:val="center"/>
        <w:textAlignment w:val="baseline"/>
        <w:rPr>
          <w:rFonts w:ascii="Times New Roman" w:eastAsia="Times New Roman" w:hAnsi="Times New Roman" w:cs="Times New Roman"/>
          <w:b/>
          <w:bCs/>
          <w:sz w:val="24"/>
          <w:szCs w:val="24"/>
          <w:lang w:val="uk-UA"/>
        </w:rPr>
      </w:pPr>
      <w:r w:rsidRPr="00BE1959">
        <w:rPr>
          <w:rFonts w:ascii="Times New Roman" w:eastAsia="Times New Roman" w:hAnsi="Times New Roman" w:cs="Times New Roman"/>
          <w:b/>
          <w:bCs/>
          <w:sz w:val="24"/>
          <w:szCs w:val="24"/>
          <w:lang w:val="uk-UA"/>
        </w:rPr>
        <w:t>Професійна таємниця</w:t>
      </w:r>
    </w:p>
    <w:p w:rsidR="005613AB" w:rsidRPr="00BE1959" w:rsidRDefault="005613AB" w:rsidP="00F5485F">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1.   </w:t>
      </w:r>
      <w:r w:rsidR="001F5C90" w:rsidRPr="00BE1959">
        <w:rPr>
          <w:rFonts w:ascii="Times New Roman" w:eastAsia="Times New Roman" w:hAnsi="Times New Roman" w:cs="Times New Roman"/>
          <w:sz w:val="24"/>
          <w:szCs w:val="24"/>
          <w:lang w:val="uk-UA"/>
        </w:rPr>
        <w:t>Держави-члени</w:t>
      </w:r>
      <w:r w:rsidRPr="00BE1959">
        <w:rPr>
          <w:rFonts w:ascii="Times New Roman" w:eastAsia="Times New Roman" w:hAnsi="Times New Roman" w:cs="Times New Roman"/>
          <w:sz w:val="24"/>
          <w:szCs w:val="24"/>
          <w:lang w:val="uk-UA"/>
        </w:rPr>
        <w:t xml:space="preserve"> </w:t>
      </w:r>
      <w:r w:rsidR="00172580" w:rsidRPr="00BE1959">
        <w:rPr>
          <w:rFonts w:ascii="Times New Roman" w:eastAsia="Times New Roman" w:hAnsi="Times New Roman" w:cs="Times New Roman"/>
          <w:sz w:val="24"/>
          <w:szCs w:val="24"/>
          <w:lang w:val="uk-UA"/>
        </w:rPr>
        <w:t>забезпечують, щоб</w:t>
      </w:r>
      <w:r w:rsidRPr="00BE1959">
        <w:rPr>
          <w:rFonts w:ascii="Times New Roman" w:eastAsia="Times New Roman" w:hAnsi="Times New Roman" w:cs="Times New Roman"/>
          <w:sz w:val="24"/>
          <w:szCs w:val="24"/>
          <w:lang w:val="uk-UA"/>
        </w:rPr>
        <w:t xml:space="preserve"> </w:t>
      </w:r>
      <w:r w:rsidR="00434A96" w:rsidRPr="00BE1959">
        <w:rPr>
          <w:rFonts w:ascii="Times New Roman" w:eastAsia="Times New Roman" w:hAnsi="Times New Roman" w:cs="Times New Roman"/>
          <w:sz w:val="24"/>
          <w:szCs w:val="24"/>
          <w:lang w:val="uk-UA"/>
        </w:rPr>
        <w:t>компетентні органи</w:t>
      </w:r>
      <w:r w:rsidRPr="00BE1959">
        <w:rPr>
          <w:rFonts w:ascii="Times New Roman" w:eastAsia="Times New Roman" w:hAnsi="Times New Roman" w:cs="Times New Roman"/>
          <w:sz w:val="24"/>
          <w:szCs w:val="24"/>
          <w:lang w:val="uk-UA"/>
        </w:rPr>
        <w:t xml:space="preserve">, </w:t>
      </w:r>
      <w:r w:rsidR="00172580" w:rsidRPr="00BE1959">
        <w:rPr>
          <w:rFonts w:ascii="Times New Roman" w:eastAsia="Times New Roman" w:hAnsi="Times New Roman" w:cs="Times New Roman"/>
          <w:sz w:val="24"/>
          <w:szCs w:val="24"/>
          <w:lang w:val="uk-UA"/>
        </w:rPr>
        <w:t>всі особи, які працюють або працювали у компетентних органах або суб’єктах</w:t>
      </w:r>
      <w:r w:rsidR="00924890" w:rsidRPr="00BE1959">
        <w:rPr>
          <w:rFonts w:ascii="Times New Roman" w:eastAsia="Times New Roman" w:hAnsi="Times New Roman" w:cs="Times New Roman"/>
          <w:sz w:val="24"/>
          <w:szCs w:val="24"/>
          <w:lang w:val="uk-UA"/>
        </w:rPr>
        <w:t xml:space="preserve">, яким делеговані задачі відповідно до статті 67(2), а також аудитори та експерти, проінструктовані компетентними органами, були зв'язані </w:t>
      </w:r>
      <w:r w:rsidR="00F35910" w:rsidRPr="00BE1959">
        <w:rPr>
          <w:rFonts w:ascii="Times New Roman" w:eastAsia="Times New Roman" w:hAnsi="Times New Roman" w:cs="Times New Roman"/>
          <w:sz w:val="24"/>
          <w:szCs w:val="24"/>
          <w:lang w:val="uk-UA"/>
        </w:rPr>
        <w:t>зобов’яз</w:t>
      </w:r>
      <w:r w:rsidR="00252599" w:rsidRPr="00BE1959">
        <w:rPr>
          <w:rFonts w:ascii="Times New Roman" w:eastAsia="Times New Roman" w:hAnsi="Times New Roman" w:cs="Times New Roman"/>
          <w:sz w:val="24"/>
          <w:szCs w:val="24"/>
          <w:lang w:val="uk-UA"/>
        </w:rPr>
        <w:t xml:space="preserve">анням щодо </w:t>
      </w:r>
      <w:r w:rsidR="00F5485F" w:rsidRPr="00BE1959">
        <w:rPr>
          <w:rFonts w:ascii="Times New Roman" w:eastAsia="Times New Roman" w:hAnsi="Times New Roman" w:cs="Times New Roman"/>
          <w:sz w:val="24"/>
          <w:szCs w:val="24"/>
          <w:lang w:val="uk-UA"/>
        </w:rPr>
        <w:t xml:space="preserve">збереження професійної таємниці. Вони не розголошують конфіденційну інформацію, яку можуть отримати при виконанні своїх обов’язків, крім як у стислій або узагальненій формі, щоб неможливо було ідентифікувати окремі інвестиційні фірми, операторів ринку, регульовані ринки або будь-яку іншу особу, проте без </w:t>
      </w:r>
      <w:r w:rsidR="00325AEC" w:rsidRPr="00BE1959">
        <w:rPr>
          <w:rFonts w:ascii="Times New Roman" w:eastAsia="Times New Roman" w:hAnsi="Times New Roman" w:cs="Times New Roman"/>
          <w:sz w:val="24"/>
          <w:szCs w:val="24"/>
          <w:lang w:val="uk-UA"/>
        </w:rPr>
        <w:t>обмеження дії</w:t>
      </w:r>
      <w:r w:rsidR="00F5485F" w:rsidRPr="00BE1959">
        <w:rPr>
          <w:rFonts w:ascii="Times New Roman" w:eastAsia="Times New Roman" w:hAnsi="Times New Roman" w:cs="Times New Roman"/>
          <w:sz w:val="24"/>
          <w:szCs w:val="24"/>
          <w:lang w:val="uk-UA"/>
        </w:rPr>
        <w:t xml:space="preserve"> вимог національного кримінального чи податкового законодавства або інших положень</w:t>
      </w:r>
      <w:r w:rsidRPr="00BE1959">
        <w:rPr>
          <w:rFonts w:ascii="Times New Roman" w:eastAsia="Times New Roman" w:hAnsi="Times New Roman" w:cs="Times New Roman"/>
          <w:sz w:val="24"/>
          <w:szCs w:val="24"/>
          <w:lang w:val="uk-UA"/>
        </w:rPr>
        <w:t xml:space="preserve"> </w:t>
      </w:r>
      <w:r w:rsidR="00432567" w:rsidRPr="00BE1959">
        <w:rPr>
          <w:rFonts w:ascii="Times New Roman" w:eastAsia="Times New Roman" w:hAnsi="Times New Roman" w:cs="Times New Roman"/>
          <w:sz w:val="24"/>
          <w:szCs w:val="24"/>
          <w:lang w:val="uk-UA"/>
        </w:rPr>
        <w:t>цієї директиви</w:t>
      </w:r>
      <w:r w:rsidRPr="00BE1959">
        <w:rPr>
          <w:rFonts w:ascii="Times New Roman" w:eastAsia="Times New Roman" w:hAnsi="Times New Roman" w:cs="Times New Roman"/>
          <w:sz w:val="24"/>
          <w:szCs w:val="24"/>
          <w:lang w:val="uk-UA"/>
        </w:rPr>
        <w:t xml:space="preserve"> </w:t>
      </w:r>
      <w:r w:rsidR="005B3A26" w:rsidRPr="00BE1959">
        <w:rPr>
          <w:rFonts w:ascii="Times New Roman" w:eastAsia="Times New Roman" w:hAnsi="Times New Roman" w:cs="Times New Roman"/>
          <w:sz w:val="24"/>
          <w:szCs w:val="24"/>
          <w:lang w:val="uk-UA"/>
        </w:rPr>
        <w:t>або Регламенту</w:t>
      </w:r>
      <w:r w:rsidRPr="00BE1959">
        <w:rPr>
          <w:rFonts w:ascii="Times New Roman" w:eastAsia="Times New Roman" w:hAnsi="Times New Roman" w:cs="Times New Roman"/>
          <w:sz w:val="24"/>
          <w:szCs w:val="24"/>
          <w:lang w:val="uk-UA"/>
        </w:rPr>
        <w:t xml:space="preserve"> </w:t>
      </w:r>
      <w:r w:rsidR="007B0149" w:rsidRPr="00BE1959">
        <w:rPr>
          <w:rFonts w:ascii="Times New Roman" w:eastAsia="Times New Roman" w:hAnsi="Times New Roman" w:cs="Times New Roman"/>
          <w:sz w:val="24"/>
          <w:szCs w:val="24"/>
          <w:lang w:val="uk-UA"/>
        </w:rPr>
        <w:t>(EU) № 600/2014</w:t>
      </w:r>
      <w:r w:rsidRPr="00BE1959">
        <w:rPr>
          <w:rFonts w:ascii="Times New Roman" w:eastAsia="Times New Roman" w:hAnsi="Times New Roman" w:cs="Times New Roman"/>
          <w:sz w:val="24"/>
          <w:szCs w:val="24"/>
          <w:lang w:val="uk-UA"/>
        </w:rPr>
        <w:t>.</w:t>
      </w:r>
    </w:p>
    <w:p w:rsidR="005613AB" w:rsidRPr="00BE1959" w:rsidRDefault="005613AB" w:rsidP="001F08C3">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2.   </w:t>
      </w:r>
      <w:r w:rsidR="00F5485F" w:rsidRPr="00BE1959">
        <w:rPr>
          <w:rFonts w:ascii="Times New Roman" w:eastAsia="Times New Roman" w:hAnsi="Times New Roman" w:cs="Times New Roman"/>
          <w:sz w:val="24"/>
          <w:szCs w:val="24"/>
          <w:lang w:val="uk-UA"/>
        </w:rPr>
        <w:t>Якщо інвестиційн</w:t>
      </w:r>
      <w:r w:rsidR="009C7CAB" w:rsidRPr="00BE1959">
        <w:rPr>
          <w:rFonts w:ascii="Times New Roman" w:eastAsia="Times New Roman" w:hAnsi="Times New Roman" w:cs="Times New Roman"/>
          <w:sz w:val="24"/>
          <w:szCs w:val="24"/>
          <w:lang w:val="uk-UA"/>
        </w:rPr>
        <w:t>у</w:t>
      </w:r>
      <w:r w:rsidR="00F5485F" w:rsidRPr="00BE1959">
        <w:rPr>
          <w:rFonts w:ascii="Times New Roman" w:eastAsia="Times New Roman" w:hAnsi="Times New Roman" w:cs="Times New Roman"/>
          <w:sz w:val="24"/>
          <w:szCs w:val="24"/>
          <w:lang w:val="uk-UA"/>
        </w:rPr>
        <w:t xml:space="preserve"> фірм</w:t>
      </w:r>
      <w:r w:rsidR="009C7CAB" w:rsidRPr="00BE1959">
        <w:rPr>
          <w:rFonts w:ascii="Times New Roman" w:eastAsia="Times New Roman" w:hAnsi="Times New Roman" w:cs="Times New Roman"/>
          <w:sz w:val="24"/>
          <w:szCs w:val="24"/>
          <w:lang w:val="uk-UA"/>
        </w:rPr>
        <w:t>у</w:t>
      </w:r>
      <w:r w:rsidR="00F5485F" w:rsidRPr="00BE1959">
        <w:rPr>
          <w:rFonts w:ascii="Times New Roman" w:eastAsia="Times New Roman" w:hAnsi="Times New Roman" w:cs="Times New Roman"/>
          <w:sz w:val="24"/>
          <w:szCs w:val="24"/>
          <w:lang w:val="uk-UA"/>
        </w:rPr>
        <w:t>, оператор</w:t>
      </w:r>
      <w:r w:rsidR="009C7CAB" w:rsidRPr="00BE1959">
        <w:rPr>
          <w:rFonts w:ascii="Times New Roman" w:eastAsia="Times New Roman" w:hAnsi="Times New Roman" w:cs="Times New Roman"/>
          <w:sz w:val="24"/>
          <w:szCs w:val="24"/>
          <w:lang w:val="uk-UA"/>
        </w:rPr>
        <w:t>а</w:t>
      </w:r>
      <w:r w:rsidR="00F5485F" w:rsidRPr="00BE1959">
        <w:rPr>
          <w:rFonts w:ascii="Times New Roman" w:eastAsia="Times New Roman" w:hAnsi="Times New Roman" w:cs="Times New Roman"/>
          <w:sz w:val="24"/>
          <w:szCs w:val="24"/>
          <w:lang w:val="uk-UA"/>
        </w:rPr>
        <w:t xml:space="preserve"> ринку або регульований ринок оголошено банкрутом або </w:t>
      </w:r>
      <w:r w:rsidR="009C7CAB" w:rsidRPr="00BE1959">
        <w:rPr>
          <w:rFonts w:ascii="Times New Roman" w:eastAsia="Times New Roman" w:hAnsi="Times New Roman" w:cs="Times New Roman"/>
          <w:sz w:val="24"/>
          <w:szCs w:val="24"/>
          <w:lang w:val="uk-UA"/>
        </w:rPr>
        <w:t>піддано</w:t>
      </w:r>
      <w:r w:rsidR="00F5485F" w:rsidRPr="00BE1959">
        <w:rPr>
          <w:rFonts w:ascii="Times New Roman" w:eastAsia="Times New Roman" w:hAnsi="Times New Roman" w:cs="Times New Roman"/>
          <w:sz w:val="24"/>
          <w:szCs w:val="24"/>
          <w:lang w:val="uk-UA"/>
        </w:rPr>
        <w:t xml:space="preserve"> примусов</w:t>
      </w:r>
      <w:r w:rsidR="009C7CAB" w:rsidRPr="00BE1959">
        <w:rPr>
          <w:rFonts w:ascii="Times New Roman" w:eastAsia="Times New Roman" w:hAnsi="Times New Roman" w:cs="Times New Roman"/>
          <w:sz w:val="24"/>
          <w:szCs w:val="24"/>
          <w:lang w:val="uk-UA"/>
        </w:rPr>
        <w:t>ій ліквідації, то конфіденційна інформація, яка не стосується третіх осіб, може бути розголошена у цивільному або комерційному провадженні</w:t>
      </w:r>
      <w:r w:rsidR="001F08C3" w:rsidRPr="00BE1959">
        <w:rPr>
          <w:rFonts w:ascii="Times New Roman" w:eastAsia="Times New Roman" w:hAnsi="Times New Roman" w:cs="Times New Roman"/>
          <w:sz w:val="24"/>
          <w:szCs w:val="24"/>
          <w:lang w:val="uk-UA"/>
        </w:rPr>
        <w:t>, якщо це необхідно для проведення провадження.</w:t>
      </w:r>
    </w:p>
    <w:p w:rsidR="005613AB" w:rsidRPr="00BE1959" w:rsidRDefault="005613AB" w:rsidP="00507088">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3.   </w:t>
      </w:r>
      <w:r w:rsidR="00325AEC" w:rsidRPr="00BE1959">
        <w:rPr>
          <w:rFonts w:ascii="Times New Roman" w:eastAsia="Times New Roman" w:hAnsi="Times New Roman" w:cs="Times New Roman"/>
          <w:sz w:val="24"/>
          <w:szCs w:val="24"/>
          <w:lang w:val="uk-UA"/>
        </w:rPr>
        <w:t xml:space="preserve">Без обмеження дії вимог національного кримінального чи податкового законодавства </w:t>
      </w:r>
      <w:r w:rsidRPr="00BE1959">
        <w:rPr>
          <w:rFonts w:ascii="Times New Roman" w:eastAsia="Times New Roman" w:hAnsi="Times New Roman" w:cs="Times New Roman"/>
          <w:sz w:val="24"/>
          <w:szCs w:val="24"/>
          <w:lang w:val="uk-UA"/>
        </w:rPr>
        <w:t xml:space="preserve"> </w:t>
      </w:r>
      <w:r w:rsidR="00434A96" w:rsidRPr="00BE1959">
        <w:rPr>
          <w:rFonts w:ascii="Times New Roman" w:eastAsia="Times New Roman" w:hAnsi="Times New Roman" w:cs="Times New Roman"/>
          <w:sz w:val="24"/>
          <w:szCs w:val="24"/>
          <w:lang w:val="uk-UA"/>
        </w:rPr>
        <w:t>компетентні органи</w:t>
      </w:r>
      <w:r w:rsidRPr="00BE1959">
        <w:rPr>
          <w:rFonts w:ascii="Times New Roman" w:eastAsia="Times New Roman" w:hAnsi="Times New Roman" w:cs="Times New Roman"/>
          <w:sz w:val="24"/>
          <w:szCs w:val="24"/>
          <w:lang w:val="uk-UA"/>
        </w:rPr>
        <w:t xml:space="preserve">, </w:t>
      </w:r>
      <w:r w:rsidR="00325AEC" w:rsidRPr="00BE1959">
        <w:rPr>
          <w:rFonts w:ascii="Times New Roman" w:eastAsia="Times New Roman" w:hAnsi="Times New Roman" w:cs="Times New Roman"/>
          <w:sz w:val="24"/>
          <w:szCs w:val="24"/>
          <w:lang w:val="uk-UA"/>
        </w:rPr>
        <w:t>інші органи або фізичні чи юридичні особи, інші ніж компетентні органи, що отримують конфіденційну інформацію відповідно до цієї директиви або Регламенту</w:t>
      </w:r>
      <w:r w:rsidRPr="00BE1959">
        <w:rPr>
          <w:rFonts w:ascii="Times New Roman" w:eastAsia="Times New Roman" w:hAnsi="Times New Roman" w:cs="Times New Roman"/>
          <w:sz w:val="24"/>
          <w:szCs w:val="24"/>
          <w:lang w:val="uk-UA"/>
        </w:rPr>
        <w:t xml:space="preserve"> </w:t>
      </w:r>
      <w:r w:rsidR="007B0149" w:rsidRPr="00BE1959">
        <w:rPr>
          <w:rFonts w:ascii="Times New Roman" w:eastAsia="Times New Roman" w:hAnsi="Times New Roman" w:cs="Times New Roman"/>
          <w:sz w:val="24"/>
          <w:szCs w:val="24"/>
          <w:lang w:val="uk-UA"/>
        </w:rPr>
        <w:t>(EU) № 600/2014</w:t>
      </w:r>
      <w:r w:rsidR="00325AEC" w:rsidRPr="00BE1959">
        <w:rPr>
          <w:rFonts w:ascii="Times New Roman" w:eastAsia="Times New Roman" w:hAnsi="Times New Roman" w:cs="Times New Roman"/>
          <w:sz w:val="24"/>
          <w:szCs w:val="24"/>
          <w:lang w:val="uk-UA"/>
        </w:rPr>
        <w:t xml:space="preserve">, можуть використовувати її тільки при виконанні своїх обов’язків і </w:t>
      </w:r>
      <w:r w:rsidR="00F93C1A" w:rsidRPr="00BE1959">
        <w:rPr>
          <w:rFonts w:ascii="Times New Roman" w:eastAsia="Times New Roman" w:hAnsi="Times New Roman" w:cs="Times New Roman"/>
          <w:sz w:val="24"/>
          <w:szCs w:val="24"/>
          <w:lang w:val="uk-UA"/>
        </w:rPr>
        <w:t xml:space="preserve">(якщо це компетентні органи) </w:t>
      </w:r>
      <w:r w:rsidR="00325AEC" w:rsidRPr="00BE1959">
        <w:rPr>
          <w:rFonts w:ascii="Times New Roman" w:eastAsia="Times New Roman" w:hAnsi="Times New Roman" w:cs="Times New Roman"/>
          <w:sz w:val="24"/>
          <w:szCs w:val="24"/>
          <w:lang w:val="uk-UA"/>
        </w:rPr>
        <w:t xml:space="preserve">для здійснення своїх функцій у межах сфери дії </w:t>
      </w:r>
      <w:r w:rsidR="00432567" w:rsidRPr="00BE1959">
        <w:rPr>
          <w:rFonts w:ascii="Times New Roman" w:eastAsia="Times New Roman" w:hAnsi="Times New Roman" w:cs="Times New Roman"/>
          <w:sz w:val="24"/>
          <w:szCs w:val="24"/>
          <w:lang w:val="uk-UA"/>
        </w:rPr>
        <w:t>цієї директиви</w:t>
      </w:r>
      <w:r w:rsidRPr="00BE1959">
        <w:rPr>
          <w:rFonts w:ascii="Times New Roman" w:eastAsia="Times New Roman" w:hAnsi="Times New Roman" w:cs="Times New Roman"/>
          <w:sz w:val="24"/>
          <w:szCs w:val="24"/>
          <w:lang w:val="uk-UA"/>
        </w:rPr>
        <w:t xml:space="preserve"> </w:t>
      </w:r>
      <w:r w:rsidR="005B3A26" w:rsidRPr="00BE1959">
        <w:rPr>
          <w:rFonts w:ascii="Times New Roman" w:eastAsia="Times New Roman" w:hAnsi="Times New Roman" w:cs="Times New Roman"/>
          <w:sz w:val="24"/>
          <w:szCs w:val="24"/>
          <w:lang w:val="uk-UA"/>
        </w:rPr>
        <w:t>або Регламенту</w:t>
      </w:r>
      <w:r w:rsidRPr="00BE1959">
        <w:rPr>
          <w:rFonts w:ascii="Times New Roman" w:eastAsia="Times New Roman" w:hAnsi="Times New Roman" w:cs="Times New Roman"/>
          <w:sz w:val="24"/>
          <w:szCs w:val="24"/>
          <w:lang w:val="uk-UA"/>
        </w:rPr>
        <w:t xml:space="preserve"> </w:t>
      </w:r>
      <w:r w:rsidR="007B0149" w:rsidRPr="00BE1959">
        <w:rPr>
          <w:rFonts w:ascii="Times New Roman" w:eastAsia="Times New Roman" w:hAnsi="Times New Roman" w:cs="Times New Roman"/>
          <w:sz w:val="24"/>
          <w:szCs w:val="24"/>
          <w:lang w:val="uk-UA"/>
        </w:rPr>
        <w:t>(EU) № 600/2014</w:t>
      </w:r>
      <w:r w:rsidRPr="00BE1959">
        <w:rPr>
          <w:rFonts w:ascii="Times New Roman" w:eastAsia="Times New Roman" w:hAnsi="Times New Roman" w:cs="Times New Roman"/>
          <w:sz w:val="24"/>
          <w:szCs w:val="24"/>
          <w:lang w:val="uk-UA"/>
        </w:rPr>
        <w:t xml:space="preserve"> </w:t>
      </w:r>
      <w:r w:rsidR="008B5213" w:rsidRPr="00BE1959">
        <w:rPr>
          <w:rFonts w:ascii="Times New Roman" w:eastAsia="Times New Roman" w:hAnsi="Times New Roman" w:cs="Times New Roman"/>
          <w:sz w:val="24"/>
          <w:szCs w:val="24"/>
          <w:lang w:val="uk-UA"/>
        </w:rPr>
        <w:t xml:space="preserve">або </w:t>
      </w:r>
      <w:r w:rsidR="00F93C1A" w:rsidRPr="00BE1959">
        <w:rPr>
          <w:rFonts w:ascii="Times New Roman" w:eastAsia="Times New Roman" w:hAnsi="Times New Roman" w:cs="Times New Roman"/>
          <w:sz w:val="24"/>
          <w:szCs w:val="24"/>
          <w:lang w:val="uk-UA"/>
        </w:rPr>
        <w:t xml:space="preserve">(якщо це інші органи, установи або фізичні чи юридичні особи) </w:t>
      </w:r>
      <w:r w:rsidR="008B5213" w:rsidRPr="00BE1959">
        <w:rPr>
          <w:rFonts w:ascii="Times New Roman" w:eastAsia="Times New Roman" w:hAnsi="Times New Roman" w:cs="Times New Roman"/>
          <w:sz w:val="24"/>
          <w:szCs w:val="24"/>
          <w:lang w:val="uk-UA"/>
        </w:rPr>
        <w:t xml:space="preserve">в цілях, для яких їм була надана ця інформація, </w:t>
      </w:r>
      <w:r w:rsidR="00F93C1A" w:rsidRPr="00BE1959">
        <w:rPr>
          <w:rFonts w:ascii="Times New Roman" w:eastAsia="Times New Roman" w:hAnsi="Times New Roman" w:cs="Times New Roman"/>
          <w:sz w:val="24"/>
          <w:szCs w:val="24"/>
          <w:lang w:val="uk-UA"/>
        </w:rPr>
        <w:t xml:space="preserve">і (або) у </w:t>
      </w:r>
      <w:r w:rsidR="008B5213" w:rsidRPr="00BE1959">
        <w:rPr>
          <w:rFonts w:ascii="Times New Roman" w:eastAsia="Times New Roman" w:hAnsi="Times New Roman" w:cs="Times New Roman"/>
          <w:sz w:val="24"/>
          <w:szCs w:val="24"/>
          <w:lang w:val="uk-UA"/>
        </w:rPr>
        <w:t>контексті адміністративного чи судового провадження, конкретно пов'яза</w:t>
      </w:r>
      <w:r w:rsidR="00F93C1A" w:rsidRPr="00BE1959">
        <w:rPr>
          <w:rFonts w:ascii="Times New Roman" w:eastAsia="Times New Roman" w:hAnsi="Times New Roman" w:cs="Times New Roman"/>
          <w:sz w:val="24"/>
          <w:szCs w:val="24"/>
          <w:lang w:val="uk-UA"/>
        </w:rPr>
        <w:t xml:space="preserve">ного із здійсненням цих функцій. Проте, за наявності згоди компетентного органу чи іншого органу, установи </w:t>
      </w:r>
      <w:r w:rsidR="00507088" w:rsidRPr="00BE1959">
        <w:rPr>
          <w:rFonts w:ascii="Times New Roman" w:eastAsia="Times New Roman" w:hAnsi="Times New Roman" w:cs="Times New Roman"/>
          <w:sz w:val="24"/>
          <w:szCs w:val="24"/>
          <w:lang w:val="uk-UA"/>
        </w:rPr>
        <w:t>або особи, що надала цю інформацію, орган, що отримав інформацію може використовувати її в інших цілях.</w:t>
      </w:r>
    </w:p>
    <w:p w:rsidR="00107C87" w:rsidRPr="00BE1959" w:rsidRDefault="005613AB" w:rsidP="00107C87">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4.   </w:t>
      </w:r>
      <w:r w:rsidR="00F61654" w:rsidRPr="00BE1959">
        <w:rPr>
          <w:rFonts w:ascii="Times New Roman" w:eastAsia="Times New Roman" w:hAnsi="Times New Roman" w:cs="Times New Roman"/>
          <w:sz w:val="24"/>
          <w:szCs w:val="24"/>
          <w:lang w:val="uk-UA"/>
        </w:rPr>
        <w:t>Будь-яка конфіденційна інформація, отримана, обмінена чи передана</w:t>
      </w:r>
      <w:r w:rsidR="004A6C50" w:rsidRPr="00BE1959">
        <w:rPr>
          <w:rFonts w:ascii="Times New Roman" w:eastAsia="Times New Roman" w:hAnsi="Times New Roman" w:cs="Times New Roman"/>
          <w:sz w:val="24"/>
          <w:szCs w:val="24"/>
          <w:lang w:val="uk-UA"/>
        </w:rPr>
        <w:t xml:space="preserve"> на виконання цієї директиви або Регламенту</w:t>
      </w:r>
      <w:r w:rsidRPr="00BE1959">
        <w:rPr>
          <w:rFonts w:ascii="Times New Roman" w:eastAsia="Times New Roman" w:hAnsi="Times New Roman" w:cs="Times New Roman"/>
          <w:sz w:val="24"/>
          <w:szCs w:val="24"/>
          <w:lang w:val="uk-UA"/>
        </w:rPr>
        <w:t xml:space="preserve"> </w:t>
      </w:r>
      <w:r w:rsidR="007B0149" w:rsidRPr="00BE1959">
        <w:rPr>
          <w:rFonts w:ascii="Times New Roman" w:eastAsia="Times New Roman" w:hAnsi="Times New Roman" w:cs="Times New Roman"/>
          <w:sz w:val="24"/>
          <w:szCs w:val="24"/>
          <w:lang w:val="uk-UA"/>
        </w:rPr>
        <w:t>(EU) № 600/2014</w:t>
      </w:r>
      <w:r w:rsidR="004A6C50" w:rsidRPr="00BE1959">
        <w:rPr>
          <w:rFonts w:ascii="Times New Roman" w:eastAsia="Times New Roman" w:hAnsi="Times New Roman" w:cs="Times New Roman"/>
          <w:sz w:val="24"/>
          <w:szCs w:val="24"/>
          <w:lang w:val="uk-UA"/>
        </w:rPr>
        <w:t>, підпадає під дію умов щодо професійної таємниці, викладених у цій статті. Тим не менш, ця стаття не перешкоджає компетентним органам обмінюватися чи передавати конфіденційну інформацію відповідно до цієї директиви або Регламенту</w:t>
      </w:r>
      <w:r w:rsidRPr="00BE1959">
        <w:rPr>
          <w:rFonts w:ascii="Times New Roman" w:eastAsia="Times New Roman" w:hAnsi="Times New Roman" w:cs="Times New Roman"/>
          <w:sz w:val="24"/>
          <w:szCs w:val="24"/>
          <w:lang w:val="uk-UA"/>
        </w:rPr>
        <w:t xml:space="preserve"> </w:t>
      </w:r>
      <w:r w:rsidR="007B0149" w:rsidRPr="00BE1959">
        <w:rPr>
          <w:rFonts w:ascii="Times New Roman" w:eastAsia="Times New Roman" w:hAnsi="Times New Roman" w:cs="Times New Roman"/>
          <w:sz w:val="24"/>
          <w:szCs w:val="24"/>
          <w:lang w:val="uk-UA"/>
        </w:rPr>
        <w:t>(EU) № 600/2014</w:t>
      </w:r>
      <w:r w:rsidRPr="00BE1959">
        <w:rPr>
          <w:rFonts w:ascii="Times New Roman" w:eastAsia="Times New Roman" w:hAnsi="Times New Roman" w:cs="Times New Roman"/>
          <w:sz w:val="24"/>
          <w:szCs w:val="24"/>
          <w:lang w:val="uk-UA"/>
        </w:rPr>
        <w:t xml:space="preserve"> </w:t>
      </w:r>
      <w:r w:rsidR="004634D0" w:rsidRPr="00BE1959">
        <w:rPr>
          <w:rFonts w:ascii="Times New Roman" w:eastAsia="Times New Roman" w:hAnsi="Times New Roman" w:cs="Times New Roman"/>
          <w:sz w:val="24"/>
          <w:szCs w:val="24"/>
          <w:lang w:val="uk-UA"/>
        </w:rPr>
        <w:t>та інших директив або регламентів, застосованих до інвестиційних фірм</w:t>
      </w:r>
      <w:r w:rsidR="00107C87" w:rsidRPr="00BE1959">
        <w:rPr>
          <w:rFonts w:ascii="Times New Roman" w:eastAsia="Times New Roman" w:hAnsi="Times New Roman" w:cs="Times New Roman"/>
          <w:sz w:val="24"/>
          <w:szCs w:val="24"/>
          <w:lang w:val="uk-UA"/>
        </w:rPr>
        <w:t>, кредитних установ, пенсійних фондів,</w:t>
      </w:r>
      <w:r w:rsidRPr="00BE1959">
        <w:rPr>
          <w:rFonts w:ascii="Times New Roman" w:eastAsia="Times New Roman" w:hAnsi="Times New Roman" w:cs="Times New Roman"/>
          <w:sz w:val="24"/>
          <w:szCs w:val="24"/>
          <w:lang w:val="uk-UA"/>
        </w:rPr>
        <w:t xml:space="preserve"> UCITS, </w:t>
      </w:r>
      <w:r w:rsidR="00107C87" w:rsidRPr="00BE1959">
        <w:rPr>
          <w:rFonts w:ascii="Times New Roman" w:eastAsia="Times New Roman" w:hAnsi="Times New Roman" w:cs="Times New Roman"/>
          <w:sz w:val="24"/>
          <w:szCs w:val="24"/>
          <w:lang w:val="uk-UA"/>
        </w:rPr>
        <w:t>КУАІФ, страхових і перестрахувальних посередників, страхових компаній, регульованих ринків або операторів ринків, ЦКА, ЦДЦП тощо</w:t>
      </w:r>
      <w:r w:rsidR="003E6480" w:rsidRPr="00BE1959">
        <w:rPr>
          <w:rFonts w:ascii="Times New Roman" w:eastAsia="Times New Roman" w:hAnsi="Times New Roman" w:cs="Times New Roman"/>
          <w:sz w:val="24"/>
          <w:szCs w:val="24"/>
          <w:lang w:val="uk-UA"/>
        </w:rPr>
        <w:t>,</w:t>
      </w:r>
      <w:r w:rsidR="00107C87" w:rsidRPr="00BE1959">
        <w:rPr>
          <w:rFonts w:ascii="Times New Roman" w:eastAsia="Times New Roman" w:hAnsi="Times New Roman" w:cs="Times New Roman"/>
          <w:sz w:val="24"/>
          <w:szCs w:val="24"/>
          <w:lang w:val="uk-UA"/>
        </w:rPr>
        <w:t xml:space="preserve"> за наявності компетентного органу або іншого органу, установи, фізичної чи юридичної особи, що надала вищезгадану інформацію.</w:t>
      </w:r>
    </w:p>
    <w:p w:rsidR="005613AB" w:rsidRPr="00BE1959" w:rsidRDefault="005613AB" w:rsidP="00B75B33">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5.   </w:t>
      </w:r>
      <w:r w:rsidR="003E6480" w:rsidRPr="00BE1959">
        <w:rPr>
          <w:rFonts w:ascii="Times New Roman" w:eastAsia="Times New Roman" w:hAnsi="Times New Roman" w:cs="Times New Roman"/>
          <w:sz w:val="24"/>
          <w:szCs w:val="24"/>
          <w:lang w:val="uk-UA"/>
        </w:rPr>
        <w:t xml:space="preserve">Ця стаття не перешкоджає компетентним органам обмінюватися або передавати, відповідно до національного законодавства, конфіденційну інформацію, яка не була отримана від компетентного </w:t>
      </w:r>
      <w:r w:rsidR="00B75B33" w:rsidRPr="00BE1959">
        <w:rPr>
          <w:rFonts w:ascii="Times New Roman" w:eastAsia="Times New Roman" w:hAnsi="Times New Roman" w:cs="Times New Roman"/>
          <w:sz w:val="24"/>
          <w:szCs w:val="24"/>
          <w:lang w:val="uk-UA"/>
        </w:rPr>
        <w:t>органу іншої держави-члена.</w:t>
      </w:r>
    </w:p>
    <w:p w:rsidR="005613AB" w:rsidRPr="00BE1959" w:rsidRDefault="00162A11" w:rsidP="005613AB">
      <w:pPr>
        <w:spacing w:before="360" w:after="120" w:line="312" w:lineRule="atLeast"/>
        <w:jc w:val="center"/>
        <w:textAlignment w:val="baseline"/>
        <w:rPr>
          <w:rFonts w:ascii="Times New Roman" w:eastAsia="Times New Roman" w:hAnsi="Times New Roman" w:cs="Times New Roman"/>
          <w:i/>
          <w:iCs/>
          <w:sz w:val="24"/>
          <w:szCs w:val="24"/>
          <w:lang w:val="uk-UA"/>
        </w:rPr>
      </w:pPr>
      <w:r w:rsidRPr="00BE1959">
        <w:rPr>
          <w:rFonts w:ascii="Times New Roman" w:eastAsia="Times New Roman" w:hAnsi="Times New Roman" w:cs="Times New Roman"/>
          <w:i/>
          <w:iCs/>
          <w:sz w:val="24"/>
          <w:szCs w:val="24"/>
          <w:lang w:val="uk-UA"/>
        </w:rPr>
        <w:lastRenderedPageBreak/>
        <w:t>Стаття</w:t>
      </w:r>
      <w:r w:rsidR="005613AB" w:rsidRPr="00BE1959">
        <w:rPr>
          <w:rFonts w:ascii="Times New Roman" w:eastAsia="Times New Roman" w:hAnsi="Times New Roman" w:cs="Times New Roman"/>
          <w:i/>
          <w:iCs/>
          <w:sz w:val="24"/>
          <w:szCs w:val="24"/>
          <w:lang w:val="uk-UA"/>
        </w:rPr>
        <w:t xml:space="preserve"> 77</w:t>
      </w:r>
    </w:p>
    <w:p w:rsidR="005613AB" w:rsidRPr="00BE1959" w:rsidRDefault="00792D3E" w:rsidP="005613AB">
      <w:pPr>
        <w:spacing w:before="60" w:after="120" w:line="312" w:lineRule="atLeast"/>
        <w:jc w:val="center"/>
        <w:textAlignment w:val="baseline"/>
        <w:rPr>
          <w:rFonts w:ascii="Times New Roman" w:eastAsia="Times New Roman" w:hAnsi="Times New Roman" w:cs="Times New Roman"/>
          <w:b/>
          <w:bCs/>
          <w:sz w:val="24"/>
          <w:szCs w:val="24"/>
          <w:lang w:val="uk-UA"/>
        </w:rPr>
      </w:pPr>
      <w:r w:rsidRPr="00BE1959">
        <w:rPr>
          <w:rFonts w:ascii="Times New Roman" w:eastAsia="Times New Roman" w:hAnsi="Times New Roman" w:cs="Times New Roman"/>
          <w:b/>
          <w:bCs/>
          <w:sz w:val="24"/>
          <w:szCs w:val="24"/>
          <w:lang w:val="uk-UA"/>
        </w:rPr>
        <w:t>Відносини з аудиторами</w:t>
      </w:r>
    </w:p>
    <w:p w:rsidR="005613AB" w:rsidRPr="00BE1959" w:rsidRDefault="005613AB" w:rsidP="00441B99">
      <w:pPr>
        <w:spacing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1.   </w:t>
      </w:r>
      <w:r w:rsidR="001F5C90" w:rsidRPr="00BE1959">
        <w:rPr>
          <w:rFonts w:ascii="Times New Roman" w:eastAsia="Times New Roman" w:hAnsi="Times New Roman" w:cs="Times New Roman"/>
          <w:sz w:val="24"/>
          <w:szCs w:val="24"/>
          <w:lang w:val="uk-UA"/>
        </w:rPr>
        <w:t>Держави-члени</w:t>
      </w:r>
      <w:r w:rsidRPr="00BE1959">
        <w:rPr>
          <w:rFonts w:ascii="Times New Roman" w:eastAsia="Times New Roman" w:hAnsi="Times New Roman" w:cs="Times New Roman"/>
          <w:sz w:val="24"/>
          <w:szCs w:val="24"/>
          <w:lang w:val="uk-UA"/>
        </w:rPr>
        <w:t xml:space="preserve"> </w:t>
      </w:r>
      <w:r w:rsidR="00E47B65" w:rsidRPr="00BE1959">
        <w:rPr>
          <w:rFonts w:ascii="Times New Roman" w:eastAsia="Times New Roman" w:hAnsi="Times New Roman" w:cs="Times New Roman"/>
          <w:sz w:val="24"/>
          <w:szCs w:val="24"/>
          <w:lang w:val="uk-UA"/>
        </w:rPr>
        <w:t>передбачають, як мінімум, що будь-яка особа, уповноважена у значенні</w:t>
      </w:r>
      <w:r w:rsidRPr="00BE1959">
        <w:rPr>
          <w:rFonts w:ascii="Times New Roman" w:eastAsia="Times New Roman" w:hAnsi="Times New Roman" w:cs="Times New Roman"/>
          <w:sz w:val="24"/>
          <w:szCs w:val="24"/>
          <w:lang w:val="uk-UA"/>
        </w:rPr>
        <w:t xml:space="preserve"> </w:t>
      </w:r>
      <w:r w:rsidR="00016E03" w:rsidRPr="00BE1959">
        <w:rPr>
          <w:rFonts w:ascii="Times New Roman" w:eastAsia="Times New Roman" w:hAnsi="Times New Roman" w:cs="Times New Roman"/>
          <w:sz w:val="24"/>
          <w:szCs w:val="24"/>
          <w:lang w:val="uk-UA"/>
        </w:rPr>
        <w:t>Директиви</w:t>
      </w:r>
      <w:r w:rsidRPr="00BE1959">
        <w:rPr>
          <w:rFonts w:ascii="Times New Roman" w:eastAsia="Times New Roman" w:hAnsi="Times New Roman" w:cs="Times New Roman"/>
          <w:sz w:val="24"/>
          <w:szCs w:val="24"/>
          <w:lang w:val="uk-UA"/>
        </w:rPr>
        <w:t xml:space="preserve"> 2006/43/EC </w:t>
      </w:r>
      <w:r w:rsidR="00423154" w:rsidRPr="00BE1959">
        <w:rPr>
          <w:rFonts w:ascii="Times New Roman" w:eastAsia="Times New Roman" w:hAnsi="Times New Roman" w:cs="Times New Roman"/>
          <w:sz w:val="24"/>
          <w:szCs w:val="24"/>
          <w:lang w:val="uk-UA"/>
        </w:rPr>
        <w:t>Європейського Парламенту та Ради</w:t>
      </w:r>
      <w:hyperlink r:id="rId54" w:anchor="ntr49-L_2014173EN.01034901-E0049" w:history="1">
        <w:r w:rsidRPr="00BE1959">
          <w:rPr>
            <w:rFonts w:ascii="Times New Roman" w:eastAsia="Times New Roman" w:hAnsi="Times New Roman" w:cs="Times New Roman"/>
            <w:sz w:val="24"/>
            <w:szCs w:val="24"/>
            <w:bdr w:val="none" w:sz="0" w:space="0" w:color="auto" w:frame="1"/>
            <w:lang w:val="uk-UA"/>
          </w:rPr>
          <w:t> (</w:t>
        </w:r>
        <w:r w:rsidRPr="00BE1959">
          <w:rPr>
            <w:rFonts w:ascii="Times New Roman" w:eastAsia="Times New Roman" w:hAnsi="Times New Roman" w:cs="Times New Roman"/>
            <w:sz w:val="24"/>
            <w:szCs w:val="24"/>
            <w:bdr w:val="none" w:sz="0" w:space="0" w:color="auto" w:frame="1"/>
            <w:vertAlign w:val="superscript"/>
            <w:lang w:val="uk-UA"/>
          </w:rPr>
          <w:t>49</w:t>
        </w:r>
        <w:r w:rsidRPr="00BE1959">
          <w:rPr>
            <w:rFonts w:ascii="Times New Roman" w:eastAsia="Times New Roman" w:hAnsi="Times New Roman" w:cs="Times New Roman"/>
            <w:sz w:val="24"/>
            <w:szCs w:val="24"/>
            <w:bdr w:val="none" w:sz="0" w:space="0" w:color="auto" w:frame="1"/>
            <w:lang w:val="uk-UA"/>
          </w:rPr>
          <w:t>)</w:t>
        </w:r>
      </w:hyperlink>
      <w:r w:rsidRPr="00BE1959">
        <w:rPr>
          <w:rFonts w:ascii="Times New Roman" w:eastAsia="Times New Roman" w:hAnsi="Times New Roman" w:cs="Times New Roman"/>
          <w:sz w:val="24"/>
          <w:szCs w:val="24"/>
          <w:lang w:val="uk-UA"/>
        </w:rPr>
        <w:t xml:space="preserve">, </w:t>
      </w:r>
      <w:r w:rsidR="007D779E" w:rsidRPr="00BE1959">
        <w:rPr>
          <w:rFonts w:ascii="Times New Roman" w:eastAsia="Times New Roman" w:hAnsi="Times New Roman" w:cs="Times New Roman"/>
          <w:sz w:val="24"/>
          <w:szCs w:val="24"/>
          <w:lang w:val="uk-UA"/>
        </w:rPr>
        <w:t>яка виконує в інвестиційній фірмі, регульованому ринку чи надавачі послуг із повідомлення даних задачу, описану в статті</w:t>
      </w:r>
      <w:r w:rsidRPr="00BE1959">
        <w:rPr>
          <w:rFonts w:ascii="Times New Roman" w:eastAsia="Times New Roman" w:hAnsi="Times New Roman" w:cs="Times New Roman"/>
          <w:sz w:val="24"/>
          <w:szCs w:val="24"/>
          <w:lang w:val="uk-UA"/>
        </w:rPr>
        <w:t xml:space="preserve"> 34 </w:t>
      </w:r>
      <w:r w:rsidR="00016E03" w:rsidRPr="00BE1959">
        <w:rPr>
          <w:rFonts w:ascii="Times New Roman" w:eastAsia="Times New Roman" w:hAnsi="Times New Roman" w:cs="Times New Roman"/>
          <w:sz w:val="24"/>
          <w:szCs w:val="24"/>
          <w:lang w:val="uk-UA"/>
        </w:rPr>
        <w:t>Директиви</w:t>
      </w:r>
      <w:r w:rsidRPr="00BE1959">
        <w:rPr>
          <w:rFonts w:ascii="Times New Roman" w:eastAsia="Times New Roman" w:hAnsi="Times New Roman" w:cs="Times New Roman"/>
          <w:sz w:val="24"/>
          <w:szCs w:val="24"/>
          <w:lang w:val="uk-UA"/>
        </w:rPr>
        <w:t xml:space="preserve"> 2013/34/EU </w:t>
      </w:r>
      <w:r w:rsidR="007D779E" w:rsidRPr="00BE1959">
        <w:rPr>
          <w:rFonts w:ascii="Times New Roman" w:eastAsia="Times New Roman" w:hAnsi="Times New Roman" w:cs="Times New Roman"/>
          <w:sz w:val="24"/>
          <w:szCs w:val="24"/>
          <w:lang w:val="uk-UA"/>
        </w:rPr>
        <w:t>або в статті 73</w:t>
      </w:r>
      <w:r w:rsidRPr="00BE1959">
        <w:rPr>
          <w:rFonts w:ascii="Times New Roman" w:eastAsia="Times New Roman" w:hAnsi="Times New Roman" w:cs="Times New Roman"/>
          <w:sz w:val="24"/>
          <w:szCs w:val="24"/>
          <w:lang w:val="uk-UA"/>
        </w:rPr>
        <w:t xml:space="preserve"> </w:t>
      </w:r>
      <w:r w:rsidR="00016E03" w:rsidRPr="00BE1959">
        <w:rPr>
          <w:rFonts w:ascii="Times New Roman" w:eastAsia="Times New Roman" w:hAnsi="Times New Roman" w:cs="Times New Roman"/>
          <w:sz w:val="24"/>
          <w:szCs w:val="24"/>
          <w:lang w:val="uk-UA"/>
        </w:rPr>
        <w:t>Директиви</w:t>
      </w:r>
      <w:r w:rsidRPr="00BE1959">
        <w:rPr>
          <w:rFonts w:ascii="Times New Roman" w:eastAsia="Times New Roman" w:hAnsi="Times New Roman" w:cs="Times New Roman"/>
          <w:sz w:val="24"/>
          <w:szCs w:val="24"/>
          <w:lang w:val="uk-UA"/>
        </w:rPr>
        <w:t xml:space="preserve"> 2009/65/EC</w:t>
      </w:r>
      <w:r w:rsidR="007D779E" w:rsidRPr="00BE1959">
        <w:rPr>
          <w:rFonts w:ascii="Times New Roman" w:eastAsia="Times New Roman" w:hAnsi="Times New Roman" w:cs="Times New Roman"/>
          <w:sz w:val="24"/>
          <w:szCs w:val="24"/>
          <w:lang w:val="uk-UA"/>
        </w:rPr>
        <w:t xml:space="preserve">, чи будь-яку іншу задачу, приписану законом, зобов’язана негайно повідомляти компетентні органи про будь-який факт або рішення стосовно даного підприємства, </w:t>
      </w:r>
      <w:r w:rsidR="009E32AF" w:rsidRPr="00BE1959">
        <w:rPr>
          <w:rFonts w:ascii="Times New Roman" w:eastAsia="Times New Roman" w:hAnsi="Times New Roman" w:cs="Times New Roman"/>
          <w:sz w:val="24"/>
          <w:szCs w:val="24"/>
          <w:lang w:val="uk-UA"/>
        </w:rPr>
        <w:t>про як</w:t>
      </w:r>
      <w:r w:rsidR="00FB1D73" w:rsidRPr="00BE1959">
        <w:rPr>
          <w:rFonts w:ascii="Times New Roman" w:eastAsia="Times New Roman" w:hAnsi="Times New Roman" w:cs="Times New Roman"/>
          <w:sz w:val="24"/>
          <w:szCs w:val="24"/>
          <w:lang w:val="uk-UA"/>
        </w:rPr>
        <w:t>і</w:t>
      </w:r>
      <w:r w:rsidR="009E32AF" w:rsidRPr="00BE1959">
        <w:rPr>
          <w:rFonts w:ascii="Times New Roman" w:eastAsia="Times New Roman" w:hAnsi="Times New Roman" w:cs="Times New Roman"/>
          <w:sz w:val="24"/>
          <w:szCs w:val="24"/>
          <w:lang w:val="uk-UA"/>
        </w:rPr>
        <w:t xml:space="preserve"> цій особі стало відомо при виконанні даної задачі й як</w:t>
      </w:r>
      <w:r w:rsidR="00FB1D73" w:rsidRPr="00BE1959">
        <w:rPr>
          <w:rFonts w:ascii="Times New Roman" w:eastAsia="Times New Roman" w:hAnsi="Times New Roman" w:cs="Times New Roman"/>
          <w:sz w:val="24"/>
          <w:szCs w:val="24"/>
          <w:lang w:val="uk-UA"/>
        </w:rPr>
        <w:t>і</w:t>
      </w:r>
      <w:r w:rsidR="00441B99" w:rsidRPr="00BE1959">
        <w:rPr>
          <w:rFonts w:ascii="Times New Roman" w:eastAsia="Times New Roman" w:hAnsi="Times New Roman" w:cs="Times New Roman"/>
          <w:sz w:val="24"/>
          <w:szCs w:val="24"/>
          <w:lang w:val="uk-UA"/>
        </w:rPr>
        <w:t xml:space="preserve"> мож</w:t>
      </w:r>
      <w:r w:rsidR="00FB1D73" w:rsidRPr="00BE1959">
        <w:rPr>
          <w:rFonts w:ascii="Times New Roman" w:eastAsia="Times New Roman" w:hAnsi="Times New Roman" w:cs="Times New Roman"/>
          <w:sz w:val="24"/>
          <w:szCs w:val="24"/>
          <w:lang w:val="uk-UA"/>
        </w:rPr>
        <w:t>уть</w:t>
      </w:r>
      <w:r w:rsidR="00441B99" w:rsidRPr="00BE1959">
        <w:rPr>
          <w:rFonts w:ascii="Times New Roman" w:eastAsia="Times New Roman" w:hAnsi="Times New Roman" w:cs="Times New Roman"/>
          <w:sz w:val="24"/>
          <w:szCs w:val="24"/>
          <w:lang w:val="uk-UA"/>
        </w:rP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9093"/>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FB1D73" w:rsidP="00F95A00">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становити істотне порушення законів, нормативних актів або адміністративних положень, у яких закладено умови, що регламентують надання дозволу, або які</w:t>
            </w:r>
            <w:r w:rsidR="00F95A00" w:rsidRPr="00BE1959">
              <w:rPr>
                <w:rFonts w:ascii="Times New Roman" w:eastAsia="Times New Roman" w:hAnsi="Times New Roman" w:cs="Times New Roman"/>
                <w:sz w:val="24"/>
                <w:szCs w:val="24"/>
                <w:lang w:val="uk-UA"/>
              </w:rPr>
              <w:t xml:space="preserve"> конкретно регламентують ведення діяльності інвестиційних фірм;</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20"/>
        <w:gridCol w:w="8945"/>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F95A00" w:rsidP="00F95A00">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вплинути на безперервне функціонування</w:t>
            </w:r>
            <w:r w:rsidR="005613AB" w:rsidRPr="00BE1959">
              <w:rPr>
                <w:rFonts w:ascii="Times New Roman" w:eastAsia="Times New Roman" w:hAnsi="Times New Roman" w:cs="Times New Roman"/>
                <w:sz w:val="24"/>
                <w:szCs w:val="24"/>
                <w:lang w:val="uk-UA"/>
              </w:rPr>
              <w:t xml:space="preserve"> </w:t>
            </w:r>
            <w:r w:rsidR="003A5348" w:rsidRPr="00BE1959">
              <w:rPr>
                <w:rFonts w:ascii="Times New Roman" w:eastAsia="Times New Roman" w:hAnsi="Times New Roman" w:cs="Times New Roman"/>
                <w:sz w:val="24"/>
                <w:szCs w:val="24"/>
                <w:lang w:val="uk-UA"/>
              </w:rPr>
              <w:t>інвестиційної фірми</w:t>
            </w:r>
            <w:r w:rsidR="005613AB" w:rsidRPr="00BE1959">
              <w:rPr>
                <w:rFonts w:ascii="Times New Roman" w:eastAsia="Times New Roman" w:hAnsi="Times New Roman" w:cs="Times New Roman"/>
                <w:sz w:val="24"/>
                <w:szCs w:val="24"/>
                <w:lang w:val="uk-UA"/>
              </w:rPr>
              <w:t>;</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15"/>
        <w:gridCol w:w="9050"/>
      </w:tblGrid>
      <w:tr w:rsidR="00DE3173"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F95A00" w:rsidP="00C43F6C">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призвести до відмови у </w:t>
            </w:r>
            <w:r w:rsidR="00C43F6C" w:rsidRPr="00BE1959">
              <w:rPr>
                <w:rFonts w:ascii="Times New Roman" w:eastAsia="Times New Roman" w:hAnsi="Times New Roman" w:cs="Times New Roman"/>
                <w:sz w:val="24"/>
                <w:szCs w:val="24"/>
                <w:lang w:val="uk-UA"/>
              </w:rPr>
              <w:t>засвідченні рахунків або до висловлення застережень.</w:t>
            </w:r>
          </w:p>
        </w:tc>
      </w:tr>
    </w:tbl>
    <w:p w:rsidR="005613AB" w:rsidRPr="00BE1959" w:rsidRDefault="00C43F6C" w:rsidP="00C43F6C">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Вищезгадана особа також зобов’язана повідомляти про всі факти та рішення, про які їй стає відомо в ході виконання однієї з задач, згаданих у першому абзаці, на підприємстві, яке має тісні зв'язки з інвестиційною фірмою, в якій вона виконує цю задачу.</w:t>
      </w:r>
    </w:p>
    <w:p w:rsidR="005613AB" w:rsidRPr="00BE1959" w:rsidRDefault="005613AB" w:rsidP="00497DEF">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2.   </w:t>
      </w:r>
      <w:r w:rsidR="00C43F6C" w:rsidRPr="00BE1959">
        <w:rPr>
          <w:rFonts w:ascii="Times New Roman" w:eastAsia="Times New Roman" w:hAnsi="Times New Roman" w:cs="Times New Roman"/>
          <w:sz w:val="24"/>
          <w:szCs w:val="24"/>
          <w:lang w:val="uk-UA"/>
        </w:rPr>
        <w:t>Добросовісне повідомлення компетентним органам особами, уповноваженими у значенні Директиви</w:t>
      </w:r>
      <w:r w:rsidRPr="00BE1959">
        <w:rPr>
          <w:rFonts w:ascii="Times New Roman" w:eastAsia="Times New Roman" w:hAnsi="Times New Roman" w:cs="Times New Roman"/>
          <w:sz w:val="24"/>
          <w:szCs w:val="24"/>
          <w:lang w:val="uk-UA"/>
        </w:rPr>
        <w:t xml:space="preserve"> 2006/43/EC, </w:t>
      </w:r>
      <w:r w:rsidR="00E37483" w:rsidRPr="00BE1959">
        <w:rPr>
          <w:rFonts w:ascii="Times New Roman" w:eastAsia="Times New Roman" w:hAnsi="Times New Roman" w:cs="Times New Roman"/>
          <w:sz w:val="24"/>
          <w:szCs w:val="24"/>
          <w:lang w:val="uk-UA"/>
        </w:rPr>
        <w:t>будь-якого факту чи рішення, згаданого у пункті 1, не становить порушення договірного чи юридичного обмеження на розкриття інформації й</w:t>
      </w:r>
      <w:r w:rsidR="00497DEF" w:rsidRPr="00BE1959">
        <w:rPr>
          <w:rFonts w:ascii="Times New Roman" w:eastAsia="Times New Roman" w:hAnsi="Times New Roman" w:cs="Times New Roman"/>
          <w:sz w:val="24"/>
          <w:szCs w:val="24"/>
          <w:lang w:val="uk-UA"/>
        </w:rPr>
        <w:t xml:space="preserve"> покладає на таких осіб жодної відповідальності.</w:t>
      </w:r>
    </w:p>
    <w:p w:rsidR="005613AB" w:rsidRPr="00BE1959" w:rsidRDefault="00162A11" w:rsidP="005613AB">
      <w:pPr>
        <w:spacing w:before="360" w:after="120" w:line="312" w:lineRule="atLeast"/>
        <w:jc w:val="center"/>
        <w:textAlignment w:val="baseline"/>
        <w:rPr>
          <w:rFonts w:ascii="Times New Roman" w:eastAsia="Times New Roman" w:hAnsi="Times New Roman" w:cs="Times New Roman"/>
          <w:i/>
          <w:iCs/>
          <w:sz w:val="24"/>
          <w:szCs w:val="24"/>
          <w:lang w:val="uk-UA"/>
        </w:rPr>
      </w:pPr>
      <w:r w:rsidRPr="00BE1959">
        <w:rPr>
          <w:rFonts w:ascii="Times New Roman" w:eastAsia="Times New Roman" w:hAnsi="Times New Roman" w:cs="Times New Roman"/>
          <w:i/>
          <w:iCs/>
          <w:sz w:val="24"/>
          <w:szCs w:val="24"/>
          <w:lang w:val="uk-UA"/>
        </w:rPr>
        <w:t>Стаття</w:t>
      </w:r>
      <w:r w:rsidR="005613AB" w:rsidRPr="00BE1959">
        <w:rPr>
          <w:rFonts w:ascii="Times New Roman" w:eastAsia="Times New Roman" w:hAnsi="Times New Roman" w:cs="Times New Roman"/>
          <w:i/>
          <w:iCs/>
          <w:sz w:val="24"/>
          <w:szCs w:val="24"/>
          <w:lang w:val="uk-UA"/>
        </w:rPr>
        <w:t xml:space="preserve"> 78</w:t>
      </w:r>
    </w:p>
    <w:p w:rsidR="005613AB" w:rsidRPr="00BE1959" w:rsidRDefault="00792D3E" w:rsidP="005613AB">
      <w:pPr>
        <w:spacing w:before="60" w:after="120" w:line="312" w:lineRule="atLeast"/>
        <w:jc w:val="center"/>
        <w:textAlignment w:val="baseline"/>
        <w:rPr>
          <w:rFonts w:ascii="Times New Roman" w:eastAsia="Times New Roman" w:hAnsi="Times New Roman" w:cs="Times New Roman"/>
          <w:b/>
          <w:bCs/>
          <w:sz w:val="24"/>
          <w:szCs w:val="24"/>
          <w:lang w:val="uk-UA"/>
        </w:rPr>
      </w:pPr>
      <w:r w:rsidRPr="00BE1959">
        <w:rPr>
          <w:rFonts w:ascii="Times New Roman" w:eastAsia="Times New Roman" w:hAnsi="Times New Roman" w:cs="Times New Roman"/>
          <w:b/>
          <w:bCs/>
          <w:sz w:val="24"/>
          <w:szCs w:val="24"/>
          <w:lang w:val="uk-UA"/>
        </w:rPr>
        <w:t>Захист даних</w:t>
      </w:r>
    </w:p>
    <w:p w:rsidR="005613AB" w:rsidRPr="00BE1959" w:rsidRDefault="00497DEF" w:rsidP="002C01D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Оброблення персональних даних, зібраних при виконанні або для виконання наглядових повноважень, зокрема повноважень на розслідування, відповідно до цієї директиви</w:t>
      </w:r>
      <w:r w:rsidR="00EB7FFC" w:rsidRPr="00BE1959">
        <w:rPr>
          <w:rFonts w:ascii="Times New Roman" w:eastAsia="Times New Roman" w:hAnsi="Times New Roman" w:cs="Times New Roman"/>
          <w:sz w:val="24"/>
          <w:szCs w:val="24"/>
          <w:lang w:val="uk-UA"/>
        </w:rPr>
        <w:t xml:space="preserve"> здійснюється відповідно до національного законодавства, яким імплементовано Директиву</w:t>
      </w:r>
      <w:r w:rsidR="005613AB" w:rsidRPr="00BE1959">
        <w:rPr>
          <w:rFonts w:ascii="Times New Roman" w:eastAsia="Times New Roman" w:hAnsi="Times New Roman" w:cs="Times New Roman"/>
          <w:sz w:val="24"/>
          <w:szCs w:val="24"/>
          <w:lang w:val="uk-UA"/>
        </w:rPr>
        <w:t xml:space="preserve"> 95/46/EC</w:t>
      </w:r>
      <w:r w:rsidR="002C01DB" w:rsidRPr="00BE1959">
        <w:rPr>
          <w:rFonts w:ascii="Times New Roman" w:eastAsia="Times New Roman" w:hAnsi="Times New Roman" w:cs="Times New Roman"/>
          <w:sz w:val="24"/>
          <w:szCs w:val="24"/>
          <w:lang w:val="uk-UA"/>
        </w:rPr>
        <w:t>, та до Регламенту</w:t>
      </w:r>
      <w:r w:rsidR="005613AB" w:rsidRPr="00BE1959">
        <w:rPr>
          <w:rFonts w:ascii="Times New Roman" w:eastAsia="Times New Roman" w:hAnsi="Times New Roman" w:cs="Times New Roman"/>
          <w:sz w:val="24"/>
          <w:szCs w:val="24"/>
          <w:lang w:val="uk-UA"/>
        </w:rPr>
        <w:t xml:space="preserve"> </w:t>
      </w:r>
      <w:r w:rsidR="000D3B79" w:rsidRPr="00BE1959">
        <w:rPr>
          <w:rFonts w:ascii="Times New Roman" w:eastAsia="Times New Roman" w:hAnsi="Times New Roman" w:cs="Times New Roman"/>
          <w:sz w:val="24"/>
          <w:szCs w:val="24"/>
          <w:lang w:val="uk-UA"/>
        </w:rPr>
        <w:t>(EC) №</w:t>
      </w:r>
      <w:r w:rsidR="005613AB" w:rsidRPr="00BE1959">
        <w:rPr>
          <w:rFonts w:ascii="Times New Roman" w:eastAsia="Times New Roman" w:hAnsi="Times New Roman" w:cs="Times New Roman"/>
          <w:sz w:val="24"/>
          <w:szCs w:val="24"/>
          <w:lang w:val="uk-UA"/>
        </w:rPr>
        <w:t> 45/2001</w:t>
      </w:r>
      <w:r w:rsidR="002C01DB" w:rsidRPr="00BE1959">
        <w:rPr>
          <w:rFonts w:ascii="Times New Roman" w:eastAsia="Times New Roman" w:hAnsi="Times New Roman" w:cs="Times New Roman"/>
          <w:sz w:val="24"/>
          <w:szCs w:val="24"/>
          <w:lang w:val="uk-UA"/>
        </w:rPr>
        <w:t>, де доречно</w:t>
      </w:r>
      <w:r w:rsidR="005613AB" w:rsidRPr="00BE1959">
        <w:rPr>
          <w:rFonts w:ascii="Times New Roman" w:eastAsia="Times New Roman" w:hAnsi="Times New Roman" w:cs="Times New Roman"/>
          <w:sz w:val="24"/>
          <w:szCs w:val="24"/>
          <w:lang w:val="uk-UA"/>
        </w:rPr>
        <w:t>.</w:t>
      </w:r>
    </w:p>
    <w:p w:rsidR="00792D3E" w:rsidRPr="00BE1959" w:rsidRDefault="00792D3E" w:rsidP="005613AB">
      <w:pPr>
        <w:spacing w:after="0" w:line="312" w:lineRule="atLeast"/>
        <w:jc w:val="center"/>
        <w:textAlignment w:val="baseline"/>
        <w:rPr>
          <w:rFonts w:ascii="Times New Roman" w:eastAsia="Times New Roman" w:hAnsi="Times New Roman" w:cs="Times New Roman"/>
          <w:b/>
          <w:bCs/>
          <w:i/>
          <w:iCs/>
          <w:sz w:val="24"/>
          <w:szCs w:val="24"/>
          <w:bdr w:val="none" w:sz="0" w:space="0" w:color="auto" w:frame="1"/>
          <w:lang w:val="uk-UA"/>
        </w:rPr>
      </w:pPr>
    </w:p>
    <w:p w:rsidR="005613AB" w:rsidRPr="00BE1959" w:rsidRDefault="00792D3E" w:rsidP="005613AB">
      <w:pPr>
        <w:spacing w:after="0" w:line="312" w:lineRule="atLeast"/>
        <w:jc w:val="center"/>
        <w:textAlignment w:val="baseline"/>
        <w:rPr>
          <w:rFonts w:ascii="Times New Roman" w:eastAsia="Times New Roman" w:hAnsi="Times New Roman" w:cs="Times New Roman"/>
          <w:b/>
          <w:bCs/>
          <w:sz w:val="24"/>
          <w:szCs w:val="24"/>
          <w:lang w:val="uk-UA"/>
        </w:rPr>
      </w:pPr>
      <w:r w:rsidRPr="00BE1959">
        <w:rPr>
          <w:rFonts w:ascii="Times New Roman" w:eastAsia="Times New Roman" w:hAnsi="Times New Roman" w:cs="Times New Roman"/>
          <w:b/>
          <w:bCs/>
          <w:i/>
          <w:iCs/>
          <w:sz w:val="24"/>
          <w:szCs w:val="24"/>
          <w:bdr w:val="none" w:sz="0" w:space="0" w:color="auto" w:frame="1"/>
          <w:lang w:val="uk-UA"/>
        </w:rPr>
        <w:t>ГЛАВА</w:t>
      </w:r>
      <w:r w:rsidR="005613AB" w:rsidRPr="00BE1959">
        <w:rPr>
          <w:rFonts w:ascii="Times New Roman" w:eastAsia="Times New Roman" w:hAnsi="Times New Roman" w:cs="Times New Roman"/>
          <w:b/>
          <w:bCs/>
          <w:i/>
          <w:iCs/>
          <w:sz w:val="24"/>
          <w:szCs w:val="24"/>
          <w:bdr w:val="none" w:sz="0" w:space="0" w:color="auto" w:frame="1"/>
          <w:lang w:val="uk-UA"/>
        </w:rPr>
        <w:t xml:space="preserve"> II</w:t>
      </w:r>
    </w:p>
    <w:p w:rsidR="005613AB" w:rsidRPr="00BE1959" w:rsidRDefault="00455607" w:rsidP="00455607">
      <w:pPr>
        <w:spacing w:after="0" w:line="312" w:lineRule="atLeast"/>
        <w:jc w:val="center"/>
        <w:textAlignment w:val="baseline"/>
        <w:rPr>
          <w:rFonts w:ascii="Times New Roman" w:eastAsia="Times New Roman" w:hAnsi="Times New Roman" w:cs="Times New Roman"/>
          <w:b/>
          <w:bCs/>
          <w:sz w:val="24"/>
          <w:szCs w:val="24"/>
          <w:lang w:val="uk-UA"/>
        </w:rPr>
      </w:pPr>
      <w:r w:rsidRPr="00BE1959">
        <w:rPr>
          <w:rFonts w:ascii="Times New Roman" w:eastAsia="Times New Roman" w:hAnsi="Times New Roman" w:cs="Times New Roman"/>
          <w:b/>
          <w:bCs/>
          <w:i/>
          <w:iCs/>
          <w:sz w:val="24"/>
          <w:szCs w:val="24"/>
          <w:bdr w:val="none" w:sz="0" w:space="0" w:color="auto" w:frame="1"/>
          <w:lang w:val="uk-UA"/>
        </w:rPr>
        <w:t>Співробітництво компетентними органами держав-членів та з</w:t>
      </w:r>
      <w:r w:rsidR="005613AB" w:rsidRPr="00BE1959">
        <w:rPr>
          <w:rFonts w:ascii="Times New Roman" w:eastAsia="Times New Roman" w:hAnsi="Times New Roman" w:cs="Times New Roman"/>
          <w:b/>
          <w:bCs/>
          <w:i/>
          <w:iCs/>
          <w:sz w:val="24"/>
          <w:szCs w:val="24"/>
          <w:bdr w:val="none" w:sz="0" w:space="0" w:color="auto" w:frame="1"/>
          <w:lang w:val="uk-UA"/>
        </w:rPr>
        <w:t xml:space="preserve"> ESMA</w:t>
      </w:r>
    </w:p>
    <w:p w:rsidR="005613AB" w:rsidRPr="00BE1959" w:rsidRDefault="00162A11" w:rsidP="005613AB">
      <w:pPr>
        <w:spacing w:before="360" w:after="120" w:line="312" w:lineRule="atLeast"/>
        <w:jc w:val="center"/>
        <w:textAlignment w:val="baseline"/>
        <w:rPr>
          <w:rFonts w:ascii="Times New Roman" w:eastAsia="Times New Roman" w:hAnsi="Times New Roman" w:cs="Times New Roman"/>
          <w:i/>
          <w:iCs/>
          <w:sz w:val="24"/>
          <w:szCs w:val="24"/>
          <w:lang w:val="uk-UA"/>
        </w:rPr>
      </w:pPr>
      <w:r w:rsidRPr="00BE1959">
        <w:rPr>
          <w:rFonts w:ascii="Times New Roman" w:eastAsia="Times New Roman" w:hAnsi="Times New Roman" w:cs="Times New Roman"/>
          <w:i/>
          <w:iCs/>
          <w:sz w:val="24"/>
          <w:szCs w:val="24"/>
          <w:lang w:val="uk-UA"/>
        </w:rPr>
        <w:t>Стаття</w:t>
      </w:r>
      <w:r w:rsidR="005613AB" w:rsidRPr="00BE1959">
        <w:rPr>
          <w:rFonts w:ascii="Times New Roman" w:eastAsia="Times New Roman" w:hAnsi="Times New Roman" w:cs="Times New Roman"/>
          <w:i/>
          <w:iCs/>
          <w:sz w:val="24"/>
          <w:szCs w:val="24"/>
          <w:lang w:val="uk-UA"/>
        </w:rPr>
        <w:t xml:space="preserve"> 79</w:t>
      </w:r>
    </w:p>
    <w:p w:rsidR="005613AB" w:rsidRPr="00BE1959" w:rsidRDefault="00455607" w:rsidP="005613AB">
      <w:pPr>
        <w:spacing w:before="60" w:after="120" w:line="312" w:lineRule="atLeast"/>
        <w:jc w:val="center"/>
        <w:textAlignment w:val="baseline"/>
        <w:rPr>
          <w:rFonts w:ascii="Times New Roman" w:eastAsia="Times New Roman" w:hAnsi="Times New Roman" w:cs="Times New Roman"/>
          <w:b/>
          <w:bCs/>
          <w:sz w:val="24"/>
          <w:szCs w:val="24"/>
          <w:lang w:val="uk-UA"/>
        </w:rPr>
      </w:pPr>
      <w:r w:rsidRPr="00BE1959">
        <w:rPr>
          <w:rFonts w:ascii="Times New Roman" w:eastAsia="Times New Roman" w:hAnsi="Times New Roman" w:cs="Times New Roman"/>
          <w:b/>
          <w:bCs/>
          <w:sz w:val="24"/>
          <w:szCs w:val="24"/>
          <w:lang w:val="uk-UA"/>
        </w:rPr>
        <w:t>Обов’язок співпрацювати</w:t>
      </w:r>
    </w:p>
    <w:p w:rsidR="005613AB" w:rsidRPr="00BE1959" w:rsidRDefault="005613AB" w:rsidP="00803898">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1.   </w:t>
      </w:r>
      <w:r w:rsidR="00434A96" w:rsidRPr="00BE1959">
        <w:rPr>
          <w:rFonts w:ascii="Times New Roman" w:eastAsia="Times New Roman" w:hAnsi="Times New Roman" w:cs="Times New Roman"/>
          <w:sz w:val="24"/>
          <w:szCs w:val="24"/>
          <w:lang w:val="uk-UA"/>
        </w:rPr>
        <w:t>Компетентні органи</w:t>
      </w:r>
      <w:r w:rsidRPr="00BE1959">
        <w:rPr>
          <w:rFonts w:ascii="Times New Roman" w:eastAsia="Times New Roman" w:hAnsi="Times New Roman" w:cs="Times New Roman"/>
          <w:sz w:val="24"/>
          <w:szCs w:val="24"/>
          <w:lang w:val="uk-UA"/>
        </w:rPr>
        <w:t xml:space="preserve"> </w:t>
      </w:r>
      <w:r w:rsidR="00455607" w:rsidRPr="00BE1959">
        <w:rPr>
          <w:rFonts w:ascii="Times New Roman" w:eastAsia="Times New Roman" w:hAnsi="Times New Roman" w:cs="Times New Roman"/>
          <w:sz w:val="24"/>
          <w:szCs w:val="24"/>
          <w:lang w:val="uk-UA"/>
        </w:rPr>
        <w:t>різних д</w:t>
      </w:r>
      <w:r w:rsidR="001F5C90" w:rsidRPr="00BE1959">
        <w:rPr>
          <w:rFonts w:ascii="Times New Roman" w:eastAsia="Times New Roman" w:hAnsi="Times New Roman" w:cs="Times New Roman"/>
          <w:sz w:val="24"/>
          <w:szCs w:val="24"/>
          <w:lang w:val="uk-UA"/>
        </w:rPr>
        <w:t>ержав-член</w:t>
      </w:r>
      <w:r w:rsidR="00455607" w:rsidRPr="00BE1959">
        <w:rPr>
          <w:rFonts w:ascii="Times New Roman" w:eastAsia="Times New Roman" w:hAnsi="Times New Roman" w:cs="Times New Roman"/>
          <w:sz w:val="24"/>
          <w:szCs w:val="24"/>
          <w:lang w:val="uk-UA"/>
        </w:rPr>
        <w:t>ів</w:t>
      </w:r>
      <w:r w:rsidRPr="00BE1959">
        <w:rPr>
          <w:rFonts w:ascii="Times New Roman" w:eastAsia="Times New Roman" w:hAnsi="Times New Roman" w:cs="Times New Roman"/>
          <w:sz w:val="24"/>
          <w:szCs w:val="24"/>
          <w:lang w:val="uk-UA"/>
        </w:rPr>
        <w:t xml:space="preserve"> </w:t>
      </w:r>
      <w:r w:rsidR="00455607" w:rsidRPr="00BE1959">
        <w:rPr>
          <w:rFonts w:ascii="Times New Roman" w:eastAsia="Times New Roman" w:hAnsi="Times New Roman" w:cs="Times New Roman"/>
          <w:sz w:val="24"/>
          <w:szCs w:val="24"/>
          <w:lang w:val="uk-UA"/>
        </w:rPr>
        <w:t xml:space="preserve">співпрацюють один з одним, де це необхідно в цілях виконання ними їхніх обов’язків за цією директивою або за </w:t>
      </w:r>
      <w:r w:rsidR="00455607" w:rsidRPr="00BE1959">
        <w:rPr>
          <w:rFonts w:ascii="Times New Roman" w:eastAsia="Times New Roman" w:hAnsi="Times New Roman" w:cs="Times New Roman"/>
          <w:sz w:val="24"/>
          <w:szCs w:val="24"/>
          <w:lang w:val="uk-UA"/>
        </w:rPr>
        <w:lastRenderedPageBreak/>
        <w:t>Регламентом</w:t>
      </w:r>
      <w:r w:rsidRPr="00BE1959">
        <w:rPr>
          <w:rFonts w:ascii="Times New Roman" w:eastAsia="Times New Roman" w:hAnsi="Times New Roman" w:cs="Times New Roman"/>
          <w:sz w:val="24"/>
          <w:szCs w:val="24"/>
          <w:lang w:val="uk-UA"/>
        </w:rPr>
        <w:t xml:space="preserve"> </w:t>
      </w:r>
      <w:r w:rsidR="007B0149" w:rsidRPr="00BE1959">
        <w:rPr>
          <w:rFonts w:ascii="Times New Roman" w:eastAsia="Times New Roman" w:hAnsi="Times New Roman" w:cs="Times New Roman"/>
          <w:sz w:val="24"/>
          <w:szCs w:val="24"/>
          <w:lang w:val="uk-UA"/>
        </w:rPr>
        <w:t>(EU) № 600/2014</w:t>
      </w:r>
      <w:r w:rsidRPr="00BE1959">
        <w:rPr>
          <w:rFonts w:ascii="Times New Roman" w:eastAsia="Times New Roman" w:hAnsi="Times New Roman" w:cs="Times New Roman"/>
          <w:sz w:val="24"/>
          <w:szCs w:val="24"/>
          <w:lang w:val="uk-UA"/>
        </w:rPr>
        <w:t xml:space="preserve">, </w:t>
      </w:r>
      <w:r w:rsidR="00455607" w:rsidRPr="00BE1959">
        <w:rPr>
          <w:rFonts w:ascii="Times New Roman" w:eastAsia="Times New Roman" w:hAnsi="Times New Roman" w:cs="Times New Roman"/>
          <w:sz w:val="24"/>
          <w:szCs w:val="24"/>
          <w:lang w:val="uk-UA"/>
        </w:rPr>
        <w:t>використовуючи свої повноваження, встановлені або у цій директиві чи у</w:t>
      </w:r>
      <w:r w:rsidR="00270867" w:rsidRPr="00BE1959">
        <w:rPr>
          <w:rFonts w:ascii="Times New Roman" w:eastAsia="Times New Roman" w:hAnsi="Times New Roman" w:cs="Times New Roman"/>
          <w:sz w:val="24"/>
          <w:szCs w:val="24"/>
          <w:lang w:val="uk-UA"/>
        </w:rPr>
        <w:t xml:space="preserve"> Регламенті</w:t>
      </w:r>
      <w:r w:rsidRPr="00BE1959">
        <w:rPr>
          <w:rFonts w:ascii="Times New Roman" w:eastAsia="Times New Roman" w:hAnsi="Times New Roman" w:cs="Times New Roman"/>
          <w:sz w:val="24"/>
          <w:szCs w:val="24"/>
          <w:lang w:val="uk-UA"/>
        </w:rPr>
        <w:t xml:space="preserve"> </w:t>
      </w:r>
      <w:r w:rsidR="007B0149" w:rsidRPr="00BE1959">
        <w:rPr>
          <w:rFonts w:ascii="Times New Roman" w:eastAsia="Times New Roman" w:hAnsi="Times New Roman" w:cs="Times New Roman"/>
          <w:sz w:val="24"/>
          <w:szCs w:val="24"/>
          <w:lang w:val="uk-UA"/>
        </w:rPr>
        <w:t>(EU) № 600/2014</w:t>
      </w:r>
      <w:r w:rsidR="00803898" w:rsidRPr="00BE1959">
        <w:rPr>
          <w:rFonts w:ascii="Times New Roman" w:eastAsia="Times New Roman" w:hAnsi="Times New Roman" w:cs="Times New Roman"/>
          <w:sz w:val="24"/>
          <w:szCs w:val="24"/>
          <w:lang w:val="uk-UA"/>
        </w:rPr>
        <w:t>, або у національному законодавстві.</w:t>
      </w:r>
    </w:p>
    <w:p w:rsidR="005613AB" w:rsidRPr="00BE1959" w:rsidRDefault="00803898" w:rsidP="00FF5D3C">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Якщо д</w:t>
      </w:r>
      <w:r w:rsidR="00540D96" w:rsidRPr="00BE1959">
        <w:rPr>
          <w:rFonts w:ascii="Times New Roman" w:eastAsia="Times New Roman" w:hAnsi="Times New Roman" w:cs="Times New Roman"/>
          <w:sz w:val="24"/>
          <w:szCs w:val="24"/>
          <w:lang w:val="uk-UA"/>
        </w:rPr>
        <w:t>ержава-член</w:t>
      </w:r>
      <w:r w:rsidRPr="00BE1959">
        <w:rPr>
          <w:rFonts w:ascii="Times New Roman" w:eastAsia="Times New Roman" w:hAnsi="Times New Roman" w:cs="Times New Roman"/>
          <w:sz w:val="24"/>
          <w:szCs w:val="24"/>
          <w:lang w:val="uk-UA"/>
        </w:rPr>
        <w:t>и</w:t>
      </w:r>
      <w:r w:rsidR="005613AB" w:rsidRPr="00BE1959">
        <w:rPr>
          <w:rFonts w:ascii="Times New Roman" w:eastAsia="Times New Roman" w:hAnsi="Times New Roman" w:cs="Times New Roman"/>
          <w:sz w:val="24"/>
          <w:szCs w:val="24"/>
          <w:lang w:val="uk-UA"/>
        </w:rPr>
        <w:t xml:space="preserve"> </w:t>
      </w:r>
      <w:r w:rsidRPr="00BE1959">
        <w:rPr>
          <w:rFonts w:ascii="Times New Roman" w:eastAsia="Times New Roman" w:hAnsi="Times New Roman" w:cs="Times New Roman"/>
          <w:sz w:val="24"/>
          <w:szCs w:val="24"/>
          <w:lang w:val="uk-UA"/>
        </w:rPr>
        <w:t xml:space="preserve">вирішили, відповідно до статті 70, встановити кримінальні санкції за порушення положень, згаданих у статті 70, то вони забезпечують вжиття відповідних заходів для надання компетентним органам усіх необхідних повноважень для підтримання зв'язку з судовими органами у межах їхньої юрисдикції для отримання конкретної інформації щодо кримінальних розслідувань або проваджень, розпочатих </w:t>
      </w:r>
      <w:r w:rsidR="00FF5D3C" w:rsidRPr="00BE1959">
        <w:rPr>
          <w:rFonts w:ascii="Times New Roman" w:eastAsia="Times New Roman" w:hAnsi="Times New Roman" w:cs="Times New Roman"/>
          <w:sz w:val="24"/>
          <w:szCs w:val="24"/>
          <w:lang w:val="uk-UA"/>
        </w:rPr>
        <w:t xml:space="preserve">щодо можливих порушень </w:t>
      </w:r>
      <w:r w:rsidR="00432567" w:rsidRPr="00BE1959">
        <w:rPr>
          <w:rFonts w:ascii="Times New Roman" w:eastAsia="Times New Roman" w:hAnsi="Times New Roman" w:cs="Times New Roman"/>
          <w:sz w:val="24"/>
          <w:szCs w:val="24"/>
          <w:lang w:val="uk-UA"/>
        </w:rPr>
        <w:t>цієї директиви</w:t>
      </w:r>
      <w:r w:rsidR="005613AB" w:rsidRPr="00BE1959">
        <w:rPr>
          <w:rFonts w:ascii="Times New Roman" w:eastAsia="Times New Roman" w:hAnsi="Times New Roman" w:cs="Times New Roman"/>
          <w:sz w:val="24"/>
          <w:szCs w:val="24"/>
          <w:lang w:val="uk-UA"/>
        </w:rPr>
        <w:t xml:space="preserve"> </w:t>
      </w:r>
      <w:r w:rsidR="00405BF8" w:rsidRPr="00BE1959">
        <w:rPr>
          <w:rFonts w:ascii="Times New Roman" w:eastAsia="Times New Roman" w:hAnsi="Times New Roman" w:cs="Times New Roman"/>
          <w:sz w:val="24"/>
          <w:szCs w:val="24"/>
          <w:lang w:val="uk-UA"/>
        </w:rPr>
        <w:t>та Регламенту</w:t>
      </w:r>
      <w:r w:rsidR="005613AB" w:rsidRPr="00BE1959">
        <w:rPr>
          <w:rFonts w:ascii="Times New Roman" w:eastAsia="Times New Roman" w:hAnsi="Times New Roman" w:cs="Times New Roman"/>
          <w:sz w:val="24"/>
          <w:szCs w:val="24"/>
          <w:lang w:val="uk-UA"/>
        </w:rPr>
        <w:t xml:space="preserve"> </w:t>
      </w:r>
      <w:r w:rsidR="007B0149" w:rsidRPr="00BE1959">
        <w:rPr>
          <w:rFonts w:ascii="Times New Roman" w:eastAsia="Times New Roman" w:hAnsi="Times New Roman" w:cs="Times New Roman"/>
          <w:sz w:val="24"/>
          <w:szCs w:val="24"/>
          <w:lang w:val="uk-UA"/>
        </w:rPr>
        <w:t>(EU) № 600/2014</w:t>
      </w:r>
      <w:r w:rsidR="00FF5D3C" w:rsidRPr="00BE1959">
        <w:rPr>
          <w:rFonts w:ascii="Times New Roman" w:eastAsia="Times New Roman" w:hAnsi="Times New Roman" w:cs="Times New Roman"/>
          <w:sz w:val="24"/>
          <w:szCs w:val="24"/>
          <w:lang w:val="uk-UA"/>
        </w:rPr>
        <w:t>, а також надають таку інформацію іншим компетентним органам і ESMA для виконання ними свого обов’язку співпрацювати один з одним та з ESMA в цілях</w:t>
      </w:r>
      <w:r w:rsidR="005613AB" w:rsidRPr="00BE1959">
        <w:rPr>
          <w:rFonts w:ascii="Times New Roman" w:eastAsia="Times New Roman" w:hAnsi="Times New Roman" w:cs="Times New Roman"/>
          <w:sz w:val="24"/>
          <w:szCs w:val="24"/>
          <w:lang w:val="uk-UA"/>
        </w:rPr>
        <w:t xml:space="preserve"> </w:t>
      </w:r>
      <w:r w:rsidR="00432567" w:rsidRPr="00BE1959">
        <w:rPr>
          <w:rFonts w:ascii="Times New Roman" w:eastAsia="Times New Roman" w:hAnsi="Times New Roman" w:cs="Times New Roman"/>
          <w:sz w:val="24"/>
          <w:szCs w:val="24"/>
          <w:lang w:val="uk-UA"/>
        </w:rPr>
        <w:t>цієї директиви</w:t>
      </w:r>
      <w:r w:rsidR="005613AB" w:rsidRPr="00BE1959">
        <w:rPr>
          <w:rFonts w:ascii="Times New Roman" w:eastAsia="Times New Roman" w:hAnsi="Times New Roman" w:cs="Times New Roman"/>
          <w:sz w:val="24"/>
          <w:szCs w:val="24"/>
          <w:lang w:val="uk-UA"/>
        </w:rPr>
        <w:t xml:space="preserve"> </w:t>
      </w:r>
      <w:r w:rsidR="00405BF8" w:rsidRPr="00BE1959">
        <w:rPr>
          <w:rFonts w:ascii="Times New Roman" w:eastAsia="Times New Roman" w:hAnsi="Times New Roman" w:cs="Times New Roman"/>
          <w:sz w:val="24"/>
          <w:szCs w:val="24"/>
          <w:lang w:val="uk-UA"/>
        </w:rPr>
        <w:t>та Регламенту</w:t>
      </w:r>
      <w:r w:rsidR="005613AB" w:rsidRPr="00BE1959">
        <w:rPr>
          <w:rFonts w:ascii="Times New Roman" w:eastAsia="Times New Roman" w:hAnsi="Times New Roman" w:cs="Times New Roman"/>
          <w:sz w:val="24"/>
          <w:szCs w:val="24"/>
          <w:lang w:val="uk-UA"/>
        </w:rPr>
        <w:t xml:space="preserve"> </w:t>
      </w:r>
      <w:r w:rsidR="007B0149" w:rsidRPr="00BE1959">
        <w:rPr>
          <w:rFonts w:ascii="Times New Roman" w:eastAsia="Times New Roman" w:hAnsi="Times New Roman" w:cs="Times New Roman"/>
          <w:sz w:val="24"/>
          <w:szCs w:val="24"/>
          <w:lang w:val="uk-UA"/>
        </w:rPr>
        <w:t>(EU) № 600/2014</w:t>
      </w:r>
      <w:r w:rsidR="005613AB" w:rsidRPr="00BE1959">
        <w:rPr>
          <w:rFonts w:ascii="Times New Roman" w:eastAsia="Times New Roman" w:hAnsi="Times New Roman" w:cs="Times New Roman"/>
          <w:sz w:val="24"/>
          <w:szCs w:val="24"/>
          <w:lang w:val="uk-UA"/>
        </w:rPr>
        <w:t>.</w:t>
      </w:r>
    </w:p>
    <w:p w:rsidR="005613AB" w:rsidRPr="00BE1959" w:rsidRDefault="00434A96" w:rsidP="00FF5D3C">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Компетентні органи</w:t>
      </w:r>
      <w:r w:rsidR="005613AB" w:rsidRPr="00BE1959">
        <w:rPr>
          <w:rFonts w:ascii="Times New Roman" w:eastAsia="Times New Roman" w:hAnsi="Times New Roman" w:cs="Times New Roman"/>
          <w:sz w:val="24"/>
          <w:szCs w:val="24"/>
          <w:lang w:val="uk-UA"/>
        </w:rPr>
        <w:t xml:space="preserve"> </w:t>
      </w:r>
      <w:r w:rsidR="00FF5D3C" w:rsidRPr="00BE1959">
        <w:rPr>
          <w:rFonts w:ascii="Times New Roman" w:eastAsia="Times New Roman" w:hAnsi="Times New Roman" w:cs="Times New Roman"/>
          <w:sz w:val="24"/>
          <w:szCs w:val="24"/>
          <w:lang w:val="uk-UA"/>
        </w:rPr>
        <w:t>надають допомогу компетентним органам інших держав-членів. Зокрема, вони обмінюються інформацією та співпрацюють у проведенні розслідувань і здійсненні наглядових заходів.</w:t>
      </w:r>
    </w:p>
    <w:p w:rsidR="005613AB" w:rsidRPr="00BE1959" w:rsidRDefault="00434A96" w:rsidP="00561E35">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Компетентні органи</w:t>
      </w:r>
      <w:r w:rsidR="005613AB" w:rsidRPr="00BE1959">
        <w:rPr>
          <w:rFonts w:ascii="Times New Roman" w:eastAsia="Times New Roman" w:hAnsi="Times New Roman" w:cs="Times New Roman"/>
          <w:sz w:val="24"/>
          <w:szCs w:val="24"/>
          <w:lang w:val="uk-UA"/>
        </w:rPr>
        <w:t xml:space="preserve"> </w:t>
      </w:r>
      <w:r w:rsidR="00561E35" w:rsidRPr="00BE1959">
        <w:rPr>
          <w:rFonts w:ascii="Times New Roman" w:eastAsia="Times New Roman" w:hAnsi="Times New Roman" w:cs="Times New Roman"/>
          <w:sz w:val="24"/>
          <w:szCs w:val="24"/>
          <w:lang w:val="uk-UA"/>
        </w:rPr>
        <w:t>можуть також співпрацювати з компетентними органами інших держав-членів щодо сприяння стягненню штрафів.</w:t>
      </w:r>
    </w:p>
    <w:p w:rsidR="005613AB" w:rsidRPr="00BE1959" w:rsidRDefault="00561E35" w:rsidP="006C3FA5">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З метою полегшення і прискорення співробітництва, а конкретніше – обміну інформацією д</w:t>
      </w:r>
      <w:r w:rsidR="001F5C90" w:rsidRPr="00BE1959">
        <w:rPr>
          <w:rFonts w:ascii="Times New Roman" w:eastAsia="Times New Roman" w:hAnsi="Times New Roman" w:cs="Times New Roman"/>
          <w:sz w:val="24"/>
          <w:szCs w:val="24"/>
          <w:lang w:val="uk-UA"/>
        </w:rPr>
        <w:t>ержави-члени</w:t>
      </w:r>
      <w:r w:rsidR="005613AB" w:rsidRPr="00BE1959">
        <w:rPr>
          <w:rFonts w:ascii="Times New Roman" w:eastAsia="Times New Roman" w:hAnsi="Times New Roman" w:cs="Times New Roman"/>
          <w:sz w:val="24"/>
          <w:szCs w:val="24"/>
          <w:lang w:val="uk-UA"/>
        </w:rPr>
        <w:t xml:space="preserve"> </w:t>
      </w:r>
      <w:r w:rsidRPr="00BE1959">
        <w:rPr>
          <w:rFonts w:ascii="Times New Roman" w:eastAsia="Times New Roman" w:hAnsi="Times New Roman" w:cs="Times New Roman"/>
          <w:sz w:val="24"/>
          <w:szCs w:val="24"/>
          <w:lang w:val="uk-UA"/>
        </w:rPr>
        <w:t>призначають єдиний компетентний орган контактною особою для цілей</w:t>
      </w:r>
      <w:r w:rsidR="005613AB" w:rsidRPr="00BE1959">
        <w:rPr>
          <w:rFonts w:ascii="Times New Roman" w:eastAsia="Times New Roman" w:hAnsi="Times New Roman" w:cs="Times New Roman"/>
          <w:sz w:val="24"/>
          <w:szCs w:val="24"/>
          <w:lang w:val="uk-UA"/>
        </w:rPr>
        <w:t xml:space="preserve"> </w:t>
      </w:r>
      <w:r w:rsidR="00432567" w:rsidRPr="00BE1959">
        <w:rPr>
          <w:rFonts w:ascii="Times New Roman" w:eastAsia="Times New Roman" w:hAnsi="Times New Roman" w:cs="Times New Roman"/>
          <w:sz w:val="24"/>
          <w:szCs w:val="24"/>
          <w:lang w:val="uk-UA"/>
        </w:rPr>
        <w:t>цієї директиви</w:t>
      </w:r>
      <w:r w:rsidR="005613AB" w:rsidRPr="00BE1959">
        <w:rPr>
          <w:rFonts w:ascii="Times New Roman" w:eastAsia="Times New Roman" w:hAnsi="Times New Roman" w:cs="Times New Roman"/>
          <w:sz w:val="24"/>
          <w:szCs w:val="24"/>
          <w:lang w:val="uk-UA"/>
        </w:rPr>
        <w:t xml:space="preserve"> </w:t>
      </w:r>
      <w:r w:rsidR="00405BF8" w:rsidRPr="00BE1959">
        <w:rPr>
          <w:rFonts w:ascii="Times New Roman" w:eastAsia="Times New Roman" w:hAnsi="Times New Roman" w:cs="Times New Roman"/>
          <w:sz w:val="24"/>
          <w:szCs w:val="24"/>
          <w:lang w:val="uk-UA"/>
        </w:rPr>
        <w:t>та Регламенту</w:t>
      </w:r>
      <w:r w:rsidR="005613AB" w:rsidRPr="00BE1959">
        <w:rPr>
          <w:rFonts w:ascii="Times New Roman" w:eastAsia="Times New Roman" w:hAnsi="Times New Roman" w:cs="Times New Roman"/>
          <w:sz w:val="24"/>
          <w:szCs w:val="24"/>
          <w:lang w:val="uk-UA"/>
        </w:rPr>
        <w:t xml:space="preserve"> </w:t>
      </w:r>
      <w:r w:rsidR="007B0149" w:rsidRPr="00BE1959">
        <w:rPr>
          <w:rFonts w:ascii="Times New Roman" w:eastAsia="Times New Roman" w:hAnsi="Times New Roman" w:cs="Times New Roman"/>
          <w:sz w:val="24"/>
          <w:szCs w:val="24"/>
          <w:lang w:val="uk-UA"/>
        </w:rPr>
        <w:t>(EU) № 600/2014</w:t>
      </w:r>
      <w:r w:rsidR="005613AB" w:rsidRPr="00BE1959">
        <w:rPr>
          <w:rFonts w:ascii="Times New Roman" w:eastAsia="Times New Roman" w:hAnsi="Times New Roman" w:cs="Times New Roman"/>
          <w:sz w:val="24"/>
          <w:szCs w:val="24"/>
          <w:lang w:val="uk-UA"/>
        </w:rPr>
        <w:t xml:space="preserve">. </w:t>
      </w:r>
      <w:r w:rsidR="001F5C90" w:rsidRPr="00BE1959">
        <w:rPr>
          <w:rFonts w:ascii="Times New Roman" w:eastAsia="Times New Roman" w:hAnsi="Times New Roman" w:cs="Times New Roman"/>
          <w:sz w:val="24"/>
          <w:szCs w:val="24"/>
          <w:lang w:val="uk-UA"/>
        </w:rPr>
        <w:t>Держави-члени</w:t>
      </w:r>
      <w:r w:rsidR="005613AB" w:rsidRPr="00BE1959">
        <w:rPr>
          <w:rFonts w:ascii="Times New Roman" w:eastAsia="Times New Roman" w:hAnsi="Times New Roman" w:cs="Times New Roman"/>
          <w:sz w:val="24"/>
          <w:szCs w:val="24"/>
          <w:lang w:val="uk-UA"/>
        </w:rPr>
        <w:t xml:space="preserve"> </w:t>
      </w:r>
      <w:r w:rsidRPr="00BE1959">
        <w:rPr>
          <w:rFonts w:ascii="Times New Roman" w:eastAsia="Times New Roman" w:hAnsi="Times New Roman" w:cs="Times New Roman"/>
          <w:sz w:val="24"/>
          <w:szCs w:val="24"/>
          <w:lang w:val="uk-UA"/>
        </w:rPr>
        <w:t xml:space="preserve">повідомляють Комісії, ESMA та іншим державам-членам назви органів, яким доручено отримувати запити на обмін інформацією або співробітництво відповідно до цього абзацу. ESMA </w:t>
      </w:r>
      <w:r w:rsidR="006C3FA5" w:rsidRPr="00BE1959">
        <w:rPr>
          <w:rFonts w:ascii="Times New Roman" w:eastAsia="Times New Roman" w:hAnsi="Times New Roman" w:cs="Times New Roman"/>
          <w:sz w:val="24"/>
          <w:szCs w:val="24"/>
          <w:lang w:val="uk-UA"/>
        </w:rPr>
        <w:t>публікує перелік цих органів на своєму веб-сайті та регулярно оновлює його.</w:t>
      </w:r>
    </w:p>
    <w:p w:rsidR="005613AB" w:rsidRPr="00BE1959" w:rsidRDefault="005613AB" w:rsidP="009C42D9">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2.   </w:t>
      </w:r>
      <w:r w:rsidR="006C3FA5" w:rsidRPr="00BE1959">
        <w:rPr>
          <w:rFonts w:ascii="Times New Roman" w:eastAsia="Times New Roman" w:hAnsi="Times New Roman" w:cs="Times New Roman"/>
          <w:sz w:val="24"/>
          <w:szCs w:val="24"/>
          <w:lang w:val="uk-UA"/>
        </w:rPr>
        <w:t>Якщо, враховуючи ситуацію на ринках цінних паперів у приймаючій державі-члені, діяльність</w:t>
      </w:r>
      <w:r w:rsidRPr="00BE1959">
        <w:rPr>
          <w:rFonts w:ascii="Times New Roman" w:eastAsia="Times New Roman" w:hAnsi="Times New Roman" w:cs="Times New Roman"/>
          <w:sz w:val="24"/>
          <w:szCs w:val="24"/>
          <w:lang w:val="uk-UA"/>
        </w:rPr>
        <w:t xml:space="preserve"> </w:t>
      </w:r>
      <w:r w:rsidR="00DE1B9C" w:rsidRPr="00BE1959">
        <w:rPr>
          <w:rFonts w:ascii="Times New Roman" w:eastAsia="Times New Roman" w:hAnsi="Times New Roman" w:cs="Times New Roman"/>
          <w:sz w:val="24"/>
          <w:szCs w:val="24"/>
          <w:lang w:val="uk-UA"/>
        </w:rPr>
        <w:t>торговельного майданчика</w:t>
      </w:r>
      <w:r w:rsidR="009C42D9" w:rsidRPr="00BE1959">
        <w:rPr>
          <w:rFonts w:ascii="Times New Roman" w:eastAsia="Times New Roman" w:hAnsi="Times New Roman" w:cs="Times New Roman"/>
          <w:sz w:val="24"/>
          <w:szCs w:val="24"/>
          <w:lang w:val="uk-UA"/>
        </w:rPr>
        <w:t>, який уклав угоди у приймаючій державі-члені, стала</w:t>
      </w:r>
      <w:r w:rsidR="00336203" w:rsidRPr="00BE1959">
        <w:rPr>
          <w:rFonts w:ascii="Times New Roman" w:eastAsia="Times New Roman" w:hAnsi="Times New Roman" w:cs="Times New Roman"/>
          <w:sz w:val="24"/>
          <w:szCs w:val="24"/>
          <w:lang w:val="uk-UA"/>
        </w:rPr>
        <w:t xml:space="preserve"> істотно важливою для функціонування цих ринків і для захисту інвесторів у цій державі</w:t>
      </w:r>
      <w:r w:rsidR="009C42D9" w:rsidRPr="00BE1959">
        <w:rPr>
          <w:rFonts w:ascii="Times New Roman" w:eastAsia="Times New Roman" w:hAnsi="Times New Roman" w:cs="Times New Roman"/>
          <w:sz w:val="24"/>
          <w:szCs w:val="24"/>
          <w:lang w:val="uk-UA"/>
        </w:rPr>
        <w:t>, то компетентні органи торговельного майданчика у державі-члені походження та приймаючій державі-члені укладають сумірні угоди про співробітництво.</w:t>
      </w:r>
    </w:p>
    <w:p w:rsidR="005613AB" w:rsidRPr="00BE1959" w:rsidRDefault="005613AB" w:rsidP="00046D53">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3.   </w:t>
      </w:r>
      <w:r w:rsidR="001F5C90" w:rsidRPr="00BE1959">
        <w:rPr>
          <w:rFonts w:ascii="Times New Roman" w:eastAsia="Times New Roman" w:hAnsi="Times New Roman" w:cs="Times New Roman"/>
          <w:sz w:val="24"/>
          <w:szCs w:val="24"/>
          <w:lang w:val="uk-UA"/>
        </w:rPr>
        <w:t>Держави-члени</w:t>
      </w:r>
      <w:r w:rsidRPr="00BE1959">
        <w:rPr>
          <w:rFonts w:ascii="Times New Roman" w:eastAsia="Times New Roman" w:hAnsi="Times New Roman" w:cs="Times New Roman"/>
          <w:sz w:val="24"/>
          <w:szCs w:val="24"/>
          <w:lang w:val="uk-UA"/>
        </w:rPr>
        <w:t xml:space="preserve"> </w:t>
      </w:r>
      <w:r w:rsidR="00046D53" w:rsidRPr="00BE1959">
        <w:rPr>
          <w:rFonts w:ascii="Times New Roman" w:eastAsia="Times New Roman" w:hAnsi="Times New Roman" w:cs="Times New Roman"/>
          <w:sz w:val="24"/>
          <w:szCs w:val="24"/>
          <w:lang w:val="uk-UA"/>
        </w:rPr>
        <w:t>вживають необхідних адміністративних і організаційних заходів для сприяння наданню допомоги, передбаченою у пункті 1.</w:t>
      </w:r>
    </w:p>
    <w:p w:rsidR="005613AB" w:rsidRPr="00BE1959" w:rsidRDefault="00434A96" w:rsidP="00046D53">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Компетентні органи</w:t>
      </w:r>
      <w:r w:rsidR="005613AB" w:rsidRPr="00BE1959">
        <w:rPr>
          <w:rFonts w:ascii="Times New Roman" w:eastAsia="Times New Roman" w:hAnsi="Times New Roman" w:cs="Times New Roman"/>
          <w:sz w:val="24"/>
          <w:szCs w:val="24"/>
          <w:lang w:val="uk-UA"/>
        </w:rPr>
        <w:t xml:space="preserve"> </w:t>
      </w:r>
      <w:r w:rsidR="00046D53" w:rsidRPr="00BE1959">
        <w:rPr>
          <w:rFonts w:ascii="Times New Roman" w:eastAsia="Times New Roman" w:hAnsi="Times New Roman" w:cs="Times New Roman"/>
          <w:sz w:val="24"/>
          <w:szCs w:val="24"/>
          <w:lang w:val="uk-UA"/>
        </w:rPr>
        <w:t>можуть використовувати свої повноваження в цілях співробітництва, навіть якщо поведінка, стосовно якої проводиться розслідування, не становить порушення жодного нормативного акту, чинного у цій державі-члені.</w:t>
      </w:r>
    </w:p>
    <w:p w:rsidR="005613AB" w:rsidRPr="00BE1959" w:rsidRDefault="005613AB" w:rsidP="00D7441A">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4.  </w:t>
      </w:r>
      <w:r w:rsidR="00046D53" w:rsidRPr="00BE1959">
        <w:rPr>
          <w:rFonts w:ascii="Times New Roman" w:eastAsia="Times New Roman" w:hAnsi="Times New Roman" w:cs="Times New Roman"/>
          <w:sz w:val="24"/>
          <w:szCs w:val="24"/>
          <w:lang w:val="uk-UA"/>
        </w:rPr>
        <w:t xml:space="preserve">Якщо компетентний орган має вагомі підстави підозрювати, що </w:t>
      </w:r>
      <w:r w:rsidR="00A32FC5" w:rsidRPr="00BE1959">
        <w:rPr>
          <w:rFonts w:ascii="Times New Roman" w:eastAsia="Times New Roman" w:hAnsi="Times New Roman" w:cs="Times New Roman"/>
          <w:sz w:val="24"/>
          <w:szCs w:val="24"/>
          <w:lang w:val="uk-UA"/>
        </w:rPr>
        <w:t>дії, які суперечать положенням</w:t>
      </w:r>
      <w:r w:rsidRPr="00BE1959">
        <w:rPr>
          <w:rFonts w:ascii="Times New Roman" w:eastAsia="Times New Roman" w:hAnsi="Times New Roman" w:cs="Times New Roman"/>
          <w:sz w:val="24"/>
          <w:szCs w:val="24"/>
          <w:lang w:val="uk-UA"/>
        </w:rPr>
        <w:t xml:space="preserve"> </w:t>
      </w:r>
      <w:r w:rsidR="00432567" w:rsidRPr="00BE1959">
        <w:rPr>
          <w:rFonts w:ascii="Times New Roman" w:eastAsia="Times New Roman" w:hAnsi="Times New Roman" w:cs="Times New Roman"/>
          <w:sz w:val="24"/>
          <w:szCs w:val="24"/>
          <w:lang w:val="uk-UA"/>
        </w:rPr>
        <w:t>цієї директиви</w:t>
      </w:r>
      <w:r w:rsidRPr="00BE1959">
        <w:rPr>
          <w:rFonts w:ascii="Times New Roman" w:eastAsia="Times New Roman" w:hAnsi="Times New Roman" w:cs="Times New Roman"/>
          <w:sz w:val="24"/>
          <w:szCs w:val="24"/>
          <w:lang w:val="uk-UA"/>
        </w:rPr>
        <w:t xml:space="preserve"> </w:t>
      </w:r>
      <w:r w:rsidR="005B3A26" w:rsidRPr="00BE1959">
        <w:rPr>
          <w:rFonts w:ascii="Times New Roman" w:eastAsia="Times New Roman" w:hAnsi="Times New Roman" w:cs="Times New Roman"/>
          <w:sz w:val="24"/>
          <w:szCs w:val="24"/>
          <w:lang w:val="uk-UA"/>
        </w:rPr>
        <w:t>або Регламенту</w:t>
      </w:r>
      <w:r w:rsidRPr="00BE1959">
        <w:rPr>
          <w:rFonts w:ascii="Times New Roman" w:eastAsia="Times New Roman" w:hAnsi="Times New Roman" w:cs="Times New Roman"/>
          <w:sz w:val="24"/>
          <w:szCs w:val="24"/>
          <w:lang w:val="uk-UA"/>
        </w:rPr>
        <w:t xml:space="preserve"> </w:t>
      </w:r>
      <w:r w:rsidR="007B0149" w:rsidRPr="00BE1959">
        <w:rPr>
          <w:rFonts w:ascii="Times New Roman" w:eastAsia="Times New Roman" w:hAnsi="Times New Roman" w:cs="Times New Roman"/>
          <w:sz w:val="24"/>
          <w:szCs w:val="24"/>
          <w:lang w:val="uk-UA"/>
        </w:rPr>
        <w:t>(EU) № 600/2014</w:t>
      </w:r>
      <w:r w:rsidRPr="00BE1959">
        <w:rPr>
          <w:rFonts w:ascii="Times New Roman" w:eastAsia="Times New Roman" w:hAnsi="Times New Roman" w:cs="Times New Roman"/>
          <w:sz w:val="24"/>
          <w:szCs w:val="24"/>
          <w:lang w:val="uk-UA"/>
        </w:rPr>
        <w:t xml:space="preserve">, </w:t>
      </w:r>
      <w:r w:rsidR="00A32FC5" w:rsidRPr="00BE1959">
        <w:rPr>
          <w:rFonts w:ascii="Times New Roman" w:eastAsia="Times New Roman" w:hAnsi="Times New Roman" w:cs="Times New Roman"/>
          <w:sz w:val="24"/>
          <w:szCs w:val="24"/>
          <w:lang w:val="uk-UA"/>
        </w:rPr>
        <w:t>вчинені суб’єктами, які не підлягають нагляду з його боку, то він повідомляє</w:t>
      </w:r>
      <w:r w:rsidRPr="00BE1959">
        <w:rPr>
          <w:rFonts w:ascii="Times New Roman" w:eastAsia="Times New Roman" w:hAnsi="Times New Roman" w:cs="Times New Roman"/>
          <w:sz w:val="24"/>
          <w:szCs w:val="24"/>
          <w:lang w:val="uk-UA"/>
        </w:rPr>
        <w:t xml:space="preserve"> </w:t>
      </w:r>
      <w:r w:rsidR="00A32FC5" w:rsidRPr="00BE1959">
        <w:rPr>
          <w:rFonts w:ascii="Times New Roman" w:eastAsia="Times New Roman" w:hAnsi="Times New Roman" w:cs="Times New Roman"/>
          <w:sz w:val="24"/>
          <w:szCs w:val="24"/>
          <w:lang w:val="uk-UA"/>
        </w:rPr>
        <w:t>к</w:t>
      </w:r>
      <w:r w:rsidR="003A5348" w:rsidRPr="00BE1959">
        <w:rPr>
          <w:rFonts w:ascii="Times New Roman" w:eastAsia="Times New Roman" w:hAnsi="Times New Roman" w:cs="Times New Roman"/>
          <w:sz w:val="24"/>
          <w:szCs w:val="24"/>
          <w:lang w:val="uk-UA"/>
        </w:rPr>
        <w:t>омпетентний орган</w:t>
      </w:r>
      <w:r w:rsidRPr="00BE1959">
        <w:rPr>
          <w:rFonts w:ascii="Times New Roman" w:eastAsia="Times New Roman" w:hAnsi="Times New Roman" w:cs="Times New Roman"/>
          <w:sz w:val="24"/>
          <w:szCs w:val="24"/>
          <w:lang w:val="uk-UA"/>
        </w:rPr>
        <w:t xml:space="preserve"> </w:t>
      </w:r>
      <w:r w:rsidR="00A32FC5" w:rsidRPr="00BE1959">
        <w:rPr>
          <w:rFonts w:ascii="Times New Roman" w:eastAsia="Times New Roman" w:hAnsi="Times New Roman" w:cs="Times New Roman"/>
          <w:sz w:val="24"/>
          <w:szCs w:val="24"/>
          <w:lang w:val="uk-UA"/>
        </w:rPr>
        <w:t xml:space="preserve">іншої держави-члена та ESMA у якомога конкретніший спосіб. </w:t>
      </w:r>
      <w:r w:rsidR="00D559D9" w:rsidRPr="00BE1959">
        <w:rPr>
          <w:rFonts w:ascii="Times New Roman" w:eastAsia="Times New Roman" w:hAnsi="Times New Roman" w:cs="Times New Roman"/>
          <w:sz w:val="24"/>
          <w:szCs w:val="24"/>
          <w:lang w:val="uk-UA"/>
        </w:rPr>
        <w:t xml:space="preserve">Поінформований компетентний орган вживає належних заходів. Він інформує компетентний орган, </w:t>
      </w:r>
      <w:r w:rsidR="000E1554" w:rsidRPr="00BE1959">
        <w:rPr>
          <w:rFonts w:ascii="Times New Roman" w:eastAsia="Times New Roman" w:hAnsi="Times New Roman" w:cs="Times New Roman"/>
          <w:sz w:val="24"/>
          <w:szCs w:val="24"/>
          <w:lang w:val="uk-UA"/>
        </w:rPr>
        <w:t xml:space="preserve">який надав </w:t>
      </w:r>
      <w:r w:rsidR="00D559D9" w:rsidRPr="00BE1959">
        <w:rPr>
          <w:rFonts w:ascii="Times New Roman" w:eastAsia="Times New Roman" w:hAnsi="Times New Roman" w:cs="Times New Roman"/>
          <w:sz w:val="24"/>
          <w:szCs w:val="24"/>
          <w:lang w:val="uk-UA"/>
        </w:rPr>
        <w:t xml:space="preserve">повідомлення, та </w:t>
      </w:r>
      <w:r w:rsidR="00D559D9" w:rsidRPr="00BE1959">
        <w:rPr>
          <w:rFonts w:ascii="Times New Roman" w:eastAsia="Times New Roman" w:hAnsi="Times New Roman" w:cs="Times New Roman"/>
          <w:sz w:val="24"/>
          <w:szCs w:val="24"/>
          <w:lang w:val="uk-UA"/>
        </w:rPr>
        <w:lastRenderedPageBreak/>
        <w:t xml:space="preserve">ESMA про результат цих заходів і, наскільки можливо, про </w:t>
      </w:r>
      <w:r w:rsidR="000E1554" w:rsidRPr="00BE1959">
        <w:rPr>
          <w:rFonts w:ascii="Times New Roman" w:eastAsia="Times New Roman" w:hAnsi="Times New Roman" w:cs="Times New Roman"/>
          <w:sz w:val="24"/>
          <w:szCs w:val="24"/>
          <w:lang w:val="uk-UA"/>
        </w:rPr>
        <w:t xml:space="preserve">важливі проміжні події. Цей абзац не обмежує компетенцію </w:t>
      </w:r>
      <w:r w:rsidR="00D7441A" w:rsidRPr="00BE1959">
        <w:rPr>
          <w:rFonts w:ascii="Times New Roman" w:eastAsia="Times New Roman" w:hAnsi="Times New Roman" w:cs="Times New Roman"/>
          <w:sz w:val="24"/>
          <w:szCs w:val="24"/>
          <w:lang w:val="uk-UA"/>
        </w:rPr>
        <w:t>компетентного органу, який надав повідомлення.</w:t>
      </w:r>
    </w:p>
    <w:p w:rsidR="005613AB" w:rsidRPr="00BE1959" w:rsidRDefault="005613AB" w:rsidP="00AA5E66">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5.   </w:t>
      </w:r>
      <w:r w:rsidR="00AA5E66" w:rsidRPr="00BE1959">
        <w:rPr>
          <w:rFonts w:ascii="Times New Roman" w:eastAsia="Times New Roman" w:hAnsi="Times New Roman" w:cs="Times New Roman"/>
          <w:sz w:val="24"/>
          <w:szCs w:val="24"/>
          <w:lang w:val="uk-UA"/>
        </w:rPr>
        <w:t xml:space="preserve">Без обмеження дії пунктів 1 та 4 </w:t>
      </w:r>
      <w:r w:rsidR="00434A96" w:rsidRPr="00BE1959">
        <w:rPr>
          <w:rFonts w:ascii="Times New Roman" w:eastAsia="Times New Roman" w:hAnsi="Times New Roman" w:cs="Times New Roman"/>
          <w:sz w:val="24"/>
          <w:szCs w:val="24"/>
          <w:lang w:val="uk-UA"/>
        </w:rPr>
        <w:t>компетентні органи</w:t>
      </w:r>
      <w:r w:rsidRPr="00BE1959">
        <w:rPr>
          <w:rFonts w:ascii="Times New Roman" w:eastAsia="Times New Roman" w:hAnsi="Times New Roman" w:cs="Times New Roman"/>
          <w:sz w:val="24"/>
          <w:szCs w:val="24"/>
          <w:lang w:val="uk-UA"/>
        </w:rPr>
        <w:t xml:space="preserve"> </w:t>
      </w:r>
      <w:r w:rsidR="00AA5E66" w:rsidRPr="00BE1959">
        <w:rPr>
          <w:rFonts w:ascii="Times New Roman" w:eastAsia="Times New Roman" w:hAnsi="Times New Roman" w:cs="Times New Roman"/>
          <w:sz w:val="24"/>
          <w:szCs w:val="24"/>
          <w:lang w:val="uk-UA"/>
        </w:rPr>
        <w:t xml:space="preserve">повідомляють ESMA та інші </w:t>
      </w:r>
      <w:r w:rsidR="00434A96" w:rsidRPr="00BE1959">
        <w:rPr>
          <w:rFonts w:ascii="Times New Roman" w:eastAsia="Times New Roman" w:hAnsi="Times New Roman" w:cs="Times New Roman"/>
          <w:sz w:val="24"/>
          <w:szCs w:val="24"/>
          <w:lang w:val="uk-UA"/>
        </w:rPr>
        <w:t>компетентні органи</w:t>
      </w:r>
      <w:r w:rsidR="00AA5E66" w:rsidRPr="00BE1959">
        <w:rPr>
          <w:rFonts w:ascii="Times New Roman" w:eastAsia="Times New Roman" w:hAnsi="Times New Roman" w:cs="Times New Roman"/>
          <w:sz w:val="24"/>
          <w:szCs w:val="24"/>
          <w:lang w:val="uk-UA"/>
        </w:rPr>
        <w:t xml:space="preserve"> про:</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8"/>
        <w:gridCol w:w="9077"/>
      </w:tblGrid>
      <w:tr w:rsidR="005613AB" w:rsidRPr="00BE1959"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AA5E66" w:rsidP="00AA5E66">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вимоги зменшити розмір позиції або зобов’язання на виконання пп. (о)</w:t>
            </w:r>
            <w:r w:rsidR="005613AB" w:rsidRPr="00BE1959">
              <w:rPr>
                <w:rFonts w:ascii="Times New Roman" w:eastAsia="Times New Roman" w:hAnsi="Times New Roman" w:cs="Times New Roman"/>
                <w:sz w:val="24"/>
                <w:szCs w:val="24"/>
                <w:lang w:val="uk-UA"/>
              </w:rPr>
              <w:t xml:space="preserve"> </w:t>
            </w:r>
            <w:r w:rsidR="0065313E" w:rsidRPr="00BE1959">
              <w:rPr>
                <w:rFonts w:ascii="Times New Roman" w:eastAsia="Times New Roman" w:hAnsi="Times New Roman" w:cs="Times New Roman"/>
                <w:sz w:val="24"/>
                <w:szCs w:val="24"/>
                <w:lang w:val="uk-UA"/>
              </w:rPr>
              <w:t>статті</w:t>
            </w:r>
            <w:r w:rsidR="005613AB" w:rsidRPr="00BE1959">
              <w:rPr>
                <w:rFonts w:ascii="Times New Roman" w:eastAsia="Times New Roman" w:hAnsi="Times New Roman" w:cs="Times New Roman"/>
                <w:sz w:val="24"/>
                <w:szCs w:val="24"/>
                <w:lang w:val="uk-UA"/>
              </w:rPr>
              <w:t xml:space="preserve"> 69(2);</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DE3173" w:rsidRPr="00BE1959"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AA5E66" w:rsidP="00D556C4">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обмеження на</w:t>
            </w:r>
            <w:r w:rsidR="00D556C4" w:rsidRPr="00BE1959">
              <w:rPr>
                <w:rFonts w:ascii="Times New Roman" w:eastAsia="Times New Roman" w:hAnsi="Times New Roman" w:cs="Times New Roman"/>
                <w:sz w:val="24"/>
                <w:szCs w:val="24"/>
                <w:lang w:val="uk-UA"/>
              </w:rPr>
              <w:t xml:space="preserve"> здатність осіб укладати товарний дериватив на виконання пп. (р)</w:t>
            </w:r>
            <w:r w:rsidR="005613AB" w:rsidRPr="00BE1959">
              <w:rPr>
                <w:rFonts w:ascii="Times New Roman" w:eastAsia="Times New Roman" w:hAnsi="Times New Roman" w:cs="Times New Roman"/>
                <w:sz w:val="24"/>
                <w:szCs w:val="24"/>
                <w:lang w:val="uk-UA"/>
              </w:rPr>
              <w:t xml:space="preserve"> </w:t>
            </w:r>
            <w:r w:rsidR="0065313E" w:rsidRPr="00BE1959">
              <w:rPr>
                <w:rFonts w:ascii="Times New Roman" w:eastAsia="Times New Roman" w:hAnsi="Times New Roman" w:cs="Times New Roman"/>
                <w:sz w:val="24"/>
                <w:szCs w:val="24"/>
                <w:lang w:val="uk-UA"/>
              </w:rPr>
              <w:t>статті</w:t>
            </w:r>
            <w:r w:rsidR="005613AB" w:rsidRPr="00BE1959">
              <w:rPr>
                <w:rFonts w:ascii="Times New Roman" w:eastAsia="Times New Roman" w:hAnsi="Times New Roman" w:cs="Times New Roman"/>
                <w:sz w:val="24"/>
                <w:szCs w:val="24"/>
                <w:lang w:val="uk-UA"/>
              </w:rPr>
              <w:t xml:space="preserve"> 69(2).</w:t>
            </w:r>
          </w:p>
        </w:tc>
      </w:tr>
    </w:tbl>
    <w:p w:rsidR="005613AB" w:rsidRPr="00BE1959" w:rsidRDefault="00D556C4" w:rsidP="006210ED">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Це повідомлення включає, де доречно, відомості про </w:t>
      </w:r>
      <w:r w:rsidR="00E97BF3" w:rsidRPr="00BE1959">
        <w:rPr>
          <w:rFonts w:ascii="Times New Roman" w:eastAsia="Times New Roman" w:hAnsi="Times New Roman" w:cs="Times New Roman"/>
          <w:sz w:val="24"/>
          <w:szCs w:val="24"/>
          <w:lang w:val="uk-UA"/>
        </w:rPr>
        <w:t xml:space="preserve">прохання або </w:t>
      </w:r>
      <w:r w:rsidRPr="00BE1959">
        <w:rPr>
          <w:rFonts w:ascii="Times New Roman" w:eastAsia="Times New Roman" w:hAnsi="Times New Roman" w:cs="Times New Roman"/>
          <w:sz w:val="24"/>
          <w:szCs w:val="24"/>
          <w:lang w:val="uk-UA"/>
        </w:rPr>
        <w:t xml:space="preserve">вимогу згідно з </w:t>
      </w:r>
      <w:r w:rsidR="00E97BF3" w:rsidRPr="00BE1959">
        <w:rPr>
          <w:rFonts w:ascii="Times New Roman" w:eastAsia="Times New Roman" w:hAnsi="Times New Roman" w:cs="Times New Roman"/>
          <w:sz w:val="24"/>
          <w:szCs w:val="24"/>
          <w:lang w:val="uk-UA"/>
        </w:rPr>
        <w:t>пп.</w:t>
      </w:r>
      <w:r w:rsidR="005613AB" w:rsidRPr="00BE1959">
        <w:rPr>
          <w:rFonts w:ascii="Times New Roman" w:eastAsia="Times New Roman" w:hAnsi="Times New Roman" w:cs="Times New Roman"/>
          <w:sz w:val="24"/>
          <w:szCs w:val="24"/>
          <w:lang w:val="uk-UA"/>
        </w:rPr>
        <w:t xml:space="preserve"> (j) </w:t>
      </w:r>
      <w:r w:rsidR="0065313E" w:rsidRPr="00BE1959">
        <w:rPr>
          <w:rFonts w:ascii="Times New Roman" w:eastAsia="Times New Roman" w:hAnsi="Times New Roman" w:cs="Times New Roman"/>
          <w:sz w:val="24"/>
          <w:szCs w:val="24"/>
          <w:lang w:val="uk-UA"/>
        </w:rPr>
        <w:t>статті</w:t>
      </w:r>
      <w:r w:rsidR="00E97BF3" w:rsidRPr="00BE1959">
        <w:rPr>
          <w:rFonts w:ascii="Times New Roman" w:eastAsia="Times New Roman" w:hAnsi="Times New Roman" w:cs="Times New Roman"/>
          <w:sz w:val="24"/>
          <w:szCs w:val="24"/>
          <w:lang w:val="uk-UA"/>
        </w:rPr>
        <w:t xml:space="preserve"> 69(2), зокрема персональні дані особи або осіб, яким це прохання або вимогу було адресовано і підстави для цього, а також сферу дії лімітів, </w:t>
      </w:r>
      <w:r w:rsidR="006210ED" w:rsidRPr="00BE1959">
        <w:rPr>
          <w:rFonts w:ascii="Times New Roman" w:eastAsia="Times New Roman" w:hAnsi="Times New Roman" w:cs="Times New Roman"/>
          <w:sz w:val="24"/>
          <w:szCs w:val="24"/>
          <w:lang w:val="uk-UA"/>
        </w:rPr>
        <w:t>запроваджених згідно з пп. (р) статті</w:t>
      </w:r>
      <w:r w:rsidR="005613AB" w:rsidRPr="00BE1959">
        <w:rPr>
          <w:rFonts w:ascii="Times New Roman" w:eastAsia="Times New Roman" w:hAnsi="Times New Roman" w:cs="Times New Roman"/>
          <w:sz w:val="24"/>
          <w:szCs w:val="24"/>
          <w:lang w:val="uk-UA"/>
        </w:rPr>
        <w:t xml:space="preserve"> 69(2)</w:t>
      </w:r>
      <w:r w:rsidR="006210ED" w:rsidRPr="00BE1959">
        <w:rPr>
          <w:rFonts w:ascii="Times New Roman" w:eastAsia="Times New Roman" w:hAnsi="Times New Roman" w:cs="Times New Roman"/>
          <w:sz w:val="24"/>
          <w:szCs w:val="24"/>
          <w:lang w:val="uk-UA"/>
        </w:rPr>
        <w:t>, як-от дані особи, застосовні фінансові інструменти, ліміти на розмір позиції, яку дана особа може утримувати у будь-який момент, звільнення від дії цього правила, надані згідно зі статтею 57, та причини надання цих звільнень.</w:t>
      </w:r>
    </w:p>
    <w:p w:rsidR="005613AB" w:rsidRPr="00BE1959" w:rsidRDefault="006210ED" w:rsidP="001849C5">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Повідомлення надаються не пізніше, ніж за 24 години до запланованого вжиття дій або заходів. </w:t>
      </w:r>
      <w:r w:rsidR="001849C5" w:rsidRPr="00BE1959">
        <w:rPr>
          <w:rFonts w:ascii="Times New Roman" w:eastAsia="Times New Roman" w:hAnsi="Times New Roman" w:cs="Times New Roman"/>
          <w:sz w:val="24"/>
          <w:szCs w:val="24"/>
          <w:lang w:val="uk-UA"/>
        </w:rPr>
        <w:t>У виняткових обставинах компетентний орган може надати повідомлення пізніше, ніж за 24 години до запланованого вжиття заходу, якщо за 24 години повідомлення надати неможливо.</w:t>
      </w:r>
    </w:p>
    <w:p w:rsidR="005613AB" w:rsidRPr="00BE1959" w:rsidRDefault="001849C5" w:rsidP="00F56FCC">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Компетентний орган</w:t>
      </w:r>
      <w:r w:rsidR="00D85B95" w:rsidRPr="00BE1959">
        <w:rPr>
          <w:rFonts w:ascii="Times New Roman" w:eastAsia="Times New Roman" w:hAnsi="Times New Roman" w:cs="Times New Roman"/>
          <w:sz w:val="24"/>
          <w:szCs w:val="24"/>
          <w:lang w:val="uk-UA"/>
        </w:rPr>
        <w:t xml:space="preserve"> держави-члена, який отримав повідомлення згідно з цим </w:t>
      </w:r>
      <w:r w:rsidR="00F56FCC" w:rsidRPr="00BE1959">
        <w:rPr>
          <w:rFonts w:ascii="Times New Roman" w:eastAsia="Times New Roman" w:hAnsi="Times New Roman" w:cs="Times New Roman"/>
          <w:sz w:val="24"/>
          <w:szCs w:val="24"/>
          <w:lang w:val="uk-UA"/>
        </w:rPr>
        <w:t>пунктом</w:t>
      </w:r>
      <w:r w:rsidR="00D85B95" w:rsidRPr="00BE1959">
        <w:rPr>
          <w:rFonts w:ascii="Times New Roman" w:eastAsia="Times New Roman" w:hAnsi="Times New Roman" w:cs="Times New Roman"/>
          <w:sz w:val="24"/>
          <w:szCs w:val="24"/>
          <w:lang w:val="uk-UA"/>
        </w:rPr>
        <w:t xml:space="preserve">, може вжити заходів відповідно до пп. (о) або (р) </w:t>
      </w:r>
      <w:r w:rsidR="0065313E" w:rsidRPr="00BE1959">
        <w:rPr>
          <w:rFonts w:ascii="Times New Roman" w:eastAsia="Times New Roman" w:hAnsi="Times New Roman" w:cs="Times New Roman"/>
          <w:sz w:val="24"/>
          <w:szCs w:val="24"/>
          <w:lang w:val="uk-UA"/>
        </w:rPr>
        <w:t>статті</w:t>
      </w:r>
      <w:r w:rsidR="005613AB" w:rsidRPr="00BE1959">
        <w:rPr>
          <w:rFonts w:ascii="Times New Roman" w:eastAsia="Times New Roman" w:hAnsi="Times New Roman" w:cs="Times New Roman"/>
          <w:sz w:val="24"/>
          <w:szCs w:val="24"/>
          <w:lang w:val="uk-UA"/>
        </w:rPr>
        <w:t xml:space="preserve"> 69(2)</w:t>
      </w:r>
      <w:r w:rsidR="00D85B95" w:rsidRPr="00BE1959">
        <w:rPr>
          <w:rFonts w:ascii="Times New Roman" w:eastAsia="Times New Roman" w:hAnsi="Times New Roman" w:cs="Times New Roman"/>
          <w:sz w:val="24"/>
          <w:szCs w:val="24"/>
          <w:lang w:val="uk-UA"/>
        </w:rPr>
        <w:t xml:space="preserve">, якщо він переконався, що даний захід є необхідним для досягнення цілі іншого компетентного органу. </w:t>
      </w:r>
      <w:r w:rsidR="00AF288E" w:rsidRPr="00BE1959">
        <w:rPr>
          <w:rFonts w:ascii="Times New Roman" w:eastAsia="Times New Roman" w:hAnsi="Times New Roman" w:cs="Times New Roman"/>
          <w:sz w:val="24"/>
          <w:szCs w:val="24"/>
          <w:lang w:val="uk-UA"/>
        </w:rPr>
        <w:t>Компетентний орган</w:t>
      </w:r>
      <w:r w:rsidR="005613AB" w:rsidRPr="00BE1959">
        <w:rPr>
          <w:rFonts w:ascii="Times New Roman" w:eastAsia="Times New Roman" w:hAnsi="Times New Roman" w:cs="Times New Roman"/>
          <w:sz w:val="24"/>
          <w:szCs w:val="24"/>
          <w:lang w:val="uk-UA"/>
        </w:rPr>
        <w:t xml:space="preserve"> </w:t>
      </w:r>
      <w:r w:rsidR="00D85B95" w:rsidRPr="00BE1959">
        <w:rPr>
          <w:rFonts w:ascii="Times New Roman" w:eastAsia="Times New Roman" w:hAnsi="Times New Roman" w:cs="Times New Roman"/>
          <w:sz w:val="24"/>
          <w:szCs w:val="24"/>
          <w:lang w:val="uk-UA"/>
        </w:rPr>
        <w:t xml:space="preserve">також надає повідомлення згідно з цим </w:t>
      </w:r>
      <w:r w:rsidR="00F56FCC" w:rsidRPr="00BE1959">
        <w:rPr>
          <w:rFonts w:ascii="Times New Roman" w:eastAsia="Times New Roman" w:hAnsi="Times New Roman" w:cs="Times New Roman"/>
          <w:sz w:val="24"/>
          <w:szCs w:val="24"/>
          <w:lang w:val="uk-UA"/>
        </w:rPr>
        <w:t>пунктом, де він пропонує вжити заходів.</w:t>
      </w:r>
    </w:p>
    <w:p w:rsidR="005613AB" w:rsidRPr="00BE1959" w:rsidRDefault="00F56FCC" w:rsidP="00F56FCC">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Якщо дія відповідно до пп.</w:t>
      </w:r>
      <w:r w:rsidR="005613AB" w:rsidRPr="00BE1959">
        <w:rPr>
          <w:rFonts w:ascii="Times New Roman" w:eastAsia="Times New Roman" w:hAnsi="Times New Roman" w:cs="Times New Roman"/>
          <w:sz w:val="24"/>
          <w:szCs w:val="24"/>
          <w:lang w:val="uk-UA"/>
        </w:rPr>
        <w:t xml:space="preserve"> (a) </w:t>
      </w:r>
      <w:r w:rsidRPr="00BE1959">
        <w:rPr>
          <w:rFonts w:ascii="Times New Roman" w:eastAsia="Times New Roman" w:hAnsi="Times New Roman" w:cs="Times New Roman"/>
          <w:sz w:val="24"/>
          <w:szCs w:val="24"/>
          <w:lang w:val="uk-UA"/>
        </w:rPr>
        <w:t>чи</w:t>
      </w:r>
      <w:r w:rsidR="005613AB" w:rsidRPr="00BE1959">
        <w:rPr>
          <w:rFonts w:ascii="Times New Roman" w:eastAsia="Times New Roman" w:hAnsi="Times New Roman" w:cs="Times New Roman"/>
          <w:sz w:val="24"/>
          <w:szCs w:val="24"/>
          <w:lang w:val="uk-UA"/>
        </w:rPr>
        <w:t xml:space="preserve"> (b) </w:t>
      </w:r>
      <w:r w:rsidRPr="00BE1959">
        <w:rPr>
          <w:rFonts w:ascii="Times New Roman" w:eastAsia="Times New Roman" w:hAnsi="Times New Roman" w:cs="Times New Roman"/>
          <w:sz w:val="24"/>
          <w:szCs w:val="24"/>
          <w:lang w:val="uk-UA"/>
        </w:rPr>
        <w:t>першого абзацу стосується оптових енергетичних продуктів, то к</w:t>
      </w:r>
      <w:r w:rsidR="00AF288E" w:rsidRPr="00BE1959">
        <w:rPr>
          <w:rFonts w:ascii="Times New Roman" w:eastAsia="Times New Roman" w:hAnsi="Times New Roman" w:cs="Times New Roman"/>
          <w:sz w:val="24"/>
          <w:szCs w:val="24"/>
          <w:lang w:val="uk-UA"/>
        </w:rPr>
        <w:t>омпетентний орган</w:t>
      </w:r>
      <w:r w:rsidR="005613AB" w:rsidRPr="00BE1959">
        <w:rPr>
          <w:rFonts w:ascii="Times New Roman" w:eastAsia="Times New Roman" w:hAnsi="Times New Roman" w:cs="Times New Roman"/>
          <w:sz w:val="24"/>
          <w:szCs w:val="24"/>
          <w:lang w:val="uk-UA"/>
        </w:rPr>
        <w:t xml:space="preserve"> </w:t>
      </w:r>
      <w:r w:rsidRPr="00BE1959">
        <w:rPr>
          <w:rFonts w:ascii="Times New Roman" w:eastAsia="Times New Roman" w:hAnsi="Times New Roman" w:cs="Times New Roman"/>
          <w:sz w:val="24"/>
          <w:szCs w:val="24"/>
          <w:lang w:val="uk-UA"/>
        </w:rPr>
        <w:t>також повідомляє Агентство із співробітництва регуляторів у галузі енергетики</w:t>
      </w:r>
      <w:r w:rsidR="005613AB" w:rsidRPr="00BE1959">
        <w:rPr>
          <w:rFonts w:ascii="Times New Roman" w:eastAsia="Times New Roman" w:hAnsi="Times New Roman" w:cs="Times New Roman"/>
          <w:sz w:val="24"/>
          <w:szCs w:val="24"/>
          <w:lang w:val="uk-UA"/>
        </w:rPr>
        <w:t xml:space="preserve"> (ACER)</w:t>
      </w:r>
      <w:r w:rsidRPr="00BE1959">
        <w:rPr>
          <w:rFonts w:ascii="Times New Roman" w:eastAsia="Times New Roman" w:hAnsi="Times New Roman" w:cs="Times New Roman"/>
          <w:sz w:val="24"/>
          <w:szCs w:val="24"/>
          <w:lang w:val="uk-UA"/>
        </w:rPr>
        <w:t>, створене згідно з Регламентом</w:t>
      </w:r>
      <w:r w:rsidR="005613AB" w:rsidRPr="00BE1959">
        <w:rPr>
          <w:rFonts w:ascii="Times New Roman" w:eastAsia="Times New Roman" w:hAnsi="Times New Roman" w:cs="Times New Roman"/>
          <w:sz w:val="24"/>
          <w:szCs w:val="24"/>
          <w:lang w:val="uk-UA"/>
        </w:rPr>
        <w:t xml:space="preserve"> </w:t>
      </w:r>
      <w:r w:rsidR="000D3B79" w:rsidRPr="00BE1959">
        <w:rPr>
          <w:rFonts w:ascii="Times New Roman" w:eastAsia="Times New Roman" w:hAnsi="Times New Roman" w:cs="Times New Roman"/>
          <w:sz w:val="24"/>
          <w:szCs w:val="24"/>
          <w:lang w:val="uk-UA"/>
        </w:rPr>
        <w:t>(EC) №</w:t>
      </w:r>
      <w:r w:rsidR="005613AB" w:rsidRPr="00BE1959">
        <w:rPr>
          <w:rFonts w:ascii="Times New Roman" w:eastAsia="Times New Roman" w:hAnsi="Times New Roman" w:cs="Times New Roman"/>
          <w:sz w:val="24"/>
          <w:szCs w:val="24"/>
          <w:lang w:val="uk-UA"/>
        </w:rPr>
        <w:t> 713/2009.</w:t>
      </w:r>
    </w:p>
    <w:p w:rsidR="00C7467E" w:rsidRPr="00BE1959" w:rsidRDefault="005613AB" w:rsidP="00C7467E">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6.   </w:t>
      </w:r>
      <w:r w:rsidR="00592948" w:rsidRPr="00BE1959">
        <w:rPr>
          <w:rFonts w:ascii="Times New Roman" w:eastAsia="Times New Roman" w:hAnsi="Times New Roman" w:cs="Times New Roman"/>
          <w:sz w:val="24"/>
          <w:szCs w:val="24"/>
          <w:lang w:val="uk-UA"/>
        </w:rPr>
        <w:t xml:space="preserve">Стосовно квот на викиди </w:t>
      </w:r>
      <w:r w:rsidR="00434A96" w:rsidRPr="00BE1959">
        <w:rPr>
          <w:rFonts w:ascii="Times New Roman" w:eastAsia="Times New Roman" w:hAnsi="Times New Roman" w:cs="Times New Roman"/>
          <w:sz w:val="24"/>
          <w:szCs w:val="24"/>
          <w:lang w:val="uk-UA"/>
        </w:rPr>
        <w:t>компетентні органи</w:t>
      </w:r>
      <w:r w:rsidRPr="00BE1959">
        <w:rPr>
          <w:rFonts w:ascii="Times New Roman" w:eastAsia="Times New Roman" w:hAnsi="Times New Roman" w:cs="Times New Roman"/>
          <w:sz w:val="24"/>
          <w:szCs w:val="24"/>
          <w:lang w:val="uk-UA"/>
        </w:rPr>
        <w:t xml:space="preserve"> </w:t>
      </w:r>
      <w:r w:rsidR="00592948" w:rsidRPr="00BE1959">
        <w:rPr>
          <w:rFonts w:ascii="Times New Roman" w:eastAsia="Times New Roman" w:hAnsi="Times New Roman" w:cs="Times New Roman"/>
          <w:sz w:val="24"/>
          <w:szCs w:val="24"/>
          <w:lang w:val="uk-UA"/>
        </w:rPr>
        <w:t xml:space="preserve">співпрацюють із державними органами, відповідальними за нагляд за </w:t>
      </w:r>
      <w:r w:rsidR="00C7467E" w:rsidRPr="00BE1959">
        <w:rPr>
          <w:rFonts w:ascii="Times New Roman" w:eastAsia="Times New Roman" w:hAnsi="Times New Roman" w:cs="Times New Roman"/>
          <w:sz w:val="24"/>
          <w:szCs w:val="24"/>
          <w:lang w:val="uk-UA"/>
        </w:rPr>
        <w:t>спот-ринками і аукціонними ринками, а також із компетентними органами, адміністраторами реєстрів та іншими державними органами, на яких покладено функцію нагляду за дотриманням згідно з Директивою</w:t>
      </w:r>
      <w:r w:rsidRPr="00BE1959">
        <w:rPr>
          <w:rFonts w:ascii="Times New Roman" w:eastAsia="Times New Roman" w:hAnsi="Times New Roman" w:cs="Times New Roman"/>
          <w:sz w:val="24"/>
          <w:szCs w:val="24"/>
          <w:lang w:val="uk-UA"/>
        </w:rPr>
        <w:t xml:space="preserve"> 2003/87/EC</w:t>
      </w:r>
      <w:r w:rsidR="00C7467E" w:rsidRPr="00BE1959">
        <w:rPr>
          <w:rFonts w:ascii="Times New Roman" w:eastAsia="Times New Roman" w:hAnsi="Times New Roman" w:cs="Times New Roman"/>
          <w:sz w:val="24"/>
          <w:szCs w:val="24"/>
          <w:lang w:val="uk-UA"/>
        </w:rPr>
        <w:t xml:space="preserve">, </w:t>
      </w:r>
      <w:r w:rsidR="008D35E3" w:rsidRPr="00BE1959">
        <w:rPr>
          <w:rFonts w:ascii="Times New Roman" w:eastAsia="Times New Roman" w:hAnsi="Times New Roman" w:cs="Times New Roman"/>
          <w:sz w:val="24"/>
          <w:szCs w:val="24"/>
          <w:lang w:val="uk-UA"/>
        </w:rPr>
        <w:t>з метою</w:t>
      </w:r>
      <w:r w:rsidR="00C7467E" w:rsidRPr="00BE1959">
        <w:rPr>
          <w:rFonts w:ascii="Times New Roman" w:eastAsia="Times New Roman" w:hAnsi="Times New Roman" w:cs="Times New Roman"/>
          <w:sz w:val="24"/>
          <w:szCs w:val="24"/>
          <w:lang w:val="uk-UA"/>
        </w:rPr>
        <w:t xml:space="preserve"> забезпечити отримання ними узагальненого огляду ри</w:t>
      </w:r>
      <w:r w:rsidR="00B050FD" w:rsidRPr="00BE1959">
        <w:rPr>
          <w:rFonts w:ascii="Times New Roman" w:eastAsia="Times New Roman" w:hAnsi="Times New Roman" w:cs="Times New Roman"/>
          <w:sz w:val="24"/>
          <w:szCs w:val="24"/>
          <w:lang w:val="uk-UA"/>
        </w:rPr>
        <w:t>н</w:t>
      </w:r>
      <w:r w:rsidR="008D35E3" w:rsidRPr="00BE1959">
        <w:rPr>
          <w:rFonts w:ascii="Times New Roman" w:eastAsia="Times New Roman" w:hAnsi="Times New Roman" w:cs="Times New Roman"/>
          <w:sz w:val="24"/>
          <w:szCs w:val="24"/>
          <w:lang w:val="uk-UA"/>
        </w:rPr>
        <w:t>ків квот на викиди.</w:t>
      </w:r>
    </w:p>
    <w:p w:rsidR="005613AB" w:rsidRPr="00BE1959" w:rsidRDefault="005613AB" w:rsidP="008D35E3">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7.   </w:t>
      </w:r>
      <w:r w:rsidR="008D35E3" w:rsidRPr="00BE1959">
        <w:rPr>
          <w:rFonts w:ascii="Times New Roman" w:eastAsia="Times New Roman" w:hAnsi="Times New Roman" w:cs="Times New Roman"/>
          <w:sz w:val="24"/>
          <w:szCs w:val="24"/>
          <w:lang w:val="uk-UA"/>
        </w:rPr>
        <w:t>Стосовно сільськогосподарських товарних деривативів компетентні органи подають звіти державним органам, відповідальним за нагляд, адміністративне управління і регулювання реальних сільськогосподарських ринків за Регламентом</w:t>
      </w:r>
      <w:r w:rsidRPr="00BE1959">
        <w:rPr>
          <w:rFonts w:ascii="Times New Roman" w:eastAsia="Times New Roman" w:hAnsi="Times New Roman" w:cs="Times New Roman"/>
          <w:sz w:val="24"/>
          <w:szCs w:val="24"/>
          <w:lang w:val="uk-UA"/>
        </w:rPr>
        <w:t xml:space="preserve"> </w:t>
      </w:r>
      <w:r w:rsidR="00DB4825" w:rsidRPr="00BE1959">
        <w:rPr>
          <w:rFonts w:ascii="Times New Roman" w:eastAsia="Times New Roman" w:hAnsi="Times New Roman" w:cs="Times New Roman"/>
          <w:sz w:val="24"/>
          <w:szCs w:val="24"/>
          <w:lang w:val="uk-UA"/>
        </w:rPr>
        <w:t>(EU) №</w:t>
      </w:r>
      <w:r w:rsidRPr="00BE1959">
        <w:rPr>
          <w:rFonts w:ascii="Times New Roman" w:eastAsia="Times New Roman" w:hAnsi="Times New Roman" w:cs="Times New Roman"/>
          <w:sz w:val="24"/>
          <w:szCs w:val="24"/>
          <w:lang w:val="uk-UA"/>
        </w:rPr>
        <w:t> 1308/2013</w:t>
      </w:r>
      <w:r w:rsidR="008D35E3" w:rsidRPr="00BE1959">
        <w:rPr>
          <w:rFonts w:ascii="Times New Roman" w:eastAsia="Times New Roman" w:hAnsi="Times New Roman" w:cs="Times New Roman"/>
          <w:sz w:val="24"/>
          <w:szCs w:val="24"/>
          <w:lang w:val="uk-UA"/>
        </w:rPr>
        <w:t>, і співпрацюють із цими органами</w:t>
      </w:r>
      <w:r w:rsidRPr="00BE1959">
        <w:rPr>
          <w:rFonts w:ascii="Times New Roman" w:eastAsia="Times New Roman" w:hAnsi="Times New Roman" w:cs="Times New Roman"/>
          <w:sz w:val="24"/>
          <w:szCs w:val="24"/>
          <w:lang w:val="uk-UA"/>
        </w:rPr>
        <w:t>.</w:t>
      </w:r>
    </w:p>
    <w:p w:rsidR="005613AB" w:rsidRPr="00BE1959" w:rsidRDefault="005613AB" w:rsidP="00336203">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8.   </w:t>
      </w:r>
      <w:r w:rsidR="008D35E3" w:rsidRPr="00BE1959">
        <w:rPr>
          <w:rFonts w:ascii="Times New Roman" w:eastAsia="Times New Roman" w:hAnsi="Times New Roman" w:cs="Times New Roman"/>
          <w:sz w:val="24"/>
          <w:szCs w:val="24"/>
          <w:lang w:val="uk-UA"/>
        </w:rPr>
        <w:t>Комісії надається повноваження на прийняття делегованих актів відповідно до статті 89 з метою встановлення критеріїв, за якими діяльність</w:t>
      </w:r>
      <w:r w:rsidRPr="00BE1959">
        <w:rPr>
          <w:rFonts w:ascii="Times New Roman" w:eastAsia="Times New Roman" w:hAnsi="Times New Roman" w:cs="Times New Roman"/>
          <w:sz w:val="24"/>
          <w:szCs w:val="24"/>
          <w:lang w:val="uk-UA"/>
        </w:rPr>
        <w:t xml:space="preserve"> </w:t>
      </w:r>
      <w:r w:rsidR="00DE1B9C" w:rsidRPr="00BE1959">
        <w:rPr>
          <w:rFonts w:ascii="Times New Roman" w:eastAsia="Times New Roman" w:hAnsi="Times New Roman" w:cs="Times New Roman"/>
          <w:sz w:val="24"/>
          <w:szCs w:val="24"/>
          <w:lang w:val="uk-UA"/>
        </w:rPr>
        <w:t>торговельного майданчика</w:t>
      </w:r>
      <w:r w:rsidRPr="00BE1959">
        <w:rPr>
          <w:rFonts w:ascii="Times New Roman" w:eastAsia="Times New Roman" w:hAnsi="Times New Roman" w:cs="Times New Roman"/>
          <w:sz w:val="24"/>
          <w:szCs w:val="24"/>
          <w:lang w:val="uk-UA"/>
        </w:rPr>
        <w:t xml:space="preserve"> </w:t>
      </w:r>
      <w:r w:rsidR="008D35E3" w:rsidRPr="00BE1959">
        <w:rPr>
          <w:rFonts w:ascii="Times New Roman" w:eastAsia="Times New Roman" w:hAnsi="Times New Roman" w:cs="Times New Roman"/>
          <w:sz w:val="24"/>
          <w:szCs w:val="24"/>
          <w:lang w:val="uk-UA"/>
        </w:rPr>
        <w:t xml:space="preserve">у </w:t>
      </w:r>
      <w:r w:rsidR="008D35E3" w:rsidRPr="00BE1959">
        <w:rPr>
          <w:rFonts w:ascii="Times New Roman" w:eastAsia="Times New Roman" w:hAnsi="Times New Roman" w:cs="Times New Roman"/>
          <w:sz w:val="24"/>
          <w:szCs w:val="24"/>
          <w:lang w:val="uk-UA"/>
        </w:rPr>
        <w:lastRenderedPageBreak/>
        <w:t>приймаючій</w:t>
      </w:r>
      <w:r w:rsidRPr="00BE1959">
        <w:rPr>
          <w:rFonts w:ascii="Times New Roman" w:eastAsia="Times New Roman" w:hAnsi="Times New Roman" w:cs="Times New Roman"/>
          <w:sz w:val="24"/>
          <w:szCs w:val="24"/>
          <w:lang w:val="uk-UA"/>
        </w:rPr>
        <w:t xml:space="preserve"> </w:t>
      </w:r>
      <w:r w:rsidR="008D35E3" w:rsidRPr="00BE1959">
        <w:rPr>
          <w:rFonts w:ascii="Times New Roman" w:eastAsia="Times New Roman" w:hAnsi="Times New Roman" w:cs="Times New Roman"/>
          <w:sz w:val="24"/>
          <w:szCs w:val="24"/>
          <w:lang w:val="uk-UA"/>
        </w:rPr>
        <w:t>д</w:t>
      </w:r>
      <w:r w:rsidR="00540D96" w:rsidRPr="00BE1959">
        <w:rPr>
          <w:rFonts w:ascii="Times New Roman" w:eastAsia="Times New Roman" w:hAnsi="Times New Roman" w:cs="Times New Roman"/>
          <w:sz w:val="24"/>
          <w:szCs w:val="24"/>
          <w:lang w:val="uk-UA"/>
        </w:rPr>
        <w:t>ержав</w:t>
      </w:r>
      <w:r w:rsidR="008D35E3" w:rsidRPr="00BE1959">
        <w:rPr>
          <w:rFonts w:ascii="Times New Roman" w:eastAsia="Times New Roman" w:hAnsi="Times New Roman" w:cs="Times New Roman"/>
          <w:sz w:val="24"/>
          <w:szCs w:val="24"/>
          <w:lang w:val="uk-UA"/>
        </w:rPr>
        <w:t>і</w:t>
      </w:r>
      <w:r w:rsidR="00540D96" w:rsidRPr="00BE1959">
        <w:rPr>
          <w:rFonts w:ascii="Times New Roman" w:eastAsia="Times New Roman" w:hAnsi="Times New Roman" w:cs="Times New Roman"/>
          <w:sz w:val="24"/>
          <w:szCs w:val="24"/>
          <w:lang w:val="uk-UA"/>
        </w:rPr>
        <w:t>-член</w:t>
      </w:r>
      <w:r w:rsidR="008D35E3" w:rsidRPr="00BE1959">
        <w:rPr>
          <w:rFonts w:ascii="Times New Roman" w:eastAsia="Times New Roman" w:hAnsi="Times New Roman" w:cs="Times New Roman"/>
          <w:sz w:val="24"/>
          <w:szCs w:val="24"/>
          <w:lang w:val="uk-UA"/>
        </w:rPr>
        <w:t>і</w:t>
      </w:r>
      <w:r w:rsidRPr="00BE1959">
        <w:rPr>
          <w:rFonts w:ascii="Times New Roman" w:eastAsia="Times New Roman" w:hAnsi="Times New Roman" w:cs="Times New Roman"/>
          <w:sz w:val="24"/>
          <w:szCs w:val="24"/>
          <w:lang w:val="uk-UA"/>
        </w:rPr>
        <w:t xml:space="preserve"> </w:t>
      </w:r>
      <w:r w:rsidR="008D35E3" w:rsidRPr="00BE1959">
        <w:rPr>
          <w:rFonts w:ascii="Times New Roman" w:eastAsia="Times New Roman" w:hAnsi="Times New Roman" w:cs="Times New Roman"/>
          <w:sz w:val="24"/>
          <w:szCs w:val="24"/>
          <w:lang w:val="uk-UA"/>
        </w:rPr>
        <w:t xml:space="preserve">може вважатися </w:t>
      </w:r>
      <w:r w:rsidR="00336203" w:rsidRPr="00BE1959">
        <w:rPr>
          <w:rFonts w:ascii="Times New Roman" w:eastAsia="Times New Roman" w:hAnsi="Times New Roman" w:cs="Times New Roman"/>
          <w:sz w:val="24"/>
          <w:szCs w:val="24"/>
          <w:lang w:val="uk-UA"/>
        </w:rPr>
        <w:t>істотно важливою для функціонування ринків цінних паперів і для захисту інвесторів у цій державі.</w:t>
      </w:r>
    </w:p>
    <w:p w:rsidR="00112B1E" w:rsidRPr="00BE1959" w:rsidRDefault="00112B1E" w:rsidP="00112B1E">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9.   ESMA розробляє проекти  виконавчих технічних стандартів, де визначаються типові форми, шаблони та процедури щодо угод із співробітництва, згаданих у пункті 2.</w:t>
      </w:r>
    </w:p>
    <w:p w:rsidR="00112B1E" w:rsidRPr="00BE1959" w:rsidRDefault="00112B1E" w:rsidP="00112B1E">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ESMA подає проекти цих  виконавчих технічних стандартів Комісії до 3 січня 2016 року.</w:t>
      </w:r>
    </w:p>
    <w:p w:rsidR="00112B1E" w:rsidRPr="00BE1959" w:rsidRDefault="00112B1E" w:rsidP="00112B1E">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Комісії надається повноваження на прийняття виконавчих технічних стандартів, згаданих у першому абзаці цього пункту, згідно зі статтею 15 Регламенту (EU) № 1095/2010.</w:t>
      </w:r>
    </w:p>
    <w:p w:rsidR="005613AB" w:rsidRPr="00BE1959" w:rsidRDefault="00162A11" w:rsidP="005613AB">
      <w:pPr>
        <w:spacing w:before="360" w:after="120" w:line="312" w:lineRule="atLeast"/>
        <w:jc w:val="center"/>
        <w:textAlignment w:val="baseline"/>
        <w:rPr>
          <w:rFonts w:ascii="Times New Roman" w:eastAsia="Times New Roman" w:hAnsi="Times New Roman" w:cs="Times New Roman"/>
          <w:i/>
          <w:iCs/>
          <w:sz w:val="24"/>
          <w:szCs w:val="24"/>
          <w:lang w:val="uk-UA"/>
        </w:rPr>
      </w:pPr>
      <w:r w:rsidRPr="00BE1959">
        <w:rPr>
          <w:rFonts w:ascii="Times New Roman" w:eastAsia="Times New Roman" w:hAnsi="Times New Roman" w:cs="Times New Roman"/>
          <w:i/>
          <w:iCs/>
          <w:sz w:val="24"/>
          <w:szCs w:val="24"/>
          <w:lang w:val="uk-UA"/>
        </w:rPr>
        <w:t>Стаття</w:t>
      </w:r>
      <w:r w:rsidR="005613AB" w:rsidRPr="00BE1959">
        <w:rPr>
          <w:rFonts w:ascii="Times New Roman" w:eastAsia="Times New Roman" w:hAnsi="Times New Roman" w:cs="Times New Roman"/>
          <w:i/>
          <w:iCs/>
          <w:sz w:val="24"/>
          <w:szCs w:val="24"/>
          <w:lang w:val="uk-UA"/>
        </w:rPr>
        <w:t xml:space="preserve"> 80</w:t>
      </w:r>
    </w:p>
    <w:p w:rsidR="005613AB" w:rsidRPr="00BE1959" w:rsidRDefault="00112B1E" w:rsidP="005613AB">
      <w:pPr>
        <w:spacing w:before="60" w:after="120" w:line="312" w:lineRule="atLeast"/>
        <w:jc w:val="center"/>
        <w:textAlignment w:val="baseline"/>
        <w:rPr>
          <w:rFonts w:ascii="Times New Roman" w:eastAsia="Times New Roman" w:hAnsi="Times New Roman" w:cs="Times New Roman"/>
          <w:b/>
          <w:bCs/>
          <w:sz w:val="24"/>
          <w:szCs w:val="24"/>
          <w:lang w:val="uk-UA"/>
        </w:rPr>
      </w:pPr>
      <w:r w:rsidRPr="00BE1959">
        <w:rPr>
          <w:rFonts w:ascii="Times New Roman" w:eastAsia="Times New Roman" w:hAnsi="Times New Roman" w:cs="Times New Roman"/>
          <w:b/>
          <w:bCs/>
          <w:sz w:val="24"/>
          <w:szCs w:val="24"/>
          <w:lang w:val="uk-UA"/>
        </w:rPr>
        <w:t xml:space="preserve">Співробітництво між компетентними органами у наглядовій діяльності, проведенні </w:t>
      </w:r>
      <w:r w:rsidR="00785965" w:rsidRPr="00BE1959">
        <w:rPr>
          <w:rFonts w:ascii="Times New Roman" w:eastAsia="Times New Roman" w:hAnsi="Times New Roman" w:cs="Times New Roman"/>
          <w:b/>
          <w:bCs/>
          <w:sz w:val="24"/>
          <w:szCs w:val="24"/>
          <w:lang w:val="uk-UA"/>
        </w:rPr>
        <w:t xml:space="preserve">оперативних </w:t>
      </w:r>
      <w:r w:rsidRPr="00BE1959">
        <w:rPr>
          <w:rFonts w:ascii="Times New Roman" w:eastAsia="Times New Roman" w:hAnsi="Times New Roman" w:cs="Times New Roman"/>
          <w:b/>
          <w:bCs/>
          <w:sz w:val="24"/>
          <w:szCs w:val="24"/>
          <w:lang w:val="uk-UA"/>
        </w:rPr>
        <w:t>перевірок та розслідувань</w:t>
      </w:r>
    </w:p>
    <w:p w:rsidR="005613AB" w:rsidRPr="00BE1959" w:rsidRDefault="005613AB" w:rsidP="00582314">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1.   </w:t>
      </w:r>
      <w:r w:rsidR="002154B5" w:rsidRPr="00BE1959">
        <w:rPr>
          <w:rFonts w:ascii="Times New Roman" w:eastAsia="Times New Roman" w:hAnsi="Times New Roman" w:cs="Times New Roman"/>
          <w:sz w:val="24"/>
          <w:szCs w:val="24"/>
          <w:lang w:val="uk-UA"/>
        </w:rPr>
        <w:t xml:space="preserve">Компетентний орган однієї держави-члена може </w:t>
      </w:r>
      <w:r w:rsidR="00582314" w:rsidRPr="00BE1959">
        <w:rPr>
          <w:rFonts w:ascii="Times New Roman" w:eastAsia="Times New Roman" w:hAnsi="Times New Roman" w:cs="Times New Roman"/>
          <w:sz w:val="24"/>
          <w:szCs w:val="24"/>
          <w:lang w:val="uk-UA"/>
        </w:rPr>
        <w:t>попросити про</w:t>
      </w:r>
      <w:r w:rsidR="002154B5" w:rsidRPr="00BE1959">
        <w:rPr>
          <w:rFonts w:ascii="Times New Roman" w:eastAsia="Times New Roman" w:hAnsi="Times New Roman" w:cs="Times New Roman"/>
          <w:sz w:val="24"/>
          <w:szCs w:val="24"/>
          <w:lang w:val="uk-UA"/>
        </w:rPr>
        <w:t xml:space="preserve"> співробітництв</w:t>
      </w:r>
      <w:r w:rsidR="00582314" w:rsidRPr="00BE1959">
        <w:rPr>
          <w:rFonts w:ascii="Times New Roman" w:eastAsia="Times New Roman" w:hAnsi="Times New Roman" w:cs="Times New Roman"/>
          <w:sz w:val="24"/>
          <w:szCs w:val="24"/>
          <w:lang w:val="uk-UA"/>
        </w:rPr>
        <w:t>о</w:t>
      </w:r>
      <w:r w:rsidR="002154B5" w:rsidRPr="00BE1959">
        <w:rPr>
          <w:rFonts w:ascii="Times New Roman" w:eastAsia="Times New Roman" w:hAnsi="Times New Roman" w:cs="Times New Roman"/>
          <w:sz w:val="24"/>
          <w:szCs w:val="24"/>
          <w:lang w:val="uk-UA"/>
        </w:rPr>
        <w:t xml:space="preserve"> з боку компетентного органу іншої держави-члена у наглядовій діяльності або для проведення </w:t>
      </w:r>
      <w:r w:rsidR="00785965" w:rsidRPr="00BE1959">
        <w:rPr>
          <w:rFonts w:ascii="Times New Roman" w:eastAsia="Times New Roman" w:hAnsi="Times New Roman" w:cs="Times New Roman"/>
          <w:sz w:val="24"/>
          <w:szCs w:val="24"/>
          <w:lang w:val="uk-UA"/>
        </w:rPr>
        <w:t xml:space="preserve">оперативної </w:t>
      </w:r>
      <w:r w:rsidR="002154B5" w:rsidRPr="00BE1959">
        <w:rPr>
          <w:rFonts w:ascii="Times New Roman" w:eastAsia="Times New Roman" w:hAnsi="Times New Roman" w:cs="Times New Roman"/>
          <w:sz w:val="24"/>
          <w:szCs w:val="24"/>
          <w:lang w:val="uk-UA"/>
        </w:rPr>
        <w:t xml:space="preserve">перевірки на місці чи розслідування. У випадку інвестиційних фірм, які є віддаленими членами або учасниками регульованого ринку компетентний орган регульованого ринку може вирішити </w:t>
      </w:r>
      <w:r w:rsidR="00582314" w:rsidRPr="00BE1959">
        <w:rPr>
          <w:rFonts w:ascii="Times New Roman" w:eastAsia="Times New Roman" w:hAnsi="Times New Roman" w:cs="Times New Roman"/>
          <w:sz w:val="24"/>
          <w:szCs w:val="24"/>
          <w:lang w:val="uk-UA"/>
        </w:rPr>
        <w:t>взаємодіяти з ними безпосередньо, і в такій ситуації він відповідним чином інформує компетентний орган</w:t>
      </w:r>
      <w:r w:rsidRPr="00BE1959">
        <w:rPr>
          <w:rFonts w:ascii="Times New Roman" w:eastAsia="Times New Roman" w:hAnsi="Times New Roman" w:cs="Times New Roman"/>
          <w:sz w:val="24"/>
          <w:szCs w:val="24"/>
          <w:lang w:val="uk-UA"/>
        </w:rPr>
        <w:t xml:space="preserve"> </w:t>
      </w:r>
      <w:r w:rsidR="003A5348" w:rsidRPr="00BE1959">
        <w:rPr>
          <w:rFonts w:ascii="Times New Roman" w:eastAsia="Times New Roman" w:hAnsi="Times New Roman" w:cs="Times New Roman"/>
          <w:sz w:val="24"/>
          <w:szCs w:val="24"/>
          <w:lang w:val="uk-UA"/>
        </w:rPr>
        <w:t>держави-члена походження</w:t>
      </w:r>
      <w:r w:rsidRPr="00BE1959">
        <w:rPr>
          <w:rFonts w:ascii="Times New Roman" w:eastAsia="Times New Roman" w:hAnsi="Times New Roman" w:cs="Times New Roman"/>
          <w:sz w:val="24"/>
          <w:szCs w:val="24"/>
          <w:lang w:val="uk-UA"/>
        </w:rPr>
        <w:t xml:space="preserve"> </w:t>
      </w:r>
      <w:r w:rsidR="00582314" w:rsidRPr="00BE1959">
        <w:rPr>
          <w:rFonts w:ascii="Times New Roman" w:eastAsia="Times New Roman" w:hAnsi="Times New Roman" w:cs="Times New Roman"/>
          <w:sz w:val="24"/>
          <w:szCs w:val="24"/>
          <w:lang w:val="uk-UA"/>
        </w:rPr>
        <w:t>віддаленого члена або учасника.</w:t>
      </w:r>
    </w:p>
    <w:p w:rsidR="005613AB" w:rsidRPr="00BE1959" w:rsidRDefault="00582314" w:rsidP="009521FF">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Якщо компетентний орган отримав прохання стосовно </w:t>
      </w:r>
      <w:r w:rsidR="00785965" w:rsidRPr="00BE1959">
        <w:rPr>
          <w:rFonts w:ascii="Times New Roman" w:eastAsia="Times New Roman" w:hAnsi="Times New Roman" w:cs="Times New Roman"/>
          <w:sz w:val="24"/>
          <w:szCs w:val="24"/>
          <w:lang w:val="uk-UA"/>
        </w:rPr>
        <w:t xml:space="preserve">оперативної </w:t>
      </w:r>
      <w:r w:rsidR="009521FF" w:rsidRPr="00BE1959">
        <w:rPr>
          <w:rFonts w:ascii="Times New Roman" w:eastAsia="Times New Roman" w:hAnsi="Times New Roman" w:cs="Times New Roman"/>
          <w:sz w:val="24"/>
          <w:szCs w:val="24"/>
          <w:lang w:val="uk-UA"/>
        </w:rPr>
        <w:t>перевірки на місці або розслідування, то він у рамках своїх повноважень:</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08"/>
        <w:gridCol w:w="8857"/>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9521FF" w:rsidP="00785965">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самостійно проводить перевірк</w:t>
            </w:r>
            <w:r w:rsidR="00785965" w:rsidRPr="00BE1959">
              <w:rPr>
                <w:rFonts w:ascii="Times New Roman" w:eastAsia="Times New Roman" w:hAnsi="Times New Roman" w:cs="Times New Roman"/>
                <w:sz w:val="24"/>
                <w:szCs w:val="24"/>
                <w:lang w:val="uk-UA"/>
              </w:rPr>
              <w:t>у</w:t>
            </w:r>
            <w:r w:rsidRPr="00BE1959">
              <w:rPr>
                <w:rFonts w:ascii="Times New Roman" w:eastAsia="Times New Roman" w:hAnsi="Times New Roman" w:cs="Times New Roman"/>
                <w:sz w:val="24"/>
                <w:szCs w:val="24"/>
                <w:lang w:val="uk-UA"/>
              </w:rPr>
              <w:t xml:space="preserve"> або розслідування;</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78"/>
        <w:gridCol w:w="8987"/>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9521FF" w:rsidP="009521FF">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дозволяє запитуючому органу провести перевірку або розслідування;</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92"/>
        <w:gridCol w:w="8973"/>
      </w:tblGrid>
      <w:tr w:rsidR="00DE3173" w:rsidRPr="0043174D" w:rsidTr="009521FF">
        <w:tc>
          <w:tcPr>
            <w:tcW w:w="260"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(c)</w:t>
            </w:r>
          </w:p>
        </w:tc>
        <w:tc>
          <w:tcPr>
            <w:tcW w:w="4740"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087B06" w:rsidP="00087B06">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дозволяє аудиторам або експертам провести перевірку або розслідування.</w:t>
            </w:r>
          </w:p>
        </w:tc>
      </w:tr>
    </w:tbl>
    <w:p w:rsidR="005613AB" w:rsidRPr="00BE1959" w:rsidRDefault="005613AB" w:rsidP="00785965">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2.   </w:t>
      </w:r>
      <w:r w:rsidR="00087B06" w:rsidRPr="00BE1959">
        <w:rPr>
          <w:rFonts w:ascii="Times New Roman" w:eastAsia="Times New Roman" w:hAnsi="Times New Roman" w:cs="Times New Roman"/>
          <w:sz w:val="24"/>
          <w:szCs w:val="24"/>
          <w:lang w:val="uk-UA"/>
        </w:rPr>
        <w:t xml:space="preserve">З метою зближення практичних методів наглядової діяльності ESMA може брати участь у діяльність колегій наглядових органів, зокрема у </w:t>
      </w:r>
      <w:r w:rsidR="00785965" w:rsidRPr="00BE1959">
        <w:rPr>
          <w:rFonts w:ascii="Times New Roman" w:eastAsia="Times New Roman" w:hAnsi="Times New Roman" w:cs="Times New Roman"/>
          <w:sz w:val="24"/>
          <w:szCs w:val="24"/>
          <w:lang w:val="uk-UA"/>
        </w:rPr>
        <w:t xml:space="preserve">оперативних </w:t>
      </w:r>
      <w:r w:rsidR="00087B06" w:rsidRPr="00BE1959">
        <w:rPr>
          <w:rFonts w:ascii="Times New Roman" w:eastAsia="Times New Roman" w:hAnsi="Times New Roman" w:cs="Times New Roman"/>
          <w:sz w:val="24"/>
          <w:szCs w:val="24"/>
          <w:lang w:val="uk-UA"/>
        </w:rPr>
        <w:t>перевірках на місцях та розслідуваннях, що проводяться спільно декількома компетентними органами</w:t>
      </w:r>
      <w:r w:rsidR="00785965" w:rsidRPr="00BE1959">
        <w:rPr>
          <w:rFonts w:ascii="Times New Roman" w:eastAsia="Times New Roman" w:hAnsi="Times New Roman" w:cs="Times New Roman"/>
          <w:sz w:val="24"/>
          <w:szCs w:val="24"/>
          <w:lang w:val="uk-UA"/>
        </w:rPr>
        <w:t xml:space="preserve"> відповідно до статті</w:t>
      </w:r>
      <w:r w:rsidRPr="00BE1959">
        <w:rPr>
          <w:rFonts w:ascii="Times New Roman" w:eastAsia="Times New Roman" w:hAnsi="Times New Roman" w:cs="Times New Roman"/>
          <w:sz w:val="24"/>
          <w:szCs w:val="24"/>
          <w:lang w:val="uk-UA"/>
        </w:rPr>
        <w:t xml:space="preserve"> 21 </w:t>
      </w:r>
      <w:r w:rsidR="008824AE" w:rsidRPr="00BE1959">
        <w:rPr>
          <w:rFonts w:ascii="Times New Roman" w:eastAsia="Times New Roman" w:hAnsi="Times New Roman" w:cs="Times New Roman"/>
          <w:sz w:val="24"/>
          <w:szCs w:val="24"/>
          <w:lang w:val="uk-UA"/>
        </w:rPr>
        <w:t>Регламенту</w:t>
      </w:r>
      <w:r w:rsidRPr="00BE1959">
        <w:rPr>
          <w:rFonts w:ascii="Times New Roman" w:eastAsia="Times New Roman" w:hAnsi="Times New Roman" w:cs="Times New Roman"/>
          <w:sz w:val="24"/>
          <w:szCs w:val="24"/>
          <w:lang w:val="uk-UA"/>
        </w:rPr>
        <w:t xml:space="preserve"> </w:t>
      </w:r>
      <w:r w:rsidR="00DB4825" w:rsidRPr="00BE1959">
        <w:rPr>
          <w:rFonts w:ascii="Times New Roman" w:eastAsia="Times New Roman" w:hAnsi="Times New Roman" w:cs="Times New Roman"/>
          <w:sz w:val="24"/>
          <w:szCs w:val="24"/>
          <w:lang w:val="uk-UA"/>
        </w:rPr>
        <w:t>(EU) №</w:t>
      </w:r>
      <w:r w:rsidRPr="00BE1959">
        <w:rPr>
          <w:rFonts w:ascii="Times New Roman" w:eastAsia="Times New Roman" w:hAnsi="Times New Roman" w:cs="Times New Roman"/>
          <w:sz w:val="24"/>
          <w:szCs w:val="24"/>
          <w:lang w:val="uk-UA"/>
        </w:rPr>
        <w:t> 1095/2010.</w:t>
      </w:r>
    </w:p>
    <w:p w:rsidR="008B5CC0" w:rsidRPr="00BE1959" w:rsidRDefault="008B5CC0" w:rsidP="008B5CC0">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3.   ESMA розробляє проекти нормативно-технічних стандартів, де визначається інформація, що підлягає обміну між компетентними органами при співробітництві у наглядовій діяльності, проведенні оперативних перевірок на місці та розслідувань.</w:t>
      </w:r>
    </w:p>
    <w:p w:rsidR="008B5CC0" w:rsidRPr="00BE1959" w:rsidRDefault="008B5CC0" w:rsidP="008B5CC0">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ESMA подає проекти цих нормативно-технічних стандартів Комісії до 3 липня 2015 року.</w:t>
      </w:r>
    </w:p>
    <w:p w:rsidR="008B5CC0" w:rsidRPr="00BE1959" w:rsidRDefault="008B5CC0" w:rsidP="008B5CC0">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Комісії делегується повноваження на прийняття нормативно-технічних стандартів, згаданих у першому абзаці цього пункту, згідно зі статтями 10-14 Регламенту (EU) № 1095/2010.</w:t>
      </w:r>
    </w:p>
    <w:p w:rsidR="00112B1E" w:rsidRPr="00BE1959" w:rsidRDefault="00112B1E" w:rsidP="005613AB">
      <w:pPr>
        <w:spacing w:before="120" w:after="0" w:line="312" w:lineRule="atLeast"/>
        <w:jc w:val="both"/>
        <w:textAlignment w:val="baseline"/>
        <w:rPr>
          <w:rFonts w:ascii="Times New Roman" w:eastAsia="Times New Roman" w:hAnsi="Times New Roman" w:cs="Times New Roman"/>
          <w:sz w:val="24"/>
          <w:szCs w:val="24"/>
          <w:lang w:val="uk-UA"/>
        </w:rPr>
      </w:pPr>
    </w:p>
    <w:p w:rsidR="008B5CC0" w:rsidRPr="00BE1959" w:rsidRDefault="008B5CC0" w:rsidP="008B5CC0">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lastRenderedPageBreak/>
        <w:t>4.   ESMA розробляє проекти виконавчих технічних стандартів, у яких визначаються типові форми, шаблони та процедури співробітництва компетентних органів у наглядовій діяльності, проведенні оперативних перевірок на місці та розслідувань.</w:t>
      </w:r>
    </w:p>
    <w:p w:rsidR="008B5CC0" w:rsidRPr="00BE1959" w:rsidRDefault="008B5CC0" w:rsidP="008B5CC0">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ESMA подає проекти цих виконавчих технічних стандартів Комісії до 3 січня 2016 року.</w:t>
      </w:r>
    </w:p>
    <w:p w:rsidR="008B5CC0" w:rsidRPr="00BE1959" w:rsidRDefault="008B5CC0" w:rsidP="008B5CC0">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Комісії надається повноваження на прийняття виконавчих технічних стандартів, згаданих у першому абзаці цього пункту, згідно зі статтею 15 Регламенту (EU) № 1095/2010.</w:t>
      </w:r>
    </w:p>
    <w:p w:rsidR="005613AB" w:rsidRPr="00BE1959" w:rsidRDefault="00162A11" w:rsidP="005613AB">
      <w:pPr>
        <w:spacing w:before="360" w:after="120" w:line="312" w:lineRule="atLeast"/>
        <w:jc w:val="center"/>
        <w:textAlignment w:val="baseline"/>
        <w:rPr>
          <w:rFonts w:ascii="Times New Roman" w:eastAsia="Times New Roman" w:hAnsi="Times New Roman" w:cs="Times New Roman"/>
          <w:i/>
          <w:iCs/>
          <w:sz w:val="24"/>
          <w:szCs w:val="24"/>
          <w:lang w:val="uk-UA"/>
        </w:rPr>
      </w:pPr>
      <w:r w:rsidRPr="00BE1959">
        <w:rPr>
          <w:rFonts w:ascii="Times New Roman" w:eastAsia="Times New Roman" w:hAnsi="Times New Roman" w:cs="Times New Roman"/>
          <w:i/>
          <w:iCs/>
          <w:sz w:val="24"/>
          <w:szCs w:val="24"/>
          <w:lang w:val="uk-UA"/>
        </w:rPr>
        <w:t>Стаття</w:t>
      </w:r>
      <w:r w:rsidR="005613AB" w:rsidRPr="00BE1959">
        <w:rPr>
          <w:rFonts w:ascii="Times New Roman" w:eastAsia="Times New Roman" w:hAnsi="Times New Roman" w:cs="Times New Roman"/>
          <w:i/>
          <w:iCs/>
          <w:sz w:val="24"/>
          <w:szCs w:val="24"/>
          <w:lang w:val="uk-UA"/>
        </w:rPr>
        <w:t xml:space="preserve"> 81</w:t>
      </w:r>
    </w:p>
    <w:p w:rsidR="005613AB" w:rsidRPr="00BE1959" w:rsidRDefault="00112B1E" w:rsidP="005613AB">
      <w:pPr>
        <w:spacing w:before="60" w:after="120" w:line="312" w:lineRule="atLeast"/>
        <w:jc w:val="center"/>
        <w:textAlignment w:val="baseline"/>
        <w:rPr>
          <w:rFonts w:ascii="Times New Roman" w:eastAsia="Times New Roman" w:hAnsi="Times New Roman" w:cs="Times New Roman"/>
          <w:b/>
          <w:bCs/>
          <w:sz w:val="24"/>
          <w:szCs w:val="24"/>
          <w:lang w:val="uk-UA"/>
        </w:rPr>
      </w:pPr>
      <w:r w:rsidRPr="00BE1959">
        <w:rPr>
          <w:rFonts w:ascii="Times New Roman" w:eastAsia="Times New Roman" w:hAnsi="Times New Roman" w:cs="Times New Roman"/>
          <w:b/>
          <w:bCs/>
          <w:sz w:val="24"/>
          <w:szCs w:val="24"/>
          <w:lang w:val="uk-UA"/>
        </w:rPr>
        <w:t>Обмін інформацією</w:t>
      </w:r>
    </w:p>
    <w:p w:rsidR="005613AB" w:rsidRPr="00BE1959" w:rsidRDefault="005613AB" w:rsidP="00E207D3">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1.  </w:t>
      </w:r>
      <w:r w:rsidR="00141BA9" w:rsidRPr="00BE1959">
        <w:rPr>
          <w:rFonts w:ascii="Times New Roman" w:eastAsia="Times New Roman" w:hAnsi="Times New Roman" w:cs="Times New Roman"/>
          <w:sz w:val="24"/>
          <w:szCs w:val="24"/>
          <w:lang w:val="uk-UA"/>
        </w:rPr>
        <w:t> Компетентні органи держав-членів, призначені в якості контактних осіб для цілей цієї директиви та Регламенту (EU) № 600/2014 відповідно до статті 79(1) цієї директиви,</w:t>
      </w:r>
      <w:r w:rsidR="008B5CC0" w:rsidRPr="00BE1959">
        <w:rPr>
          <w:rFonts w:ascii="Times New Roman" w:eastAsia="Times New Roman" w:hAnsi="Times New Roman" w:cs="Times New Roman"/>
          <w:sz w:val="24"/>
          <w:szCs w:val="24"/>
          <w:lang w:val="uk-UA"/>
        </w:rPr>
        <w:t xml:space="preserve"> невідкладно надають один одному інформацію, необхідну в цілях виконання обов’язків компетентних органів, призначених відповідно до статті</w:t>
      </w:r>
      <w:r w:rsidRPr="00BE1959">
        <w:rPr>
          <w:rFonts w:ascii="Times New Roman" w:eastAsia="Times New Roman" w:hAnsi="Times New Roman" w:cs="Times New Roman"/>
          <w:sz w:val="24"/>
          <w:szCs w:val="24"/>
          <w:lang w:val="uk-UA"/>
        </w:rPr>
        <w:t xml:space="preserve"> 67(1) </w:t>
      </w:r>
      <w:r w:rsidR="00432567" w:rsidRPr="00BE1959">
        <w:rPr>
          <w:rFonts w:ascii="Times New Roman" w:eastAsia="Times New Roman" w:hAnsi="Times New Roman" w:cs="Times New Roman"/>
          <w:sz w:val="24"/>
          <w:szCs w:val="24"/>
          <w:lang w:val="uk-UA"/>
        </w:rPr>
        <w:t>цієї директиви</w:t>
      </w:r>
      <w:r w:rsidRPr="00BE1959">
        <w:rPr>
          <w:rFonts w:ascii="Times New Roman" w:eastAsia="Times New Roman" w:hAnsi="Times New Roman" w:cs="Times New Roman"/>
          <w:sz w:val="24"/>
          <w:szCs w:val="24"/>
          <w:lang w:val="uk-UA"/>
        </w:rPr>
        <w:t xml:space="preserve">, </w:t>
      </w:r>
      <w:r w:rsidR="00E207D3" w:rsidRPr="00BE1959">
        <w:rPr>
          <w:rFonts w:ascii="Times New Roman" w:eastAsia="Times New Roman" w:hAnsi="Times New Roman" w:cs="Times New Roman"/>
          <w:sz w:val="24"/>
          <w:szCs w:val="24"/>
          <w:lang w:val="uk-UA"/>
        </w:rPr>
        <w:t>які встановлені на виконання цієї директиви або Регламенту</w:t>
      </w:r>
      <w:r w:rsidRPr="00BE1959">
        <w:rPr>
          <w:rFonts w:ascii="Times New Roman" w:eastAsia="Times New Roman" w:hAnsi="Times New Roman" w:cs="Times New Roman"/>
          <w:sz w:val="24"/>
          <w:szCs w:val="24"/>
          <w:lang w:val="uk-UA"/>
        </w:rPr>
        <w:t xml:space="preserve"> </w:t>
      </w:r>
      <w:r w:rsidR="007B0149" w:rsidRPr="00BE1959">
        <w:rPr>
          <w:rFonts w:ascii="Times New Roman" w:eastAsia="Times New Roman" w:hAnsi="Times New Roman" w:cs="Times New Roman"/>
          <w:sz w:val="24"/>
          <w:szCs w:val="24"/>
          <w:lang w:val="uk-UA"/>
        </w:rPr>
        <w:t>(EU) № 600/2014</w:t>
      </w:r>
      <w:r w:rsidRPr="00BE1959">
        <w:rPr>
          <w:rFonts w:ascii="Times New Roman" w:eastAsia="Times New Roman" w:hAnsi="Times New Roman" w:cs="Times New Roman"/>
          <w:sz w:val="24"/>
          <w:szCs w:val="24"/>
          <w:lang w:val="uk-UA"/>
        </w:rPr>
        <w:t>.</w:t>
      </w:r>
    </w:p>
    <w:p w:rsidR="005613AB" w:rsidRPr="00BE1959" w:rsidRDefault="00434A96" w:rsidP="00141BA9">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Компетентні органи</w:t>
      </w:r>
      <w:r w:rsidR="00E207D3" w:rsidRPr="00BE1959">
        <w:rPr>
          <w:rFonts w:ascii="Times New Roman" w:eastAsia="Times New Roman" w:hAnsi="Times New Roman" w:cs="Times New Roman"/>
          <w:sz w:val="24"/>
          <w:szCs w:val="24"/>
          <w:lang w:val="uk-UA"/>
        </w:rPr>
        <w:t>, що обмінюються інформацією з іншими</w:t>
      </w:r>
      <w:r w:rsidR="005613AB" w:rsidRPr="00BE1959">
        <w:rPr>
          <w:rFonts w:ascii="Times New Roman" w:eastAsia="Times New Roman" w:hAnsi="Times New Roman" w:cs="Times New Roman"/>
          <w:sz w:val="24"/>
          <w:szCs w:val="24"/>
          <w:lang w:val="uk-UA"/>
        </w:rPr>
        <w:t xml:space="preserve"> </w:t>
      </w:r>
      <w:r w:rsidRPr="00BE1959">
        <w:rPr>
          <w:rFonts w:ascii="Times New Roman" w:eastAsia="Times New Roman" w:hAnsi="Times New Roman" w:cs="Times New Roman"/>
          <w:sz w:val="24"/>
          <w:szCs w:val="24"/>
          <w:lang w:val="uk-UA"/>
        </w:rPr>
        <w:t>компетентн</w:t>
      </w:r>
      <w:r w:rsidR="00E207D3" w:rsidRPr="00BE1959">
        <w:rPr>
          <w:rFonts w:ascii="Times New Roman" w:eastAsia="Times New Roman" w:hAnsi="Times New Roman" w:cs="Times New Roman"/>
          <w:sz w:val="24"/>
          <w:szCs w:val="24"/>
          <w:lang w:val="uk-UA"/>
        </w:rPr>
        <w:t>ими</w:t>
      </w:r>
      <w:r w:rsidRPr="00BE1959">
        <w:rPr>
          <w:rFonts w:ascii="Times New Roman" w:eastAsia="Times New Roman" w:hAnsi="Times New Roman" w:cs="Times New Roman"/>
          <w:sz w:val="24"/>
          <w:szCs w:val="24"/>
          <w:lang w:val="uk-UA"/>
        </w:rPr>
        <w:t xml:space="preserve"> орган</w:t>
      </w:r>
      <w:r w:rsidR="00E207D3" w:rsidRPr="00BE1959">
        <w:rPr>
          <w:rFonts w:ascii="Times New Roman" w:eastAsia="Times New Roman" w:hAnsi="Times New Roman" w:cs="Times New Roman"/>
          <w:sz w:val="24"/>
          <w:szCs w:val="24"/>
          <w:lang w:val="uk-UA"/>
        </w:rPr>
        <w:t>ами згідно з цією директивою або Регламентом</w:t>
      </w:r>
      <w:r w:rsidR="005613AB" w:rsidRPr="00BE1959">
        <w:rPr>
          <w:rFonts w:ascii="Times New Roman" w:eastAsia="Times New Roman" w:hAnsi="Times New Roman" w:cs="Times New Roman"/>
          <w:sz w:val="24"/>
          <w:szCs w:val="24"/>
          <w:lang w:val="uk-UA"/>
        </w:rPr>
        <w:t xml:space="preserve"> </w:t>
      </w:r>
      <w:r w:rsidR="007B0149" w:rsidRPr="00BE1959">
        <w:rPr>
          <w:rFonts w:ascii="Times New Roman" w:eastAsia="Times New Roman" w:hAnsi="Times New Roman" w:cs="Times New Roman"/>
          <w:sz w:val="24"/>
          <w:szCs w:val="24"/>
          <w:lang w:val="uk-UA"/>
        </w:rPr>
        <w:t>(EU) № 600/2014</w:t>
      </w:r>
      <w:r w:rsidR="00E207D3" w:rsidRPr="00BE1959">
        <w:rPr>
          <w:rFonts w:ascii="Times New Roman" w:eastAsia="Times New Roman" w:hAnsi="Times New Roman" w:cs="Times New Roman"/>
          <w:sz w:val="24"/>
          <w:szCs w:val="24"/>
          <w:lang w:val="uk-UA"/>
        </w:rPr>
        <w:t xml:space="preserve">, можуть у момент надання повідомлення зазначити, що така інформація не повинна розголошуватися без їхньої прямої згоди, </w:t>
      </w:r>
      <w:r w:rsidR="00141BA9" w:rsidRPr="00BE1959">
        <w:rPr>
          <w:rFonts w:ascii="Times New Roman" w:eastAsia="Times New Roman" w:hAnsi="Times New Roman" w:cs="Times New Roman"/>
          <w:sz w:val="24"/>
          <w:szCs w:val="24"/>
          <w:lang w:val="uk-UA"/>
        </w:rPr>
        <w:t>і у такому випадку обмін інформацією може здійснюватися виключно в цілях, на які ці органи надали свою згоду.</w:t>
      </w:r>
    </w:p>
    <w:p w:rsidR="005613AB" w:rsidRPr="00BE1959" w:rsidRDefault="005613AB" w:rsidP="005D55A6">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2.   </w:t>
      </w:r>
      <w:r w:rsidR="00141BA9" w:rsidRPr="00BE1959">
        <w:rPr>
          <w:rFonts w:ascii="Times New Roman" w:eastAsia="Times New Roman" w:hAnsi="Times New Roman" w:cs="Times New Roman"/>
          <w:sz w:val="24"/>
          <w:szCs w:val="24"/>
          <w:lang w:val="uk-UA"/>
        </w:rPr>
        <w:t xml:space="preserve"> Компетентний орган, призначений в якості контактної особи відповідно до статті 79(1) цієї директиви, може передавати інформацію, </w:t>
      </w:r>
      <w:r w:rsidR="007F498A" w:rsidRPr="00BE1959">
        <w:rPr>
          <w:rFonts w:ascii="Times New Roman" w:eastAsia="Times New Roman" w:hAnsi="Times New Roman" w:cs="Times New Roman"/>
          <w:sz w:val="24"/>
          <w:szCs w:val="24"/>
          <w:lang w:val="uk-UA"/>
        </w:rPr>
        <w:t xml:space="preserve">отриману згідно з пунктом 1 цієї статті та згідно зі статтями 77 і 88, органам, зазначеним у статті 67(1). Вони не передають її іншим органам або фізичним </w:t>
      </w:r>
      <w:r w:rsidR="00BB55FC" w:rsidRPr="00BE1959">
        <w:rPr>
          <w:rFonts w:ascii="Times New Roman" w:eastAsia="Times New Roman" w:hAnsi="Times New Roman" w:cs="Times New Roman"/>
          <w:sz w:val="24"/>
          <w:szCs w:val="24"/>
          <w:lang w:val="uk-UA"/>
        </w:rPr>
        <w:t>та</w:t>
      </w:r>
      <w:r w:rsidR="007F498A" w:rsidRPr="00BE1959">
        <w:rPr>
          <w:rFonts w:ascii="Times New Roman" w:eastAsia="Times New Roman" w:hAnsi="Times New Roman" w:cs="Times New Roman"/>
          <w:sz w:val="24"/>
          <w:szCs w:val="24"/>
          <w:lang w:val="uk-UA"/>
        </w:rPr>
        <w:t xml:space="preserve"> юридичним особам без прямої згоди тих компетентн</w:t>
      </w:r>
      <w:r w:rsidR="005D55A6" w:rsidRPr="00BE1959">
        <w:rPr>
          <w:rFonts w:ascii="Times New Roman" w:eastAsia="Times New Roman" w:hAnsi="Times New Roman" w:cs="Times New Roman"/>
          <w:sz w:val="24"/>
          <w:szCs w:val="24"/>
          <w:lang w:val="uk-UA"/>
        </w:rPr>
        <w:t>их органів, які розголосили її, причому виключно в цілях, на які ці органи надали свою згоду, за винятком належним чином обґрунтованих обставин. В останньому випадку контактна особа негайно інформує контактну особу, яка надіслала інформацію.</w:t>
      </w:r>
    </w:p>
    <w:p w:rsidR="005613AB" w:rsidRPr="00BE1959" w:rsidRDefault="005613AB" w:rsidP="00BB55FC">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3.   </w:t>
      </w:r>
      <w:r w:rsidR="00BB55FC" w:rsidRPr="00BE1959">
        <w:rPr>
          <w:rFonts w:ascii="Times New Roman" w:eastAsia="Times New Roman" w:hAnsi="Times New Roman" w:cs="Times New Roman"/>
          <w:sz w:val="24"/>
          <w:szCs w:val="24"/>
          <w:lang w:val="uk-UA"/>
        </w:rPr>
        <w:t>Органи, згадані у статті 71, а також інші органи або фізичні та юридичні особи, що отримують конфіденційну інформацію згідно з пунктом 1 цієї статті та згідно зі статтями 77 і 88, можуть використовувати її тільки при виконання ними своїх обов’язків, зокрема:</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9093"/>
      </w:tblGrid>
      <w:tr w:rsidR="005613AB" w:rsidRPr="00BE1959"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BB55FC" w:rsidP="00310932">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для перевірки виконання умов, регулюючих </w:t>
            </w:r>
            <w:r w:rsidR="00310932" w:rsidRPr="00BE1959">
              <w:rPr>
                <w:rFonts w:ascii="Times New Roman" w:eastAsia="Times New Roman" w:hAnsi="Times New Roman" w:cs="Times New Roman"/>
                <w:sz w:val="24"/>
                <w:szCs w:val="24"/>
                <w:lang w:val="uk-UA"/>
              </w:rPr>
              <w:t>започаткування діяльності інвестиційних фірм, і для сприяння моніторингу, на неконсолідованих або консолідованих засадах, ведення цієї діяльності, особливо щодо вимог до достатності капіталу, встановлених Директивою</w:t>
            </w:r>
            <w:r w:rsidR="005613AB" w:rsidRPr="00BE1959">
              <w:rPr>
                <w:rFonts w:ascii="Times New Roman" w:eastAsia="Times New Roman" w:hAnsi="Times New Roman" w:cs="Times New Roman"/>
                <w:sz w:val="24"/>
                <w:szCs w:val="24"/>
                <w:lang w:val="uk-UA"/>
              </w:rPr>
              <w:t xml:space="preserve"> 2013/36/EU, </w:t>
            </w:r>
            <w:r w:rsidR="00310932" w:rsidRPr="00BE1959">
              <w:rPr>
                <w:rFonts w:ascii="Times New Roman" w:eastAsia="Times New Roman" w:hAnsi="Times New Roman" w:cs="Times New Roman"/>
                <w:sz w:val="24"/>
                <w:szCs w:val="24"/>
                <w:lang w:val="uk-UA"/>
              </w:rPr>
              <w:t>адміністративних і облікових процедур та механізмів внутрішнього контролю;</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76"/>
        <w:gridCol w:w="8989"/>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AF40D3" w:rsidP="00AF40D3">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для контролю належного функціонування торговельних майданчиків;</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2"/>
        <w:gridCol w:w="8963"/>
      </w:tblGrid>
      <w:tr w:rsidR="005613AB" w:rsidRPr="00BE1959" w:rsidTr="00BD47DD">
        <w:tc>
          <w:tcPr>
            <w:tcW w:w="265"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(c)</w:t>
            </w:r>
          </w:p>
        </w:tc>
        <w:tc>
          <w:tcPr>
            <w:tcW w:w="4735"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801C2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для накладення санкцій;</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65"/>
        <w:gridCol w:w="900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lastRenderedPageBreak/>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801C2B" w:rsidP="00801C2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у процесі адміністративного оскарження рішень компетентних органів;</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34"/>
        <w:gridCol w:w="8931"/>
      </w:tblGrid>
      <w:tr w:rsidR="00801C2B" w:rsidRPr="00BE1959"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(e)</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801C2B" w:rsidP="00801C2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у судових провадженнях, ініційованих згідно зі статтею 74;</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7"/>
        <w:gridCol w:w="9088"/>
      </w:tblGrid>
      <w:tr w:rsidR="00DE3173"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(f)</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801C2B" w:rsidP="00801C2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у позасудовому механізмі розгляду скарг інвесторів, передбаченому у статті 75.</w:t>
            </w:r>
          </w:p>
        </w:tc>
      </w:tr>
    </w:tbl>
    <w:p w:rsidR="001C364E" w:rsidRPr="00BE1959" w:rsidRDefault="001C364E" w:rsidP="001C364E">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4.   ESMA розробляє проекти виконавчих технічних стандартів, у яких визначаються типові форми, шаблони та процедури для обміну інформацією.</w:t>
      </w:r>
    </w:p>
    <w:p w:rsidR="001C364E" w:rsidRPr="00BE1959" w:rsidRDefault="001C364E" w:rsidP="001C364E">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ESMA подає проекти цих виконавчих технічних стандартів Комісії до 3 січня 2016 року.</w:t>
      </w:r>
    </w:p>
    <w:p w:rsidR="001C364E" w:rsidRPr="00BE1959" w:rsidRDefault="001C364E" w:rsidP="001C364E">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Комісії надається повноваження на прийняття виконавчих технічних стандартів, згаданих у першому абзаці цього пункту, згідно зі статтею 15 Регламенту (EU) № 1095/2010.</w:t>
      </w:r>
    </w:p>
    <w:p w:rsidR="005613AB" w:rsidRPr="00BE1959" w:rsidRDefault="005613AB" w:rsidP="003425AF">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5.   </w:t>
      </w:r>
      <w:r w:rsidR="00A34618" w:rsidRPr="00BE1959">
        <w:rPr>
          <w:rFonts w:ascii="Times New Roman" w:eastAsia="Times New Roman" w:hAnsi="Times New Roman" w:cs="Times New Roman"/>
          <w:sz w:val="24"/>
          <w:szCs w:val="24"/>
          <w:lang w:val="uk-UA"/>
        </w:rPr>
        <w:t>Ані ця стаття, ані стаття 76 або 88 не заважає компетентному органу передавати</w:t>
      </w:r>
      <w:r w:rsidRPr="00BE1959">
        <w:rPr>
          <w:rFonts w:ascii="Times New Roman" w:eastAsia="Times New Roman" w:hAnsi="Times New Roman" w:cs="Times New Roman"/>
          <w:sz w:val="24"/>
          <w:szCs w:val="24"/>
          <w:lang w:val="uk-UA"/>
        </w:rPr>
        <w:t xml:space="preserve"> ESMA, </w:t>
      </w:r>
      <w:r w:rsidR="00A34618" w:rsidRPr="00BE1959">
        <w:rPr>
          <w:rFonts w:ascii="Times New Roman" w:eastAsia="Times New Roman" w:hAnsi="Times New Roman" w:cs="Times New Roman"/>
          <w:sz w:val="24"/>
          <w:szCs w:val="24"/>
          <w:lang w:val="uk-UA"/>
        </w:rPr>
        <w:t xml:space="preserve">Європейській раді з системних ризиків, центральним банкам, ЄСЦБ та ЄЦБ, в якості грошово-кредитних органів, </w:t>
      </w:r>
      <w:r w:rsidR="00533FD3" w:rsidRPr="00BE1959">
        <w:rPr>
          <w:rFonts w:ascii="Times New Roman" w:eastAsia="Times New Roman" w:hAnsi="Times New Roman" w:cs="Times New Roman"/>
          <w:sz w:val="24"/>
          <w:szCs w:val="24"/>
          <w:lang w:val="uk-UA"/>
        </w:rPr>
        <w:t xml:space="preserve">та, де доречно, іншим державним органам, відповідальним за нагляд за діяльністю </w:t>
      </w:r>
      <w:r w:rsidR="003425AF" w:rsidRPr="00BE1959">
        <w:rPr>
          <w:rFonts w:ascii="Times New Roman" w:eastAsia="Times New Roman" w:hAnsi="Times New Roman" w:cs="Times New Roman"/>
          <w:sz w:val="24"/>
          <w:szCs w:val="24"/>
          <w:lang w:val="uk-UA"/>
        </w:rPr>
        <w:t xml:space="preserve">платіжних і розрахункових систем, конфіденційну інформацію, призначену для виконання ними їхніх задач. Так само ці органи чи установи можуть передавати компетентним органам ту інформацію, яку вони можуть потребувати в цілях виконання їхніх функцій, передбачених у цій директиві або у </w:t>
      </w:r>
      <w:r w:rsidR="00270867" w:rsidRPr="00BE1959">
        <w:rPr>
          <w:rFonts w:ascii="Times New Roman" w:eastAsia="Times New Roman" w:hAnsi="Times New Roman" w:cs="Times New Roman"/>
          <w:sz w:val="24"/>
          <w:szCs w:val="24"/>
          <w:lang w:val="uk-UA"/>
        </w:rPr>
        <w:t>Регламенті</w:t>
      </w:r>
      <w:r w:rsidRPr="00BE1959">
        <w:rPr>
          <w:rFonts w:ascii="Times New Roman" w:eastAsia="Times New Roman" w:hAnsi="Times New Roman" w:cs="Times New Roman"/>
          <w:sz w:val="24"/>
          <w:szCs w:val="24"/>
          <w:lang w:val="uk-UA"/>
        </w:rPr>
        <w:t xml:space="preserve"> </w:t>
      </w:r>
      <w:r w:rsidR="007B0149" w:rsidRPr="00BE1959">
        <w:rPr>
          <w:rFonts w:ascii="Times New Roman" w:eastAsia="Times New Roman" w:hAnsi="Times New Roman" w:cs="Times New Roman"/>
          <w:sz w:val="24"/>
          <w:szCs w:val="24"/>
          <w:lang w:val="uk-UA"/>
        </w:rPr>
        <w:t>(EU) № 600/2014</w:t>
      </w:r>
      <w:r w:rsidRPr="00BE1959">
        <w:rPr>
          <w:rFonts w:ascii="Times New Roman" w:eastAsia="Times New Roman" w:hAnsi="Times New Roman" w:cs="Times New Roman"/>
          <w:sz w:val="24"/>
          <w:szCs w:val="24"/>
          <w:lang w:val="uk-UA"/>
        </w:rPr>
        <w:t>.</w:t>
      </w:r>
    </w:p>
    <w:p w:rsidR="005613AB" w:rsidRPr="00BE1959" w:rsidRDefault="00162A11" w:rsidP="005613AB">
      <w:pPr>
        <w:spacing w:before="360" w:after="120" w:line="312" w:lineRule="atLeast"/>
        <w:jc w:val="center"/>
        <w:textAlignment w:val="baseline"/>
        <w:rPr>
          <w:rFonts w:ascii="Times New Roman" w:eastAsia="Times New Roman" w:hAnsi="Times New Roman" w:cs="Times New Roman"/>
          <w:i/>
          <w:iCs/>
          <w:sz w:val="24"/>
          <w:szCs w:val="24"/>
          <w:lang w:val="uk-UA"/>
        </w:rPr>
      </w:pPr>
      <w:r w:rsidRPr="00BE1959">
        <w:rPr>
          <w:rFonts w:ascii="Times New Roman" w:eastAsia="Times New Roman" w:hAnsi="Times New Roman" w:cs="Times New Roman"/>
          <w:i/>
          <w:iCs/>
          <w:sz w:val="24"/>
          <w:szCs w:val="24"/>
          <w:lang w:val="uk-UA"/>
        </w:rPr>
        <w:t>Стаття</w:t>
      </w:r>
      <w:r w:rsidR="005613AB" w:rsidRPr="00BE1959">
        <w:rPr>
          <w:rFonts w:ascii="Times New Roman" w:eastAsia="Times New Roman" w:hAnsi="Times New Roman" w:cs="Times New Roman"/>
          <w:i/>
          <w:iCs/>
          <w:sz w:val="24"/>
          <w:szCs w:val="24"/>
          <w:lang w:val="uk-UA"/>
        </w:rPr>
        <w:t xml:space="preserve"> 82</w:t>
      </w:r>
    </w:p>
    <w:p w:rsidR="005613AB" w:rsidRPr="00BE1959" w:rsidRDefault="003425AF" w:rsidP="005613AB">
      <w:pPr>
        <w:spacing w:before="60" w:after="120" w:line="312" w:lineRule="atLeast"/>
        <w:jc w:val="center"/>
        <w:textAlignment w:val="baseline"/>
        <w:rPr>
          <w:rFonts w:ascii="Times New Roman" w:eastAsia="Times New Roman" w:hAnsi="Times New Roman" w:cs="Times New Roman"/>
          <w:b/>
          <w:bCs/>
          <w:sz w:val="24"/>
          <w:szCs w:val="24"/>
          <w:lang w:val="uk-UA"/>
        </w:rPr>
      </w:pPr>
      <w:r w:rsidRPr="00BE1959">
        <w:rPr>
          <w:rFonts w:ascii="Times New Roman" w:eastAsia="Times New Roman" w:hAnsi="Times New Roman" w:cs="Times New Roman"/>
          <w:b/>
          <w:bCs/>
          <w:sz w:val="24"/>
          <w:szCs w:val="24"/>
          <w:lang w:val="uk-UA"/>
        </w:rPr>
        <w:t>Обов’язкове посередництво</w:t>
      </w:r>
    </w:p>
    <w:p w:rsidR="005613AB" w:rsidRPr="00BE1959" w:rsidRDefault="005613AB" w:rsidP="00380971">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1.   </w:t>
      </w:r>
      <w:r w:rsidR="00380971" w:rsidRPr="00BE1959">
        <w:rPr>
          <w:rFonts w:ascii="Times New Roman" w:eastAsia="Times New Roman" w:hAnsi="Times New Roman" w:cs="Times New Roman"/>
          <w:sz w:val="24"/>
          <w:szCs w:val="24"/>
          <w:lang w:val="uk-UA"/>
        </w:rPr>
        <w:t>К</w:t>
      </w:r>
      <w:r w:rsidR="00434A96" w:rsidRPr="00BE1959">
        <w:rPr>
          <w:rFonts w:ascii="Times New Roman" w:eastAsia="Times New Roman" w:hAnsi="Times New Roman" w:cs="Times New Roman"/>
          <w:sz w:val="24"/>
          <w:szCs w:val="24"/>
          <w:lang w:val="uk-UA"/>
        </w:rPr>
        <w:t>омпетентні органи</w:t>
      </w:r>
      <w:r w:rsidRPr="00BE1959">
        <w:rPr>
          <w:rFonts w:ascii="Times New Roman" w:eastAsia="Times New Roman" w:hAnsi="Times New Roman" w:cs="Times New Roman"/>
          <w:sz w:val="24"/>
          <w:szCs w:val="24"/>
          <w:lang w:val="uk-UA"/>
        </w:rPr>
        <w:t xml:space="preserve"> </w:t>
      </w:r>
      <w:r w:rsidR="00380971" w:rsidRPr="00BE1959">
        <w:rPr>
          <w:rFonts w:ascii="Times New Roman" w:eastAsia="Times New Roman" w:hAnsi="Times New Roman" w:cs="Times New Roman"/>
          <w:sz w:val="24"/>
          <w:szCs w:val="24"/>
          <w:lang w:val="uk-UA"/>
        </w:rPr>
        <w:t>можуть передавати на розгляд ESMA випадки, де запит стосовно одної з нижченаведених дій відхилений або за ним не вжито жодних заходів у розумний строк:</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9093"/>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880BE4" w:rsidP="00CE32AC">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проведення наглядового заходу, оперативної перевірки на місці або розслідування, передбачен</w:t>
            </w:r>
            <w:r w:rsidR="00CE32AC" w:rsidRPr="00BE1959">
              <w:rPr>
                <w:rFonts w:ascii="Times New Roman" w:eastAsia="Times New Roman" w:hAnsi="Times New Roman" w:cs="Times New Roman"/>
                <w:sz w:val="24"/>
                <w:szCs w:val="24"/>
                <w:lang w:val="uk-UA"/>
              </w:rPr>
              <w:t>е</w:t>
            </w:r>
            <w:r w:rsidRPr="00BE1959">
              <w:rPr>
                <w:rFonts w:ascii="Times New Roman" w:eastAsia="Times New Roman" w:hAnsi="Times New Roman" w:cs="Times New Roman"/>
                <w:sz w:val="24"/>
                <w:szCs w:val="24"/>
                <w:lang w:val="uk-UA"/>
              </w:rPr>
              <w:t xml:space="preserve"> у статті 80; або</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700"/>
        <w:gridCol w:w="8765"/>
      </w:tblGrid>
      <w:tr w:rsidR="00DE3173"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CE32AC" w:rsidP="00CE32AC">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обмін інформацією, передбачений </w:t>
            </w:r>
            <w:r w:rsidR="005E1C03" w:rsidRPr="00BE1959">
              <w:rPr>
                <w:rFonts w:ascii="Times New Roman" w:eastAsia="Times New Roman" w:hAnsi="Times New Roman" w:cs="Times New Roman"/>
                <w:sz w:val="24"/>
                <w:szCs w:val="24"/>
                <w:lang w:val="uk-UA"/>
              </w:rPr>
              <w:t>у статті</w:t>
            </w:r>
            <w:r w:rsidR="005613AB" w:rsidRPr="00BE1959">
              <w:rPr>
                <w:rFonts w:ascii="Times New Roman" w:eastAsia="Times New Roman" w:hAnsi="Times New Roman" w:cs="Times New Roman"/>
                <w:sz w:val="24"/>
                <w:szCs w:val="24"/>
                <w:lang w:val="uk-UA"/>
              </w:rPr>
              <w:t xml:space="preserve"> 81.</w:t>
            </w:r>
          </w:p>
        </w:tc>
      </w:tr>
    </w:tbl>
    <w:p w:rsidR="005613AB" w:rsidRPr="00BE1959" w:rsidRDefault="005613AB" w:rsidP="00D966A8">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2.   </w:t>
      </w:r>
      <w:r w:rsidR="00CE32AC" w:rsidRPr="00BE1959">
        <w:rPr>
          <w:rFonts w:ascii="Times New Roman" w:eastAsia="Times New Roman" w:hAnsi="Times New Roman" w:cs="Times New Roman"/>
          <w:sz w:val="24"/>
          <w:szCs w:val="24"/>
          <w:lang w:val="uk-UA"/>
        </w:rPr>
        <w:t>У ситуаціях, згаданих у п</w:t>
      </w:r>
      <w:r w:rsidR="00434A96" w:rsidRPr="00BE1959">
        <w:rPr>
          <w:rFonts w:ascii="Times New Roman" w:eastAsia="Times New Roman" w:hAnsi="Times New Roman" w:cs="Times New Roman"/>
          <w:sz w:val="24"/>
          <w:szCs w:val="24"/>
          <w:lang w:val="uk-UA"/>
        </w:rPr>
        <w:t>ункті</w:t>
      </w:r>
      <w:r w:rsidRPr="00BE1959">
        <w:rPr>
          <w:rFonts w:ascii="Times New Roman" w:eastAsia="Times New Roman" w:hAnsi="Times New Roman" w:cs="Times New Roman"/>
          <w:sz w:val="24"/>
          <w:szCs w:val="24"/>
          <w:lang w:val="uk-UA"/>
        </w:rPr>
        <w:t xml:space="preserve"> 1, ESMA </w:t>
      </w:r>
      <w:r w:rsidR="00CE32AC" w:rsidRPr="00BE1959">
        <w:rPr>
          <w:rFonts w:ascii="Times New Roman" w:eastAsia="Times New Roman" w:hAnsi="Times New Roman" w:cs="Times New Roman"/>
          <w:sz w:val="24"/>
          <w:szCs w:val="24"/>
          <w:lang w:val="uk-UA"/>
        </w:rPr>
        <w:t>може діяти відповідно до статті</w:t>
      </w:r>
      <w:r w:rsidRPr="00BE1959">
        <w:rPr>
          <w:rFonts w:ascii="Times New Roman" w:eastAsia="Times New Roman" w:hAnsi="Times New Roman" w:cs="Times New Roman"/>
          <w:sz w:val="24"/>
          <w:szCs w:val="24"/>
          <w:lang w:val="uk-UA"/>
        </w:rPr>
        <w:t xml:space="preserve"> 19 </w:t>
      </w:r>
      <w:r w:rsidR="008824AE" w:rsidRPr="00BE1959">
        <w:rPr>
          <w:rFonts w:ascii="Times New Roman" w:eastAsia="Times New Roman" w:hAnsi="Times New Roman" w:cs="Times New Roman"/>
          <w:sz w:val="24"/>
          <w:szCs w:val="24"/>
          <w:lang w:val="uk-UA"/>
        </w:rPr>
        <w:t>Регламенту</w:t>
      </w:r>
      <w:r w:rsidRPr="00BE1959">
        <w:rPr>
          <w:rFonts w:ascii="Times New Roman" w:eastAsia="Times New Roman" w:hAnsi="Times New Roman" w:cs="Times New Roman"/>
          <w:sz w:val="24"/>
          <w:szCs w:val="24"/>
          <w:lang w:val="uk-UA"/>
        </w:rPr>
        <w:t xml:space="preserve"> </w:t>
      </w:r>
      <w:r w:rsidR="00DB4825" w:rsidRPr="00BE1959">
        <w:rPr>
          <w:rFonts w:ascii="Times New Roman" w:eastAsia="Times New Roman" w:hAnsi="Times New Roman" w:cs="Times New Roman"/>
          <w:sz w:val="24"/>
          <w:szCs w:val="24"/>
          <w:lang w:val="uk-UA"/>
        </w:rPr>
        <w:t>(EU) №</w:t>
      </w:r>
      <w:r w:rsidRPr="00BE1959">
        <w:rPr>
          <w:rFonts w:ascii="Times New Roman" w:eastAsia="Times New Roman" w:hAnsi="Times New Roman" w:cs="Times New Roman"/>
          <w:sz w:val="24"/>
          <w:szCs w:val="24"/>
          <w:lang w:val="uk-UA"/>
        </w:rPr>
        <w:t xml:space="preserve"> 1095/2010, </w:t>
      </w:r>
      <w:r w:rsidR="00CE32AC" w:rsidRPr="00BE1959">
        <w:rPr>
          <w:rFonts w:ascii="Times New Roman" w:eastAsia="Times New Roman" w:hAnsi="Times New Roman" w:cs="Times New Roman"/>
          <w:sz w:val="24"/>
          <w:szCs w:val="24"/>
          <w:lang w:val="uk-UA"/>
        </w:rPr>
        <w:t xml:space="preserve">без </w:t>
      </w:r>
      <w:r w:rsidR="00D966A8" w:rsidRPr="00BE1959">
        <w:rPr>
          <w:rFonts w:ascii="Times New Roman" w:eastAsia="Times New Roman" w:hAnsi="Times New Roman" w:cs="Times New Roman"/>
          <w:sz w:val="24"/>
          <w:szCs w:val="24"/>
          <w:lang w:val="uk-UA"/>
        </w:rPr>
        <w:t>обмеження</w:t>
      </w:r>
      <w:r w:rsidR="00CE32AC" w:rsidRPr="00BE1959">
        <w:rPr>
          <w:rFonts w:ascii="Times New Roman" w:eastAsia="Times New Roman" w:hAnsi="Times New Roman" w:cs="Times New Roman"/>
          <w:sz w:val="24"/>
          <w:szCs w:val="24"/>
          <w:lang w:val="uk-UA"/>
        </w:rPr>
        <w:t xml:space="preserve"> можливост</w:t>
      </w:r>
      <w:r w:rsidR="00D966A8" w:rsidRPr="00BE1959">
        <w:rPr>
          <w:rFonts w:ascii="Times New Roman" w:eastAsia="Times New Roman" w:hAnsi="Times New Roman" w:cs="Times New Roman"/>
          <w:sz w:val="24"/>
          <w:szCs w:val="24"/>
          <w:lang w:val="uk-UA"/>
        </w:rPr>
        <w:t>і</w:t>
      </w:r>
      <w:r w:rsidR="00CE32AC" w:rsidRPr="00BE1959">
        <w:rPr>
          <w:rFonts w:ascii="Times New Roman" w:eastAsia="Times New Roman" w:hAnsi="Times New Roman" w:cs="Times New Roman"/>
          <w:sz w:val="24"/>
          <w:szCs w:val="24"/>
          <w:lang w:val="uk-UA"/>
        </w:rPr>
        <w:t xml:space="preserve"> відмови</w:t>
      </w:r>
      <w:r w:rsidR="00D966A8" w:rsidRPr="00BE1959">
        <w:rPr>
          <w:rFonts w:ascii="Times New Roman" w:eastAsia="Times New Roman" w:hAnsi="Times New Roman" w:cs="Times New Roman"/>
          <w:sz w:val="24"/>
          <w:szCs w:val="24"/>
          <w:lang w:val="uk-UA"/>
        </w:rPr>
        <w:t>тися</w:t>
      </w:r>
      <w:r w:rsidR="00EF6458" w:rsidRPr="00BE1959">
        <w:rPr>
          <w:rFonts w:ascii="Times New Roman" w:eastAsia="Times New Roman" w:hAnsi="Times New Roman" w:cs="Times New Roman"/>
          <w:sz w:val="24"/>
          <w:szCs w:val="24"/>
          <w:lang w:val="uk-UA"/>
        </w:rPr>
        <w:t xml:space="preserve"> вжити заходів за запитом щодо інформації, передбаченої у статті 83 цієї директиви, та без обмеження можливості </w:t>
      </w:r>
      <w:r w:rsidR="00EF6458" w:rsidRPr="00BE1959">
        <w:rPr>
          <w:rFonts w:ascii="Times New Roman" w:eastAsia="Times New Roman" w:hAnsi="Times New Roman" w:cs="Times New Roman"/>
          <w:sz w:val="24"/>
          <w:szCs w:val="24"/>
          <w:lang w:val="uk-UA"/>
        </w:rPr>
        <w:tab/>
        <w:t>ESMA діяти відповідно статті 17</w:t>
      </w:r>
      <w:r w:rsidR="00545757" w:rsidRPr="00BE1959">
        <w:rPr>
          <w:rFonts w:ascii="Times New Roman" w:eastAsia="Times New Roman" w:hAnsi="Times New Roman" w:cs="Times New Roman"/>
          <w:sz w:val="24"/>
          <w:szCs w:val="24"/>
          <w:lang w:val="uk-UA"/>
        </w:rPr>
        <w:t xml:space="preserve"> </w:t>
      </w:r>
      <w:r w:rsidR="008824AE" w:rsidRPr="00BE1959">
        <w:rPr>
          <w:rFonts w:ascii="Times New Roman" w:eastAsia="Times New Roman" w:hAnsi="Times New Roman" w:cs="Times New Roman"/>
          <w:sz w:val="24"/>
          <w:szCs w:val="24"/>
          <w:lang w:val="uk-UA"/>
        </w:rPr>
        <w:t>Регламенту</w:t>
      </w:r>
      <w:r w:rsidRPr="00BE1959">
        <w:rPr>
          <w:rFonts w:ascii="Times New Roman" w:eastAsia="Times New Roman" w:hAnsi="Times New Roman" w:cs="Times New Roman"/>
          <w:sz w:val="24"/>
          <w:szCs w:val="24"/>
          <w:lang w:val="uk-UA"/>
        </w:rPr>
        <w:t xml:space="preserve"> </w:t>
      </w:r>
      <w:r w:rsidR="00DB4825" w:rsidRPr="00BE1959">
        <w:rPr>
          <w:rFonts w:ascii="Times New Roman" w:eastAsia="Times New Roman" w:hAnsi="Times New Roman" w:cs="Times New Roman"/>
          <w:sz w:val="24"/>
          <w:szCs w:val="24"/>
          <w:lang w:val="uk-UA"/>
        </w:rPr>
        <w:t>(EU) №</w:t>
      </w:r>
      <w:r w:rsidRPr="00BE1959">
        <w:rPr>
          <w:rFonts w:ascii="Times New Roman" w:eastAsia="Times New Roman" w:hAnsi="Times New Roman" w:cs="Times New Roman"/>
          <w:sz w:val="24"/>
          <w:szCs w:val="24"/>
          <w:lang w:val="uk-UA"/>
        </w:rPr>
        <w:t> 1095/2010.</w:t>
      </w:r>
    </w:p>
    <w:p w:rsidR="005613AB" w:rsidRPr="00BE1959" w:rsidRDefault="00162A11" w:rsidP="005613AB">
      <w:pPr>
        <w:spacing w:before="360" w:after="120" w:line="312" w:lineRule="atLeast"/>
        <w:jc w:val="center"/>
        <w:textAlignment w:val="baseline"/>
        <w:rPr>
          <w:rFonts w:ascii="Times New Roman" w:eastAsia="Times New Roman" w:hAnsi="Times New Roman" w:cs="Times New Roman"/>
          <w:i/>
          <w:iCs/>
          <w:sz w:val="24"/>
          <w:szCs w:val="24"/>
          <w:lang w:val="uk-UA"/>
        </w:rPr>
      </w:pPr>
      <w:r w:rsidRPr="00BE1959">
        <w:rPr>
          <w:rFonts w:ascii="Times New Roman" w:eastAsia="Times New Roman" w:hAnsi="Times New Roman" w:cs="Times New Roman"/>
          <w:i/>
          <w:iCs/>
          <w:sz w:val="24"/>
          <w:szCs w:val="24"/>
          <w:lang w:val="uk-UA"/>
        </w:rPr>
        <w:t>Стаття</w:t>
      </w:r>
      <w:r w:rsidR="005613AB" w:rsidRPr="00BE1959">
        <w:rPr>
          <w:rFonts w:ascii="Times New Roman" w:eastAsia="Times New Roman" w:hAnsi="Times New Roman" w:cs="Times New Roman"/>
          <w:i/>
          <w:iCs/>
          <w:sz w:val="24"/>
          <w:szCs w:val="24"/>
          <w:lang w:val="uk-UA"/>
        </w:rPr>
        <w:t xml:space="preserve"> 83</w:t>
      </w:r>
    </w:p>
    <w:p w:rsidR="005613AB" w:rsidRPr="00BE1959" w:rsidRDefault="003425AF" w:rsidP="005613AB">
      <w:pPr>
        <w:spacing w:before="60" w:after="120" w:line="312" w:lineRule="atLeast"/>
        <w:jc w:val="center"/>
        <w:textAlignment w:val="baseline"/>
        <w:rPr>
          <w:rFonts w:ascii="Times New Roman" w:eastAsia="Times New Roman" w:hAnsi="Times New Roman" w:cs="Times New Roman"/>
          <w:b/>
          <w:bCs/>
          <w:sz w:val="24"/>
          <w:szCs w:val="24"/>
          <w:lang w:val="uk-UA"/>
        </w:rPr>
      </w:pPr>
      <w:r w:rsidRPr="00BE1959">
        <w:rPr>
          <w:rFonts w:ascii="Times New Roman" w:eastAsia="Times New Roman" w:hAnsi="Times New Roman" w:cs="Times New Roman"/>
          <w:b/>
          <w:bCs/>
          <w:sz w:val="24"/>
          <w:szCs w:val="24"/>
          <w:lang w:val="uk-UA"/>
        </w:rPr>
        <w:t>Відмова співпрацювати</w:t>
      </w:r>
    </w:p>
    <w:p w:rsidR="00D966A8" w:rsidRPr="00BE1959" w:rsidRDefault="00D966A8"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Компетентний орган може відмовитися вжити заходів за запитом щодо співробітництва при проведенні</w:t>
      </w:r>
      <w:r w:rsidR="003A4B13" w:rsidRPr="00BE1959">
        <w:rPr>
          <w:rFonts w:ascii="Times New Roman" w:eastAsia="Times New Roman" w:hAnsi="Times New Roman" w:cs="Times New Roman"/>
          <w:sz w:val="24"/>
          <w:szCs w:val="24"/>
          <w:lang w:val="uk-UA"/>
        </w:rPr>
        <w:t xml:space="preserve"> розслідування, оперативної перевірки на місці або наглядового заходу, як </w:t>
      </w:r>
      <w:r w:rsidR="003A4B13" w:rsidRPr="00BE1959">
        <w:rPr>
          <w:rFonts w:ascii="Times New Roman" w:eastAsia="Times New Roman" w:hAnsi="Times New Roman" w:cs="Times New Roman"/>
          <w:sz w:val="24"/>
          <w:szCs w:val="24"/>
          <w:lang w:val="uk-UA"/>
        </w:rPr>
        <w:lastRenderedPageBreak/>
        <w:t>передбачено у статті 84, або відмовитися від обміну інформації, передбаченого у статті 81, тільки у наступних випадках:</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9093"/>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45757" w:rsidP="00545757">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перед органами влади держави-члена, що отримала запит, у</w:t>
            </w:r>
            <w:r w:rsidR="003A4B13" w:rsidRPr="00BE1959">
              <w:rPr>
                <w:rFonts w:ascii="Times New Roman" w:eastAsia="Times New Roman" w:hAnsi="Times New Roman" w:cs="Times New Roman"/>
                <w:sz w:val="24"/>
                <w:szCs w:val="24"/>
                <w:lang w:val="uk-UA"/>
              </w:rPr>
              <w:t xml:space="preserve">же порушено </w:t>
            </w:r>
            <w:r w:rsidRPr="00BE1959">
              <w:rPr>
                <w:rFonts w:ascii="Times New Roman" w:eastAsia="Times New Roman" w:hAnsi="Times New Roman" w:cs="Times New Roman"/>
                <w:sz w:val="24"/>
                <w:szCs w:val="24"/>
                <w:lang w:val="uk-UA"/>
              </w:rPr>
              <w:t xml:space="preserve">питання про </w:t>
            </w:r>
            <w:r w:rsidR="003A4B13" w:rsidRPr="00BE1959">
              <w:rPr>
                <w:rFonts w:ascii="Times New Roman" w:eastAsia="Times New Roman" w:hAnsi="Times New Roman" w:cs="Times New Roman"/>
                <w:sz w:val="24"/>
                <w:szCs w:val="24"/>
                <w:lang w:val="uk-UA"/>
              </w:rPr>
              <w:t xml:space="preserve">судове провадження щодо </w:t>
            </w:r>
            <w:r w:rsidRPr="00BE1959">
              <w:rPr>
                <w:rFonts w:ascii="Times New Roman" w:eastAsia="Times New Roman" w:hAnsi="Times New Roman" w:cs="Times New Roman"/>
                <w:sz w:val="24"/>
                <w:szCs w:val="24"/>
                <w:lang w:val="uk-UA"/>
              </w:rPr>
              <w:t>цих самих дій та цих самих осіб;</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DE3173"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45757" w:rsidP="00545757">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у державі-члені, що отримала запит, уже винесено остаточне рішення щодо цих самих осіб та цих самих дій.</w:t>
            </w:r>
          </w:p>
        </w:tc>
      </w:tr>
    </w:tbl>
    <w:p w:rsidR="005613AB" w:rsidRPr="00BE1959" w:rsidRDefault="00545757" w:rsidP="00545757">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У випадку такої відмови компетентний орган відповідним чином повідомляє запитуючий компетентний орган і ESMA, надаючи якомога докладнішу інформацію.</w:t>
      </w:r>
    </w:p>
    <w:p w:rsidR="005613AB" w:rsidRPr="00BE1959" w:rsidRDefault="00162A11" w:rsidP="005613AB">
      <w:pPr>
        <w:spacing w:before="360" w:after="120" w:line="312" w:lineRule="atLeast"/>
        <w:jc w:val="center"/>
        <w:textAlignment w:val="baseline"/>
        <w:rPr>
          <w:rFonts w:ascii="Times New Roman" w:eastAsia="Times New Roman" w:hAnsi="Times New Roman" w:cs="Times New Roman"/>
          <w:i/>
          <w:iCs/>
          <w:sz w:val="24"/>
          <w:szCs w:val="24"/>
          <w:lang w:val="uk-UA"/>
        </w:rPr>
      </w:pPr>
      <w:r w:rsidRPr="00BE1959">
        <w:rPr>
          <w:rFonts w:ascii="Times New Roman" w:eastAsia="Times New Roman" w:hAnsi="Times New Roman" w:cs="Times New Roman"/>
          <w:i/>
          <w:iCs/>
          <w:sz w:val="24"/>
          <w:szCs w:val="24"/>
          <w:lang w:val="uk-UA"/>
        </w:rPr>
        <w:t>Стаття</w:t>
      </w:r>
      <w:r w:rsidR="005613AB" w:rsidRPr="00BE1959">
        <w:rPr>
          <w:rFonts w:ascii="Times New Roman" w:eastAsia="Times New Roman" w:hAnsi="Times New Roman" w:cs="Times New Roman"/>
          <w:i/>
          <w:iCs/>
          <w:sz w:val="24"/>
          <w:szCs w:val="24"/>
          <w:lang w:val="uk-UA"/>
        </w:rPr>
        <w:t xml:space="preserve"> 84</w:t>
      </w:r>
    </w:p>
    <w:p w:rsidR="005613AB" w:rsidRPr="00BE1959" w:rsidRDefault="003425AF" w:rsidP="005613AB">
      <w:pPr>
        <w:spacing w:before="60" w:after="120" w:line="312" w:lineRule="atLeast"/>
        <w:jc w:val="center"/>
        <w:textAlignment w:val="baseline"/>
        <w:rPr>
          <w:rFonts w:ascii="Times New Roman" w:eastAsia="Times New Roman" w:hAnsi="Times New Roman" w:cs="Times New Roman"/>
          <w:b/>
          <w:bCs/>
          <w:sz w:val="24"/>
          <w:szCs w:val="24"/>
          <w:lang w:val="uk-UA"/>
        </w:rPr>
      </w:pPr>
      <w:r w:rsidRPr="00BE1959">
        <w:rPr>
          <w:rFonts w:ascii="Times New Roman" w:eastAsia="Times New Roman" w:hAnsi="Times New Roman" w:cs="Times New Roman"/>
          <w:b/>
          <w:bCs/>
          <w:sz w:val="24"/>
          <w:szCs w:val="24"/>
          <w:lang w:val="uk-UA"/>
        </w:rPr>
        <w:t>Консультації перед видачою дозволу</w:t>
      </w:r>
    </w:p>
    <w:p w:rsidR="002170D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1.   </w:t>
      </w:r>
      <w:r w:rsidR="002170DB" w:rsidRPr="00BE1959">
        <w:rPr>
          <w:rFonts w:ascii="Times New Roman" w:eastAsia="Times New Roman" w:hAnsi="Times New Roman" w:cs="Times New Roman"/>
          <w:sz w:val="24"/>
          <w:szCs w:val="24"/>
          <w:lang w:val="uk-UA"/>
        </w:rPr>
        <w:t xml:space="preserve">З </w:t>
      </w:r>
      <w:r w:rsidR="00992561" w:rsidRPr="00BE1959">
        <w:rPr>
          <w:rFonts w:ascii="Times New Roman" w:eastAsia="Times New Roman" w:hAnsi="Times New Roman" w:cs="Times New Roman"/>
          <w:sz w:val="24"/>
          <w:szCs w:val="24"/>
          <w:lang w:val="uk-UA"/>
        </w:rPr>
        <w:t xml:space="preserve">компетентними органами іншої зацікавленої держави-члена проводяться консультації перед </w:t>
      </w:r>
      <w:r w:rsidR="002170DB" w:rsidRPr="00BE1959">
        <w:rPr>
          <w:rFonts w:ascii="Times New Roman" w:eastAsia="Times New Roman" w:hAnsi="Times New Roman" w:cs="Times New Roman"/>
          <w:sz w:val="24"/>
          <w:szCs w:val="24"/>
          <w:lang w:val="uk-UA"/>
        </w:rPr>
        <w:t>видачою дозволу інвестиційн</w:t>
      </w:r>
      <w:r w:rsidR="00992561" w:rsidRPr="00BE1959">
        <w:rPr>
          <w:rFonts w:ascii="Times New Roman" w:eastAsia="Times New Roman" w:hAnsi="Times New Roman" w:cs="Times New Roman"/>
          <w:sz w:val="24"/>
          <w:szCs w:val="24"/>
          <w:lang w:val="uk-UA"/>
        </w:rPr>
        <w:t>ій фірмі, яка є одним із нижченаведених суб’єктів:</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9093"/>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509FE" w:rsidP="00992561">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дочірнім підприємством інвестиційної фірми або оператора ринку чи кредитної установи, що має дозвіл в іншій державі-члені;</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509FE" w:rsidP="00BD2EC1">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дочірнім підприємством материнського підприємства інвестиційної фірми або оператора ринку чи кредитної установи, що має дозвіл в іншій державі-члені;</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9093"/>
      </w:tblGrid>
      <w:tr w:rsidR="00DE3173"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B0911" w:rsidP="00BD2EC1">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підприємством, що контролюється тими самими фізичними чи юридичними особами, що контролюють інвестиційну фірму або кредитну установу, що має дозвіл в іншій державі-члені.</w:t>
            </w:r>
          </w:p>
        </w:tc>
      </w:tr>
    </w:tbl>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2.  </w:t>
      </w:r>
      <w:r w:rsidR="00FF51BE" w:rsidRPr="00BE1959">
        <w:rPr>
          <w:rFonts w:ascii="Times New Roman" w:eastAsia="Times New Roman" w:hAnsi="Times New Roman" w:cs="Times New Roman"/>
          <w:sz w:val="24"/>
          <w:szCs w:val="24"/>
          <w:lang w:val="uk-UA"/>
        </w:rPr>
        <w:t>З компетентним органом</w:t>
      </w:r>
      <w:r w:rsidRPr="00BE1959">
        <w:rPr>
          <w:rFonts w:ascii="Times New Roman" w:eastAsia="Times New Roman" w:hAnsi="Times New Roman" w:cs="Times New Roman"/>
          <w:sz w:val="24"/>
          <w:szCs w:val="24"/>
          <w:lang w:val="uk-UA"/>
        </w:rPr>
        <w:t xml:space="preserve"> </w:t>
      </w:r>
      <w:r w:rsidR="00856ECB" w:rsidRPr="00BE1959">
        <w:rPr>
          <w:rFonts w:ascii="Times New Roman" w:eastAsia="Times New Roman" w:hAnsi="Times New Roman" w:cs="Times New Roman"/>
          <w:sz w:val="24"/>
          <w:szCs w:val="24"/>
          <w:lang w:val="uk-UA"/>
        </w:rPr>
        <w:t>держави-члена</w:t>
      </w:r>
      <w:r w:rsidR="00FF51BE" w:rsidRPr="00BE1959">
        <w:rPr>
          <w:rFonts w:ascii="Times New Roman" w:eastAsia="Times New Roman" w:hAnsi="Times New Roman" w:cs="Times New Roman"/>
          <w:sz w:val="24"/>
          <w:szCs w:val="24"/>
          <w:lang w:val="uk-UA"/>
        </w:rPr>
        <w:t>, відповідальним за нагляд за діяльністю кредитних установ або страхових компаній, проводяться консультації перед видачою дозволу інвестиційній фірмі або оператору ринку, що є одним із нижченаведених суб’єктів:</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9093"/>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509FE" w:rsidP="005509FE">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дочірнім підприємством кредитної установи або страхової компанії, що має дозвіл у Союзі;</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509FE" w:rsidP="005B0911">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дочірнім підприємством материнського підприємства кредитної установи або страхової компанії, що має дозвіл </w:t>
            </w:r>
            <w:r w:rsidR="005B0911" w:rsidRPr="00BE1959">
              <w:rPr>
                <w:rFonts w:ascii="Times New Roman" w:eastAsia="Times New Roman" w:hAnsi="Times New Roman" w:cs="Times New Roman"/>
                <w:sz w:val="24"/>
                <w:szCs w:val="24"/>
                <w:lang w:val="uk-UA"/>
              </w:rPr>
              <w:t>у Союзі</w:t>
            </w:r>
            <w:r w:rsidRPr="00BE1959">
              <w:rPr>
                <w:rFonts w:ascii="Times New Roman" w:eastAsia="Times New Roman" w:hAnsi="Times New Roman" w:cs="Times New Roman"/>
                <w:sz w:val="24"/>
                <w:szCs w:val="24"/>
                <w:lang w:val="uk-UA"/>
              </w:rPr>
              <w:t>;</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9093"/>
      </w:tblGrid>
      <w:tr w:rsidR="00DE3173"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B0911" w:rsidP="005B0911">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підприємством, що контролюється тією самою особою, фізичною чи юридичною, яка контролює кредитну установу або страхову компанію, що має дозвіл у Союзі.</w:t>
            </w:r>
          </w:p>
        </w:tc>
      </w:tr>
    </w:tbl>
    <w:p w:rsidR="005613AB" w:rsidRPr="00BE1959" w:rsidRDefault="005613AB" w:rsidP="009D7009">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3.   </w:t>
      </w:r>
      <w:r w:rsidR="00603BC9" w:rsidRPr="00BE1959">
        <w:rPr>
          <w:rFonts w:ascii="Times New Roman" w:eastAsia="Times New Roman" w:hAnsi="Times New Roman" w:cs="Times New Roman"/>
          <w:sz w:val="24"/>
          <w:szCs w:val="24"/>
          <w:lang w:val="uk-UA"/>
        </w:rPr>
        <w:t xml:space="preserve">Відповідні </w:t>
      </w:r>
      <w:r w:rsidR="00434A96" w:rsidRPr="00BE1959">
        <w:rPr>
          <w:rFonts w:ascii="Times New Roman" w:eastAsia="Times New Roman" w:hAnsi="Times New Roman" w:cs="Times New Roman"/>
          <w:sz w:val="24"/>
          <w:szCs w:val="24"/>
          <w:lang w:val="uk-UA"/>
        </w:rPr>
        <w:t>компетентні органи</w:t>
      </w:r>
      <w:r w:rsidR="000C05B0" w:rsidRPr="00BE1959">
        <w:rPr>
          <w:rFonts w:ascii="Times New Roman" w:eastAsia="Times New Roman" w:hAnsi="Times New Roman" w:cs="Times New Roman"/>
          <w:sz w:val="24"/>
          <w:szCs w:val="24"/>
          <w:lang w:val="uk-UA"/>
        </w:rPr>
        <w:t xml:space="preserve">, згадані у пунктах 1 і 2, зокрема, консультуються один з одним при проведенні оцінки відповідності акціонерів або членів і репутації та досвіду осіб, які фактично керують діяльністю та залучені до управління іншим суб’єктом цієї </w:t>
      </w:r>
      <w:r w:rsidR="000C05B0" w:rsidRPr="00BE1959">
        <w:rPr>
          <w:rFonts w:ascii="Times New Roman" w:eastAsia="Times New Roman" w:hAnsi="Times New Roman" w:cs="Times New Roman"/>
          <w:sz w:val="24"/>
          <w:szCs w:val="24"/>
          <w:lang w:val="uk-UA"/>
        </w:rPr>
        <w:lastRenderedPageBreak/>
        <w:t xml:space="preserve">самої групи. Вони обмінюються всією </w:t>
      </w:r>
      <w:r w:rsidR="009D7009" w:rsidRPr="00BE1959">
        <w:rPr>
          <w:rFonts w:ascii="Times New Roman" w:eastAsia="Times New Roman" w:hAnsi="Times New Roman" w:cs="Times New Roman"/>
          <w:sz w:val="24"/>
          <w:szCs w:val="24"/>
          <w:lang w:val="uk-UA"/>
        </w:rPr>
        <w:t xml:space="preserve">тією </w:t>
      </w:r>
      <w:r w:rsidR="000C05B0" w:rsidRPr="00BE1959">
        <w:rPr>
          <w:rFonts w:ascii="Times New Roman" w:eastAsia="Times New Roman" w:hAnsi="Times New Roman" w:cs="Times New Roman"/>
          <w:sz w:val="24"/>
          <w:szCs w:val="24"/>
          <w:lang w:val="uk-UA"/>
        </w:rPr>
        <w:t>інформацією стосовно відповідності акціонерів або членів і</w:t>
      </w:r>
      <w:r w:rsidR="009D7009" w:rsidRPr="00BE1959">
        <w:rPr>
          <w:rFonts w:ascii="Times New Roman" w:eastAsia="Times New Roman" w:hAnsi="Times New Roman" w:cs="Times New Roman"/>
          <w:sz w:val="24"/>
          <w:szCs w:val="24"/>
          <w:lang w:val="uk-UA"/>
        </w:rPr>
        <w:t xml:space="preserve"> репутації та досвіду, які фактично керують діяльністю, яка є важливою для інших зацікавлених компетентних органів, для видачі дозволу, а також для поточної оцінки дотримання умов діяльності.</w:t>
      </w:r>
    </w:p>
    <w:p w:rsidR="001C364E" w:rsidRPr="00BE1959" w:rsidRDefault="001C364E" w:rsidP="001C364E">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4.   ESMA розробляє проекти виконавчих технічних стандартів, у яких визначаються типові форми, шаблони та процедури щодо проведення консультацій з іншими компетентними органами перед видачою дозволу.</w:t>
      </w:r>
    </w:p>
    <w:p w:rsidR="001C364E" w:rsidRPr="00BE1959" w:rsidRDefault="001C364E" w:rsidP="001C364E">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ESMA подає проекти цих виконавчих технічних стандартів Комісії до 3 січня 2016 року.</w:t>
      </w:r>
    </w:p>
    <w:p w:rsidR="001C364E" w:rsidRPr="00BE1959" w:rsidRDefault="001C364E" w:rsidP="001C364E">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Комісії надається повноваження на прийняття виконавчих технічних стандартів, згаданих у першому абзаці цього пункту, згідно зі статтею 15 Регламенту (EU) № 1095/2010.</w:t>
      </w:r>
    </w:p>
    <w:p w:rsidR="005613AB" w:rsidRPr="00BE1959" w:rsidRDefault="00162A11" w:rsidP="005613AB">
      <w:pPr>
        <w:spacing w:before="360" w:after="120" w:line="312" w:lineRule="atLeast"/>
        <w:jc w:val="center"/>
        <w:textAlignment w:val="baseline"/>
        <w:rPr>
          <w:rFonts w:ascii="Times New Roman" w:eastAsia="Times New Roman" w:hAnsi="Times New Roman" w:cs="Times New Roman"/>
          <w:i/>
          <w:iCs/>
          <w:sz w:val="24"/>
          <w:szCs w:val="24"/>
          <w:lang w:val="uk-UA"/>
        </w:rPr>
      </w:pPr>
      <w:r w:rsidRPr="00BE1959">
        <w:rPr>
          <w:rFonts w:ascii="Times New Roman" w:eastAsia="Times New Roman" w:hAnsi="Times New Roman" w:cs="Times New Roman"/>
          <w:i/>
          <w:iCs/>
          <w:sz w:val="24"/>
          <w:szCs w:val="24"/>
          <w:lang w:val="uk-UA"/>
        </w:rPr>
        <w:t>Стаття</w:t>
      </w:r>
      <w:r w:rsidR="005613AB" w:rsidRPr="00BE1959">
        <w:rPr>
          <w:rFonts w:ascii="Times New Roman" w:eastAsia="Times New Roman" w:hAnsi="Times New Roman" w:cs="Times New Roman"/>
          <w:i/>
          <w:iCs/>
          <w:sz w:val="24"/>
          <w:szCs w:val="24"/>
          <w:lang w:val="uk-UA"/>
        </w:rPr>
        <w:t xml:space="preserve"> 85</w:t>
      </w:r>
    </w:p>
    <w:p w:rsidR="005613AB" w:rsidRPr="00BE1959" w:rsidRDefault="009631A7" w:rsidP="005613AB">
      <w:pPr>
        <w:spacing w:before="60" w:after="120" w:line="312" w:lineRule="atLeast"/>
        <w:jc w:val="center"/>
        <w:textAlignment w:val="baseline"/>
        <w:rPr>
          <w:rFonts w:ascii="Times New Roman" w:eastAsia="Times New Roman" w:hAnsi="Times New Roman" w:cs="Times New Roman"/>
          <w:b/>
          <w:bCs/>
          <w:sz w:val="24"/>
          <w:szCs w:val="24"/>
          <w:lang w:val="uk-UA"/>
        </w:rPr>
      </w:pPr>
      <w:r w:rsidRPr="00BE1959">
        <w:rPr>
          <w:rFonts w:ascii="Times New Roman" w:eastAsia="Times New Roman" w:hAnsi="Times New Roman" w:cs="Times New Roman"/>
          <w:b/>
          <w:bCs/>
          <w:sz w:val="24"/>
          <w:szCs w:val="24"/>
          <w:lang w:val="uk-UA"/>
        </w:rPr>
        <w:t>Повноваження приймаючих держав-членів</w:t>
      </w:r>
    </w:p>
    <w:p w:rsidR="005613AB" w:rsidRPr="00BE1959" w:rsidRDefault="005613AB" w:rsidP="00134100">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1.   </w:t>
      </w:r>
      <w:r w:rsidR="009631A7" w:rsidRPr="00BE1959">
        <w:rPr>
          <w:rFonts w:ascii="Times New Roman" w:eastAsia="Times New Roman" w:hAnsi="Times New Roman" w:cs="Times New Roman"/>
          <w:sz w:val="24"/>
          <w:szCs w:val="24"/>
          <w:lang w:val="uk-UA"/>
        </w:rPr>
        <w:t>Приймаючі д</w:t>
      </w:r>
      <w:r w:rsidR="001F5C90" w:rsidRPr="00BE1959">
        <w:rPr>
          <w:rFonts w:ascii="Times New Roman" w:eastAsia="Times New Roman" w:hAnsi="Times New Roman" w:cs="Times New Roman"/>
          <w:sz w:val="24"/>
          <w:szCs w:val="24"/>
          <w:lang w:val="uk-UA"/>
        </w:rPr>
        <w:t>ержави-члени</w:t>
      </w:r>
      <w:r w:rsidRPr="00BE1959">
        <w:rPr>
          <w:rFonts w:ascii="Times New Roman" w:eastAsia="Times New Roman" w:hAnsi="Times New Roman" w:cs="Times New Roman"/>
          <w:sz w:val="24"/>
          <w:szCs w:val="24"/>
          <w:lang w:val="uk-UA"/>
        </w:rPr>
        <w:t xml:space="preserve"> </w:t>
      </w:r>
      <w:r w:rsidR="00D86CE3" w:rsidRPr="00BE1959">
        <w:rPr>
          <w:rFonts w:ascii="Times New Roman" w:eastAsia="Times New Roman" w:hAnsi="Times New Roman" w:cs="Times New Roman"/>
          <w:sz w:val="24"/>
          <w:szCs w:val="24"/>
          <w:lang w:val="uk-UA"/>
        </w:rPr>
        <w:t xml:space="preserve">передбачають, що компетентний орган може у статистичних цілях вимагати </w:t>
      </w:r>
      <w:r w:rsidR="00134100" w:rsidRPr="00BE1959">
        <w:rPr>
          <w:rFonts w:ascii="Times New Roman" w:eastAsia="Times New Roman" w:hAnsi="Times New Roman" w:cs="Times New Roman"/>
          <w:sz w:val="24"/>
          <w:szCs w:val="24"/>
          <w:lang w:val="uk-UA"/>
        </w:rPr>
        <w:t>від у</w:t>
      </w:r>
      <w:r w:rsidR="00D86CE3" w:rsidRPr="00BE1959">
        <w:rPr>
          <w:rFonts w:ascii="Times New Roman" w:eastAsia="Times New Roman" w:hAnsi="Times New Roman" w:cs="Times New Roman"/>
          <w:sz w:val="24"/>
          <w:szCs w:val="24"/>
          <w:lang w:val="uk-UA"/>
        </w:rPr>
        <w:t>сіх інвестиційних фірм, маючих філії на їхній території</w:t>
      </w:r>
      <w:r w:rsidR="00134100" w:rsidRPr="00BE1959">
        <w:rPr>
          <w:rFonts w:ascii="Times New Roman" w:eastAsia="Times New Roman" w:hAnsi="Times New Roman" w:cs="Times New Roman"/>
          <w:sz w:val="24"/>
          <w:szCs w:val="24"/>
          <w:lang w:val="uk-UA"/>
        </w:rPr>
        <w:t>, періодично звітувати перед ним щодо діяльності цих філій.</w:t>
      </w:r>
    </w:p>
    <w:p w:rsidR="005613AB" w:rsidRPr="00BE1959" w:rsidRDefault="005613AB" w:rsidP="00AB0EA2">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2.   </w:t>
      </w:r>
      <w:r w:rsidR="00134100" w:rsidRPr="00BE1959">
        <w:rPr>
          <w:rFonts w:ascii="Times New Roman" w:eastAsia="Times New Roman" w:hAnsi="Times New Roman" w:cs="Times New Roman"/>
          <w:sz w:val="24"/>
          <w:szCs w:val="24"/>
          <w:lang w:val="uk-UA"/>
        </w:rPr>
        <w:t>При виконанні своїх обов’язків за цією директивою приймаючі держави-члени передбачають, що к</w:t>
      </w:r>
      <w:r w:rsidR="001E74E1" w:rsidRPr="00BE1959">
        <w:rPr>
          <w:rFonts w:ascii="Times New Roman" w:eastAsia="Times New Roman" w:hAnsi="Times New Roman" w:cs="Times New Roman"/>
          <w:sz w:val="24"/>
          <w:szCs w:val="24"/>
          <w:lang w:val="uk-UA"/>
        </w:rPr>
        <w:t>омпетентний орган може</w:t>
      </w:r>
      <w:r w:rsidRPr="00BE1959">
        <w:rPr>
          <w:rFonts w:ascii="Times New Roman" w:eastAsia="Times New Roman" w:hAnsi="Times New Roman" w:cs="Times New Roman"/>
          <w:sz w:val="24"/>
          <w:szCs w:val="24"/>
          <w:lang w:val="uk-UA"/>
        </w:rPr>
        <w:t xml:space="preserve"> </w:t>
      </w:r>
      <w:r w:rsidR="00134100" w:rsidRPr="00BE1959">
        <w:rPr>
          <w:rFonts w:ascii="Times New Roman" w:eastAsia="Times New Roman" w:hAnsi="Times New Roman" w:cs="Times New Roman"/>
          <w:sz w:val="24"/>
          <w:szCs w:val="24"/>
          <w:lang w:val="uk-UA"/>
        </w:rPr>
        <w:t>вимагати від філій інвестиційних фірм надавати інформацію, необхідну для контроля за дотриманням ними стандартів, установлених приймаючою державою-членом, які поширюються на них у випадках, передбачених у статті 35(8). Ці вимоги не можуть бути більш суворими, ніж вимоги, які ця ж сама держава-член накладає на створені фірми щодо контролю за дотриманням ними цих самих стандартів</w:t>
      </w:r>
      <w:r w:rsidR="00AB0EA2" w:rsidRPr="00BE1959">
        <w:rPr>
          <w:rFonts w:ascii="Times New Roman" w:eastAsia="Times New Roman" w:hAnsi="Times New Roman" w:cs="Times New Roman"/>
          <w:sz w:val="24"/>
          <w:szCs w:val="24"/>
          <w:lang w:val="uk-UA"/>
        </w:rPr>
        <w:t>.</w:t>
      </w:r>
    </w:p>
    <w:p w:rsidR="005613AB" w:rsidRPr="00BE1959" w:rsidRDefault="00162A11" w:rsidP="005613AB">
      <w:pPr>
        <w:spacing w:before="360" w:after="120" w:line="312" w:lineRule="atLeast"/>
        <w:jc w:val="center"/>
        <w:textAlignment w:val="baseline"/>
        <w:rPr>
          <w:rFonts w:ascii="Times New Roman" w:eastAsia="Times New Roman" w:hAnsi="Times New Roman" w:cs="Times New Roman"/>
          <w:i/>
          <w:iCs/>
          <w:sz w:val="24"/>
          <w:szCs w:val="24"/>
          <w:lang w:val="uk-UA"/>
        </w:rPr>
      </w:pPr>
      <w:r w:rsidRPr="00BE1959">
        <w:rPr>
          <w:rFonts w:ascii="Times New Roman" w:eastAsia="Times New Roman" w:hAnsi="Times New Roman" w:cs="Times New Roman"/>
          <w:i/>
          <w:iCs/>
          <w:sz w:val="24"/>
          <w:szCs w:val="24"/>
          <w:lang w:val="uk-UA"/>
        </w:rPr>
        <w:t>Стаття</w:t>
      </w:r>
      <w:r w:rsidR="005613AB" w:rsidRPr="00BE1959">
        <w:rPr>
          <w:rFonts w:ascii="Times New Roman" w:eastAsia="Times New Roman" w:hAnsi="Times New Roman" w:cs="Times New Roman"/>
          <w:i/>
          <w:iCs/>
          <w:sz w:val="24"/>
          <w:szCs w:val="24"/>
          <w:lang w:val="uk-UA"/>
        </w:rPr>
        <w:t xml:space="preserve"> 86</w:t>
      </w:r>
    </w:p>
    <w:p w:rsidR="005613AB" w:rsidRPr="00BE1959" w:rsidRDefault="002B4735" w:rsidP="002B4735">
      <w:pPr>
        <w:spacing w:before="60" w:after="120" w:line="312" w:lineRule="atLeast"/>
        <w:jc w:val="center"/>
        <w:textAlignment w:val="baseline"/>
        <w:rPr>
          <w:rFonts w:ascii="Times New Roman" w:eastAsia="Times New Roman" w:hAnsi="Times New Roman" w:cs="Times New Roman"/>
          <w:b/>
          <w:bCs/>
          <w:sz w:val="24"/>
          <w:szCs w:val="24"/>
          <w:lang w:val="uk-UA"/>
        </w:rPr>
      </w:pPr>
      <w:r w:rsidRPr="00BE1959">
        <w:rPr>
          <w:rFonts w:ascii="Times New Roman" w:eastAsia="Times New Roman" w:hAnsi="Times New Roman" w:cs="Times New Roman"/>
          <w:b/>
          <w:bCs/>
          <w:sz w:val="24"/>
          <w:szCs w:val="24"/>
          <w:lang w:val="uk-UA"/>
        </w:rPr>
        <w:t>Запобіжні заходи, що мають уживатися приймаючими державами-членами</w:t>
      </w:r>
    </w:p>
    <w:p w:rsidR="005613AB" w:rsidRPr="00BE1959" w:rsidRDefault="005613AB" w:rsidP="00F15A82">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1.   </w:t>
      </w:r>
      <w:r w:rsidR="00481A81" w:rsidRPr="00BE1959">
        <w:rPr>
          <w:rFonts w:ascii="Times New Roman" w:eastAsia="Times New Roman" w:hAnsi="Times New Roman" w:cs="Times New Roman"/>
          <w:sz w:val="24"/>
          <w:szCs w:val="24"/>
          <w:lang w:val="uk-UA"/>
        </w:rPr>
        <w:t>Якщо компетентний орган приймаючої держави-члена має чіткі та очевидні підстави вважати, що інвестиційна фірма, діюча на її території на основі свободи надання послуг, порушує зобов’язання, які випливають із положень, прийнятих на виконання цієї директиви, або що інвестиційна фірма, яка має філію на її території, порушує зобов’язання, які випливають із положень, прийнятих на виконання цієї директиви, котрі не надають повноважень компетентному органу приймаючої держави-члена, він передає ці висновки компетентному органу держави-члена походження.</w:t>
      </w:r>
    </w:p>
    <w:p w:rsidR="005613AB" w:rsidRPr="00BE1959" w:rsidRDefault="000C65E3" w:rsidP="00006E5D">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Якщо, незважаючи на заходи, вжиті компетентним органом держави-члена походження, або через те, що такі заходи виявилися недостатніми, інвестиційна фірма продовжує вчиняти у спосіб, який явно зашкоджує інтересам інвесторам приймаючої держави-члена або впорядкованому функціонуванню ринків, то застосовуються наступні положення:</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9093"/>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lastRenderedPageBreak/>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0C65E3" w:rsidP="00580EE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повідомивши компетентний орган держави-члена походження, компетентний орган приймаючої держави-члена вживає всіх належних заходів, необхідних для захисту інвесторів і належного функціонування ринків, які включають можливість заборони ініціювання інвестиційними фірмами-порушниками будь-яких подальших угод на її території. Комісія та ESMA інформуються про такі заходи без неналежної затримки;</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DE3173" w:rsidRPr="00BE1959"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152DE" w:rsidP="00481A81">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компетентний орган приймаючої держави-члена може передати дане питання на розгляд ESMA, яка може діяти відповідно до повноважень, покладених на неї згідно зі статтею 19 Регламенту (EU) № 1095/2010.</w:t>
            </w:r>
          </w:p>
        </w:tc>
      </w:tr>
    </w:tbl>
    <w:p w:rsidR="005613AB" w:rsidRPr="00BE1959" w:rsidRDefault="005613AB" w:rsidP="00694C4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2.   </w:t>
      </w:r>
      <w:r w:rsidR="00275E76" w:rsidRPr="00BE1959">
        <w:rPr>
          <w:rFonts w:ascii="Times New Roman" w:eastAsia="Times New Roman" w:hAnsi="Times New Roman" w:cs="Times New Roman"/>
          <w:sz w:val="24"/>
          <w:szCs w:val="24"/>
          <w:lang w:val="uk-UA"/>
        </w:rPr>
        <w:t>Якщо</w:t>
      </w:r>
      <w:r w:rsidRPr="00BE1959">
        <w:rPr>
          <w:rFonts w:ascii="Times New Roman" w:eastAsia="Times New Roman" w:hAnsi="Times New Roman" w:cs="Times New Roman"/>
          <w:sz w:val="24"/>
          <w:szCs w:val="24"/>
          <w:lang w:val="uk-UA"/>
        </w:rPr>
        <w:t xml:space="preserve"> </w:t>
      </w:r>
      <w:r w:rsidR="00434A96" w:rsidRPr="00BE1959">
        <w:rPr>
          <w:rFonts w:ascii="Times New Roman" w:eastAsia="Times New Roman" w:hAnsi="Times New Roman" w:cs="Times New Roman"/>
          <w:sz w:val="24"/>
          <w:szCs w:val="24"/>
          <w:lang w:val="uk-UA"/>
        </w:rPr>
        <w:t>компетентні органи</w:t>
      </w:r>
      <w:r w:rsidRPr="00BE1959">
        <w:rPr>
          <w:rFonts w:ascii="Times New Roman" w:eastAsia="Times New Roman" w:hAnsi="Times New Roman" w:cs="Times New Roman"/>
          <w:sz w:val="24"/>
          <w:szCs w:val="24"/>
          <w:lang w:val="uk-UA"/>
        </w:rPr>
        <w:t xml:space="preserve"> </w:t>
      </w:r>
      <w:r w:rsidR="001F6C76" w:rsidRPr="00BE1959">
        <w:rPr>
          <w:rFonts w:ascii="Times New Roman" w:eastAsia="Times New Roman" w:hAnsi="Times New Roman" w:cs="Times New Roman"/>
          <w:sz w:val="24"/>
          <w:szCs w:val="24"/>
          <w:lang w:val="uk-UA"/>
        </w:rPr>
        <w:t>приймаючої держ</w:t>
      </w:r>
      <w:r w:rsidR="00E7170F" w:rsidRPr="00BE1959">
        <w:rPr>
          <w:rFonts w:ascii="Times New Roman" w:eastAsia="Times New Roman" w:hAnsi="Times New Roman" w:cs="Times New Roman"/>
          <w:sz w:val="24"/>
          <w:szCs w:val="24"/>
          <w:lang w:val="uk-UA"/>
        </w:rPr>
        <w:t xml:space="preserve">ави-члена встановили, що інвестиційна фірма, яка має філію на її території, порушує законодавчі або нормативні акти, прийняті у цій державі-члені на виконання тих положень цієї директиви, які </w:t>
      </w:r>
      <w:r w:rsidR="00694C4B" w:rsidRPr="00BE1959">
        <w:rPr>
          <w:rFonts w:ascii="Times New Roman" w:eastAsia="Times New Roman" w:hAnsi="Times New Roman" w:cs="Times New Roman"/>
          <w:sz w:val="24"/>
          <w:szCs w:val="24"/>
          <w:lang w:val="uk-UA"/>
        </w:rPr>
        <w:t>надають повноваження компетентним органам приймаючої держави-члена, то ці органи вимагають від вищезгаданої інвестиційної фірми припинення порушення.</w:t>
      </w:r>
    </w:p>
    <w:p w:rsidR="005613AB" w:rsidRPr="00BE1959" w:rsidRDefault="00694C4B" w:rsidP="00B97481">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Якщо вищезгадана інвестиційна фірма</w:t>
      </w:r>
      <w:r w:rsidR="0084031C" w:rsidRPr="00BE1959">
        <w:rPr>
          <w:rFonts w:ascii="Times New Roman" w:eastAsia="Times New Roman" w:hAnsi="Times New Roman" w:cs="Times New Roman"/>
          <w:sz w:val="24"/>
          <w:szCs w:val="24"/>
          <w:lang w:val="uk-UA"/>
        </w:rPr>
        <w:t xml:space="preserve"> не вживає необхідних заходів, то</w:t>
      </w:r>
      <w:r w:rsidR="005613AB" w:rsidRPr="00BE1959">
        <w:rPr>
          <w:rFonts w:ascii="Times New Roman" w:eastAsia="Times New Roman" w:hAnsi="Times New Roman" w:cs="Times New Roman"/>
          <w:sz w:val="24"/>
          <w:szCs w:val="24"/>
          <w:lang w:val="uk-UA"/>
        </w:rPr>
        <w:t xml:space="preserve"> </w:t>
      </w:r>
      <w:r w:rsidR="00434A96" w:rsidRPr="00BE1959">
        <w:rPr>
          <w:rFonts w:ascii="Times New Roman" w:eastAsia="Times New Roman" w:hAnsi="Times New Roman" w:cs="Times New Roman"/>
          <w:sz w:val="24"/>
          <w:szCs w:val="24"/>
          <w:lang w:val="uk-UA"/>
        </w:rPr>
        <w:t>компетентні органи</w:t>
      </w:r>
      <w:r w:rsidR="005613AB" w:rsidRPr="00BE1959">
        <w:rPr>
          <w:rFonts w:ascii="Times New Roman" w:eastAsia="Times New Roman" w:hAnsi="Times New Roman" w:cs="Times New Roman"/>
          <w:sz w:val="24"/>
          <w:szCs w:val="24"/>
          <w:lang w:val="uk-UA"/>
        </w:rPr>
        <w:t xml:space="preserve"> </w:t>
      </w:r>
      <w:r w:rsidR="00066C23" w:rsidRPr="00BE1959">
        <w:rPr>
          <w:rFonts w:ascii="Times New Roman" w:eastAsia="Times New Roman" w:hAnsi="Times New Roman" w:cs="Times New Roman"/>
          <w:sz w:val="24"/>
          <w:szCs w:val="24"/>
          <w:lang w:val="uk-UA"/>
        </w:rPr>
        <w:t>приймаючої держави-члена</w:t>
      </w:r>
      <w:r w:rsidR="005613AB" w:rsidRPr="00BE1959">
        <w:rPr>
          <w:rFonts w:ascii="Times New Roman" w:eastAsia="Times New Roman" w:hAnsi="Times New Roman" w:cs="Times New Roman"/>
          <w:sz w:val="24"/>
          <w:szCs w:val="24"/>
          <w:lang w:val="uk-UA"/>
        </w:rPr>
        <w:t xml:space="preserve"> </w:t>
      </w:r>
      <w:r w:rsidR="00B97481" w:rsidRPr="00BE1959">
        <w:rPr>
          <w:rFonts w:ascii="Times New Roman" w:eastAsia="Times New Roman" w:hAnsi="Times New Roman" w:cs="Times New Roman"/>
          <w:sz w:val="24"/>
          <w:szCs w:val="24"/>
          <w:lang w:val="uk-UA"/>
        </w:rPr>
        <w:t>вживають усіх належних заходів для забезпечення припинення порушення вищезгаданою інвестиційною фірмою.</w:t>
      </w:r>
    </w:p>
    <w:p w:rsidR="005613AB" w:rsidRPr="00BE1959" w:rsidRDefault="007C37E6" w:rsidP="00580EE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Якщо, незважаючи на заходи, вжиті приймаючою державою-членом, інвестиційна фірма продовжує</w:t>
      </w:r>
      <w:r w:rsidR="00580EEB" w:rsidRPr="00BE1959">
        <w:rPr>
          <w:rFonts w:ascii="Times New Roman" w:eastAsia="Times New Roman" w:hAnsi="Times New Roman" w:cs="Times New Roman"/>
          <w:sz w:val="24"/>
          <w:szCs w:val="24"/>
          <w:lang w:val="uk-UA"/>
        </w:rPr>
        <w:t xml:space="preserve"> порушувати законодавчі або нормативні акти, згадані у першому абзаці цього пункту, що діють у приймаючій державі-члені, то к</w:t>
      </w:r>
      <w:r w:rsidR="003A5348" w:rsidRPr="00BE1959">
        <w:rPr>
          <w:rFonts w:ascii="Times New Roman" w:eastAsia="Times New Roman" w:hAnsi="Times New Roman" w:cs="Times New Roman"/>
          <w:sz w:val="24"/>
          <w:szCs w:val="24"/>
          <w:lang w:val="uk-UA"/>
        </w:rPr>
        <w:t>омпетентний орган</w:t>
      </w:r>
      <w:r w:rsidR="005613AB" w:rsidRPr="00BE1959">
        <w:rPr>
          <w:rFonts w:ascii="Times New Roman" w:eastAsia="Times New Roman" w:hAnsi="Times New Roman" w:cs="Times New Roman"/>
          <w:sz w:val="24"/>
          <w:szCs w:val="24"/>
          <w:lang w:val="uk-UA"/>
        </w:rPr>
        <w:t xml:space="preserve"> </w:t>
      </w:r>
      <w:r w:rsidR="00066C23" w:rsidRPr="00BE1959">
        <w:rPr>
          <w:rFonts w:ascii="Times New Roman" w:eastAsia="Times New Roman" w:hAnsi="Times New Roman" w:cs="Times New Roman"/>
          <w:sz w:val="24"/>
          <w:szCs w:val="24"/>
          <w:lang w:val="uk-UA"/>
        </w:rPr>
        <w:t>приймаючої держави-члена</w:t>
      </w:r>
      <w:r w:rsidR="00580EEB" w:rsidRPr="00BE1959">
        <w:rPr>
          <w:rFonts w:ascii="Times New Roman" w:eastAsia="Times New Roman" w:hAnsi="Times New Roman" w:cs="Times New Roman"/>
          <w:sz w:val="24"/>
          <w:szCs w:val="24"/>
          <w:lang w:val="uk-UA"/>
        </w:rPr>
        <w:t>, повідомивши к</w:t>
      </w:r>
      <w:r w:rsidR="003A5348" w:rsidRPr="00BE1959">
        <w:rPr>
          <w:rFonts w:ascii="Times New Roman" w:eastAsia="Times New Roman" w:hAnsi="Times New Roman" w:cs="Times New Roman"/>
          <w:sz w:val="24"/>
          <w:szCs w:val="24"/>
          <w:lang w:val="uk-UA"/>
        </w:rPr>
        <w:t>омпетентний орган</w:t>
      </w:r>
      <w:r w:rsidR="005613AB" w:rsidRPr="00BE1959">
        <w:rPr>
          <w:rFonts w:ascii="Times New Roman" w:eastAsia="Times New Roman" w:hAnsi="Times New Roman" w:cs="Times New Roman"/>
          <w:sz w:val="24"/>
          <w:szCs w:val="24"/>
          <w:lang w:val="uk-UA"/>
        </w:rPr>
        <w:t xml:space="preserve"> </w:t>
      </w:r>
      <w:r w:rsidR="003A5348" w:rsidRPr="00BE1959">
        <w:rPr>
          <w:rFonts w:ascii="Times New Roman" w:eastAsia="Times New Roman" w:hAnsi="Times New Roman" w:cs="Times New Roman"/>
          <w:sz w:val="24"/>
          <w:szCs w:val="24"/>
          <w:lang w:val="uk-UA"/>
        </w:rPr>
        <w:t>держави-члена походження</w:t>
      </w:r>
      <w:r w:rsidR="005613AB" w:rsidRPr="00BE1959">
        <w:rPr>
          <w:rFonts w:ascii="Times New Roman" w:eastAsia="Times New Roman" w:hAnsi="Times New Roman" w:cs="Times New Roman"/>
          <w:sz w:val="24"/>
          <w:szCs w:val="24"/>
          <w:lang w:val="uk-UA"/>
        </w:rPr>
        <w:t xml:space="preserve">, </w:t>
      </w:r>
      <w:r w:rsidR="00580EEB" w:rsidRPr="00BE1959">
        <w:rPr>
          <w:rFonts w:ascii="Times New Roman" w:eastAsia="Times New Roman" w:hAnsi="Times New Roman" w:cs="Times New Roman"/>
          <w:sz w:val="24"/>
          <w:szCs w:val="24"/>
          <w:lang w:val="uk-UA"/>
        </w:rPr>
        <w:t>вживає всіх належних заходів для захисту інвесторів і належного функціонування ринків. Комісія та ESMA інформуються про такі заходи без неналежної затримки.</w:t>
      </w:r>
    </w:p>
    <w:p w:rsidR="00481A81" w:rsidRPr="00BE1959" w:rsidRDefault="00481A81"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Крім того, к</w:t>
      </w:r>
      <w:r w:rsidR="003A5348" w:rsidRPr="00BE1959">
        <w:rPr>
          <w:rFonts w:ascii="Times New Roman" w:eastAsia="Times New Roman" w:hAnsi="Times New Roman" w:cs="Times New Roman"/>
          <w:sz w:val="24"/>
          <w:szCs w:val="24"/>
          <w:lang w:val="uk-UA"/>
        </w:rPr>
        <w:t>омпетентний орган</w:t>
      </w:r>
      <w:r w:rsidR="005613AB" w:rsidRPr="00BE1959">
        <w:rPr>
          <w:rFonts w:ascii="Times New Roman" w:eastAsia="Times New Roman" w:hAnsi="Times New Roman" w:cs="Times New Roman"/>
          <w:sz w:val="24"/>
          <w:szCs w:val="24"/>
          <w:lang w:val="uk-UA"/>
        </w:rPr>
        <w:t xml:space="preserve"> </w:t>
      </w:r>
      <w:r w:rsidR="00066C23" w:rsidRPr="00BE1959">
        <w:rPr>
          <w:rFonts w:ascii="Times New Roman" w:eastAsia="Times New Roman" w:hAnsi="Times New Roman" w:cs="Times New Roman"/>
          <w:sz w:val="24"/>
          <w:szCs w:val="24"/>
          <w:lang w:val="uk-UA"/>
        </w:rPr>
        <w:t>приймаючої держави-члена</w:t>
      </w:r>
      <w:r w:rsidR="005613AB" w:rsidRPr="00BE1959">
        <w:rPr>
          <w:rFonts w:ascii="Times New Roman" w:eastAsia="Times New Roman" w:hAnsi="Times New Roman" w:cs="Times New Roman"/>
          <w:sz w:val="24"/>
          <w:szCs w:val="24"/>
          <w:lang w:val="uk-UA"/>
        </w:rPr>
        <w:t xml:space="preserve"> </w:t>
      </w:r>
      <w:r w:rsidRPr="00BE1959">
        <w:rPr>
          <w:rFonts w:ascii="Times New Roman" w:eastAsia="Times New Roman" w:hAnsi="Times New Roman" w:cs="Times New Roman"/>
          <w:sz w:val="24"/>
          <w:szCs w:val="24"/>
          <w:lang w:val="uk-UA"/>
        </w:rPr>
        <w:t>може передати дане питання на розгляд ESMA, яка може діяти відповідно до повноважень, покладених на неї згідно зі статтею 19 Регламенту (EU) № 1095/2010.</w:t>
      </w:r>
    </w:p>
    <w:p w:rsidR="00481A81" w:rsidRPr="00BE1959" w:rsidRDefault="005613AB" w:rsidP="00A50C50">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3.   </w:t>
      </w:r>
      <w:r w:rsidR="00481A81" w:rsidRPr="00BE1959">
        <w:rPr>
          <w:rFonts w:ascii="Times New Roman" w:eastAsia="Times New Roman" w:hAnsi="Times New Roman" w:cs="Times New Roman"/>
          <w:sz w:val="24"/>
          <w:szCs w:val="24"/>
          <w:lang w:val="uk-UA"/>
        </w:rPr>
        <w:t xml:space="preserve">Якщо компетентний орган приймаючої держави-члена </w:t>
      </w:r>
      <w:r w:rsidR="00394D20" w:rsidRPr="00BE1959">
        <w:rPr>
          <w:rFonts w:ascii="Times New Roman" w:eastAsia="Times New Roman" w:hAnsi="Times New Roman" w:cs="Times New Roman"/>
          <w:sz w:val="24"/>
          <w:szCs w:val="24"/>
          <w:lang w:val="uk-UA"/>
        </w:rPr>
        <w:t>регульо</w:t>
      </w:r>
      <w:r w:rsidR="00A50C50" w:rsidRPr="00BE1959">
        <w:rPr>
          <w:rFonts w:ascii="Times New Roman" w:eastAsia="Times New Roman" w:hAnsi="Times New Roman" w:cs="Times New Roman"/>
          <w:sz w:val="24"/>
          <w:szCs w:val="24"/>
          <w:lang w:val="uk-UA"/>
        </w:rPr>
        <w:t xml:space="preserve">ваного ринку, БТМ або ОТМ </w:t>
      </w:r>
      <w:r w:rsidR="00481A81" w:rsidRPr="00BE1959">
        <w:rPr>
          <w:rFonts w:ascii="Times New Roman" w:eastAsia="Times New Roman" w:hAnsi="Times New Roman" w:cs="Times New Roman"/>
          <w:sz w:val="24"/>
          <w:szCs w:val="24"/>
          <w:lang w:val="uk-UA"/>
        </w:rPr>
        <w:t xml:space="preserve">має чіткі та очевидні підстави вважати, що </w:t>
      </w:r>
      <w:r w:rsidR="00A50C50" w:rsidRPr="00BE1959">
        <w:rPr>
          <w:rFonts w:ascii="Times New Roman" w:eastAsia="Times New Roman" w:hAnsi="Times New Roman" w:cs="Times New Roman"/>
          <w:sz w:val="24"/>
          <w:szCs w:val="24"/>
          <w:lang w:val="uk-UA"/>
        </w:rPr>
        <w:t xml:space="preserve">такий регульований ринок, БТМ або ОТМ </w:t>
      </w:r>
      <w:r w:rsidR="00481A81" w:rsidRPr="00BE1959">
        <w:rPr>
          <w:rFonts w:ascii="Times New Roman" w:eastAsia="Times New Roman" w:hAnsi="Times New Roman" w:cs="Times New Roman"/>
          <w:sz w:val="24"/>
          <w:szCs w:val="24"/>
          <w:lang w:val="uk-UA"/>
        </w:rPr>
        <w:t>порушує зобов’язання, які випливають із положень, прийнятих на виконання цієї директиви, він передає ці висновки компетентному органу</w:t>
      </w:r>
      <w:r w:rsidR="000C65E3" w:rsidRPr="00BE1959">
        <w:rPr>
          <w:rFonts w:ascii="Times New Roman" w:eastAsia="Times New Roman" w:hAnsi="Times New Roman" w:cs="Times New Roman"/>
          <w:sz w:val="24"/>
          <w:szCs w:val="24"/>
          <w:lang w:val="uk-UA"/>
        </w:rPr>
        <w:t xml:space="preserve"> держави-члена походження регульованого ринку, БТМ або ОТМ.</w:t>
      </w:r>
    </w:p>
    <w:p w:rsidR="000C65E3" w:rsidRPr="00BE1959" w:rsidRDefault="000C65E3" w:rsidP="005152DE">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Якщо, незважаючи на заходи, вжиті компетентним органом держави-члена походження, або через те, що такі заходи виявилися недостатніми, вищезгаданий регульований ринок, БТМ або ОТМ продовжує вчиняти у спосіб, який явно зашкоджує інтересам інвесторам приймаючої держави-члена або впорядкованому функціонуванню ринків, то к</w:t>
      </w:r>
      <w:r w:rsidR="003A5348" w:rsidRPr="00BE1959">
        <w:rPr>
          <w:rFonts w:ascii="Times New Roman" w:eastAsia="Times New Roman" w:hAnsi="Times New Roman" w:cs="Times New Roman"/>
          <w:sz w:val="24"/>
          <w:szCs w:val="24"/>
          <w:lang w:val="uk-UA"/>
        </w:rPr>
        <w:t>омпетентний орган</w:t>
      </w:r>
      <w:r w:rsidR="005613AB" w:rsidRPr="00BE1959">
        <w:rPr>
          <w:rFonts w:ascii="Times New Roman" w:eastAsia="Times New Roman" w:hAnsi="Times New Roman" w:cs="Times New Roman"/>
          <w:sz w:val="24"/>
          <w:szCs w:val="24"/>
          <w:lang w:val="uk-UA"/>
        </w:rPr>
        <w:t xml:space="preserve"> </w:t>
      </w:r>
      <w:r w:rsidR="00066C23" w:rsidRPr="00BE1959">
        <w:rPr>
          <w:rFonts w:ascii="Times New Roman" w:eastAsia="Times New Roman" w:hAnsi="Times New Roman" w:cs="Times New Roman"/>
          <w:sz w:val="24"/>
          <w:szCs w:val="24"/>
          <w:lang w:val="uk-UA"/>
        </w:rPr>
        <w:t>приймаючої держави-члена</w:t>
      </w:r>
      <w:r w:rsidRPr="00BE1959">
        <w:rPr>
          <w:rFonts w:ascii="Times New Roman" w:eastAsia="Times New Roman" w:hAnsi="Times New Roman" w:cs="Times New Roman"/>
          <w:sz w:val="24"/>
          <w:szCs w:val="24"/>
          <w:lang w:val="uk-UA"/>
        </w:rPr>
        <w:t xml:space="preserve">, повідомивши компетентний орган держави-члена походження, вживає всіх належних заходів, необхідних для захисту інвесторів і належного функціонування ринків, які включають можливість заборони </w:t>
      </w:r>
      <w:r w:rsidR="005152DE" w:rsidRPr="00BE1959">
        <w:rPr>
          <w:rFonts w:ascii="Times New Roman" w:eastAsia="Times New Roman" w:hAnsi="Times New Roman" w:cs="Times New Roman"/>
          <w:sz w:val="24"/>
          <w:szCs w:val="24"/>
          <w:lang w:val="uk-UA"/>
        </w:rPr>
        <w:lastRenderedPageBreak/>
        <w:t>надання</w:t>
      </w:r>
      <w:r w:rsidRPr="00BE1959">
        <w:rPr>
          <w:rFonts w:ascii="Times New Roman" w:eastAsia="Times New Roman" w:hAnsi="Times New Roman" w:cs="Times New Roman"/>
          <w:sz w:val="24"/>
          <w:szCs w:val="24"/>
          <w:lang w:val="uk-UA"/>
        </w:rPr>
        <w:t xml:space="preserve"> </w:t>
      </w:r>
      <w:r w:rsidR="00A9689E" w:rsidRPr="00BE1959">
        <w:rPr>
          <w:rFonts w:ascii="Times New Roman" w:eastAsia="Times New Roman" w:hAnsi="Times New Roman" w:cs="Times New Roman"/>
          <w:sz w:val="24"/>
          <w:szCs w:val="24"/>
          <w:lang w:val="uk-UA"/>
        </w:rPr>
        <w:t xml:space="preserve">регульованим ринком, БТМ або ОТМ </w:t>
      </w:r>
      <w:r w:rsidR="005152DE" w:rsidRPr="00BE1959">
        <w:rPr>
          <w:rFonts w:ascii="Times New Roman" w:eastAsia="Times New Roman" w:hAnsi="Times New Roman" w:cs="Times New Roman"/>
          <w:sz w:val="24"/>
          <w:szCs w:val="24"/>
          <w:lang w:val="uk-UA"/>
        </w:rPr>
        <w:t xml:space="preserve">своїх засобів віддаленим членам або учасникам, створеним у приймаючій державі-члені. </w:t>
      </w:r>
      <w:r w:rsidRPr="00BE1959">
        <w:rPr>
          <w:rFonts w:ascii="Times New Roman" w:eastAsia="Times New Roman" w:hAnsi="Times New Roman" w:cs="Times New Roman"/>
          <w:sz w:val="24"/>
          <w:szCs w:val="24"/>
          <w:lang w:val="uk-UA"/>
        </w:rPr>
        <w:t>Комісія та ESMA інформуються про такі заходи без неналежної затримки;</w:t>
      </w:r>
    </w:p>
    <w:p w:rsidR="005152DE" w:rsidRPr="00BE1959" w:rsidRDefault="005152DE"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Крім того, компетентний орган приймаючої держави-члена може передати дане питання на розгляд ESMA, яка може діяти відповідно до повноважень, покладених на неї згідно зі статтею 19 Регламенту (EU) № 1095/2010.</w:t>
      </w:r>
    </w:p>
    <w:p w:rsidR="005613AB" w:rsidRPr="00BE1959" w:rsidRDefault="005613AB" w:rsidP="00A4166D">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4.   </w:t>
      </w:r>
      <w:r w:rsidR="00A4166D" w:rsidRPr="00BE1959">
        <w:rPr>
          <w:rFonts w:ascii="Times New Roman" w:eastAsia="Times New Roman" w:hAnsi="Times New Roman" w:cs="Times New Roman"/>
          <w:sz w:val="24"/>
          <w:szCs w:val="24"/>
          <w:lang w:val="uk-UA"/>
        </w:rPr>
        <w:t>Будь-який захід, ужитий на виконання пунктів 1, 2 або 3, що передбачає застосування санкцій або обмежень до діяльності інвестиційної фірми або регульованого ринку, належним чином обґрунтовується і доводиться до відома цієї інвестиційної фірми або цього регульованого ринку.</w:t>
      </w:r>
    </w:p>
    <w:p w:rsidR="005613AB" w:rsidRPr="00BE1959" w:rsidRDefault="00162A11" w:rsidP="005613AB">
      <w:pPr>
        <w:spacing w:before="360" w:after="120" w:line="312" w:lineRule="atLeast"/>
        <w:jc w:val="center"/>
        <w:textAlignment w:val="baseline"/>
        <w:rPr>
          <w:rFonts w:ascii="Times New Roman" w:eastAsia="Times New Roman" w:hAnsi="Times New Roman" w:cs="Times New Roman"/>
          <w:i/>
          <w:iCs/>
          <w:sz w:val="24"/>
          <w:szCs w:val="24"/>
          <w:lang w:val="uk-UA"/>
        </w:rPr>
      </w:pPr>
      <w:r w:rsidRPr="00BE1959">
        <w:rPr>
          <w:rFonts w:ascii="Times New Roman" w:eastAsia="Times New Roman" w:hAnsi="Times New Roman" w:cs="Times New Roman"/>
          <w:i/>
          <w:iCs/>
          <w:sz w:val="24"/>
          <w:szCs w:val="24"/>
          <w:lang w:val="uk-UA"/>
        </w:rPr>
        <w:t>Стаття</w:t>
      </w:r>
      <w:r w:rsidR="005613AB" w:rsidRPr="00BE1959">
        <w:rPr>
          <w:rFonts w:ascii="Times New Roman" w:eastAsia="Times New Roman" w:hAnsi="Times New Roman" w:cs="Times New Roman"/>
          <w:i/>
          <w:iCs/>
          <w:sz w:val="24"/>
          <w:szCs w:val="24"/>
          <w:lang w:val="uk-UA"/>
        </w:rPr>
        <w:t xml:space="preserve"> 87</w:t>
      </w:r>
    </w:p>
    <w:p w:rsidR="005613AB" w:rsidRPr="00BE1959" w:rsidRDefault="002B4735" w:rsidP="005613AB">
      <w:pPr>
        <w:spacing w:before="60" w:after="120" w:line="312" w:lineRule="atLeast"/>
        <w:jc w:val="center"/>
        <w:textAlignment w:val="baseline"/>
        <w:rPr>
          <w:rFonts w:ascii="Times New Roman" w:eastAsia="Times New Roman" w:hAnsi="Times New Roman" w:cs="Times New Roman"/>
          <w:b/>
          <w:bCs/>
          <w:sz w:val="24"/>
          <w:szCs w:val="24"/>
          <w:lang w:val="uk-UA"/>
        </w:rPr>
      </w:pPr>
      <w:r w:rsidRPr="00BE1959">
        <w:rPr>
          <w:rFonts w:ascii="Times New Roman" w:eastAsia="Times New Roman" w:hAnsi="Times New Roman" w:cs="Times New Roman"/>
          <w:b/>
          <w:bCs/>
          <w:sz w:val="24"/>
          <w:szCs w:val="24"/>
          <w:lang w:val="uk-UA"/>
        </w:rPr>
        <w:t>Співробітництво і обмін інформацією з</w:t>
      </w:r>
      <w:r w:rsidR="005613AB" w:rsidRPr="00BE1959">
        <w:rPr>
          <w:rFonts w:ascii="Times New Roman" w:eastAsia="Times New Roman" w:hAnsi="Times New Roman" w:cs="Times New Roman"/>
          <w:b/>
          <w:bCs/>
          <w:sz w:val="24"/>
          <w:szCs w:val="24"/>
          <w:lang w:val="uk-UA"/>
        </w:rPr>
        <w:t xml:space="preserve"> ESMA</w:t>
      </w:r>
    </w:p>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1.   </w:t>
      </w:r>
      <w:r w:rsidR="007E2686" w:rsidRPr="00BE1959">
        <w:rPr>
          <w:rFonts w:ascii="Times New Roman" w:eastAsia="Times New Roman" w:hAnsi="Times New Roman" w:cs="Times New Roman"/>
          <w:sz w:val="24"/>
          <w:szCs w:val="24"/>
          <w:lang w:val="uk-UA"/>
        </w:rPr>
        <w:t>Компетентні органи</w:t>
      </w:r>
      <w:r w:rsidRPr="00BE1959">
        <w:rPr>
          <w:rFonts w:ascii="Times New Roman" w:eastAsia="Times New Roman" w:hAnsi="Times New Roman" w:cs="Times New Roman"/>
          <w:sz w:val="24"/>
          <w:szCs w:val="24"/>
          <w:lang w:val="uk-UA"/>
        </w:rPr>
        <w:t xml:space="preserve"> </w:t>
      </w:r>
      <w:r w:rsidR="00A4166D" w:rsidRPr="00BE1959">
        <w:rPr>
          <w:rFonts w:ascii="Times New Roman" w:eastAsia="Times New Roman" w:hAnsi="Times New Roman" w:cs="Times New Roman"/>
          <w:sz w:val="24"/>
          <w:szCs w:val="24"/>
          <w:lang w:val="uk-UA"/>
        </w:rPr>
        <w:t>співпрацюють з</w:t>
      </w:r>
      <w:r w:rsidRPr="00BE1959">
        <w:rPr>
          <w:rFonts w:ascii="Times New Roman" w:eastAsia="Times New Roman" w:hAnsi="Times New Roman" w:cs="Times New Roman"/>
          <w:sz w:val="24"/>
          <w:szCs w:val="24"/>
          <w:lang w:val="uk-UA"/>
        </w:rPr>
        <w:t xml:space="preserve"> ESMA </w:t>
      </w:r>
      <w:r w:rsidR="00A4166D" w:rsidRPr="00BE1959">
        <w:rPr>
          <w:rFonts w:ascii="Times New Roman" w:eastAsia="Times New Roman" w:hAnsi="Times New Roman" w:cs="Times New Roman"/>
          <w:sz w:val="24"/>
          <w:szCs w:val="24"/>
          <w:lang w:val="uk-UA"/>
        </w:rPr>
        <w:t>у цілях</w:t>
      </w:r>
      <w:r w:rsidRPr="00BE1959">
        <w:rPr>
          <w:rFonts w:ascii="Times New Roman" w:eastAsia="Times New Roman" w:hAnsi="Times New Roman" w:cs="Times New Roman"/>
          <w:sz w:val="24"/>
          <w:szCs w:val="24"/>
          <w:lang w:val="uk-UA"/>
        </w:rPr>
        <w:t xml:space="preserve"> </w:t>
      </w:r>
      <w:r w:rsidR="00432567" w:rsidRPr="00BE1959">
        <w:rPr>
          <w:rFonts w:ascii="Times New Roman" w:eastAsia="Times New Roman" w:hAnsi="Times New Roman" w:cs="Times New Roman"/>
          <w:sz w:val="24"/>
          <w:szCs w:val="24"/>
          <w:lang w:val="uk-UA"/>
        </w:rPr>
        <w:t>цієї директиви</w:t>
      </w:r>
      <w:r w:rsidR="00A4166D" w:rsidRPr="00BE1959">
        <w:rPr>
          <w:rFonts w:ascii="Times New Roman" w:eastAsia="Times New Roman" w:hAnsi="Times New Roman" w:cs="Times New Roman"/>
          <w:sz w:val="24"/>
          <w:szCs w:val="24"/>
          <w:lang w:val="uk-UA"/>
        </w:rPr>
        <w:t xml:space="preserve"> відповідно до Регламенту</w:t>
      </w:r>
      <w:r w:rsidRPr="00BE1959">
        <w:rPr>
          <w:rFonts w:ascii="Times New Roman" w:eastAsia="Times New Roman" w:hAnsi="Times New Roman" w:cs="Times New Roman"/>
          <w:sz w:val="24"/>
          <w:szCs w:val="24"/>
          <w:lang w:val="uk-UA"/>
        </w:rPr>
        <w:t xml:space="preserve"> </w:t>
      </w:r>
      <w:r w:rsidR="00DB4825" w:rsidRPr="00BE1959">
        <w:rPr>
          <w:rFonts w:ascii="Times New Roman" w:eastAsia="Times New Roman" w:hAnsi="Times New Roman" w:cs="Times New Roman"/>
          <w:sz w:val="24"/>
          <w:szCs w:val="24"/>
          <w:lang w:val="uk-UA"/>
        </w:rPr>
        <w:t>(EU) №</w:t>
      </w:r>
      <w:r w:rsidRPr="00BE1959">
        <w:rPr>
          <w:rFonts w:ascii="Times New Roman" w:eastAsia="Times New Roman" w:hAnsi="Times New Roman" w:cs="Times New Roman"/>
          <w:sz w:val="24"/>
          <w:szCs w:val="24"/>
          <w:lang w:val="uk-UA"/>
        </w:rPr>
        <w:t> 1095/2010.</w:t>
      </w:r>
    </w:p>
    <w:p w:rsidR="005613AB" w:rsidRPr="00BE1959" w:rsidRDefault="005613AB" w:rsidP="00A4166D">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2.   </w:t>
      </w:r>
      <w:r w:rsidR="007E2686" w:rsidRPr="00BE1959">
        <w:rPr>
          <w:rFonts w:ascii="Times New Roman" w:eastAsia="Times New Roman" w:hAnsi="Times New Roman" w:cs="Times New Roman"/>
          <w:sz w:val="24"/>
          <w:szCs w:val="24"/>
          <w:lang w:val="uk-UA"/>
        </w:rPr>
        <w:t>Компетентні органи</w:t>
      </w:r>
      <w:r w:rsidR="00A4166D" w:rsidRPr="00BE1959">
        <w:rPr>
          <w:rFonts w:ascii="Times New Roman" w:eastAsia="Times New Roman" w:hAnsi="Times New Roman" w:cs="Times New Roman"/>
          <w:sz w:val="24"/>
          <w:szCs w:val="24"/>
          <w:lang w:val="uk-UA"/>
        </w:rPr>
        <w:t xml:space="preserve"> без неналежної затримки надають ESMA всю інформацію, необхідну їй для виконання її обов’язків за цією директивою та за Регламентом</w:t>
      </w:r>
      <w:r w:rsidRPr="00BE1959">
        <w:rPr>
          <w:rFonts w:ascii="Times New Roman" w:eastAsia="Times New Roman" w:hAnsi="Times New Roman" w:cs="Times New Roman"/>
          <w:sz w:val="24"/>
          <w:szCs w:val="24"/>
          <w:lang w:val="uk-UA"/>
        </w:rPr>
        <w:t xml:space="preserve"> </w:t>
      </w:r>
      <w:r w:rsidR="007B0149" w:rsidRPr="00BE1959">
        <w:rPr>
          <w:rFonts w:ascii="Times New Roman" w:eastAsia="Times New Roman" w:hAnsi="Times New Roman" w:cs="Times New Roman"/>
          <w:sz w:val="24"/>
          <w:szCs w:val="24"/>
          <w:lang w:val="uk-UA"/>
        </w:rPr>
        <w:t>(EU) № 600/2014</w:t>
      </w:r>
      <w:r w:rsidRPr="00BE1959">
        <w:rPr>
          <w:rFonts w:ascii="Times New Roman" w:eastAsia="Times New Roman" w:hAnsi="Times New Roman" w:cs="Times New Roman"/>
          <w:sz w:val="24"/>
          <w:szCs w:val="24"/>
          <w:lang w:val="uk-UA"/>
        </w:rPr>
        <w:t xml:space="preserve"> </w:t>
      </w:r>
      <w:r w:rsidR="00A4166D" w:rsidRPr="00BE1959">
        <w:rPr>
          <w:rFonts w:ascii="Times New Roman" w:eastAsia="Times New Roman" w:hAnsi="Times New Roman" w:cs="Times New Roman"/>
          <w:sz w:val="24"/>
          <w:szCs w:val="24"/>
          <w:lang w:val="uk-UA"/>
        </w:rPr>
        <w:t xml:space="preserve">і відповідно до статей 35 і 36 </w:t>
      </w:r>
      <w:r w:rsidR="008824AE" w:rsidRPr="00BE1959">
        <w:rPr>
          <w:rFonts w:ascii="Times New Roman" w:eastAsia="Times New Roman" w:hAnsi="Times New Roman" w:cs="Times New Roman"/>
          <w:sz w:val="24"/>
          <w:szCs w:val="24"/>
          <w:lang w:val="uk-UA"/>
        </w:rPr>
        <w:t>Регламенту</w:t>
      </w:r>
      <w:r w:rsidRPr="00BE1959">
        <w:rPr>
          <w:rFonts w:ascii="Times New Roman" w:eastAsia="Times New Roman" w:hAnsi="Times New Roman" w:cs="Times New Roman"/>
          <w:sz w:val="24"/>
          <w:szCs w:val="24"/>
          <w:lang w:val="uk-UA"/>
        </w:rPr>
        <w:t xml:space="preserve"> </w:t>
      </w:r>
      <w:r w:rsidR="00DB4825" w:rsidRPr="00BE1959">
        <w:rPr>
          <w:rFonts w:ascii="Times New Roman" w:eastAsia="Times New Roman" w:hAnsi="Times New Roman" w:cs="Times New Roman"/>
          <w:sz w:val="24"/>
          <w:szCs w:val="24"/>
          <w:lang w:val="uk-UA"/>
        </w:rPr>
        <w:t>(EU) №</w:t>
      </w:r>
      <w:r w:rsidRPr="00BE1959">
        <w:rPr>
          <w:rFonts w:ascii="Times New Roman" w:eastAsia="Times New Roman" w:hAnsi="Times New Roman" w:cs="Times New Roman"/>
          <w:sz w:val="24"/>
          <w:szCs w:val="24"/>
          <w:lang w:val="uk-UA"/>
        </w:rPr>
        <w:t> 1095/2010.</w:t>
      </w:r>
    </w:p>
    <w:p w:rsidR="002B4735" w:rsidRPr="00BE1959" w:rsidRDefault="002B4735" w:rsidP="005613AB">
      <w:pPr>
        <w:spacing w:after="0" w:line="312" w:lineRule="atLeast"/>
        <w:jc w:val="center"/>
        <w:textAlignment w:val="baseline"/>
        <w:rPr>
          <w:rFonts w:ascii="Times New Roman" w:eastAsia="Times New Roman" w:hAnsi="Times New Roman" w:cs="Times New Roman"/>
          <w:b/>
          <w:bCs/>
          <w:i/>
          <w:iCs/>
          <w:sz w:val="24"/>
          <w:szCs w:val="24"/>
          <w:bdr w:val="none" w:sz="0" w:space="0" w:color="auto" w:frame="1"/>
          <w:lang w:val="uk-UA"/>
        </w:rPr>
      </w:pPr>
    </w:p>
    <w:p w:rsidR="005613AB" w:rsidRPr="00BE1959" w:rsidRDefault="002B4735" w:rsidP="005613AB">
      <w:pPr>
        <w:spacing w:after="0" w:line="312" w:lineRule="atLeast"/>
        <w:jc w:val="center"/>
        <w:textAlignment w:val="baseline"/>
        <w:rPr>
          <w:rFonts w:ascii="Times New Roman" w:eastAsia="Times New Roman" w:hAnsi="Times New Roman" w:cs="Times New Roman"/>
          <w:b/>
          <w:bCs/>
          <w:sz w:val="24"/>
          <w:szCs w:val="24"/>
          <w:lang w:val="uk-UA"/>
        </w:rPr>
      </w:pPr>
      <w:r w:rsidRPr="00BE1959">
        <w:rPr>
          <w:rFonts w:ascii="Times New Roman" w:eastAsia="Times New Roman" w:hAnsi="Times New Roman" w:cs="Times New Roman"/>
          <w:b/>
          <w:bCs/>
          <w:i/>
          <w:iCs/>
          <w:sz w:val="24"/>
          <w:szCs w:val="24"/>
          <w:bdr w:val="none" w:sz="0" w:space="0" w:color="auto" w:frame="1"/>
          <w:lang w:val="uk-UA"/>
        </w:rPr>
        <w:t>ГЛАВА</w:t>
      </w:r>
      <w:r w:rsidR="005613AB" w:rsidRPr="00BE1959">
        <w:rPr>
          <w:rFonts w:ascii="Times New Roman" w:eastAsia="Times New Roman" w:hAnsi="Times New Roman" w:cs="Times New Roman"/>
          <w:b/>
          <w:bCs/>
          <w:i/>
          <w:iCs/>
          <w:sz w:val="24"/>
          <w:szCs w:val="24"/>
          <w:bdr w:val="none" w:sz="0" w:space="0" w:color="auto" w:frame="1"/>
          <w:lang w:val="uk-UA"/>
        </w:rPr>
        <w:t xml:space="preserve"> III</w:t>
      </w:r>
    </w:p>
    <w:p w:rsidR="005613AB" w:rsidRPr="00BE1959" w:rsidRDefault="002B4735" w:rsidP="005613AB">
      <w:pPr>
        <w:spacing w:after="0" w:line="312" w:lineRule="atLeast"/>
        <w:jc w:val="center"/>
        <w:textAlignment w:val="baseline"/>
        <w:rPr>
          <w:rFonts w:ascii="Times New Roman" w:eastAsia="Times New Roman" w:hAnsi="Times New Roman" w:cs="Times New Roman"/>
          <w:b/>
          <w:bCs/>
          <w:sz w:val="24"/>
          <w:szCs w:val="24"/>
          <w:lang w:val="uk-UA"/>
        </w:rPr>
      </w:pPr>
      <w:r w:rsidRPr="00BE1959">
        <w:rPr>
          <w:rFonts w:ascii="Times New Roman" w:eastAsia="Times New Roman" w:hAnsi="Times New Roman" w:cs="Times New Roman"/>
          <w:b/>
          <w:bCs/>
          <w:i/>
          <w:iCs/>
          <w:sz w:val="24"/>
          <w:szCs w:val="24"/>
          <w:bdr w:val="none" w:sz="0" w:space="0" w:color="auto" w:frame="1"/>
          <w:lang w:val="uk-UA"/>
        </w:rPr>
        <w:t>Співробітництво з третіми країнами</w:t>
      </w:r>
    </w:p>
    <w:p w:rsidR="005613AB" w:rsidRPr="00BE1959" w:rsidRDefault="00162A11" w:rsidP="005613AB">
      <w:pPr>
        <w:spacing w:before="360" w:after="120" w:line="312" w:lineRule="atLeast"/>
        <w:jc w:val="center"/>
        <w:textAlignment w:val="baseline"/>
        <w:rPr>
          <w:rFonts w:ascii="Times New Roman" w:eastAsia="Times New Roman" w:hAnsi="Times New Roman" w:cs="Times New Roman"/>
          <w:i/>
          <w:iCs/>
          <w:sz w:val="24"/>
          <w:szCs w:val="24"/>
          <w:lang w:val="uk-UA"/>
        </w:rPr>
      </w:pPr>
      <w:r w:rsidRPr="00BE1959">
        <w:rPr>
          <w:rFonts w:ascii="Times New Roman" w:eastAsia="Times New Roman" w:hAnsi="Times New Roman" w:cs="Times New Roman"/>
          <w:i/>
          <w:iCs/>
          <w:sz w:val="24"/>
          <w:szCs w:val="24"/>
          <w:lang w:val="uk-UA"/>
        </w:rPr>
        <w:t>Стаття</w:t>
      </w:r>
      <w:r w:rsidR="005613AB" w:rsidRPr="00BE1959">
        <w:rPr>
          <w:rFonts w:ascii="Times New Roman" w:eastAsia="Times New Roman" w:hAnsi="Times New Roman" w:cs="Times New Roman"/>
          <w:i/>
          <w:iCs/>
          <w:sz w:val="24"/>
          <w:szCs w:val="24"/>
          <w:lang w:val="uk-UA"/>
        </w:rPr>
        <w:t xml:space="preserve"> 88</w:t>
      </w:r>
    </w:p>
    <w:p w:rsidR="005613AB" w:rsidRPr="00BE1959" w:rsidRDefault="00071A73" w:rsidP="005613AB">
      <w:pPr>
        <w:spacing w:before="60" w:after="120" w:line="312" w:lineRule="atLeast"/>
        <w:jc w:val="center"/>
        <w:textAlignment w:val="baseline"/>
        <w:rPr>
          <w:rFonts w:ascii="Times New Roman" w:eastAsia="Times New Roman" w:hAnsi="Times New Roman" w:cs="Times New Roman"/>
          <w:b/>
          <w:bCs/>
          <w:sz w:val="24"/>
          <w:szCs w:val="24"/>
          <w:lang w:val="uk-UA"/>
        </w:rPr>
      </w:pPr>
      <w:r w:rsidRPr="00BE1959">
        <w:rPr>
          <w:rFonts w:ascii="Times New Roman" w:eastAsia="Times New Roman" w:hAnsi="Times New Roman" w:cs="Times New Roman"/>
          <w:b/>
          <w:bCs/>
          <w:sz w:val="24"/>
          <w:szCs w:val="24"/>
          <w:lang w:val="uk-UA"/>
        </w:rPr>
        <w:t>Обмін інформацією з третіми країнами</w:t>
      </w:r>
    </w:p>
    <w:p w:rsidR="005613AB" w:rsidRPr="00BE1959" w:rsidRDefault="005613AB" w:rsidP="00AA7A57">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1.   </w:t>
      </w:r>
      <w:r w:rsidR="00E00F68" w:rsidRPr="00BE1959">
        <w:rPr>
          <w:rFonts w:ascii="Times New Roman" w:eastAsia="Times New Roman" w:hAnsi="Times New Roman" w:cs="Times New Roman"/>
          <w:sz w:val="24"/>
          <w:szCs w:val="24"/>
          <w:lang w:val="uk-UA"/>
        </w:rPr>
        <w:t>Держави-члени</w:t>
      </w:r>
      <w:r w:rsidRPr="00BE1959">
        <w:rPr>
          <w:rFonts w:ascii="Times New Roman" w:eastAsia="Times New Roman" w:hAnsi="Times New Roman" w:cs="Times New Roman"/>
          <w:sz w:val="24"/>
          <w:szCs w:val="24"/>
          <w:lang w:val="uk-UA"/>
        </w:rPr>
        <w:t xml:space="preserve"> </w:t>
      </w:r>
      <w:r w:rsidR="00053713" w:rsidRPr="00BE1959">
        <w:rPr>
          <w:rFonts w:ascii="Times New Roman" w:eastAsia="Times New Roman" w:hAnsi="Times New Roman" w:cs="Times New Roman"/>
          <w:sz w:val="24"/>
          <w:szCs w:val="24"/>
          <w:lang w:val="uk-UA"/>
        </w:rPr>
        <w:t>та, відповідно до статті</w:t>
      </w:r>
      <w:r w:rsidRPr="00BE1959">
        <w:rPr>
          <w:rFonts w:ascii="Times New Roman" w:eastAsia="Times New Roman" w:hAnsi="Times New Roman" w:cs="Times New Roman"/>
          <w:sz w:val="24"/>
          <w:szCs w:val="24"/>
          <w:lang w:val="uk-UA"/>
        </w:rPr>
        <w:t xml:space="preserve"> 33 </w:t>
      </w:r>
      <w:r w:rsidR="008824AE" w:rsidRPr="00BE1959">
        <w:rPr>
          <w:rFonts w:ascii="Times New Roman" w:eastAsia="Times New Roman" w:hAnsi="Times New Roman" w:cs="Times New Roman"/>
          <w:sz w:val="24"/>
          <w:szCs w:val="24"/>
          <w:lang w:val="uk-UA"/>
        </w:rPr>
        <w:t>Регламенту</w:t>
      </w:r>
      <w:r w:rsidRPr="00BE1959">
        <w:rPr>
          <w:rFonts w:ascii="Times New Roman" w:eastAsia="Times New Roman" w:hAnsi="Times New Roman" w:cs="Times New Roman"/>
          <w:sz w:val="24"/>
          <w:szCs w:val="24"/>
          <w:lang w:val="uk-UA"/>
        </w:rPr>
        <w:t xml:space="preserve"> </w:t>
      </w:r>
      <w:r w:rsidR="00DB4825" w:rsidRPr="00BE1959">
        <w:rPr>
          <w:rFonts w:ascii="Times New Roman" w:eastAsia="Times New Roman" w:hAnsi="Times New Roman" w:cs="Times New Roman"/>
          <w:sz w:val="24"/>
          <w:szCs w:val="24"/>
          <w:lang w:val="uk-UA"/>
        </w:rPr>
        <w:t>(EU) №</w:t>
      </w:r>
      <w:r w:rsidR="00053713" w:rsidRPr="00BE1959">
        <w:rPr>
          <w:rFonts w:ascii="Times New Roman" w:eastAsia="Times New Roman" w:hAnsi="Times New Roman" w:cs="Times New Roman"/>
          <w:sz w:val="24"/>
          <w:szCs w:val="24"/>
          <w:lang w:val="uk-UA"/>
        </w:rPr>
        <w:t xml:space="preserve"> 1095/2010, ESMA можуть укладати угоди про співробітництво, які передбачають обмін інформацією з компетентними органами третіх країн, </w:t>
      </w:r>
      <w:r w:rsidR="00D20AEA" w:rsidRPr="00BE1959">
        <w:rPr>
          <w:rFonts w:ascii="Times New Roman" w:eastAsia="Times New Roman" w:hAnsi="Times New Roman" w:cs="Times New Roman"/>
          <w:sz w:val="24"/>
          <w:szCs w:val="24"/>
          <w:lang w:val="uk-UA"/>
        </w:rPr>
        <w:t>тільки якщо інформація, що розголошується, підпадає під дію гарантій збереження професійної таємниці, які принаймні еквівалентні гарантіям, необхідним згідно зі статтею 76. Такий обмін інформацією повинен бути призначений для виконання задач вищезгаданих компетентних органів.</w:t>
      </w:r>
    </w:p>
    <w:p w:rsidR="005613AB" w:rsidRPr="00BE1959" w:rsidRDefault="00D20AEA" w:rsidP="00AA7A57">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Передача персональних даних державою-членом третій країні здійснюється відповідно з главою IV Директиви 95/46/EC.</w:t>
      </w:r>
    </w:p>
    <w:p w:rsidR="005613AB" w:rsidRPr="00BE1959" w:rsidRDefault="00AA7A57" w:rsidP="005901CA">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Передача персональних даних ESMA третій країні</w:t>
      </w:r>
      <w:r w:rsidR="005901CA" w:rsidRPr="00BE1959">
        <w:rPr>
          <w:rFonts w:ascii="Times New Roman" w:eastAsia="Times New Roman" w:hAnsi="Times New Roman" w:cs="Times New Roman"/>
          <w:sz w:val="24"/>
          <w:szCs w:val="24"/>
          <w:lang w:val="uk-UA"/>
        </w:rPr>
        <w:t xml:space="preserve"> здійснюється відповідно до статті 9 </w:t>
      </w:r>
      <w:r w:rsidR="008824AE" w:rsidRPr="00BE1959">
        <w:rPr>
          <w:rFonts w:ascii="Times New Roman" w:eastAsia="Times New Roman" w:hAnsi="Times New Roman" w:cs="Times New Roman"/>
          <w:sz w:val="24"/>
          <w:szCs w:val="24"/>
          <w:lang w:val="uk-UA"/>
        </w:rPr>
        <w:t>Регламенту</w:t>
      </w:r>
      <w:r w:rsidR="005613AB" w:rsidRPr="00BE1959">
        <w:rPr>
          <w:rFonts w:ascii="Times New Roman" w:eastAsia="Times New Roman" w:hAnsi="Times New Roman" w:cs="Times New Roman"/>
          <w:sz w:val="24"/>
          <w:szCs w:val="24"/>
          <w:lang w:val="uk-UA"/>
        </w:rPr>
        <w:t xml:space="preserve"> </w:t>
      </w:r>
      <w:r w:rsidR="00DB4825" w:rsidRPr="00BE1959">
        <w:rPr>
          <w:rFonts w:ascii="Times New Roman" w:eastAsia="Times New Roman" w:hAnsi="Times New Roman" w:cs="Times New Roman"/>
          <w:sz w:val="24"/>
          <w:szCs w:val="24"/>
          <w:lang w:val="uk-UA"/>
        </w:rPr>
        <w:t>(EU) №</w:t>
      </w:r>
      <w:r w:rsidR="005613AB" w:rsidRPr="00BE1959">
        <w:rPr>
          <w:rFonts w:ascii="Times New Roman" w:eastAsia="Times New Roman" w:hAnsi="Times New Roman" w:cs="Times New Roman"/>
          <w:sz w:val="24"/>
          <w:szCs w:val="24"/>
          <w:lang w:val="uk-UA"/>
        </w:rPr>
        <w:t> 45/2001.</w:t>
      </w:r>
    </w:p>
    <w:p w:rsidR="005613AB" w:rsidRPr="00BE1959" w:rsidRDefault="00E00F68" w:rsidP="005901CA">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Держави-члени</w:t>
      </w:r>
      <w:r w:rsidR="005613AB" w:rsidRPr="00BE1959">
        <w:rPr>
          <w:rFonts w:ascii="Times New Roman" w:eastAsia="Times New Roman" w:hAnsi="Times New Roman" w:cs="Times New Roman"/>
          <w:sz w:val="24"/>
          <w:szCs w:val="24"/>
          <w:lang w:val="uk-UA"/>
        </w:rPr>
        <w:t xml:space="preserve"> </w:t>
      </w:r>
      <w:r w:rsidR="005901CA" w:rsidRPr="00BE1959">
        <w:rPr>
          <w:rFonts w:ascii="Times New Roman" w:eastAsia="Times New Roman" w:hAnsi="Times New Roman" w:cs="Times New Roman"/>
          <w:sz w:val="24"/>
          <w:szCs w:val="24"/>
          <w:lang w:val="uk-UA"/>
        </w:rPr>
        <w:t>та</w:t>
      </w:r>
      <w:r w:rsidR="005613AB" w:rsidRPr="00BE1959">
        <w:rPr>
          <w:rFonts w:ascii="Times New Roman" w:eastAsia="Times New Roman" w:hAnsi="Times New Roman" w:cs="Times New Roman"/>
          <w:sz w:val="24"/>
          <w:szCs w:val="24"/>
          <w:lang w:val="uk-UA"/>
        </w:rPr>
        <w:t xml:space="preserve"> ESMA </w:t>
      </w:r>
      <w:r w:rsidR="005901CA" w:rsidRPr="00BE1959">
        <w:rPr>
          <w:rFonts w:ascii="Times New Roman" w:eastAsia="Times New Roman" w:hAnsi="Times New Roman" w:cs="Times New Roman"/>
          <w:sz w:val="24"/>
          <w:szCs w:val="24"/>
          <w:lang w:val="uk-UA"/>
        </w:rPr>
        <w:t>можуть також укладати угоди про співробітництво, які передбачають обмін інформацією з органами влади, установами та фізичними або юридичними особами, відповідальними за одне чи декілька з нижченаведеного:</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9093"/>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lastRenderedPageBreak/>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EF39AB" w:rsidP="005B5910">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контроль</w:t>
            </w:r>
            <w:r w:rsidR="005901CA" w:rsidRPr="00BE1959">
              <w:rPr>
                <w:rFonts w:ascii="Times New Roman" w:eastAsia="Times New Roman" w:hAnsi="Times New Roman" w:cs="Times New Roman"/>
                <w:sz w:val="24"/>
                <w:szCs w:val="24"/>
                <w:lang w:val="uk-UA"/>
              </w:rPr>
              <w:t xml:space="preserve"> за діяльністю кредитних установ</w:t>
            </w:r>
            <w:r w:rsidR="005B5910" w:rsidRPr="00BE1959">
              <w:rPr>
                <w:rFonts w:ascii="Times New Roman" w:eastAsia="Times New Roman" w:hAnsi="Times New Roman" w:cs="Times New Roman"/>
                <w:sz w:val="24"/>
                <w:szCs w:val="24"/>
                <w:lang w:val="uk-UA"/>
              </w:rPr>
              <w:t>, інших фінансових установ, страхових компаній та нагляд за фінансовими ринками;</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39"/>
        <w:gridCol w:w="9026"/>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B5910" w:rsidP="005B5910">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ліквідація та банкрутство інвестиційних фірм та інші аналогічні процедури;</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9093"/>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B5910" w:rsidP="003723DE">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проведення передбаченого законом </w:t>
            </w:r>
            <w:r w:rsidR="003723DE" w:rsidRPr="00BE1959">
              <w:rPr>
                <w:rFonts w:ascii="Times New Roman" w:eastAsia="Times New Roman" w:hAnsi="Times New Roman" w:cs="Times New Roman"/>
                <w:sz w:val="24"/>
                <w:szCs w:val="24"/>
                <w:lang w:val="uk-UA"/>
              </w:rPr>
              <w:t>аудиту рахунків інвестиційних фірм та інших фінансових установ, кредитних установ і страхових компаній при виконанні ними наглядових функцій або установ, які управляють схемами компенсації, при виконанні ними їхніх функцій;</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3723DE" w:rsidP="003723DE">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нагляд за органами, залученими до ліквідації та банкрутства інвестиційних фірм та інших аналогічних процедур;</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9093"/>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(e)</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3723DE" w:rsidP="003723DE">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нагляд за особами, на яких покладено проведено передбаченого законом аудиту рахунків страхових компаній, кредитних установ, інвестиційних фірм та інших фінансових установ</w:t>
            </w:r>
            <w:r w:rsidR="005613AB" w:rsidRPr="00BE1959">
              <w:rPr>
                <w:rFonts w:ascii="Times New Roman" w:eastAsia="Times New Roman" w:hAnsi="Times New Roman" w:cs="Times New Roman"/>
                <w:sz w:val="24"/>
                <w:szCs w:val="24"/>
                <w:lang w:val="uk-UA"/>
              </w:rPr>
              <w:t>;</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912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(f)</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3723DE" w:rsidP="003723DE">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нагляд за особами, діючими на ринках квот на викиди, з метою забезпечення узагальненого огляду фінансових ринків і спот-ринків;</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DE3173"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(g)</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3723DE" w:rsidP="00251048">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нагляд за особами, діючими на ринках </w:t>
            </w:r>
            <w:r w:rsidR="00251048" w:rsidRPr="00BE1959">
              <w:rPr>
                <w:rFonts w:ascii="Times New Roman" w:eastAsia="Times New Roman" w:hAnsi="Times New Roman" w:cs="Times New Roman"/>
                <w:sz w:val="24"/>
                <w:szCs w:val="24"/>
                <w:lang w:val="uk-UA"/>
              </w:rPr>
              <w:t>сільськогосподарських товарних деривативів</w:t>
            </w:r>
            <w:r w:rsidRPr="00BE1959">
              <w:rPr>
                <w:rFonts w:ascii="Times New Roman" w:eastAsia="Times New Roman" w:hAnsi="Times New Roman" w:cs="Times New Roman"/>
                <w:sz w:val="24"/>
                <w:szCs w:val="24"/>
                <w:lang w:val="uk-UA"/>
              </w:rPr>
              <w:t>, з метою забезпечення узагальненого огляду фінансових ринків і спот-ринків</w:t>
            </w:r>
            <w:r w:rsidR="005613AB" w:rsidRPr="00BE1959">
              <w:rPr>
                <w:rFonts w:ascii="Times New Roman" w:eastAsia="Times New Roman" w:hAnsi="Times New Roman" w:cs="Times New Roman"/>
                <w:sz w:val="24"/>
                <w:szCs w:val="24"/>
                <w:lang w:val="uk-UA"/>
              </w:rPr>
              <w:t>.</w:t>
            </w:r>
          </w:p>
        </w:tc>
      </w:tr>
    </w:tbl>
    <w:p w:rsidR="005613AB" w:rsidRPr="00BE1959" w:rsidRDefault="00D20AEA" w:rsidP="002C6F4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Угоди про співробітництво, згадані у третьому абзаці цього пункту, можуть укладатися тільки за умови, що інформація, що розголошується, підпадає під дію гарантій збереження професійної таємниці, які принаймні еквівалентні гарантіям, необхідним згідно зі статтею 76. Такий обмін інформацією повинен бути призначений для виконання задач цих органів влади, установ, фізичних або юридичних осіб. </w:t>
      </w:r>
      <w:r w:rsidR="002C6F4B" w:rsidRPr="00BE1959">
        <w:rPr>
          <w:rFonts w:ascii="Times New Roman" w:eastAsia="Times New Roman" w:hAnsi="Times New Roman" w:cs="Times New Roman"/>
          <w:sz w:val="24"/>
          <w:szCs w:val="24"/>
          <w:lang w:val="uk-UA"/>
        </w:rPr>
        <w:t>Якщо угода про співробітництво передбачає передачу</w:t>
      </w:r>
      <w:r w:rsidRPr="00BE1959">
        <w:rPr>
          <w:rFonts w:ascii="Times New Roman" w:eastAsia="Times New Roman" w:hAnsi="Times New Roman" w:cs="Times New Roman"/>
          <w:sz w:val="24"/>
          <w:szCs w:val="24"/>
          <w:lang w:val="uk-UA"/>
        </w:rPr>
        <w:t xml:space="preserve"> персональних даних державою-членом</w:t>
      </w:r>
      <w:r w:rsidR="002C6F4B" w:rsidRPr="00BE1959">
        <w:rPr>
          <w:rFonts w:ascii="Times New Roman" w:eastAsia="Times New Roman" w:hAnsi="Times New Roman" w:cs="Times New Roman"/>
          <w:sz w:val="24"/>
          <w:szCs w:val="24"/>
          <w:lang w:val="uk-UA"/>
        </w:rPr>
        <w:t>, то вона дотримується вимог глави</w:t>
      </w:r>
      <w:r w:rsidR="005613AB" w:rsidRPr="00BE1959">
        <w:rPr>
          <w:rFonts w:ascii="Times New Roman" w:eastAsia="Times New Roman" w:hAnsi="Times New Roman" w:cs="Times New Roman"/>
          <w:sz w:val="24"/>
          <w:szCs w:val="24"/>
          <w:lang w:val="uk-UA"/>
        </w:rPr>
        <w:t xml:space="preserve"> IV </w:t>
      </w:r>
      <w:r w:rsidR="00016E03" w:rsidRPr="00BE1959">
        <w:rPr>
          <w:rFonts w:ascii="Times New Roman" w:eastAsia="Times New Roman" w:hAnsi="Times New Roman" w:cs="Times New Roman"/>
          <w:sz w:val="24"/>
          <w:szCs w:val="24"/>
          <w:lang w:val="uk-UA"/>
        </w:rPr>
        <w:t>Директиви</w:t>
      </w:r>
      <w:r w:rsidR="005613AB" w:rsidRPr="00BE1959">
        <w:rPr>
          <w:rFonts w:ascii="Times New Roman" w:eastAsia="Times New Roman" w:hAnsi="Times New Roman" w:cs="Times New Roman"/>
          <w:sz w:val="24"/>
          <w:szCs w:val="24"/>
          <w:lang w:val="uk-UA"/>
        </w:rPr>
        <w:t xml:space="preserve"> 95/46/EC </w:t>
      </w:r>
      <w:r w:rsidR="002C6F4B" w:rsidRPr="00BE1959">
        <w:rPr>
          <w:rFonts w:ascii="Times New Roman" w:eastAsia="Times New Roman" w:hAnsi="Times New Roman" w:cs="Times New Roman"/>
          <w:sz w:val="24"/>
          <w:szCs w:val="24"/>
          <w:lang w:val="uk-UA"/>
        </w:rPr>
        <w:t>та Регламенту</w:t>
      </w:r>
      <w:r w:rsidR="005613AB" w:rsidRPr="00BE1959">
        <w:rPr>
          <w:rFonts w:ascii="Times New Roman" w:eastAsia="Times New Roman" w:hAnsi="Times New Roman" w:cs="Times New Roman"/>
          <w:sz w:val="24"/>
          <w:szCs w:val="24"/>
          <w:lang w:val="uk-UA"/>
        </w:rPr>
        <w:t xml:space="preserve"> </w:t>
      </w:r>
      <w:r w:rsidR="000D3B79" w:rsidRPr="00BE1959">
        <w:rPr>
          <w:rFonts w:ascii="Times New Roman" w:eastAsia="Times New Roman" w:hAnsi="Times New Roman" w:cs="Times New Roman"/>
          <w:sz w:val="24"/>
          <w:szCs w:val="24"/>
          <w:lang w:val="uk-UA"/>
        </w:rPr>
        <w:t>(EC) №</w:t>
      </w:r>
      <w:r w:rsidR="005613AB" w:rsidRPr="00BE1959">
        <w:rPr>
          <w:rFonts w:ascii="Times New Roman" w:eastAsia="Times New Roman" w:hAnsi="Times New Roman" w:cs="Times New Roman"/>
          <w:sz w:val="24"/>
          <w:szCs w:val="24"/>
          <w:lang w:val="uk-UA"/>
        </w:rPr>
        <w:t> 45/2001</w:t>
      </w:r>
      <w:r w:rsidR="002C6F4B" w:rsidRPr="00BE1959">
        <w:rPr>
          <w:rFonts w:ascii="Times New Roman" w:eastAsia="Times New Roman" w:hAnsi="Times New Roman" w:cs="Times New Roman"/>
          <w:sz w:val="24"/>
          <w:szCs w:val="24"/>
          <w:lang w:val="uk-UA"/>
        </w:rPr>
        <w:t xml:space="preserve"> у випадку залучення ESMA до такої передачі.</w:t>
      </w:r>
    </w:p>
    <w:p w:rsidR="005613AB" w:rsidRPr="00BE1959" w:rsidRDefault="005613AB" w:rsidP="001F3FF9">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2.   </w:t>
      </w:r>
      <w:r w:rsidR="001F3FF9" w:rsidRPr="00BE1959">
        <w:rPr>
          <w:rFonts w:ascii="Times New Roman" w:eastAsia="Times New Roman" w:hAnsi="Times New Roman" w:cs="Times New Roman"/>
          <w:sz w:val="24"/>
          <w:szCs w:val="24"/>
          <w:lang w:val="uk-UA"/>
        </w:rPr>
        <w:t>Якщо інформація походить з іншої держави-члена, то вона не може розголошуватися без прямої згоди компетентних органів, які передали її, та, де доречно, виключно в тих цілях, для яких ці органи надали свою згоду. Таке саме положення поширюється на інформацію, надавану компетентними органами третьої країни.</w:t>
      </w:r>
    </w:p>
    <w:p w:rsidR="001F3FF9" w:rsidRPr="00BE1959" w:rsidRDefault="001F3FF9" w:rsidP="005613AB">
      <w:pPr>
        <w:spacing w:before="480" w:after="0" w:line="312" w:lineRule="atLeast"/>
        <w:jc w:val="center"/>
        <w:textAlignment w:val="baseline"/>
        <w:rPr>
          <w:rFonts w:ascii="Times New Roman" w:eastAsia="Times New Roman" w:hAnsi="Times New Roman" w:cs="Times New Roman"/>
          <w:b/>
          <w:bCs/>
          <w:sz w:val="24"/>
          <w:szCs w:val="24"/>
          <w:lang w:val="uk-UA"/>
        </w:rPr>
      </w:pPr>
    </w:p>
    <w:p w:rsidR="001F3FF9" w:rsidRPr="00BE1959" w:rsidRDefault="001F3FF9" w:rsidP="005613AB">
      <w:pPr>
        <w:spacing w:before="480" w:after="0" w:line="312" w:lineRule="atLeast"/>
        <w:jc w:val="center"/>
        <w:textAlignment w:val="baseline"/>
        <w:rPr>
          <w:rFonts w:ascii="Times New Roman" w:eastAsia="Times New Roman" w:hAnsi="Times New Roman" w:cs="Times New Roman"/>
          <w:b/>
          <w:bCs/>
          <w:sz w:val="24"/>
          <w:szCs w:val="24"/>
          <w:lang w:val="uk-UA"/>
        </w:rPr>
      </w:pPr>
    </w:p>
    <w:p w:rsidR="001F3FF9" w:rsidRPr="00BE1959" w:rsidRDefault="001F3FF9" w:rsidP="005613AB">
      <w:pPr>
        <w:spacing w:before="480" w:after="0" w:line="312" w:lineRule="atLeast"/>
        <w:jc w:val="center"/>
        <w:textAlignment w:val="baseline"/>
        <w:rPr>
          <w:rFonts w:ascii="Times New Roman" w:eastAsia="Times New Roman" w:hAnsi="Times New Roman" w:cs="Times New Roman"/>
          <w:b/>
          <w:bCs/>
          <w:sz w:val="24"/>
          <w:szCs w:val="24"/>
          <w:lang w:val="uk-UA"/>
        </w:rPr>
      </w:pPr>
    </w:p>
    <w:p w:rsidR="005613AB" w:rsidRPr="00BE1959" w:rsidRDefault="002B4735" w:rsidP="005613AB">
      <w:pPr>
        <w:spacing w:before="480" w:after="0" w:line="312" w:lineRule="atLeast"/>
        <w:jc w:val="center"/>
        <w:textAlignment w:val="baseline"/>
        <w:rPr>
          <w:rFonts w:ascii="Times New Roman" w:eastAsia="Times New Roman" w:hAnsi="Times New Roman" w:cs="Times New Roman"/>
          <w:b/>
          <w:bCs/>
          <w:sz w:val="24"/>
          <w:szCs w:val="24"/>
          <w:lang w:val="uk-UA"/>
        </w:rPr>
      </w:pPr>
      <w:r w:rsidRPr="00BE1959">
        <w:rPr>
          <w:rFonts w:ascii="Times New Roman" w:eastAsia="Times New Roman" w:hAnsi="Times New Roman" w:cs="Times New Roman"/>
          <w:b/>
          <w:bCs/>
          <w:sz w:val="24"/>
          <w:szCs w:val="24"/>
          <w:lang w:val="uk-UA"/>
        </w:rPr>
        <w:lastRenderedPageBreak/>
        <w:t>РОЗДІЛ</w:t>
      </w:r>
      <w:r w:rsidR="005613AB" w:rsidRPr="00BE1959">
        <w:rPr>
          <w:rFonts w:ascii="Times New Roman" w:eastAsia="Times New Roman" w:hAnsi="Times New Roman" w:cs="Times New Roman"/>
          <w:b/>
          <w:bCs/>
          <w:sz w:val="24"/>
          <w:szCs w:val="24"/>
          <w:lang w:val="uk-UA"/>
        </w:rPr>
        <w:t xml:space="preserve"> VII</w:t>
      </w:r>
    </w:p>
    <w:p w:rsidR="005613AB" w:rsidRPr="00BE1959" w:rsidRDefault="002B4735" w:rsidP="005613AB">
      <w:pPr>
        <w:spacing w:after="0" w:line="312" w:lineRule="atLeast"/>
        <w:jc w:val="center"/>
        <w:textAlignment w:val="baseline"/>
        <w:rPr>
          <w:rFonts w:ascii="Times New Roman" w:eastAsia="Times New Roman" w:hAnsi="Times New Roman" w:cs="Times New Roman"/>
          <w:b/>
          <w:bCs/>
          <w:sz w:val="24"/>
          <w:szCs w:val="24"/>
          <w:lang w:val="uk-UA"/>
        </w:rPr>
      </w:pPr>
      <w:r w:rsidRPr="00BE1959">
        <w:rPr>
          <w:rFonts w:ascii="Times New Roman" w:eastAsia="Times New Roman" w:hAnsi="Times New Roman" w:cs="Times New Roman"/>
          <w:b/>
          <w:bCs/>
          <w:sz w:val="24"/>
          <w:szCs w:val="24"/>
          <w:bdr w:val="none" w:sz="0" w:space="0" w:color="auto" w:frame="1"/>
          <w:lang w:val="uk-UA"/>
        </w:rPr>
        <w:t>ДЕЛЕГОВАНІ АКТИ</w:t>
      </w:r>
    </w:p>
    <w:p w:rsidR="005613AB" w:rsidRPr="00BE1959" w:rsidRDefault="00162A11" w:rsidP="005613AB">
      <w:pPr>
        <w:spacing w:before="360" w:after="120" w:line="312" w:lineRule="atLeast"/>
        <w:jc w:val="center"/>
        <w:textAlignment w:val="baseline"/>
        <w:rPr>
          <w:rFonts w:ascii="Times New Roman" w:eastAsia="Times New Roman" w:hAnsi="Times New Roman" w:cs="Times New Roman"/>
          <w:i/>
          <w:iCs/>
          <w:sz w:val="24"/>
          <w:szCs w:val="24"/>
          <w:lang w:val="uk-UA"/>
        </w:rPr>
      </w:pPr>
      <w:r w:rsidRPr="00BE1959">
        <w:rPr>
          <w:rFonts w:ascii="Times New Roman" w:eastAsia="Times New Roman" w:hAnsi="Times New Roman" w:cs="Times New Roman"/>
          <w:i/>
          <w:iCs/>
          <w:sz w:val="24"/>
          <w:szCs w:val="24"/>
          <w:lang w:val="uk-UA"/>
        </w:rPr>
        <w:t>Стаття</w:t>
      </w:r>
      <w:r w:rsidR="005613AB" w:rsidRPr="00BE1959">
        <w:rPr>
          <w:rFonts w:ascii="Times New Roman" w:eastAsia="Times New Roman" w:hAnsi="Times New Roman" w:cs="Times New Roman"/>
          <w:i/>
          <w:iCs/>
          <w:sz w:val="24"/>
          <w:szCs w:val="24"/>
          <w:lang w:val="uk-UA"/>
        </w:rPr>
        <w:t xml:space="preserve"> 89</w:t>
      </w:r>
    </w:p>
    <w:p w:rsidR="005613AB" w:rsidRPr="00BE1959" w:rsidRDefault="00071A73" w:rsidP="005613AB">
      <w:pPr>
        <w:spacing w:before="60" w:after="120" w:line="312" w:lineRule="atLeast"/>
        <w:jc w:val="center"/>
        <w:textAlignment w:val="baseline"/>
        <w:rPr>
          <w:rFonts w:ascii="Times New Roman" w:eastAsia="Times New Roman" w:hAnsi="Times New Roman" w:cs="Times New Roman"/>
          <w:b/>
          <w:bCs/>
          <w:sz w:val="24"/>
          <w:szCs w:val="24"/>
          <w:lang w:val="uk-UA"/>
        </w:rPr>
      </w:pPr>
      <w:r w:rsidRPr="00BE1959">
        <w:rPr>
          <w:rFonts w:ascii="Times New Roman" w:eastAsia="Times New Roman" w:hAnsi="Times New Roman" w:cs="Times New Roman"/>
          <w:b/>
          <w:bCs/>
          <w:sz w:val="24"/>
          <w:szCs w:val="24"/>
          <w:lang w:val="uk-UA"/>
        </w:rPr>
        <w:t>Здійснення делегування</w:t>
      </w:r>
    </w:p>
    <w:p w:rsidR="005613AB" w:rsidRPr="00BE1959" w:rsidRDefault="005613AB" w:rsidP="00F9566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1.   </w:t>
      </w:r>
      <w:r w:rsidR="00F9566B" w:rsidRPr="00BE1959">
        <w:rPr>
          <w:rFonts w:ascii="Times New Roman" w:eastAsia="Times New Roman" w:hAnsi="Times New Roman" w:cs="Times New Roman"/>
          <w:sz w:val="24"/>
          <w:szCs w:val="24"/>
          <w:lang w:val="uk-UA"/>
        </w:rPr>
        <w:t>Повноваження на прийняття делегованих актів надається Комісії з урахуванням умов, викладених у цій статті.</w:t>
      </w:r>
    </w:p>
    <w:p w:rsidR="005613AB" w:rsidRPr="00BE1959" w:rsidRDefault="005613AB" w:rsidP="002F7225">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2.   </w:t>
      </w:r>
      <w:r w:rsidR="00D675CF" w:rsidRPr="00BE1959">
        <w:rPr>
          <w:rFonts w:ascii="Times New Roman" w:eastAsia="Times New Roman" w:hAnsi="Times New Roman" w:cs="Times New Roman"/>
          <w:sz w:val="24"/>
          <w:szCs w:val="24"/>
          <w:lang w:val="uk-UA"/>
        </w:rPr>
        <w:t>Повноваження на прийняття делегованих актів</w:t>
      </w:r>
      <w:r w:rsidR="00F9566B" w:rsidRPr="00BE1959">
        <w:rPr>
          <w:rFonts w:ascii="Times New Roman" w:eastAsia="Times New Roman" w:hAnsi="Times New Roman" w:cs="Times New Roman"/>
          <w:sz w:val="24"/>
          <w:szCs w:val="24"/>
          <w:lang w:val="uk-UA"/>
        </w:rPr>
        <w:t>, згадан</w:t>
      </w:r>
      <w:r w:rsidR="008C5C43" w:rsidRPr="00BE1959">
        <w:rPr>
          <w:rFonts w:ascii="Times New Roman" w:eastAsia="Times New Roman" w:hAnsi="Times New Roman" w:cs="Times New Roman"/>
          <w:sz w:val="24"/>
          <w:szCs w:val="24"/>
          <w:lang w:val="uk-UA"/>
        </w:rPr>
        <w:t>і</w:t>
      </w:r>
      <w:r w:rsidR="00F9566B" w:rsidRPr="00BE1959">
        <w:rPr>
          <w:rFonts w:ascii="Times New Roman" w:eastAsia="Times New Roman" w:hAnsi="Times New Roman" w:cs="Times New Roman"/>
          <w:sz w:val="24"/>
          <w:szCs w:val="24"/>
          <w:lang w:val="uk-UA"/>
        </w:rPr>
        <w:t xml:space="preserve"> у</w:t>
      </w:r>
      <w:r w:rsidR="005E1C03" w:rsidRPr="00BE1959">
        <w:rPr>
          <w:rFonts w:ascii="Times New Roman" w:eastAsia="Times New Roman" w:hAnsi="Times New Roman" w:cs="Times New Roman"/>
          <w:sz w:val="24"/>
          <w:szCs w:val="24"/>
          <w:lang w:val="uk-UA"/>
        </w:rPr>
        <w:t xml:space="preserve"> статті</w:t>
      </w:r>
      <w:r w:rsidRPr="00BE1959">
        <w:rPr>
          <w:rFonts w:ascii="Times New Roman" w:eastAsia="Times New Roman" w:hAnsi="Times New Roman" w:cs="Times New Roman"/>
          <w:sz w:val="24"/>
          <w:szCs w:val="24"/>
          <w:lang w:val="uk-UA"/>
        </w:rPr>
        <w:t xml:space="preserve"> 2(3), </w:t>
      </w:r>
      <w:r w:rsidR="0024664E" w:rsidRPr="00BE1959">
        <w:rPr>
          <w:rFonts w:ascii="Times New Roman" w:eastAsia="Times New Roman" w:hAnsi="Times New Roman" w:cs="Times New Roman"/>
          <w:sz w:val="24"/>
          <w:szCs w:val="24"/>
          <w:lang w:val="uk-UA"/>
        </w:rPr>
        <w:t>другому абзаці</w:t>
      </w:r>
      <w:r w:rsidRPr="00BE1959">
        <w:rPr>
          <w:rFonts w:ascii="Times New Roman" w:eastAsia="Times New Roman" w:hAnsi="Times New Roman" w:cs="Times New Roman"/>
          <w:sz w:val="24"/>
          <w:szCs w:val="24"/>
          <w:lang w:val="uk-UA"/>
        </w:rPr>
        <w:t xml:space="preserve"> </w:t>
      </w:r>
      <w:r w:rsidR="0065313E" w:rsidRPr="00BE1959">
        <w:rPr>
          <w:rFonts w:ascii="Times New Roman" w:eastAsia="Times New Roman" w:hAnsi="Times New Roman" w:cs="Times New Roman"/>
          <w:sz w:val="24"/>
          <w:szCs w:val="24"/>
          <w:lang w:val="uk-UA"/>
        </w:rPr>
        <w:t>статті</w:t>
      </w:r>
      <w:r w:rsidRPr="00BE1959">
        <w:rPr>
          <w:rFonts w:ascii="Times New Roman" w:eastAsia="Times New Roman" w:hAnsi="Times New Roman" w:cs="Times New Roman"/>
          <w:sz w:val="24"/>
          <w:szCs w:val="24"/>
          <w:lang w:val="uk-UA"/>
        </w:rPr>
        <w:t xml:space="preserve"> 4(1)(2), </w:t>
      </w:r>
      <w:r w:rsidR="007A050A" w:rsidRPr="00BE1959">
        <w:rPr>
          <w:rFonts w:ascii="Times New Roman" w:eastAsia="Times New Roman" w:hAnsi="Times New Roman" w:cs="Times New Roman"/>
          <w:sz w:val="24"/>
          <w:szCs w:val="24"/>
          <w:lang w:val="uk-UA"/>
        </w:rPr>
        <w:t>статті</w:t>
      </w:r>
      <w:r w:rsidRPr="00BE1959">
        <w:rPr>
          <w:rFonts w:ascii="Times New Roman" w:eastAsia="Times New Roman" w:hAnsi="Times New Roman" w:cs="Times New Roman"/>
          <w:sz w:val="24"/>
          <w:szCs w:val="24"/>
          <w:lang w:val="uk-UA"/>
        </w:rPr>
        <w:t xml:space="preserve"> 4(2), </w:t>
      </w:r>
      <w:r w:rsidR="007A050A" w:rsidRPr="00BE1959">
        <w:rPr>
          <w:rFonts w:ascii="Times New Roman" w:eastAsia="Times New Roman" w:hAnsi="Times New Roman" w:cs="Times New Roman"/>
          <w:sz w:val="24"/>
          <w:szCs w:val="24"/>
          <w:lang w:val="uk-UA"/>
        </w:rPr>
        <w:t>статті</w:t>
      </w:r>
      <w:r w:rsidRPr="00BE1959">
        <w:rPr>
          <w:rFonts w:ascii="Times New Roman" w:eastAsia="Times New Roman" w:hAnsi="Times New Roman" w:cs="Times New Roman"/>
          <w:sz w:val="24"/>
          <w:szCs w:val="24"/>
          <w:lang w:val="uk-UA"/>
        </w:rPr>
        <w:t xml:space="preserve"> 13(1), </w:t>
      </w:r>
      <w:r w:rsidR="007A050A" w:rsidRPr="00BE1959">
        <w:rPr>
          <w:rFonts w:ascii="Times New Roman" w:eastAsia="Times New Roman" w:hAnsi="Times New Roman" w:cs="Times New Roman"/>
          <w:sz w:val="24"/>
          <w:szCs w:val="24"/>
          <w:lang w:val="uk-UA"/>
        </w:rPr>
        <w:t>статті</w:t>
      </w:r>
      <w:r w:rsidRPr="00BE1959">
        <w:rPr>
          <w:rFonts w:ascii="Times New Roman" w:eastAsia="Times New Roman" w:hAnsi="Times New Roman" w:cs="Times New Roman"/>
          <w:sz w:val="24"/>
          <w:szCs w:val="24"/>
          <w:lang w:val="uk-UA"/>
        </w:rPr>
        <w:t xml:space="preserve"> 16(12), </w:t>
      </w:r>
      <w:r w:rsidR="007A050A" w:rsidRPr="00BE1959">
        <w:rPr>
          <w:rFonts w:ascii="Times New Roman" w:eastAsia="Times New Roman" w:hAnsi="Times New Roman" w:cs="Times New Roman"/>
          <w:sz w:val="24"/>
          <w:szCs w:val="24"/>
          <w:lang w:val="uk-UA"/>
        </w:rPr>
        <w:t>статті</w:t>
      </w:r>
      <w:r w:rsidRPr="00BE1959">
        <w:rPr>
          <w:rFonts w:ascii="Times New Roman" w:eastAsia="Times New Roman" w:hAnsi="Times New Roman" w:cs="Times New Roman"/>
          <w:sz w:val="24"/>
          <w:szCs w:val="24"/>
          <w:lang w:val="uk-UA"/>
        </w:rPr>
        <w:t xml:space="preserve"> 23(4), </w:t>
      </w:r>
      <w:r w:rsidR="007A050A" w:rsidRPr="00BE1959">
        <w:rPr>
          <w:rFonts w:ascii="Times New Roman" w:eastAsia="Times New Roman" w:hAnsi="Times New Roman" w:cs="Times New Roman"/>
          <w:sz w:val="24"/>
          <w:szCs w:val="24"/>
          <w:lang w:val="uk-UA"/>
        </w:rPr>
        <w:t>статті</w:t>
      </w:r>
      <w:r w:rsidRPr="00BE1959">
        <w:rPr>
          <w:rFonts w:ascii="Times New Roman" w:eastAsia="Times New Roman" w:hAnsi="Times New Roman" w:cs="Times New Roman"/>
          <w:sz w:val="24"/>
          <w:szCs w:val="24"/>
          <w:lang w:val="uk-UA"/>
        </w:rPr>
        <w:t xml:space="preserve"> 24(13), </w:t>
      </w:r>
      <w:r w:rsidR="007A050A" w:rsidRPr="00BE1959">
        <w:rPr>
          <w:rFonts w:ascii="Times New Roman" w:eastAsia="Times New Roman" w:hAnsi="Times New Roman" w:cs="Times New Roman"/>
          <w:sz w:val="24"/>
          <w:szCs w:val="24"/>
          <w:lang w:val="uk-UA"/>
        </w:rPr>
        <w:t>статті</w:t>
      </w:r>
      <w:r w:rsidRPr="00BE1959">
        <w:rPr>
          <w:rFonts w:ascii="Times New Roman" w:eastAsia="Times New Roman" w:hAnsi="Times New Roman" w:cs="Times New Roman"/>
          <w:sz w:val="24"/>
          <w:szCs w:val="24"/>
          <w:lang w:val="uk-UA"/>
        </w:rPr>
        <w:t xml:space="preserve"> 25(8), </w:t>
      </w:r>
      <w:r w:rsidR="007A050A" w:rsidRPr="00BE1959">
        <w:rPr>
          <w:rFonts w:ascii="Times New Roman" w:eastAsia="Times New Roman" w:hAnsi="Times New Roman" w:cs="Times New Roman"/>
          <w:sz w:val="24"/>
          <w:szCs w:val="24"/>
          <w:lang w:val="uk-UA"/>
        </w:rPr>
        <w:t>статті</w:t>
      </w:r>
      <w:r w:rsidRPr="00BE1959">
        <w:rPr>
          <w:rFonts w:ascii="Times New Roman" w:eastAsia="Times New Roman" w:hAnsi="Times New Roman" w:cs="Times New Roman"/>
          <w:sz w:val="24"/>
          <w:szCs w:val="24"/>
          <w:lang w:val="uk-UA"/>
        </w:rPr>
        <w:t xml:space="preserve"> 27(9), </w:t>
      </w:r>
      <w:r w:rsidR="007A050A" w:rsidRPr="00BE1959">
        <w:rPr>
          <w:rFonts w:ascii="Times New Roman" w:eastAsia="Times New Roman" w:hAnsi="Times New Roman" w:cs="Times New Roman"/>
          <w:sz w:val="24"/>
          <w:szCs w:val="24"/>
          <w:lang w:val="uk-UA"/>
        </w:rPr>
        <w:t>статті</w:t>
      </w:r>
      <w:r w:rsidRPr="00BE1959">
        <w:rPr>
          <w:rFonts w:ascii="Times New Roman" w:eastAsia="Times New Roman" w:hAnsi="Times New Roman" w:cs="Times New Roman"/>
          <w:sz w:val="24"/>
          <w:szCs w:val="24"/>
          <w:lang w:val="uk-UA"/>
        </w:rPr>
        <w:t xml:space="preserve"> 28(3), </w:t>
      </w:r>
      <w:r w:rsidR="007A050A" w:rsidRPr="00BE1959">
        <w:rPr>
          <w:rFonts w:ascii="Times New Roman" w:eastAsia="Times New Roman" w:hAnsi="Times New Roman" w:cs="Times New Roman"/>
          <w:sz w:val="24"/>
          <w:szCs w:val="24"/>
          <w:lang w:val="uk-UA"/>
        </w:rPr>
        <w:t>статті</w:t>
      </w:r>
      <w:r w:rsidRPr="00BE1959">
        <w:rPr>
          <w:rFonts w:ascii="Times New Roman" w:eastAsia="Times New Roman" w:hAnsi="Times New Roman" w:cs="Times New Roman"/>
          <w:sz w:val="24"/>
          <w:szCs w:val="24"/>
          <w:lang w:val="uk-UA"/>
        </w:rPr>
        <w:t xml:space="preserve"> 30(5), </w:t>
      </w:r>
      <w:r w:rsidR="007A050A" w:rsidRPr="00BE1959">
        <w:rPr>
          <w:rFonts w:ascii="Times New Roman" w:eastAsia="Times New Roman" w:hAnsi="Times New Roman" w:cs="Times New Roman"/>
          <w:sz w:val="24"/>
          <w:szCs w:val="24"/>
          <w:lang w:val="uk-UA"/>
        </w:rPr>
        <w:t>статті</w:t>
      </w:r>
      <w:r w:rsidRPr="00BE1959">
        <w:rPr>
          <w:rFonts w:ascii="Times New Roman" w:eastAsia="Times New Roman" w:hAnsi="Times New Roman" w:cs="Times New Roman"/>
          <w:sz w:val="24"/>
          <w:szCs w:val="24"/>
          <w:lang w:val="uk-UA"/>
        </w:rPr>
        <w:t xml:space="preserve"> 31(4), </w:t>
      </w:r>
      <w:r w:rsidR="007A050A" w:rsidRPr="00BE1959">
        <w:rPr>
          <w:rFonts w:ascii="Times New Roman" w:eastAsia="Times New Roman" w:hAnsi="Times New Roman" w:cs="Times New Roman"/>
          <w:sz w:val="24"/>
          <w:szCs w:val="24"/>
          <w:lang w:val="uk-UA"/>
        </w:rPr>
        <w:t>статті</w:t>
      </w:r>
      <w:r w:rsidRPr="00BE1959">
        <w:rPr>
          <w:rFonts w:ascii="Times New Roman" w:eastAsia="Times New Roman" w:hAnsi="Times New Roman" w:cs="Times New Roman"/>
          <w:sz w:val="24"/>
          <w:szCs w:val="24"/>
          <w:lang w:val="uk-UA"/>
        </w:rPr>
        <w:t xml:space="preserve"> 32(4), </w:t>
      </w:r>
      <w:r w:rsidR="007A050A" w:rsidRPr="00BE1959">
        <w:rPr>
          <w:rFonts w:ascii="Times New Roman" w:eastAsia="Times New Roman" w:hAnsi="Times New Roman" w:cs="Times New Roman"/>
          <w:sz w:val="24"/>
          <w:szCs w:val="24"/>
          <w:lang w:val="uk-UA"/>
        </w:rPr>
        <w:t>статті</w:t>
      </w:r>
      <w:r w:rsidRPr="00BE1959">
        <w:rPr>
          <w:rFonts w:ascii="Times New Roman" w:eastAsia="Times New Roman" w:hAnsi="Times New Roman" w:cs="Times New Roman"/>
          <w:sz w:val="24"/>
          <w:szCs w:val="24"/>
          <w:lang w:val="uk-UA"/>
        </w:rPr>
        <w:t xml:space="preserve"> 33(8), </w:t>
      </w:r>
      <w:r w:rsidR="007A050A" w:rsidRPr="00BE1959">
        <w:rPr>
          <w:rFonts w:ascii="Times New Roman" w:eastAsia="Times New Roman" w:hAnsi="Times New Roman" w:cs="Times New Roman"/>
          <w:sz w:val="24"/>
          <w:szCs w:val="24"/>
          <w:lang w:val="uk-UA"/>
        </w:rPr>
        <w:t>статті</w:t>
      </w:r>
      <w:r w:rsidRPr="00BE1959">
        <w:rPr>
          <w:rFonts w:ascii="Times New Roman" w:eastAsia="Times New Roman" w:hAnsi="Times New Roman" w:cs="Times New Roman"/>
          <w:sz w:val="24"/>
          <w:szCs w:val="24"/>
          <w:lang w:val="uk-UA"/>
        </w:rPr>
        <w:t xml:space="preserve"> 52(4), </w:t>
      </w:r>
      <w:r w:rsidR="007A050A" w:rsidRPr="00BE1959">
        <w:rPr>
          <w:rFonts w:ascii="Times New Roman" w:eastAsia="Times New Roman" w:hAnsi="Times New Roman" w:cs="Times New Roman"/>
          <w:sz w:val="24"/>
          <w:szCs w:val="24"/>
          <w:lang w:val="uk-UA"/>
        </w:rPr>
        <w:t>статті</w:t>
      </w:r>
      <w:r w:rsidRPr="00BE1959">
        <w:rPr>
          <w:rFonts w:ascii="Times New Roman" w:eastAsia="Times New Roman" w:hAnsi="Times New Roman" w:cs="Times New Roman"/>
          <w:sz w:val="24"/>
          <w:szCs w:val="24"/>
          <w:lang w:val="uk-UA"/>
        </w:rPr>
        <w:t xml:space="preserve"> 54(4), </w:t>
      </w:r>
      <w:r w:rsidR="007A050A" w:rsidRPr="00BE1959">
        <w:rPr>
          <w:rFonts w:ascii="Times New Roman" w:eastAsia="Times New Roman" w:hAnsi="Times New Roman" w:cs="Times New Roman"/>
          <w:sz w:val="24"/>
          <w:szCs w:val="24"/>
          <w:lang w:val="uk-UA"/>
        </w:rPr>
        <w:t>статті</w:t>
      </w:r>
      <w:r w:rsidRPr="00BE1959">
        <w:rPr>
          <w:rFonts w:ascii="Times New Roman" w:eastAsia="Times New Roman" w:hAnsi="Times New Roman" w:cs="Times New Roman"/>
          <w:sz w:val="24"/>
          <w:szCs w:val="24"/>
          <w:lang w:val="uk-UA"/>
        </w:rPr>
        <w:t xml:space="preserve"> 58(6), </w:t>
      </w:r>
      <w:r w:rsidR="007A050A" w:rsidRPr="00BE1959">
        <w:rPr>
          <w:rFonts w:ascii="Times New Roman" w:eastAsia="Times New Roman" w:hAnsi="Times New Roman" w:cs="Times New Roman"/>
          <w:sz w:val="24"/>
          <w:szCs w:val="24"/>
          <w:lang w:val="uk-UA"/>
        </w:rPr>
        <w:t>статті</w:t>
      </w:r>
      <w:r w:rsidRPr="00BE1959">
        <w:rPr>
          <w:rFonts w:ascii="Times New Roman" w:eastAsia="Times New Roman" w:hAnsi="Times New Roman" w:cs="Times New Roman"/>
          <w:sz w:val="24"/>
          <w:szCs w:val="24"/>
          <w:lang w:val="uk-UA"/>
        </w:rPr>
        <w:t xml:space="preserve"> 64(7), </w:t>
      </w:r>
      <w:r w:rsidR="007A050A" w:rsidRPr="00BE1959">
        <w:rPr>
          <w:rFonts w:ascii="Times New Roman" w:eastAsia="Times New Roman" w:hAnsi="Times New Roman" w:cs="Times New Roman"/>
          <w:sz w:val="24"/>
          <w:szCs w:val="24"/>
          <w:lang w:val="uk-UA"/>
        </w:rPr>
        <w:t>статті</w:t>
      </w:r>
      <w:r w:rsidRPr="00BE1959">
        <w:rPr>
          <w:rFonts w:ascii="Times New Roman" w:eastAsia="Times New Roman" w:hAnsi="Times New Roman" w:cs="Times New Roman"/>
          <w:sz w:val="24"/>
          <w:szCs w:val="24"/>
          <w:lang w:val="uk-UA"/>
        </w:rPr>
        <w:t xml:space="preserve"> 65(7) </w:t>
      </w:r>
      <w:r w:rsidR="0024664E" w:rsidRPr="00BE1959">
        <w:rPr>
          <w:rFonts w:ascii="Times New Roman" w:eastAsia="Times New Roman" w:hAnsi="Times New Roman" w:cs="Times New Roman"/>
          <w:sz w:val="24"/>
          <w:szCs w:val="24"/>
          <w:lang w:val="uk-UA"/>
        </w:rPr>
        <w:t xml:space="preserve">та </w:t>
      </w:r>
      <w:r w:rsidR="007A050A" w:rsidRPr="00BE1959">
        <w:rPr>
          <w:rFonts w:ascii="Times New Roman" w:eastAsia="Times New Roman" w:hAnsi="Times New Roman" w:cs="Times New Roman"/>
          <w:sz w:val="24"/>
          <w:szCs w:val="24"/>
          <w:lang w:val="uk-UA"/>
        </w:rPr>
        <w:t>статті</w:t>
      </w:r>
      <w:r w:rsidR="0024664E" w:rsidRPr="00BE1959">
        <w:rPr>
          <w:rFonts w:ascii="Times New Roman" w:eastAsia="Times New Roman" w:hAnsi="Times New Roman" w:cs="Times New Roman"/>
          <w:sz w:val="24"/>
          <w:szCs w:val="24"/>
          <w:lang w:val="uk-UA"/>
        </w:rPr>
        <w:t xml:space="preserve"> 79(8), </w:t>
      </w:r>
      <w:r w:rsidR="00D675CF" w:rsidRPr="00BE1959">
        <w:rPr>
          <w:rFonts w:ascii="Times New Roman" w:eastAsia="Times New Roman" w:hAnsi="Times New Roman" w:cs="Times New Roman"/>
          <w:sz w:val="24"/>
          <w:szCs w:val="24"/>
          <w:lang w:val="uk-UA"/>
        </w:rPr>
        <w:t xml:space="preserve">надаються Комісії </w:t>
      </w:r>
      <w:r w:rsidR="0024664E" w:rsidRPr="00BE1959">
        <w:rPr>
          <w:rFonts w:ascii="Times New Roman" w:eastAsia="Times New Roman" w:hAnsi="Times New Roman" w:cs="Times New Roman"/>
          <w:sz w:val="24"/>
          <w:szCs w:val="24"/>
          <w:lang w:val="uk-UA"/>
        </w:rPr>
        <w:t>н</w:t>
      </w:r>
      <w:r w:rsidR="00D675CF" w:rsidRPr="00BE1959">
        <w:rPr>
          <w:rFonts w:ascii="Times New Roman" w:eastAsia="Times New Roman" w:hAnsi="Times New Roman" w:cs="Times New Roman"/>
          <w:sz w:val="24"/>
          <w:szCs w:val="24"/>
          <w:lang w:val="uk-UA"/>
        </w:rPr>
        <w:t>а</w:t>
      </w:r>
      <w:r w:rsidR="0024664E" w:rsidRPr="00BE1959">
        <w:rPr>
          <w:rFonts w:ascii="Times New Roman" w:eastAsia="Times New Roman" w:hAnsi="Times New Roman" w:cs="Times New Roman"/>
          <w:sz w:val="24"/>
          <w:szCs w:val="24"/>
          <w:lang w:val="uk-UA"/>
        </w:rPr>
        <w:t xml:space="preserve"> невизначений період часу починаючи з 2 липня 2014 року.</w:t>
      </w:r>
    </w:p>
    <w:p w:rsidR="002F7225" w:rsidRPr="00BE1959" w:rsidRDefault="002F7225" w:rsidP="005613AB">
      <w:pPr>
        <w:spacing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3.   </w:t>
      </w:r>
      <w:r w:rsidR="00D675CF" w:rsidRPr="00BE1959">
        <w:rPr>
          <w:rFonts w:ascii="Times New Roman" w:eastAsia="Times New Roman" w:hAnsi="Times New Roman" w:cs="Times New Roman"/>
          <w:sz w:val="24"/>
          <w:szCs w:val="24"/>
          <w:lang w:val="uk-UA"/>
        </w:rPr>
        <w:t>Повноваження на прийняття делегованих актів,</w:t>
      </w:r>
      <w:r w:rsidRPr="00BE1959">
        <w:rPr>
          <w:rFonts w:ascii="Times New Roman" w:eastAsia="Times New Roman" w:hAnsi="Times New Roman" w:cs="Times New Roman"/>
          <w:sz w:val="24"/>
          <w:szCs w:val="24"/>
          <w:lang w:val="uk-UA"/>
        </w:rPr>
        <w:t xml:space="preserve"> згадан</w:t>
      </w:r>
      <w:r w:rsidR="008C5C43" w:rsidRPr="00BE1959">
        <w:rPr>
          <w:rFonts w:ascii="Times New Roman" w:eastAsia="Times New Roman" w:hAnsi="Times New Roman" w:cs="Times New Roman"/>
          <w:sz w:val="24"/>
          <w:szCs w:val="24"/>
          <w:lang w:val="uk-UA"/>
        </w:rPr>
        <w:t>і</w:t>
      </w:r>
      <w:r w:rsidRPr="00BE1959">
        <w:rPr>
          <w:rFonts w:ascii="Times New Roman" w:eastAsia="Times New Roman" w:hAnsi="Times New Roman" w:cs="Times New Roman"/>
          <w:sz w:val="24"/>
          <w:szCs w:val="24"/>
          <w:lang w:val="uk-UA"/>
        </w:rPr>
        <w:t xml:space="preserve"> у </w:t>
      </w:r>
      <w:r w:rsidR="005E1C03" w:rsidRPr="00BE1959">
        <w:rPr>
          <w:rFonts w:ascii="Times New Roman" w:eastAsia="Times New Roman" w:hAnsi="Times New Roman" w:cs="Times New Roman"/>
          <w:sz w:val="24"/>
          <w:szCs w:val="24"/>
          <w:lang w:val="uk-UA"/>
        </w:rPr>
        <w:t>статті</w:t>
      </w:r>
      <w:r w:rsidR="005613AB" w:rsidRPr="00BE1959">
        <w:rPr>
          <w:rFonts w:ascii="Times New Roman" w:eastAsia="Times New Roman" w:hAnsi="Times New Roman" w:cs="Times New Roman"/>
          <w:sz w:val="24"/>
          <w:szCs w:val="24"/>
          <w:lang w:val="uk-UA"/>
        </w:rPr>
        <w:t xml:space="preserve"> 2(3), </w:t>
      </w:r>
      <w:r w:rsidRPr="00BE1959">
        <w:rPr>
          <w:rFonts w:ascii="Times New Roman" w:eastAsia="Times New Roman" w:hAnsi="Times New Roman" w:cs="Times New Roman"/>
          <w:sz w:val="24"/>
          <w:szCs w:val="24"/>
          <w:lang w:val="uk-UA"/>
        </w:rPr>
        <w:t>другому абзаці</w:t>
      </w:r>
      <w:r w:rsidR="005613AB" w:rsidRPr="00BE1959">
        <w:rPr>
          <w:rFonts w:ascii="Times New Roman" w:eastAsia="Times New Roman" w:hAnsi="Times New Roman" w:cs="Times New Roman"/>
          <w:sz w:val="24"/>
          <w:szCs w:val="24"/>
          <w:lang w:val="uk-UA"/>
        </w:rPr>
        <w:t xml:space="preserve"> 4(1)(2), </w:t>
      </w:r>
      <w:r w:rsidR="007A050A" w:rsidRPr="00BE1959">
        <w:rPr>
          <w:rFonts w:ascii="Times New Roman" w:eastAsia="Times New Roman" w:hAnsi="Times New Roman" w:cs="Times New Roman"/>
          <w:sz w:val="24"/>
          <w:szCs w:val="24"/>
          <w:lang w:val="uk-UA"/>
        </w:rPr>
        <w:t>статті</w:t>
      </w:r>
      <w:r w:rsidR="005613AB" w:rsidRPr="00BE1959">
        <w:rPr>
          <w:rFonts w:ascii="Times New Roman" w:eastAsia="Times New Roman" w:hAnsi="Times New Roman" w:cs="Times New Roman"/>
          <w:sz w:val="24"/>
          <w:szCs w:val="24"/>
          <w:lang w:val="uk-UA"/>
        </w:rPr>
        <w:t xml:space="preserve"> 4(2), </w:t>
      </w:r>
      <w:r w:rsidR="007A050A" w:rsidRPr="00BE1959">
        <w:rPr>
          <w:rFonts w:ascii="Times New Roman" w:eastAsia="Times New Roman" w:hAnsi="Times New Roman" w:cs="Times New Roman"/>
          <w:sz w:val="24"/>
          <w:szCs w:val="24"/>
          <w:lang w:val="uk-UA"/>
        </w:rPr>
        <w:t>статті</w:t>
      </w:r>
      <w:r w:rsidR="005613AB" w:rsidRPr="00BE1959">
        <w:rPr>
          <w:rFonts w:ascii="Times New Roman" w:eastAsia="Times New Roman" w:hAnsi="Times New Roman" w:cs="Times New Roman"/>
          <w:sz w:val="24"/>
          <w:szCs w:val="24"/>
          <w:lang w:val="uk-UA"/>
        </w:rPr>
        <w:t xml:space="preserve"> 13(1), </w:t>
      </w:r>
      <w:r w:rsidR="007A050A" w:rsidRPr="00BE1959">
        <w:rPr>
          <w:rFonts w:ascii="Times New Roman" w:eastAsia="Times New Roman" w:hAnsi="Times New Roman" w:cs="Times New Roman"/>
          <w:sz w:val="24"/>
          <w:szCs w:val="24"/>
          <w:lang w:val="uk-UA"/>
        </w:rPr>
        <w:t>статті</w:t>
      </w:r>
      <w:r w:rsidR="005613AB" w:rsidRPr="00BE1959">
        <w:rPr>
          <w:rFonts w:ascii="Times New Roman" w:eastAsia="Times New Roman" w:hAnsi="Times New Roman" w:cs="Times New Roman"/>
          <w:sz w:val="24"/>
          <w:szCs w:val="24"/>
          <w:lang w:val="uk-UA"/>
        </w:rPr>
        <w:t xml:space="preserve"> 16(12), </w:t>
      </w:r>
      <w:r w:rsidR="007A050A" w:rsidRPr="00BE1959">
        <w:rPr>
          <w:rFonts w:ascii="Times New Roman" w:eastAsia="Times New Roman" w:hAnsi="Times New Roman" w:cs="Times New Roman"/>
          <w:sz w:val="24"/>
          <w:szCs w:val="24"/>
          <w:lang w:val="uk-UA"/>
        </w:rPr>
        <w:t>статті</w:t>
      </w:r>
      <w:r w:rsidR="005613AB" w:rsidRPr="00BE1959">
        <w:rPr>
          <w:rFonts w:ascii="Times New Roman" w:eastAsia="Times New Roman" w:hAnsi="Times New Roman" w:cs="Times New Roman"/>
          <w:sz w:val="24"/>
          <w:szCs w:val="24"/>
          <w:lang w:val="uk-UA"/>
        </w:rPr>
        <w:t xml:space="preserve"> 23(4), </w:t>
      </w:r>
      <w:r w:rsidR="007A050A" w:rsidRPr="00BE1959">
        <w:rPr>
          <w:rFonts w:ascii="Times New Roman" w:eastAsia="Times New Roman" w:hAnsi="Times New Roman" w:cs="Times New Roman"/>
          <w:sz w:val="24"/>
          <w:szCs w:val="24"/>
          <w:lang w:val="uk-UA"/>
        </w:rPr>
        <w:t>статті</w:t>
      </w:r>
      <w:r w:rsidR="005613AB" w:rsidRPr="00BE1959">
        <w:rPr>
          <w:rFonts w:ascii="Times New Roman" w:eastAsia="Times New Roman" w:hAnsi="Times New Roman" w:cs="Times New Roman"/>
          <w:sz w:val="24"/>
          <w:szCs w:val="24"/>
          <w:lang w:val="uk-UA"/>
        </w:rPr>
        <w:t xml:space="preserve"> 24(13), </w:t>
      </w:r>
      <w:r w:rsidR="007A050A" w:rsidRPr="00BE1959">
        <w:rPr>
          <w:rFonts w:ascii="Times New Roman" w:eastAsia="Times New Roman" w:hAnsi="Times New Roman" w:cs="Times New Roman"/>
          <w:sz w:val="24"/>
          <w:szCs w:val="24"/>
          <w:lang w:val="uk-UA"/>
        </w:rPr>
        <w:t>статті</w:t>
      </w:r>
      <w:r w:rsidR="005613AB" w:rsidRPr="00BE1959">
        <w:rPr>
          <w:rFonts w:ascii="Times New Roman" w:eastAsia="Times New Roman" w:hAnsi="Times New Roman" w:cs="Times New Roman"/>
          <w:sz w:val="24"/>
          <w:szCs w:val="24"/>
          <w:lang w:val="uk-UA"/>
        </w:rPr>
        <w:t xml:space="preserve"> 25(8), </w:t>
      </w:r>
      <w:r w:rsidR="007A050A" w:rsidRPr="00BE1959">
        <w:rPr>
          <w:rFonts w:ascii="Times New Roman" w:eastAsia="Times New Roman" w:hAnsi="Times New Roman" w:cs="Times New Roman"/>
          <w:sz w:val="24"/>
          <w:szCs w:val="24"/>
          <w:lang w:val="uk-UA"/>
        </w:rPr>
        <w:t>статті</w:t>
      </w:r>
      <w:r w:rsidR="005613AB" w:rsidRPr="00BE1959">
        <w:rPr>
          <w:rFonts w:ascii="Times New Roman" w:eastAsia="Times New Roman" w:hAnsi="Times New Roman" w:cs="Times New Roman"/>
          <w:sz w:val="24"/>
          <w:szCs w:val="24"/>
          <w:lang w:val="uk-UA"/>
        </w:rPr>
        <w:t xml:space="preserve"> 27(9), </w:t>
      </w:r>
      <w:r w:rsidR="007A050A" w:rsidRPr="00BE1959">
        <w:rPr>
          <w:rFonts w:ascii="Times New Roman" w:eastAsia="Times New Roman" w:hAnsi="Times New Roman" w:cs="Times New Roman"/>
          <w:sz w:val="24"/>
          <w:szCs w:val="24"/>
          <w:lang w:val="uk-UA"/>
        </w:rPr>
        <w:t>статті</w:t>
      </w:r>
      <w:r w:rsidR="005613AB" w:rsidRPr="00BE1959">
        <w:rPr>
          <w:rFonts w:ascii="Times New Roman" w:eastAsia="Times New Roman" w:hAnsi="Times New Roman" w:cs="Times New Roman"/>
          <w:sz w:val="24"/>
          <w:szCs w:val="24"/>
          <w:lang w:val="uk-UA"/>
        </w:rPr>
        <w:t xml:space="preserve"> 28(3), </w:t>
      </w:r>
      <w:r w:rsidR="007A050A" w:rsidRPr="00BE1959">
        <w:rPr>
          <w:rFonts w:ascii="Times New Roman" w:eastAsia="Times New Roman" w:hAnsi="Times New Roman" w:cs="Times New Roman"/>
          <w:sz w:val="24"/>
          <w:szCs w:val="24"/>
          <w:lang w:val="uk-UA"/>
        </w:rPr>
        <w:t>статті</w:t>
      </w:r>
      <w:r w:rsidR="005613AB" w:rsidRPr="00BE1959">
        <w:rPr>
          <w:rFonts w:ascii="Times New Roman" w:eastAsia="Times New Roman" w:hAnsi="Times New Roman" w:cs="Times New Roman"/>
          <w:sz w:val="24"/>
          <w:szCs w:val="24"/>
          <w:lang w:val="uk-UA"/>
        </w:rPr>
        <w:t xml:space="preserve"> 30(5), </w:t>
      </w:r>
      <w:r w:rsidR="007A050A" w:rsidRPr="00BE1959">
        <w:rPr>
          <w:rFonts w:ascii="Times New Roman" w:eastAsia="Times New Roman" w:hAnsi="Times New Roman" w:cs="Times New Roman"/>
          <w:sz w:val="24"/>
          <w:szCs w:val="24"/>
          <w:lang w:val="uk-UA"/>
        </w:rPr>
        <w:t>статті</w:t>
      </w:r>
      <w:r w:rsidR="005613AB" w:rsidRPr="00BE1959">
        <w:rPr>
          <w:rFonts w:ascii="Times New Roman" w:eastAsia="Times New Roman" w:hAnsi="Times New Roman" w:cs="Times New Roman"/>
          <w:sz w:val="24"/>
          <w:szCs w:val="24"/>
          <w:lang w:val="uk-UA"/>
        </w:rPr>
        <w:t xml:space="preserve"> 31(4), </w:t>
      </w:r>
      <w:r w:rsidR="007A050A" w:rsidRPr="00BE1959">
        <w:rPr>
          <w:rFonts w:ascii="Times New Roman" w:eastAsia="Times New Roman" w:hAnsi="Times New Roman" w:cs="Times New Roman"/>
          <w:sz w:val="24"/>
          <w:szCs w:val="24"/>
          <w:lang w:val="uk-UA"/>
        </w:rPr>
        <w:t>статті</w:t>
      </w:r>
      <w:r w:rsidR="005613AB" w:rsidRPr="00BE1959">
        <w:rPr>
          <w:rFonts w:ascii="Times New Roman" w:eastAsia="Times New Roman" w:hAnsi="Times New Roman" w:cs="Times New Roman"/>
          <w:sz w:val="24"/>
          <w:szCs w:val="24"/>
          <w:lang w:val="uk-UA"/>
        </w:rPr>
        <w:t xml:space="preserve"> 32(4), </w:t>
      </w:r>
      <w:r w:rsidR="007A050A" w:rsidRPr="00BE1959">
        <w:rPr>
          <w:rFonts w:ascii="Times New Roman" w:eastAsia="Times New Roman" w:hAnsi="Times New Roman" w:cs="Times New Roman"/>
          <w:sz w:val="24"/>
          <w:szCs w:val="24"/>
          <w:lang w:val="uk-UA"/>
        </w:rPr>
        <w:t>статті</w:t>
      </w:r>
      <w:r w:rsidR="005613AB" w:rsidRPr="00BE1959">
        <w:rPr>
          <w:rFonts w:ascii="Times New Roman" w:eastAsia="Times New Roman" w:hAnsi="Times New Roman" w:cs="Times New Roman"/>
          <w:sz w:val="24"/>
          <w:szCs w:val="24"/>
          <w:lang w:val="uk-UA"/>
        </w:rPr>
        <w:t xml:space="preserve"> 33(8), </w:t>
      </w:r>
      <w:r w:rsidR="007A050A" w:rsidRPr="00BE1959">
        <w:rPr>
          <w:rFonts w:ascii="Times New Roman" w:eastAsia="Times New Roman" w:hAnsi="Times New Roman" w:cs="Times New Roman"/>
          <w:sz w:val="24"/>
          <w:szCs w:val="24"/>
          <w:lang w:val="uk-UA"/>
        </w:rPr>
        <w:t>статті</w:t>
      </w:r>
      <w:r w:rsidR="005613AB" w:rsidRPr="00BE1959">
        <w:rPr>
          <w:rFonts w:ascii="Times New Roman" w:eastAsia="Times New Roman" w:hAnsi="Times New Roman" w:cs="Times New Roman"/>
          <w:sz w:val="24"/>
          <w:szCs w:val="24"/>
          <w:lang w:val="uk-UA"/>
        </w:rPr>
        <w:t xml:space="preserve"> 52(4) </w:t>
      </w:r>
      <w:r w:rsidR="007A050A" w:rsidRPr="00BE1959">
        <w:rPr>
          <w:rFonts w:ascii="Times New Roman" w:eastAsia="Times New Roman" w:hAnsi="Times New Roman" w:cs="Times New Roman"/>
          <w:sz w:val="24"/>
          <w:szCs w:val="24"/>
          <w:lang w:val="uk-UA"/>
        </w:rPr>
        <w:t>статті</w:t>
      </w:r>
      <w:r w:rsidR="005613AB" w:rsidRPr="00BE1959">
        <w:rPr>
          <w:rFonts w:ascii="Times New Roman" w:eastAsia="Times New Roman" w:hAnsi="Times New Roman" w:cs="Times New Roman"/>
          <w:sz w:val="24"/>
          <w:szCs w:val="24"/>
          <w:lang w:val="uk-UA"/>
        </w:rPr>
        <w:t xml:space="preserve"> 54(4), </w:t>
      </w:r>
      <w:r w:rsidR="007A050A" w:rsidRPr="00BE1959">
        <w:rPr>
          <w:rFonts w:ascii="Times New Roman" w:eastAsia="Times New Roman" w:hAnsi="Times New Roman" w:cs="Times New Roman"/>
          <w:sz w:val="24"/>
          <w:szCs w:val="24"/>
          <w:lang w:val="uk-UA"/>
        </w:rPr>
        <w:t>статті</w:t>
      </w:r>
      <w:r w:rsidR="005613AB" w:rsidRPr="00BE1959">
        <w:rPr>
          <w:rFonts w:ascii="Times New Roman" w:eastAsia="Times New Roman" w:hAnsi="Times New Roman" w:cs="Times New Roman"/>
          <w:sz w:val="24"/>
          <w:szCs w:val="24"/>
          <w:lang w:val="uk-UA"/>
        </w:rPr>
        <w:t xml:space="preserve"> 58(6), </w:t>
      </w:r>
      <w:r w:rsidR="007A050A" w:rsidRPr="00BE1959">
        <w:rPr>
          <w:rFonts w:ascii="Times New Roman" w:eastAsia="Times New Roman" w:hAnsi="Times New Roman" w:cs="Times New Roman"/>
          <w:sz w:val="24"/>
          <w:szCs w:val="24"/>
          <w:lang w:val="uk-UA"/>
        </w:rPr>
        <w:t>статті</w:t>
      </w:r>
      <w:r w:rsidR="005613AB" w:rsidRPr="00BE1959">
        <w:rPr>
          <w:rFonts w:ascii="Times New Roman" w:eastAsia="Times New Roman" w:hAnsi="Times New Roman" w:cs="Times New Roman"/>
          <w:sz w:val="24"/>
          <w:szCs w:val="24"/>
          <w:lang w:val="uk-UA"/>
        </w:rPr>
        <w:t xml:space="preserve"> 64(7), </w:t>
      </w:r>
      <w:r w:rsidR="007A050A" w:rsidRPr="00BE1959">
        <w:rPr>
          <w:rFonts w:ascii="Times New Roman" w:eastAsia="Times New Roman" w:hAnsi="Times New Roman" w:cs="Times New Roman"/>
          <w:sz w:val="24"/>
          <w:szCs w:val="24"/>
          <w:lang w:val="uk-UA"/>
        </w:rPr>
        <w:t>статті</w:t>
      </w:r>
      <w:r w:rsidR="005613AB" w:rsidRPr="00BE1959">
        <w:rPr>
          <w:rFonts w:ascii="Times New Roman" w:eastAsia="Times New Roman" w:hAnsi="Times New Roman" w:cs="Times New Roman"/>
          <w:sz w:val="24"/>
          <w:szCs w:val="24"/>
          <w:lang w:val="uk-UA"/>
        </w:rPr>
        <w:t xml:space="preserve"> 65(7) </w:t>
      </w:r>
      <w:r w:rsidRPr="00BE1959">
        <w:rPr>
          <w:rFonts w:ascii="Times New Roman" w:eastAsia="Times New Roman" w:hAnsi="Times New Roman" w:cs="Times New Roman"/>
          <w:sz w:val="24"/>
          <w:szCs w:val="24"/>
          <w:lang w:val="uk-UA"/>
        </w:rPr>
        <w:t>та</w:t>
      </w:r>
      <w:r w:rsidR="005613AB" w:rsidRPr="00BE1959">
        <w:rPr>
          <w:rFonts w:ascii="Times New Roman" w:eastAsia="Times New Roman" w:hAnsi="Times New Roman" w:cs="Times New Roman"/>
          <w:sz w:val="24"/>
          <w:szCs w:val="24"/>
          <w:lang w:val="uk-UA"/>
        </w:rPr>
        <w:t xml:space="preserve"> </w:t>
      </w:r>
      <w:r w:rsidR="007A050A" w:rsidRPr="00BE1959">
        <w:rPr>
          <w:rFonts w:ascii="Times New Roman" w:eastAsia="Times New Roman" w:hAnsi="Times New Roman" w:cs="Times New Roman"/>
          <w:sz w:val="24"/>
          <w:szCs w:val="24"/>
          <w:lang w:val="uk-UA"/>
        </w:rPr>
        <w:t>статті</w:t>
      </w:r>
      <w:r w:rsidR="005613AB" w:rsidRPr="00BE1959">
        <w:rPr>
          <w:rFonts w:ascii="Times New Roman" w:eastAsia="Times New Roman" w:hAnsi="Times New Roman" w:cs="Times New Roman"/>
          <w:sz w:val="24"/>
          <w:szCs w:val="24"/>
          <w:lang w:val="uk-UA"/>
        </w:rPr>
        <w:t xml:space="preserve"> 79(8)</w:t>
      </w:r>
      <w:r w:rsidRPr="00BE1959">
        <w:rPr>
          <w:rFonts w:ascii="Times New Roman" w:eastAsia="Times New Roman" w:hAnsi="Times New Roman" w:cs="Times New Roman"/>
          <w:sz w:val="24"/>
          <w:szCs w:val="24"/>
          <w:lang w:val="uk-UA"/>
        </w:rPr>
        <w:t>, мож</w:t>
      </w:r>
      <w:r w:rsidR="008C5C43" w:rsidRPr="00BE1959">
        <w:rPr>
          <w:rFonts w:ascii="Times New Roman" w:eastAsia="Times New Roman" w:hAnsi="Times New Roman" w:cs="Times New Roman"/>
          <w:sz w:val="24"/>
          <w:szCs w:val="24"/>
          <w:lang w:val="uk-UA"/>
        </w:rPr>
        <w:t>уть</w:t>
      </w:r>
      <w:r w:rsidRPr="00BE1959">
        <w:rPr>
          <w:rFonts w:ascii="Times New Roman" w:eastAsia="Times New Roman" w:hAnsi="Times New Roman" w:cs="Times New Roman"/>
          <w:sz w:val="24"/>
          <w:szCs w:val="24"/>
          <w:lang w:val="uk-UA"/>
        </w:rPr>
        <w:t xml:space="preserve"> бути у будь-який момент відкликан</w:t>
      </w:r>
      <w:r w:rsidR="008C5C43" w:rsidRPr="00BE1959">
        <w:rPr>
          <w:rFonts w:ascii="Times New Roman" w:eastAsia="Times New Roman" w:hAnsi="Times New Roman" w:cs="Times New Roman"/>
          <w:sz w:val="24"/>
          <w:szCs w:val="24"/>
          <w:lang w:val="uk-UA"/>
        </w:rPr>
        <w:t>і</w:t>
      </w:r>
      <w:r w:rsidRPr="00BE1959">
        <w:rPr>
          <w:rFonts w:ascii="Times New Roman" w:eastAsia="Times New Roman" w:hAnsi="Times New Roman" w:cs="Times New Roman"/>
          <w:sz w:val="24"/>
          <w:szCs w:val="24"/>
          <w:lang w:val="uk-UA"/>
        </w:rPr>
        <w:t xml:space="preserve"> Європей</w:t>
      </w:r>
      <w:r w:rsidR="008C5C43" w:rsidRPr="00BE1959">
        <w:rPr>
          <w:rFonts w:ascii="Times New Roman" w:eastAsia="Times New Roman" w:hAnsi="Times New Roman" w:cs="Times New Roman"/>
          <w:sz w:val="24"/>
          <w:szCs w:val="24"/>
          <w:lang w:val="uk-UA"/>
        </w:rPr>
        <w:t xml:space="preserve">ським Парламентом або Радою. Рішення про відкликання припиняє делегування повноважень, зазначених у цьому рішенні. Воно набирає чинності на наступний день після публікації рішення в «Офіційному віснику Європейського </w:t>
      </w:r>
      <w:r w:rsidR="00432637" w:rsidRPr="00BE1959">
        <w:rPr>
          <w:rFonts w:ascii="Times New Roman" w:eastAsia="Times New Roman" w:hAnsi="Times New Roman" w:cs="Times New Roman"/>
          <w:sz w:val="24"/>
          <w:szCs w:val="24"/>
          <w:lang w:val="uk-UA"/>
        </w:rPr>
        <w:t>Союзу» або в інший день, зазначений у рішенні. Це рішення не впливає на чинність будь-яких делегованих актів, які вже є чинними.</w:t>
      </w:r>
    </w:p>
    <w:p w:rsidR="005613AB" w:rsidRPr="00BE1959" w:rsidRDefault="005613AB" w:rsidP="00886072">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4.   </w:t>
      </w:r>
      <w:r w:rsidR="00432637" w:rsidRPr="00BE1959">
        <w:rPr>
          <w:rFonts w:ascii="Times New Roman" w:eastAsia="Times New Roman" w:hAnsi="Times New Roman" w:cs="Times New Roman"/>
          <w:sz w:val="24"/>
          <w:szCs w:val="24"/>
          <w:lang w:val="uk-UA"/>
        </w:rPr>
        <w:t>Негайно після прийняття делегованого акту Комісія одночасно доводить його до відома Європейського Парламенту і Ради.</w:t>
      </w:r>
    </w:p>
    <w:p w:rsidR="005613AB" w:rsidRPr="00BE1959" w:rsidRDefault="005613AB" w:rsidP="009B68A3">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5.   </w:t>
      </w:r>
      <w:r w:rsidR="00886072" w:rsidRPr="00BE1959">
        <w:rPr>
          <w:rFonts w:ascii="Times New Roman" w:eastAsia="Times New Roman" w:hAnsi="Times New Roman" w:cs="Times New Roman"/>
          <w:sz w:val="24"/>
          <w:szCs w:val="24"/>
          <w:lang w:val="uk-UA"/>
        </w:rPr>
        <w:t xml:space="preserve">Делегований акт, прийнятий відповідно до </w:t>
      </w:r>
      <w:r w:rsidR="009B68A3" w:rsidRPr="00BE1959">
        <w:rPr>
          <w:rFonts w:ascii="Times New Roman" w:eastAsia="Times New Roman" w:hAnsi="Times New Roman" w:cs="Times New Roman"/>
          <w:sz w:val="24"/>
          <w:szCs w:val="24"/>
          <w:lang w:val="uk-UA"/>
        </w:rPr>
        <w:t>статті 2(3), другого абзацу статті 4(1)(2), статті 4(2), статті 13(1), статті 16(12), статті 23(4), статті 24(13), статті 25(8), статті 27(9), статті 28(3), статті 30(5), статті 31(4), статті 32(4), статті 33(8), статті 52(4), статті 54(4), статті 58(6), статті 64(7), статті 65(7) та статті 79(8)</w:t>
      </w:r>
      <w:r w:rsidR="00886072" w:rsidRPr="00BE1959">
        <w:rPr>
          <w:rFonts w:ascii="Times New Roman" w:eastAsia="Times New Roman" w:hAnsi="Times New Roman" w:cs="Times New Roman"/>
          <w:sz w:val="24"/>
          <w:szCs w:val="24"/>
          <w:lang w:val="uk-UA"/>
        </w:rPr>
        <w:t>, набирає чинності тільки за умови, що ані Європейський Парламент, ані Рада не висунули заперечення впродовж трьох місяців з моменту доведення акту до відома Європейського Парламенту або Ради, або якщо до закінчення цього періоду і Європейський Парламент, і Рада повідомили Комісії про відсутність у них заперечень. Цей термін продовжується на три місяці за ініціативою Європейського Парламенту і Ради.</w:t>
      </w:r>
    </w:p>
    <w:p w:rsidR="009B68A3" w:rsidRPr="00BE1959" w:rsidRDefault="009B68A3" w:rsidP="009B68A3">
      <w:pPr>
        <w:spacing w:before="120" w:after="0" w:line="312" w:lineRule="atLeast"/>
        <w:jc w:val="both"/>
        <w:textAlignment w:val="baseline"/>
        <w:rPr>
          <w:rFonts w:ascii="Times New Roman" w:eastAsia="Times New Roman" w:hAnsi="Times New Roman" w:cs="Times New Roman"/>
          <w:sz w:val="24"/>
          <w:szCs w:val="24"/>
          <w:lang w:val="uk-UA"/>
        </w:rPr>
      </w:pPr>
    </w:p>
    <w:p w:rsidR="009B68A3" w:rsidRPr="00BE1959" w:rsidRDefault="009B68A3" w:rsidP="009B68A3">
      <w:pPr>
        <w:spacing w:before="120" w:after="0" w:line="312" w:lineRule="atLeast"/>
        <w:jc w:val="both"/>
        <w:textAlignment w:val="baseline"/>
        <w:rPr>
          <w:rFonts w:ascii="Times New Roman" w:eastAsia="Times New Roman" w:hAnsi="Times New Roman" w:cs="Times New Roman"/>
          <w:sz w:val="24"/>
          <w:szCs w:val="24"/>
          <w:lang w:val="uk-UA"/>
        </w:rPr>
      </w:pPr>
    </w:p>
    <w:p w:rsidR="009B68A3" w:rsidRPr="00BE1959" w:rsidRDefault="009B68A3" w:rsidP="009B68A3">
      <w:pPr>
        <w:spacing w:before="120" w:after="0" w:line="312" w:lineRule="atLeast"/>
        <w:jc w:val="both"/>
        <w:textAlignment w:val="baseline"/>
        <w:rPr>
          <w:rFonts w:ascii="Times New Roman" w:eastAsia="Times New Roman" w:hAnsi="Times New Roman" w:cs="Times New Roman"/>
          <w:sz w:val="24"/>
          <w:szCs w:val="24"/>
          <w:lang w:val="uk-UA"/>
        </w:rPr>
      </w:pPr>
    </w:p>
    <w:p w:rsidR="009B68A3" w:rsidRPr="00BE1959" w:rsidRDefault="009B68A3" w:rsidP="009B68A3">
      <w:pPr>
        <w:spacing w:before="120" w:after="0" w:line="312" w:lineRule="atLeast"/>
        <w:jc w:val="both"/>
        <w:textAlignment w:val="baseline"/>
        <w:rPr>
          <w:rFonts w:ascii="Times New Roman" w:eastAsia="Times New Roman" w:hAnsi="Times New Roman" w:cs="Times New Roman"/>
          <w:sz w:val="24"/>
          <w:szCs w:val="24"/>
          <w:lang w:val="uk-UA"/>
        </w:rPr>
      </w:pPr>
    </w:p>
    <w:p w:rsidR="00262A43" w:rsidRPr="00BE1959" w:rsidRDefault="00262A43" w:rsidP="005613AB">
      <w:pPr>
        <w:spacing w:after="0" w:line="312" w:lineRule="atLeast"/>
        <w:jc w:val="center"/>
        <w:textAlignment w:val="baseline"/>
        <w:rPr>
          <w:rFonts w:ascii="Times New Roman" w:eastAsia="Times New Roman" w:hAnsi="Times New Roman" w:cs="Times New Roman"/>
          <w:b/>
          <w:bCs/>
          <w:sz w:val="24"/>
          <w:szCs w:val="24"/>
          <w:bdr w:val="none" w:sz="0" w:space="0" w:color="auto" w:frame="1"/>
          <w:lang w:val="uk-UA"/>
        </w:rPr>
      </w:pPr>
    </w:p>
    <w:p w:rsidR="005613AB" w:rsidRPr="00BE1959" w:rsidRDefault="00262A43" w:rsidP="005613AB">
      <w:pPr>
        <w:spacing w:after="0" w:line="312" w:lineRule="atLeast"/>
        <w:jc w:val="center"/>
        <w:textAlignment w:val="baseline"/>
        <w:rPr>
          <w:rFonts w:ascii="Times New Roman" w:eastAsia="Times New Roman" w:hAnsi="Times New Roman" w:cs="Times New Roman"/>
          <w:b/>
          <w:bCs/>
          <w:sz w:val="24"/>
          <w:szCs w:val="24"/>
          <w:lang w:val="uk-UA"/>
        </w:rPr>
      </w:pPr>
      <w:r w:rsidRPr="00BE1959">
        <w:rPr>
          <w:rFonts w:ascii="Times New Roman" w:eastAsia="Times New Roman" w:hAnsi="Times New Roman" w:cs="Times New Roman"/>
          <w:b/>
          <w:bCs/>
          <w:sz w:val="24"/>
          <w:szCs w:val="24"/>
          <w:bdr w:val="none" w:sz="0" w:space="0" w:color="auto" w:frame="1"/>
          <w:lang w:val="uk-UA"/>
        </w:rPr>
        <w:lastRenderedPageBreak/>
        <w:t>ПРИКІНЦЕВІ ПОЛОЖЕННЯ</w:t>
      </w:r>
    </w:p>
    <w:p w:rsidR="005613AB" w:rsidRPr="00BE1959" w:rsidRDefault="00162A11" w:rsidP="005613AB">
      <w:pPr>
        <w:spacing w:before="360" w:after="120" w:line="312" w:lineRule="atLeast"/>
        <w:jc w:val="center"/>
        <w:textAlignment w:val="baseline"/>
        <w:rPr>
          <w:rFonts w:ascii="Times New Roman" w:eastAsia="Times New Roman" w:hAnsi="Times New Roman" w:cs="Times New Roman"/>
          <w:i/>
          <w:iCs/>
          <w:sz w:val="24"/>
          <w:szCs w:val="24"/>
          <w:lang w:val="uk-UA"/>
        </w:rPr>
      </w:pPr>
      <w:r w:rsidRPr="00BE1959">
        <w:rPr>
          <w:rFonts w:ascii="Times New Roman" w:eastAsia="Times New Roman" w:hAnsi="Times New Roman" w:cs="Times New Roman"/>
          <w:i/>
          <w:iCs/>
          <w:sz w:val="24"/>
          <w:szCs w:val="24"/>
          <w:lang w:val="uk-UA"/>
        </w:rPr>
        <w:t>Стаття</w:t>
      </w:r>
      <w:r w:rsidR="005613AB" w:rsidRPr="00BE1959">
        <w:rPr>
          <w:rFonts w:ascii="Times New Roman" w:eastAsia="Times New Roman" w:hAnsi="Times New Roman" w:cs="Times New Roman"/>
          <w:i/>
          <w:iCs/>
          <w:sz w:val="24"/>
          <w:szCs w:val="24"/>
          <w:lang w:val="uk-UA"/>
        </w:rPr>
        <w:t xml:space="preserve"> 90</w:t>
      </w:r>
    </w:p>
    <w:p w:rsidR="005613AB" w:rsidRPr="00BE1959" w:rsidRDefault="00493E23" w:rsidP="005613AB">
      <w:pPr>
        <w:spacing w:before="60" w:after="120" w:line="312" w:lineRule="atLeast"/>
        <w:jc w:val="center"/>
        <w:textAlignment w:val="baseline"/>
        <w:rPr>
          <w:rFonts w:ascii="Times New Roman" w:eastAsia="Times New Roman" w:hAnsi="Times New Roman" w:cs="Times New Roman"/>
          <w:b/>
          <w:bCs/>
          <w:sz w:val="24"/>
          <w:szCs w:val="24"/>
          <w:lang w:val="uk-UA"/>
        </w:rPr>
      </w:pPr>
      <w:r w:rsidRPr="00BE1959">
        <w:rPr>
          <w:rFonts w:ascii="Times New Roman" w:eastAsia="Times New Roman" w:hAnsi="Times New Roman" w:cs="Times New Roman"/>
          <w:b/>
          <w:bCs/>
          <w:sz w:val="24"/>
          <w:szCs w:val="24"/>
          <w:lang w:val="uk-UA"/>
        </w:rPr>
        <w:t>Звіти та перегляд</w:t>
      </w:r>
    </w:p>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1.   </w:t>
      </w:r>
      <w:r w:rsidR="007A72A0" w:rsidRPr="00BE1959">
        <w:rPr>
          <w:rFonts w:ascii="Times New Roman" w:eastAsia="Times New Roman" w:hAnsi="Times New Roman" w:cs="Times New Roman"/>
          <w:sz w:val="24"/>
          <w:szCs w:val="24"/>
          <w:lang w:val="uk-UA"/>
        </w:rPr>
        <w:t>До 3 березня 2019 року Комісія, після консультацій з ESMA, подає Європейському Парламенту і Раді доповідь із наступних питань:</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9093"/>
      </w:tblGrid>
      <w:tr w:rsidR="005613AB" w:rsidRPr="00BE1959"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7A72A0" w:rsidP="007A72A0">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функціонування ОТМ, у тому числі застосування ними зустрічної торгівлі за власний рахунок, з урахуванням досвіду нагляду, набутого компетентними органами, кількості ОТМ у Союзі, що мають відповідний дозвіл, та їхньої частки ринку, зокрема, вивчення необхідності внесення змін у визначення ОТМ, а також того, чи залишається номенклатура фінансових інструментів, охоплена категорією ОТМ, доречною;</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40D4C" w:rsidRPr="00BE1959" w:rsidRDefault="00640D4C"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функціонування режиму для ринків МСП, що розвиваються, з урахуванням БТМ, зареєстрованих як ринки МСП, що розвиваються, кількості емітентів, присутніх на них, та відповідних обсягів торгівлі;</w:t>
            </w:r>
          </w:p>
          <w:p w:rsidR="005613AB" w:rsidRPr="00BE1959" w:rsidRDefault="00640D4C" w:rsidP="00640D4C">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Зокрема, у звіті оцінюється, чи залишається поріг, зазначений у пп. (а) статті 33(3), належним мінімумом для досягнення цілей щодо ринків МСП, що розвиваються, визначених у цій директиві;</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9093"/>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651EA8" w:rsidP="00651EA8">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вплив вимог щодо алгоритмічної торгівлі, зокрема високочастотної алгоритмічної торгівлі;</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C56CFE" w:rsidP="00C56CFE">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досвід використання механізму заборони певних продуктів або практичних методів, з урахуванням кількості випадків застосування таких механізмів та їхніх наслідків;</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9093"/>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(e)</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A00832" w:rsidP="00A00832">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застосування адміністративних і кримінальних санкцій, зокрема необхідність подальшої гармонізації адміністративних санкцій, установлених за порушення вимог, викладених у цій директиві та у</w:t>
            </w:r>
            <w:r w:rsidR="00270867" w:rsidRPr="00BE1959">
              <w:rPr>
                <w:rFonts w:ascii="Times New Roman" w:eastAsia="Times New Roman" w:hAnsi="Times New Roman" w:cs="Times New Roman"/>
                <w:sz w:val="24"/>
                <w:szCs w:val="24"/>
                <w:lang w:val="uk-UA"/>
              </w:rPr>
              <w:t xml:space="preserve"> Регламенті</w:t>
            </w:r>
            <w:r w:rsidR="005613AB" w:rsidRPr="00BE1959">
              <w:rPr>
                <w:rFonts w:ascii="Times New Roman" w:eastAsia="Times New Roman" w:hAnsi="Times New Roman" w:cs="Times New Roman"/>
                <w:sz w:val="24"/>
                <w:szCs w:val="24"/>
                <w:lang w:val="uk-UA"/>
              </w:rPr>
              <w:t xml:space="preserve"> </w:t>
            </w:r>
            <w:r w:rsidR="007B0149" w:rsidRPr="00BE1959">
              <w:rPr>
                <w:rFonts w:ascii="Times New Roman" w:eastAsia="Times New Roman" w:hAnsi="Times New Roman" w:cs="Times New Roman"/>
                <w:sz w:val="24"/>
                <w:szCs w:val="24"/>
                <w:lang w:val="uk-UA"/>
              </w:rPr>
              <w:t>(EU) № 600/2014</w:t>
            </w:r>
            <w:r w:rsidR="005613AB" w:rsidRPr="00BE1959">
              <w:rPr>
                <w:rFonts w:ascii="Times New Roman" w:eastAsia="Times New Roman" w:hAnsi="Times New Roman" w:cs="Times New Roman"/>
                <w:sz w:val="24"/>
                <w:szCs w:val="24"/>
                <w:lang w:val="uk-UA"/>
              </w:rPr>
              <w:t>;</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912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(f)</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A00832" w:rsidP="006F73B4">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вплив застосування лімітів позицій та управління позиціями щодо ліквідності, </w:t>
            </w:r>
            <w:r w:rsidR="006F73B4" w:rsidRPr="00BE1959">
              <w:rPr>
                <w:rFonts w:ascii="Times New Roman" w:eastAsia="Times New Roman" w:hAnsi="Times New Roman" w:cs="Times New Roman"/>
                <w:sz w:val="24"/>
                <w:szCs w:val="24"/>
                <w:lang w:val="uk-UA"/>
              </w:rPr>
              <w:t>зловживання на ринку і упорядковані умови ціноутворення та розрахунків на ринках товарних деривативів;</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(g)</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6F73B4" w:rsidP="006F73B4">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динаміка цін щодо попередніх і фактичних даних про прозорість торгівлі на регульованих ринках, БТМ, ОТМ і у ЗМП;</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DE3173"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(h)</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C56AF8" w:rsidP="001B53CF">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вплив вимоги про розголошення гонорарів, комісійних та негрошових вигід у зв'язку з наданням </w:t>
            </w:r>
            <w:r w:rsidR="001B53CF" w:rsidRPr="00BE1959">
              <w:rPr>
                <w:rFonts w:ascii="Times New Roman" w:eastAsia="Times New Roman" w:hAnsi="Times New Roman" w:cs="Times New Roman"/>
                <w:sz w:val="24"/>
                <w:szCs w:val="24"/>
                <w:lang w:val="uk-UA"/>
              </w:rPr>
              <w:t>інвестиційної послуги або додаткової послуги клієнтові відповідно до статті 24(9), зокрема вплив цієї вимоги на належне функціонування внутрішнього ринку міжнародних інвестиційних порад.</w:t>
            </w:r>
          </w:p>
        </w:tc>
      </w:tr>
    </w:tbl>
    <w:p w:rsidR="005613AB" w:rsidRPr="00BE1959" w:rsidRDefault="005613AB" w:rsidP="00531DA9">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lastRenderedPageBreak/>
        <w:t>2.   </w:t>
      </w:r>
      <w:r w:rsidR="00877302" w:rsidRPr="00BE1959">
        <w:rPr>
          <w:rFonts w:ascii="Times New Roman" w:eastAsia="Times New Roman" w:hAnsi="Times New Roman" w:cs="Times New Roman"/>
          <w:sz w:val="24"/>
          <w:szCs w:val="24"/>
          <w:lang w:val="uk-UA"/>
        </w:rPr>
        <w:t xml:space="preserve">Комісія після консультацій з ESMA, подає Європейському Парламенту і Раді звіти про функціонування </w:t>
      </w:r>
      <w:r w:rsidR="00531DA9" w:rsidRPr="00BE1959">
        <w:rPr>
          <w:rFonts w:ascii="Times New Roman" w:eastAsia="Times New Roman" w:hAnsi="Times New Roman" w:cs="Times New Roman"/>
          <w:sz w:val="24"/>
          <w:szCs w:val="24"/>
          <w:lang w:val="uk-UA"/>
        </w:rPr>
        <w:t xml:space="preserve">механізму </w:t>
      </w:r>
      <w:r w:rsidR="00877302" w:rsidRPr="00BE1959">
        <w:rPr>
          <w:rFonts w:ascii="Times New Roman" w:eastAsia="Times New Roman" w:hAnsi="Times New Roman" w:cs="Times New Roman"/>
          <w:sz w:val="24"/>
          <w:szCs w:val="24"/>
          <w:lang w:val="uk-UA"/>
        </w:rPr>
        <w:t>зведення</w:t>
      </w:r>
      <w:r w:rsidR="00531DA9" w:rsidRPr="00BE1959">
        <w:rPr>
          <w:rFonts w:ascii="Times New Roman" w:eastAsia="Times New Roman" w:hAnsi="Times New Roman" w:cs="Times New Roman"/>
          <w:sz w:val="24"/>
          <w:szCs w:val="24"/>
          <w:lang w:val="uk-UA"/>
        </w:rPr>
        <w:t xml:space="preserve"> даних, запровадженого відповідно до розділу</w:t>
      </w:r>
      <w:r w:rsidRPr="00BE1959">
        <w:rPr>
          <w:rFonts w:ascii="Times New Roman" w:eastAsia="Times New Roman" w:hAnsi="Times New Roman" w:cs="Times New Roman"/>
          <w:sz w:val="24"/>
          <w:szCs w:val="24"/>
          <w:lang w:val="uk-UA"/>
        </w:rPr>
        <w:t xml:space="preserve"> V. </w:t>
      </w:r>
      <w:r w:rsidR="00531DA9" w:rsidRPr="00BE1959">
        <w:rPr>
          <w:rFonts w:ascii="Times New Roman" w:eastAsia="Times New Roman" w:hAnsi="Times New Roman" w:cs="Times New Roman"/>
          <w:sz w:val="24"/>
          <w:szCs w:val="24"/>
          <w:lang w:val="uk-UA"/>
        </w:rPr>
        <w:t>Звіт стосовно статті 65(1) подається до 3 вересня 2018 року. Звіт стосовно статті 65(2) подається до 3 вересня 2020 року.</w:t>
      </w:r>
    </w:p>
    <w:p w:rsidR="005613AB" w:rsidRPr="00BE1959" w:rsidRDefault="00BC7D81" w:rsidP="00BC7D81">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У звітах, згаданих у першому абзаці цього пункту, оцінюється функціонування механізму зведення даних за наступними критеріями:</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9093"/>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BC7D81" w:rsidP="00BC7D81">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наявність і своєчасність інформації за результатами торгівлі у зведеному форматі, який охоплює всі угоди незалежно від того, виконувалися вони на торговельних майданчиках чи ні;</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DE3173"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BC7D81" w:rsidP="001A7463">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наявність і своєчасність </w:t>
            </w:r>
            <w:r w:rsidR="001A52D0" w:rsidRPr="00BE1959">
              <w:rPr>
                <w:rFonts w:ascii="Times New Roman" w:eastAsia="Times New Roman" w:hAnsi="Times New Roman" w:cs="Times New Roman"/>
                <w:sz w:val="24"/>
                <w:szCs w:val="24"/>
                <w:lang w:val="uk-UA"/>
              </w:rPr>
              <w:t xml:space="preserve">повної та часткової високоякісної інформації за результатами торгівлі </w:t>
            </w:r>
            <w:r w:rsidR="001A7463" w:rsidRPr="00BE1959">
              <w:rPr>
                <w:rFonts w:ascii="Times New Roman" w:eastAsia="Times New Roman" w:hAnsi="Times New Roman" w:cs="Times New Roman"/>
                <w:sz w:val="24"/>
                <w:szCs w:val="24"/>
                <w:lang w:val="uk-UA"/>
              </w:rPr>
              <w:t>у форматах, які є легкодоступними та придатними для використання учасниками ринку, і на розумних комерційних засадах.</w:t>
            </w:r>
          </w:p>
        </w:tc>
      </w:tr>
    </w:tbl>
    <w:p w:rsidR="005613AB" w:rsidRPr="00BE1959" w:rsidRDefault="005A518B" w:rsidP="005613AB">
      <w:pPr>
        <w:spacing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Якщо Комісія вирішила, що НЗД не надали інформацію у спосіб, що відповідає критеріям, установленим у другому абзаці, то Комісія супроводжує свій звіт вимогою до ESMA щодо </w:t>
      </w:r>
      <w:r w:rsidR="009D0023" w:rsidRPr="00BE1959">
        <w:rPr>
          <w:rFonts w:ascii="Times New Roman" w:eastAsia="Times New Roman" w:hAnsi="Times New Roman" w:cs="Times New Roman"/>
          <w:sz w:val="24"/>
          <w:szCs w:val="24"/>
          <w:lang w:val="uk-UA"/>
        </w:rPr>
        <w:t>початку договірної процедури призначення, через процес державних закупівель, очолюваний ESMA, комерційної структури</w:t>
      </w:r>
      <w:r w:rsidR="004819CE" w:rsidRPr="00BE1959">
        <w:rPr>
          <w:rFonts w:ascii="Times New Roman" w:eastAsia="Times New Roman" w:hAnsi="Times New Roman" w:cs="Times New Roman"/>
          <w:sz w:val="24"/>
          <w:szCs w:val="24"/>
          <w:lang w:val="uk-UA"/>
        </w:rPr>
        <w:t xml:space="preserve"> для експлуатації механізму надання зведених даних. ESMA починає цю процедуру після отримання від Комісії запиту на умовах,</w:t>
      </w:r>
      <w:r w:rsidR="000D25FE" w:rsidRPr="00BE1959">
        <w:rPr>
          <w:rFonts w:ascii="Times New Roman" w:eastAsia="Times New Roman" w:hAnsi="Times New Roman" w:cs="Times New Roman"/>
          <w:sz w:val="24"/>
          <w:szCs w:val="24"/>
          <w:lang w:val="uk-UA"/>
        </w:rPr>
        <w:t xml:space="preserve"> зазначених у запиті Комісії, та відповідно до Регламенту</w:t>
      </w:r>
      <w:r w:rsidR="005613AB" w:rsidRPr="00BE1959">
        <w:rPr>
          <w:rFonts w:ascii="Times New Roman" w:eastAsia="Times New Roman" w:hAnsi="Times New Roman" w:cs="Times New Roman"/>
          <w:sz w:val="24"/>
          <w:szCs w:val="24"/>
          <w:lang w:val="uk-UA"/>
        </w:rPr>
        <w:t xml:space="preserve"> (EU, Euratom) </w:t>
      </w:r>
      <w:r w:rsidR="000D25FE" w:rsidRPr="00BE1959">
        <w:rPr>
          <w:rFonts w:ascii="Times New Roman" w:eastAsia="Times New Roman" w:hAnsi="Times New Roman" w:cs="Times New Roman"/>
          <w:sz w:val="24"/>
          <w:szCs w:val="24"/>
          <w:lang w:val="uk-UA"/>
        </w:rPr>
        <w:t>№</w:t>
      </w:r>
      <w:r w:rsidR="005613AB" w:rsidRPr="00BE1959">
        <w:rPr>
          <w:rFonts w:ascii="Times New Roman" w:eastAsia="Times New Roman" w:hAnsi="Times New Roman" w:cs="Times New Roman"/>
          <w:sz w:val="24"/>
          <w:szCs w:val="24"/>
          <w:lang w:val="uk-UA"/>
        </w:rPr>
        <w:t xml:space="preserve"> 966/2012 </w:t>
      </w:r>
      <w:r w:rsidR="00423154" w:rsidRPr="00BE1959">
        <w:rPr>
          <w:rFonts w:ascii="Times New Roman" w:eastAsia="Times New Roman" w:hAnsi="Times New Roman" w:cs="Times New Roman"/>
          <w:sz w:val="24"/>
          <w:szCs w:val="24"/>
          <w:lang w:val="uk-UA"/>
        </w:rPr>
        <w:t>Європейського Парламенту та Ради</w:t>
      </w:r>
      <w:hyperlink r:id="rId55" w:anchor="ntr50-L_2014173EN.01034901-E0050" w:history="1">
        <w:r w:rsidR="005613AB" w:rsidRPr="00BE1959">
          <w:rPr>
            <w:rFonts w:ascii="Times New Roman" w:eastAsia="Times New Roman" w:hAnsi="Times New Roman" w:cs="Times New Roman"/>
            <w:sz w:val="24"/>
            <w:szCs w:val="24"/>
            <w:bdr w:val="none" w:sz="0" w:space="0" w:color="auto" w:frame="1"/>
            <w:lang w:val="uk-UA"/>
          </w:rPr>
          <w:t> (</w:t>
        </w:r>
        <w:r w:rsidR="005613AB" w:rsidRPr="00BE1959">
          <w:rPr>
            <w:rFonts w:ascii="Times New Roman" w:eastAsia="Times New Roman" w:hAnsi="Times New Roman" w:cs="Times New Roman"/>
            <w:sz w:val="24"/>
            <w:szCs w:val="24"/>
            <w:bdr w:val="none" w:sz="0" w:space="0" w:color="auto" w:frame="1"/>
            <w:vertAlign w:val="superscript"/>
            <w:lang w:val="uk-UA"/>
          </w:rPr>
          <w:t>50</w:t>
        </w:r>
        <w:r w:rsidR="005613AB" w:rsidRPr="00BE1959">
          <w:rPr>
            <w:rFonts w:ascii="Times New Roman" w:eastAsia="Times New Roman" w:hAnsi="Times New Roman" w:cs="Times New Roman"/>
            <w:sz w:val="24"/>
            <w:szCs w:val="24"/>
            <w:bdr w:val="none" w:sz="0" w:space="0" w:color="auto" w:frame="1"/>
            <w:lang w:val="uk-UA"/>
          </w:rPr>
          <w:t>)</w:t>
        </w:r>
      </w:hyperlink>
      <w:r w:rsidR="005613AB" w:rsidRPr="00BE1959">
        <w:rPr>
          <w:rFonts w:ascii="Times New Roman" w:eastAsia="Times New Roman" w:hAnsi="Times New Roman" w:cs="Times New Roman"/>
          <w:sz w:val="24"/>
          <w:szCs w:val="24"/>
          <w:lang w:val="uk-UA"/>
        </w:rPr>
        <w:t>.</w:t>
      </w:r>
    </w:p>
    <w:p w:rsidR="005613AB" w:rsidRPr="00BE1959" w:rsidRDefault="005613AB" w:rsidP="00107659">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3.   </w:t>
      </w:r>
      <w:r w:rsidR="000D25FE" w:rsidRPr="00BE1959">
        <w:rPr>
          <w:rFonts w:ascii="Times New Roman" w:eastAsia="Times New Roman" w:hAnsi="Times New Roman" w:cs="Times New Roman"/>
          <w:sz w:val="24"/>
          <w:szCs w:val="24"/>
          <w:lang w:val="uk-UA"/>
        </w:rPr>
        <w:t>У випадку ініціювання процедури, окресленої у пункті 2, Комісія уповноважується на прийняття делегованих актів відповідно до статті 89</w:t>
      </w:r>
      <w:r w:rsidR="00107659" w:rsidRPr="00BE1959">
        <w:rPr>
          <w:rFonts w:ascii="Times New Roman" w:eastAsia="Times New Roman" w:hAnsi="Times New Roman" w:cs="Times New Roman"/>
          <w:sz w:val="24"/>
          <w:szCs w:val="24"/>
          <w:lang w:val="uk-UA"/>
        </w:rPr>
        <w:t>, якими вноситимуться зміни у статті 59-65 та розділ D Додатку І цієї директиви та у пп. (19)</w:t>
      </w:r>
      <w:r w:rsidRPr="00BE1959">
        <w:rPr>
          <w:rFonts w:ascii="Times New Roman" w:eastAsia="Times New Roman" w:hAnsi="Times New Roman" w:cs="Times New Roman"/>
          <w:sz w:val="24"/>
          <w:szCs w:val="24"/>
          <w:lang w:val="uk-UA"/>
        </w:rPr>
        <w:t xml:space="preserve"> </w:t>
      </w:r>
      <w:r w:rsidR="0065313E" w:rsidRPr="00BE1959">
        <w:rPr>
          <w:rFonts w:ascii="Times New Roman" w:eastAsia="Times New Roman" w:hAnsi="Times New Roman" w:cs="Times New Roman"/>
          <w:sz w:val="24"/>
          <w:szCs w:val="24"/>
          <w:lang w:val="uk-UA"/>
        </w:rPr>
        <w:t>статті</w:t>
      </w:r>
      <w:r w:rsidRPr="00BE1959">
        <w:rPr>
          <w:rFonts w:ascii="Times New Roman" w:eastAsia="Times New Roman" w:hAnsi="Times New Roman" w:cs="Times New Roman"/>
          <w:sz w:val="24"/>
          <w:szCs w:val="24"/>
          <w:lang w:val="uk-UA"/>
        </w:rPr>
        <w:t xml:space="preserve"> 2(1) </w:t>
      </w:r>
      <w:r w:rsidR="008824AE" w:rsidRPr="00BE1959">
        <w:rPr>
          <w:rFonts w:ascii="Times New Roman" w:eastAsia="Times New Roman" w:hAnsi="Times New Roman" w:cs="Times New Roman"/>
          <w:sz w:val="24"/>
          <w:szCs w:val="24"/>
          <w:lang w:val="uk-UA"/>
        </w:rPr>
        <w:t>Регламенту</w:t>
      </w:r>
      <w:r w:rsidRPr="00BE1959">
        <w:rPr>
          <w:rFonts w:ascii="Times New Roman" w:eastAsia="Times New Roman" w:hAnsi="Times New Roman" w:cs="Times New Roman"/>
          <w:sz w:val="24"/>
          <w:szCs w:val="24"/>
          <w:lang w:val="uk-UA"/>
        </w:rPr>
        <w:t xml:space="preserve"> </w:t>
      </w:r>
      <w:r w:rsidR="007B0149" w:rsidRPr="00BE1959">
        <w:rPr>
          <w:rFonts w:ascii="Times New Roman" w:eastAsia="Times New Roman" w:hAnsi="Times New Roman" w:cs="Times New Roman"/>
          <w:sz w:val="24"/>
          <w:szCs w:val="24"/>
          <w:lang w:val="uk-UA"/>
        </w:rPr>
        <w:t>(EU) № 600/2014</w:t>
      </w:r>
      <w:r w:rsidR="00107659" w:rsidRPr="00BE1959">
        <w:rPr>
          <w:rFonts w:ascii="Times New Roman" w:eastAsia="Times New Roman" w:hAnsi="Times New Roman" w:cs="Times New Roman"/>
          <w:sz w:val="24"/>
          <w:szCs w:val="24"/>
          <w:lang w:val="uk-UA"/>
        </w:rPr>
        <w:t xml:space="preserve"> шляхом визначення заходів із метою:</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9093"/>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107659" w:rsidP="001A7463">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передбачити термін дії контракту комерційної структури, </w:t>
            </w:r>
            <w:r w:rsidR="001A7463" w:rsidRPr="00BE1959">
              <w:rPr>
                <w:rFonts w:ascii="Times New Roman" w:eastAsia="Times New Roman" w:hAnsi="Times New Roman" w:cs="Times New Roman"/>
                <w:sz w:val="24"/>
                <w:szCs w:val="24"/>
                <w:lang w:val="uk-UA"/>
              </w:rPr>
              <w:t>експлуатуючої механізм надання зведених даних</w:t>
            </w:r>
            <w:r w:rsidRPr="00BE1959">
              <w:rPr>
                <w:rFonts w:ascii="Times New Roman" w:eastAsia="Times New Roman" w:hAnsi="Times New Roman" w:cs="Times New Roman"/>
                <w:sz w:val="24"/>
                <w:szCs w:val="24"/>
                <w:lang w:val="uk-UA"/>
              </w:rPr>
              <w:t>, і процес та умови продовження цього контракту й початку нових державних закупівель;</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EE42EF" w:rsidP="00EE42EF">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передбачити, що вищезазначена комерційна структура, експлуатуюча механізм надання зведених даних, робить це на ексклюзивній основі, і жоден інший суб’єкт не отримує дозвіл на діяльність у якості НЗД відповідно до статті 59;</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9093"/>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10629F" w:rsidP="0010629F">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уповноважити ESMA забезпечити виконання вищезгаданою структурою, призначеною у результаті процесу державних закупівель, умов тендеру;</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1A7463" w:rsidP="00245748">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забезпечити, щоб інформація за результатами торгівлі, надавана комерційною структурою</w:t>
            </w:r>
            <w:r w:rsidR="00245748" w:rsidRPr="00BE1959">
              <w:rPr>
                <w:rFonts w:ascii="Times New Roman" w:eastAsia="Times New Roman" w:hAnsi="Times New Roman" w:cs="Times New Roman"/>
                <w:sz w:val="24"/>
                <w:szCs w:val="24"/>
                <w:lang w:val="uk-UA"/>
              </w:rPr>
              <w:t>, експлуатуючою механізм надання зведених даних</w:t>
            </w:r>
            <w:r w:rsidRPr="00BE1959">
              <w:rPr>
                <w:rFonts w:ascii="Times New Roman" w:eastAsia="Times New Roman" w:hAnsi="Times New Roman" w:cs="Times New Roman"/>
                <w:sz w:val="24"/>
                <w:szCs w:val="24"/>
                <w:lang w:val="uk-UA"/>
              </w:rPr>
              <w:t xml:space="preserve">, мала високу якість, подавалася у форматах, які є легкодоступними та придатними для використання учасниками ринку, і </w:t>
            </w:r>
            <w:r w:rsidR="001A3371" w:rsidRPr="00BE1959">
              <w:rPr>
                <w:rFonts w:ascii="Times New Roman" w:eastAsia="Times New Roman" w:hAnsi="Times New Roman" w:cs="Times New Roman"/>
                <w:sz w:val="24"/>
                <w:szCs w:val="24"/>
                <w:lang w:val="uk-UA"/>
              </w:rPr>
              <w:t>у зведеній формі, що охоплює весь ринок;</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9093"/>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(e)</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1A3371" w:rsidP="001A3371">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забезпечити, щоб інформація за результатами торгівлі надавалася на розумних </w:t>
            </w:r>
            <w:r w:rsidRPr="00BE1959">
              <w:rPr>
                <w:rFonts w:ascii="Times New Roman" w:eastAsia="Times New Roman" w:hAnsi="Times New Roman" w:cs="Times New Roman"/>
                <w:sz w:val="24"/>
                <w:szCs w:val="24"/>
                <w:lang w:val="uk-UA"/>
              </w:rPr>
              <w:lastRenderedPageBreak/>
              <w:t>комерційних засадах, у зведеній та незведеній формі, та задовольняла потреби користувачів цієї інформації на всій території Союзу;</w:t>
            </w:r>
            <w:r w:rsidR="00245748" w:rsidRPr="00BE1959">
              <w:rPr>
                <w:rFonts w:ascii="Times New Roman" w:eastAsia="Times New Roman" w:hAnsi="Times New Roman" w:cs="Times New Roman"/>
                <w:sz w:val="24"/>
                <w:szCs w:val="24"/>
                <w:lang w:val="uk-UA"/>
              </w:rPr>
              <w:t xml:space="preserve"> </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9120"/>
      </w:tblGrid>
      <w:tr w:rsidR="005613AB" w:rsidRPr="0043174D" w:rsidTr="00245748">
        <w:tc>
          <w:tcPr>
            <w:tcW w:w="182"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(f)</w:t>
            </w:r>
          </w:p>
        </w:tc>
        <w:tc>
          <w:tcPr>
            <w:tcW w:w="4818"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245748" w:rsidP="001F7E12">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забезпечити, щоб торговельні майданчики та ЗМП надавали свої дані про торгівлю комерційній структурі, експлуатуючій механізм надання зведених даних</w:t>
            </w:r>
            <w:r w:rsidR="001F7E12" w:rsidRPr="00BE1959">
              <w:rPr>
                <w:rFonts w:ascii="Times New Roman" w:eastAsia="Times New Roman" w:hAnsi="Times New Roman" w:cs="Times New Roman"/>
                <w:sz w:val="24"/>
                <w:szCs w:val="24"/>
                <w:lang w:val="uk-UA"/>
              </w:rPr>
              <w:t>, призначеній у результаті процесу державних закупівель, очолюваного ESMA, за розумною ціною;</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(g)</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1F7E12" w:rsidP="001F7E12">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зазначити засоби, застосовні у випадках, коли комерційна структура, експлуатуюча механізм надання зведених даних і призначена шляхом державних закупівель, не виконує умови тендеру;</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DE3173"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(h)</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873021" w:rsidP="00873021">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зазначити механізми, у яких НЗД, що отримали дозвіл згідно зі статтею 59, можуть продовжувати експлуатувати механізм надання зведених даних, якщо права, передбачені у пп. (b) цього пункту, не використовуються або, у випадку, коли у результаті державних закупівель не призначено жодної особи, до проведення нових державних закупівель і призначення комерційної структури для експлуатації механізму надання зведених даних.</w:t>
            </w:r>
          </w:p>
        </w:tc>
      </w:tr>
    </w:tbl>
    <w:p w:rsidR="005613AB" w:rsidRPr="00BE1959" w:rsidRDefault="005613AB" w:rsidP="007A043E">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4.   </w:t>
      </w:r>
      <w:r w:rsidR="0037418D" w:rsidRPr="00BE1959">
        <w:rPr>
          <w:rFonts w:ascii="Times New Roman" w:eastAsia="Times New Roman" w:hAnsi="Times New Roman" w:cs="Times New Roman"/>
          <w:sz w:val="24"/>
          <w:szCs w:val="24"/>
          <w:lang w:val="uk-UA"/>
        </w:rPr>
        <w:t xml:space="preserve">До 1 січня 2018 року Комісія готує, після консультацій з </w:t>
      </w:r>
      <w:r w:rsidRPr="00BE1959">
        <w:rPr>
          <w:rFonts w:ascii="Times New Roman" w:eastAsia="Times New Roman" w:hAnsi="Times New Roman" w:cs="Times New Roman"/>
          <w:sz w:val="24"/>
          <w:szCs w:val="24"/>
          <w:lang w:val="uk-UA"/>
        </w:rPr>
        <w:t xml:space="preserve">ESMA </w:t>
      </w:r>
      <w:r w:rsidR="0037418D" w:rsidRPr="00BE1959">
        <w:rPr>
          <w:rFonts w:ascii="Times New Roman" w:eastAsia="Times New Roman" w:hAnsi="Times New Roman" w:cs="Times New Roman"/>
          <w:sz w:val="24"/>
          <w:szCs w:val="24"/>
          <w:lang w:val="uk-UA"/>
        </w:rPr>
        <w:t>і</w:t>
      </w:r>
      <w:r w:rsidRPr="00BE1959">
        <w:rPr>
          <w:rFonts w:ascii="Times New Roman" w:eastAsia="Times New Roman" w:hAnsi="Times New Roman" w:cs="Times New Roman"/>
          <w:sz w:val="24"/>
          <w:szCs w:val="24"/>
          <w:lang w:val="uk-UA"/>
        </w:rPr>
        <w:t xml:space="preserve"> ACER, </w:t>
      </w:r>
      <w:r w:rsidR="0037418D" w:rsidRPr="00BE1959">
        <w:rPr>
          <w:rFonts w:ascii="Times New Roman" w:eastAsia="Times New Roman" w:hAnsi="Times New Roman" w:cs="Times New Roman"/>
          <w:sz w:val="24"/>
          <w:szCs w:val="24"/>
          <w:lang w:val="uk-UA"/>
        </w:rPr>
        <w:t xml:space="preserve">звіт з оцінкою потенційного впливу на ціни на енергію й на функціонування енергоринку, а також </w:t>
      </w:r>
      <w:r w:rsidR="00A62299" w:rsidRPr="00BE1959">
        <w:rPr>
          <w:rFonts w:ascii="Times New Roman" w:eastAsia="Times New Roman" w:hAnsi="Times New Roman" w:cs="Times New Roman"/>
          <w:sz w:val="24"/>
          <w:szCs w:val="24"/>
          <w:lang w:val="uk-UA"/>
        </w:rPr>
        <w:t xml:space="preserve">здійсненності та вигід зменшення ризиків контрагентів та системних ризиків і </w:t>
      </w:r>
      <w:r w:rsidR="00CB049F" w:rsidRPr="00BE1959">
        <w:rPr>
          <w:rFonts w:ascii="Times New Roman" w:eastAsia="Times New Roman" w:hAnsi="Times New Roman" w:cs="Times New Roman"/>
          <w:sz w:val="24"/>
          <w:szCs w:val="24"/>
          <w:lang w:val="uk-UA"/>
        </w:rPr>
        <w:t xml:space="preserve">поширення на </w:t>
      </w:r>
      <w:r w:rsidR="00A62299" w:rsidRPr="00BE1959">
        <w:rPr>
          <w:rFonts w:ascii="Times New Roman" w:eastAsia="Times New Roman" w:hAnsi="Times New Roman" w:cs="Times New Roman"/>
          <w:sz w:val="24"/>
          <w:szCs w:val="24"/>
          <w:lang w:val="uk-UA"/>
        </w:rPr>
        <w:t>прям</w:t>
      </w:r>
      <w:r w:rsidR="00CB049F" w:rsidRPr="00BE1959">
        <w:rPr>
          <w:rFonts w:ascii="Times New Roman" w:eastAsia="Times New Roman" w:hAnsi="Times New Roman" w:cs="Times New Roman"/>
          <w:sz w:val="24"/>
          <w:szCs w:val="24"/>
          <w:lang w:val="uk-UA"/>
        </w:rPr>
        <w:t>і</w:t>
      </w:r>
      <w:r w:rsidR="00A62299" w:rsidRPr="00BE1959">
        <w:rPr>
          <w:rFonts w:ascii="Times New Roman" w:eastAsia="Times New Roman" w:hAnsi="Times New Roman" w:cs="Times New Roman"/>
          <w:sz w:val="24"/>
          <w:szCs w:val="24"/>
          <w:lang w:val="uk-UA"/>
        </w:rPr>
        <w:t xml:space="preserve"> витрат</w:t>
      </w:r>
      <w:r w:rsidR="00CB049F" w:rsidRPr="00BE1959">
        <w:rPr>
          <w:rFonts w:ascii="Times New Roman" w:eastAsia="Times New Roman" w:hAnsi="Times New Roman" w:cs="Times New Roman"/>
          <w:sz w:val="24"/>
          <w:szCs w:val="24"/>
          <w:lang w:val="uk-UA"/>
        </w:rPr>
        <w:t>и</w:t>
      </w:r>
      <w:r w:rsidR="00A62299" w:rsidRPr="00BE1959">
        <w:rPr>
          <w:rFonts w:ascii="Times New Roman" w:eastAsia="Times New Roman" w:hAnsi="Times New Roman" w:cs="Times New Roman"/>
          <w:sz w:val="24"/>
          <w:szCs w:val="24"/>
          <w:lang w:val="uk-UA"/>
        </w:rPr>
        <w:t xml:space="preserve"> на </w:t>
      </w:r>
      <w:r w:rsidR="00CB049F" w:rsidRPr="00BE1959">
        <w:rPr>
          <w:rFonts w:ascii="Times New Roman" w:eastAsia="Times New Roman" w:hAnsi="Times New Roman" w:cs="Times New Roman"/>
          <w:sz w:val="24"/>
          <w:szCs w:val="24"/>
          <w:lang w:val="uk-UA"/>
        </w:rPr>
        <w:t>контракти на енергетичні деривативи за розділом 6</w:t>
      </w:r>
      <w:r w:rsidR="007A043E" w:rsidRPr="00BE1959">
        <w:rPr>
          <w:rFonts w:ascii="Times New Roman" w:eastAsia="Times New Roman" w:hAnsi="Times New Roman" w:cs="Times New Roman"/>
          <w:sz w:val="24"/>
          <w:szCs w:val="24"/>
          <w:lang w:val="uk-UA"/>
        </w:rPr>
        <w:t xml:space="preserve"> зобов’язання щодо клірингу, встановленого </w:t>
      </w:r>
      <w:r w:rsidR="005E1C03" w:rsidRPr="00BE1959">
        <w:rPr>
          <w:rFonts w:ascii="Times New Roman" w:eastAsia="Times New Roman" w:hAnsi="Times New Roman" w:cs="Times New Roman"/>
          <w:sz w:val="24"/>
          <w:szCs w:val="24"/>
          <w:lang w:val="uk-UA"/>
        </w:rPr>
        <w:t>у статті</w:t>
      </w:r>
      <w:r w:rsidRPr="00BE1959">
        <w:rPr>
          <w:rFonts w:ascii="Times New Roman" w:eastAsia="Times New Roman" w:hAnsi="Times New Roman" w:cs="Times New Roman"/>
          <w:sz w:val="24"/>
          <w:szCs w:val="24"/>
          <w:lang w:val="uk-UA"/>
        </w:rPr>
        <w:t xml:space="preserve"> 4 </w:t>
      </w:r>
      <w:r w:rsidR="008824AE" w:rsidRPr="00BE1959">
        <w:rPr>
          <w:rFonts w:ascii="Times New Roman" w:eastAsia="Times New Roman" w:hAnsi="Times New Roman" w:cs="Times New Roman"/>
          <w:sz w:val="24"/>
          <w:szCs w:val="24"/>
          <w:lang w:val="uk-UA"/>
        </w:rPr>
        <w:t>Регламенту</w:t>
      </w:r>
      <w:r w:rsidRPr="00BE1959">
        <w:rPr>
          <w:rFonts w:ascii="Times New Roman" w:eastAsia="Times New Roman" w:hAnsi="Times New Roman" w:cs="Times New Roman"/>
          <w:sz w:val="24"/>
          <w:szCs w:val="24"/>
          <w:lang w:val="uk-UA"/>
        </w:rPr>
        <w:t xml:space="preserve"> </w:t>
      </w:r>
      <w:r w:rsidR="00DB4825" w:rsidRPr="00BE1959">
        <w:rPr>
          <w:rFonts w:ascii="Times New Roman" w:eastAsia="Times New Roman" w:hAnsi="Times New Roman" w:cs="Times New Roman"/>
          <w:sz w:val="24"/>
          <w:szCs w:val="24"/>
          <w:lang w:val="uk-UA"/>
        </w:rPr>
        <w:t>(EU) №</w:t>
      </w:r>
      <w:r w:rsidRPr="00BE1959">
        <w:rPr>
          <w:rFonts w:ascii="Times New Roman" w:eastAsia="Times New Roman" w:hAnsi="Times New Roman" w:cs="Times New Roman"/>
          <w:sz w:val="24"/>
          <w:szCs w:val="24"/>
          <w:lang w:val="uk-UA"/>
        </w:rPr>
        <w:t xml:space="preserve"> 648/2012, </w:t>
      </w:r>
      <w:r w:rsidR="007A043E" w:rsidRPr="00BE1959">
        <w:rPr>
          <w:rFonts w:ascii="Times New Roman" w:eastAsia="Times New Roman" w:hAnsi="Times New Roman" w:cs="Times New Roman"/>
          <w:sz w:val="24"/>
          <w:szCs w:val="24"/>
          <w:lang w:val="uk-UA"/>
        </w:rPr>
        <w:t>методів зменшення ризиків, визначених у статті 11(3) цього регламенту, та їхнього включення у розрахунок порогу клірингу згідно зі статтею 10 цього регламенту.</w:t>
      </w:r>
    </w:p>
    <w:p w:rsidR="005613AB" w:rsidRPr="00BE1959" w:rsidRDefault="005D0E9D" w:rsidP="00EB2AB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Якщо Комісія вважає, що включити ці контракти буде неможливо і невигідно, вона подає, якщо доречно, законодавчу пропозицію Європейському Парламенту і Раді. </w:t>
      </w:r>
      <w:r w:rsidR="00BB2CDF" w:rsidRPr="00BE1959">
        <w:rPr>
          <w:rFonts w:ascii="Times New Roman" w:eastAsia="Times New Roman" w:hAnsi="Times New Roman" w:cs="Times New Roman"/>
          <w:sz w:val="24"/>
          <w:szCs w:val="24"/>
          <w:lang w:val="uk-UA"/>
        </w:rPr>
        <w:t>Комісія уповноважується на прийняття делегованих актів відповідно до статті 89 цієї директиви</w:t>
      </w:r>
      <w:r w:rsidR="00EB2ABB" w:rsidRPr="00BE1959">
        <w:rPr>
          <w:rFonts w:ascii="Times New Roman" w:eastAsia="Times New Roman" w:hAnsi="Times New Roman" w:cs="Times New Roman"/>
          <w:sz w:val="24"/>
          <w:szCs w:val="24"/>
          <w:lang w:val="uk-UA"/>
        </w:rPr>
        <w:t xml:space="preserve"> для продовження 42-місячного терміну, згаданого у статті  </w:t>
      </w:r>
      <w:r w:rsidR="005613AB" w:rsidRPr="00BE1959">
        <w:rPr>
          <w:rFonts w:ascii="Times New Roman" w:eastAsia="Times New Roman" w:hAnsi="Times New Roman" w:cs="Times New Roman"/>
          <w:sz w:val="24"/>
          <w:szCs w:val="24"/>
          <w:lang w:val="uk-UA"/>
        </w:rPr>
        <w:t xml:space="preserve">95(1) </w:t>
      </w:r>
      <w:r w:rsidR="00432567" w:rsidRPr="00BE1959">
        <w:rPr>
          <w:rFonts w:ascii="Times New Roman" w:eastAsia="Times New Roman" w:hAnsi="Times New Roman" w:cs="Times New Roman"/>
          <w:sz w:val="24"/>
          <w:szCs w:val="24"/>
          <w:lang w:val="uk-UA"/>
        </w:rPr>
        <w:t>цієї директиви</w:t>
      </w:r>
      <w:r w:rsidR="00EB2ABB" w:rsidRPr="00BE1959">
        <w:rPr>
          <w:rFonts w:ascii="Times New Roman" w:eastAsia="Times New Roman" w:hAnsi="Times New Roman" w:cs="Times New Roman"/>
          <w:sz w:val="24"/>
          <w:szCs w:val="24"/>
          <w:lang w:val="uk-UA"/>
        </w:rPr>
        <w:t>, один раз на два роки, а потім щорічно.</w:t>
      </w:r>
    </w:p>
    <w:p w:rsidR="005613AB" w:rsidRPr="00BE1959" w:rsidRDefault="00162A11" w:rsidP="005613AB">
      <w:pPr>
        <w:spacing w:before="360" w:after="120" w:line="312" w:lineRule="atLeast"/>
        <w:jc w:val="center"/>
        <w:textAlignment w:val="baseline"/>
        <w:rPr>
          <w:rFonts w:ascii="Times New Roman" w:eastAsia="Times New Roman" w:hAnsi="Times New Roman" w:cs="Times New Roman"/>
          <w:i/>
          <w:iCs/>
          <w:sz w:val="24"/>
          <w:szCs w:val="24"/>
          <w:lang w:val="uk-UA"/>
        </w:rPr>
      </w:pPr>
      <w:r w:rsidRPr="00BE1959">
        <w:rPr>
          <w:rFonts w:ascii="Times New Roman" w:eastAsia="Times New Roman" w:hAnsi="Times New Roman" w:cs="Times New Roman"/>
          <w:i/>
          <w:iCs/>
          <w:sz w:val="24"/>
          <w:szCs w:val="24"/>
          <w:lang w:val="uk-UA"/>
        </w:rPr>
        <w:t>Стаття</w:t>
      </w:r>
      <w:r w:rsidR="005613AB" w:rsidRPr="00BE1959">
        <w:rPr>
          <w:rFonts w:ascii="Times New Roman" w:eastAsia="Times New Roman" w:hAnsi="Times New Roman" w:cs="Times New Roman"/>
          <w:i/>
          <w:iCs/>
          <w:sz w:val="24"/>
          <w:szCs w:val="24"/>
          <w:lang w:val="uk-UA"/>
        </w:rPr>
        <w:t xml:space="preserve"> 91</w:t>
      </w:r>
    </w:p>
    <w:p w:rsidR="005613AB" w:rsidRPr="00BE1959" w:rsidRDefault="00EB2ABB" w:rsidP="005613AB">
      <w:pPr>
        <w:spacing w:before="60" w:after="120" w:line="312" w:lineRule="atLeast"/>
        <w:jc w:val="center"/>
        <w:textAlignment w:val="baseline"/>
        <w:rPr>
          <w:rFonts w:ascii="Times New Roman" w:eastAsia="Times New Roman" w:hAnsi="Times New Roman" w:cs="Times New Roman"/>
          <w:b/>
          <w:bCs/>
          <w:sz w:val="24"/>
          <w:szCs w:val="24"/>
          <w:lang w:val="uk-UA"/>
        </w:rPr>
      </w:pPr>
      <w:r w:rsidRPr="00BE1959">
        <w:rPr>
          <w:rFonts w:ascii="Times New Roman" w:eastAsia="Times New Roman" w:hAnsi="Times New Roman" w:cs="Times New Roman"/>
          <w:b/>
          <w:bCs/>
          <w:sz w:val="24"/>
          <w:szCs w:val="24"/>
          <w:lang w:val="uk-UA"/>
        </w:rPr>
        <w:t>Зміни до</w:t>
      </w:r>
      <w:r w:rsidR="00493E23" w:rsidRPr="00BE1959">
        <w:rPr>
          <w:rFonts w:ascii="Times New Roman" w:eastAsia="Times New Roman" w:hAnsi="Times New Roman" w:cs="Times New Roman"/>
          <w:b/>
          <w:bCs/>
          <w:sz w:val="24"/>
          <w:szCs w:val="24"/>
          <w:lang w:val="uk-UA"/>
        </w:rPr>
        <w:t xml:space="preserve"> Директив</w:t>
      </w:r>
      <w:r w:rsidRPr="00BE1959">
        <w:rPr>
          <w:rFonts w:ascii="Times New Roman" w:eastAsia="Times New Roman" w:hAnsi="Times New Roman" w:cs="Times New Roman"/>
          <w:b/>
          <w:bCs/>
          <w:sz w:val="24"/>
          <w:szCs w:val="24"/>
          <w:lang w:val="uk-UA"/>
        </w:rPr>
        <w:t>и</w:t>
      </w:r>
      <w:r w:rsidR="005613AB" w:rsidRPr="00BE1959">
        <w:rPr>
          <w:rFonts w:ascii="Times New Roman" w:eastAsia="Times New Roman" w:hAnsi="Times New Roman" w:cs="Times New Roman"/>
          <w:b/>
          <w:bCs/>
          <w:sz w:val="24"/>
          <w:szCs w:val="24"/>
          <w:lang w:val="uk-UA"/>
        </w:rPr>
        <w:t xml:space="preserve"> 2002/92/EC</w:t>
      </w:r>
    </w:p>
    <w:p w:rsidR="005613AB" w:rsidRPr="00BE1959" w:rsidRDefault="0039380F" w:rsidP="0039380F">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До Директиви </w:t>
      </w:r>
      <w:r w:rsidR="005613AB" w:rsidRPr="00BE1959">
        <w:rPr>
          <w:rFonts w:ascii="Times New Roman" w:eastAsia="Times New Roman" w:hAnsi="Times New Roman" w:cs="Times New Roman"/>
          <w:sz w:val="24"/>
          <w:szCs w:val="24"/>
          <w:lang w:val="uk-UA"/>
        </w:rPr>
        <w:t xml:space="preserve">2002/92/EC </w:t>
      </w:r>
      <w:r w:rsidRPr="00BE1959">
        <w:rPr>
          <w:rFonts w:ascii="Times New Roman" w:eastAsia="Times New Roman" w:hAnsi="Times New Roman" w:cs="Times New Roman"/>
          <w:sz w:val="24"/>
          <w:szCs w:val="24"/>
          <w:lang w:val="uk-UA"/>
        </w:rPr>
        <w:t>вносяться наступні зміни</w:t>
      </w:r>
      <w:r w:rsidR="005613AB" w:rsidRPr="00BE1959">
        <w:rPr>
          <w:rFonts w:ascii="Times New Roman" w:eastAsia="Times New Roman" w:hAnsi="Times New Roman" w:cs="Times New Roman"/>
          <w:sz w:val="24"/>
          <w:szCs w:val="24"/>
          <w:lang w:val="uk-UA"/>
        </w:rP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2832E9"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До статті 2 вносяться наступні зміни</w:t>
            </w:r>
            <w:r w:rsidR="005613AB" w:rsidRPr="00BE1959">
              <w:rPr>
                <w:rFonts w:ascii="Times New Roman" w:eastAsia="Times New Roman" w:hAnsi="Times New Roman" w:cs="Times New Roman"/>
                <w:sz w:val="24"/>
                <w:szCs w:val="24"/>
                <w:lang w:val="uk-UA"/>
              </w:rP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587"/>
            </w:tblGrid>
            <w:tr w:rsidR="00DE3173" w:rsidRPr="0043174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(a)</w:t>
                  </w:r>
                  <w:r w:rsidR="0039380F" w:rsidRPr="00BE1959">
                    <w:rPr>
                      <w:rFonts w:ascii="Times New Roman" w:eastAsia="Times New Roman" w:hAnsi="Times New Roman" w:cs="Times New Roman"/>
                      <w:sz w:val="24"/>
                      <w:szCs w:val="24"/>
                      <w:lang w:val="uk-UA"/>
                    </w:rPr>
                    <w:t xml:space="preserve"> </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39380F"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у п. 3 другий абзац замінюється наступним текстом</w:t>
                  </w:r>
                  <w:r w:rsidR="005613AB" w:rsidRPr="00BE1959">
                    <w:rPr>
                      <w:rFonts w:ascii="Times New Roman" w:eastAsia="Times New Roman" w:hAnsi="Times New Roman" w:cs="Times New Roman"/>
                      <w:sz w:val="24"/>
                      <w:szCs w:val="24"/>
                      <w:lang w:val="uk-UA"/>
                    </w:rPr>
                    <w:t>:</w:t>
                  </w:r>
                </w:p>
                <w:p w:rsidR="005613AB" w:rsidRPr="00BE1959" w:rsidRDefault="0039380F" w:rsidP="00B22DF3">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«За винятком глави ІІІА цієї директиви, </w:t>
                  </w:r>
                  <w:r w:rsidR="00B26AD6" w:rsidRPr="00BE1959">
                    <w:rPr>
                      <w:rFonts w:ascii="Times New Roman" w:eastAsia="Times New Roman" w:hAnsi="Times New Roman" w:cs="Times New Roman"/>
                      <w:sz w:val="24"/>
                      <w:szCs w:val="24"/>
                      <w:lang w:val="uk-UA"/>
                    </w:rPr>
                    <w:t xml:space="preserve">ці види діяльності, здійснювані страховою компанією або працівником страхової компанії, який діє під відповідальність страхової компанії, не вважаються страховим посередництвом </w:t>
                  </w:r>
                  <w:r w:rsidR="00B26AD6" w:rsidRPr="00BE1959">
                    <w:rPr>
                      <w:rFonts w:ascii="Times New Roman" w:eastAsia="Times New Roman" w:hAnsi="Times New Roman" w:cs="Times New Roman"/>
                      <w:sz w:val="24"/>
                      <w:szCs w:val="24"/>
                      <w:lang w:val="uk-UA"/>
                    </w:rPr>
                    <w:lastRenderedPageBreak/>
                    <w:t xml:space="preserve">або </w:t>
                  </w:r>
                  <w:r w:rsidR="00D065C6" w:rsidRPr="00BE1959">
                    <w:rPr>
                      <w:rFonts w:ascii="Times New Roman" w:eastAsia="Times New Roman" w:hAnsi="Times New Roman" w:cs="Times New Roman"/>
                      <w:sz w:val="24"/>
                      <w:szCs w:val="24"/>
                      <w:lang w:val="uk-UA"/>
                    </w:rPr>
                    <w:t xml:space="preserve">розповсюдженням страхових </w:t>
                  </w:r>
                  <w:r w:rsidR="00B22DF3" w:rsidRPr="00BE1959">
                    <w:rPr>
                      <w:rFonts w:ascii="Times New Roman" w:eastAsia="Times New Roman" w:hAnsi="Times New Roman" w:cs="Times New Roman"/>
                      <w:sz w:val="24"/>
                      <w:szCs w:val="24"/>
                      <w:lang w:val="uk-UA"/>
                    </w:rPr>
                    <w:t>продуктів</w:t>
                  </w:r>
                  <w:r w:rsidR="00D065C6" w:rsidRPr="00BE1959">
                    <w:rPr>
                      <w:rFonts w:ascii="Times New Roman" w:eastAsia="Times New Roman" w:hAnsi="Times New Roman" w:cs="Times New Roman"/>
                      <w:sz w:val="24"/>
                      <w:szCs w:val="24"/>
                      <w:lang w:val="uk-UA"/>
                    </w:rPr>
                    <w:t>»;</w:t>
                  </w:r>
                </w:p>
              </w:tc>
            </w:tr>
          </w:tbl>
          <w:p w:rsidR="005613AB" w:rsidRPr="00BE1959" w:rsidRDefault="005613AB" w:rsidP="005613AB">
            <w:pPr>
              <w:spacing w:after="0" w:line="240" w:lineRule="auto"/>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574"/>
            </w:tblGrid>
            <w:tr w:rsidR="00DE3173" w:rsidRPr="0043174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D065C6"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додається наступний пункт:</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25"/>
                    <w:gridCol w:w="7828"/>
                  </w:tblGrid>
                  <w:tr w:rsidR="00DE3173" w:rsidRPr="0043174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D065C6" w:rsidP="00D065C6">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w:t>
                        </w:r>
                        <w:r w:rsidR="005613AB" w:rsidRPr="00BE1959">
                          <w:rPr>
                            <w:rFonts w:ascii="Times New Roman" w:eastAsia="Times New Roman" w:hAnsi="Times New Roman" w:cs="Times New Roman"/>
                            <w:sz w:val="24"/>
                            <w:szCs w:val="24"/>
                            <w:lang w:val="uk-UA"/>
                          </w:rPr>
                          <w:t>(13)</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D065C6" w:rsidP="00987299">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У цілях глави ІІІА «страховий інвестиційний продукт» означає страховий продукт, який передбачає </w:t>
                        </w:r>
                        <w:r w:rsidR="007C10FF" w:rsidRPr="00BE1959">
                          <w:rPr>
                            <w:rFonts w:ascii="Times New Roman" w:eastAsia="Times New Roman" w:hAnsi="Times New Roman" w:cs="Times New Roman"/>
                            <w:sz w:val="24"/>
                            <w:szCs w:val="24"/>
                            <w:lang w:val="uk-UA"/>
                          </w:rPr>
                          <w:t xml:space="preserve">вартість погашення або викупу, причому ця вартість погашення або викупу повністю або частково, прямо чи непрямо, залежить від </w:t>
                        </w:r>
                        <w:r w:rsidR="00987299" w:rsidRPr="00BE1959">
                          <w:rPr>
                            <w:rFonts w:ascii="Times New Roman" w:eastAsia="Times New Roman" w:hAnsi="Times New Roman" w:cs="Times New Roman"/>
                            <w:sz w:val="24"/>
                            <w:szCs w:val="24"/>
                            <w:lang w:val="uk-UA"/>
                          </w:rPr>
                          <w:t>ринкових коливань, і не включає:</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7335"/>
                        </w:tblGrid>
                        <w:tr w:rsidR="00DE3173" w:rsidRPr="0043174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987299" w:rsidP="00987299">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страхові продукти, не пов'язані з страхуванням життя, перераховані у додатку І до</w:t>
                              </w:r>
                              <w:r w:rsidR="005613AB" w:rsidRPr="00BE1959">
                                <w:rPr>
                                  <w:rFonts w:ascii="Times New Roman" w:eastAsia="Times New Roman" w:hAnsi="Times New Roman" w:cs="Times New Roman"/>
                                  <w:sz w:val="24"/>
                                  <w:szCs w:val="24"/>
                                  <w:lang w:val="uk-UA"/>
                                </w:rPr>
                                <w:t xml:space="preserve"> </w:t>
                              </w:r>
                              <w:r w:rsidR="00016E03" w:rsidRPr="00BE1959">
                                <w:rPr>
                                  <w:rFonts w:ascii="Times New Roman" w:eastAsia="Times New Roman" w:hAnsi="Times New Roman" w:cs="Times New Roman"/>
                                  <w:sz w:val="24"/>
                                  <w:szCs w:val="24"/>
                                  <w:lang w:val="uk-UA"/>
                                </w:rPr>
                                <w:t>Директиви</w:t>
                              </w:r>
                              <w:r w:rsidR="005613AB" w:rsidRPr="00BE1959">
                                <w:rPr>
                                  <w:rFonts w:ascii="Times New Roman" w:eastAsia="Times New Roman" w:hAnsi="Times New Roman" w:cs="Times New Roman"/>
                                  <w:sz w:val="24"/>
                                  <w:szCs w:val="24"/>
                                  <w:lang w:val="uk-UA"/>
                                </w:rPr>
                                <w:t xml:space="preserve"> 2009/138/EC (</w:t>
                              </w:r>
                              <w:r w:rsidRPr="00BE1959">
                                <w:rPr>
                                  <w:rFonts w:ascii="Times New Roman" w:eastAsia="Times New Roman" w:hAnsi="Times New Roman" w:cs="Times New Roman"/>
                                  <w:sz w:val="24"/>
                                  <w:szCs w:val="24"/>
                                  <w:lang w:val="uk-UA"/>
                                </w:rPr>
                                <w:t>класи видів страхування, не пов'язані з страхуванням життя);</w:t>
                              </w:r>
                            </w:p>
                          </w:tc>
                        </w:tr>
                      </w:tbl>
                      <w:p w:rsidR="005613AB" w:rsidRPr="00BE1959" w:rsidRDefault="005613AB" w:rsidP="005613AB">
                        <w:pPr>
                          <w:spacing w:after="0" w:line="240" w:lineRule="auto"/>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7322"/>
                        </w:tblGrid>
                        <w:tr w:rsidR="00DE3173" w:rsidRPr="0043174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987299" w:rsidP="005141ED">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договори страхування життя, де відшкодування за договором належить до сплати тільки у випадку смерті або непрацездатності через травму, хворобу чи</w:t>
                              </w:r>
                              <w:r w:rsidR="005141ED" w:rsidRPr="00BE1959">
                                <w:rPr>
                                  <w:rFonts w:ascii="Times New Roman" w:eastAsia="Times New Roman" w:hAnsi="Times New Roman" w:cs="Times New Roman"/>
                                  <w:sz w:val="24"/>
                                  <w:szCs w:val="24"/>
                                  <w:lang w:val="uk-UA"/>
                                </w:rPr>
                                <w:t xml:space="preserve"> немічі;</w:t>
                              </w:r>
                            </w:p>
                          </w:tc>
                        </w:tr>
                      </w:tbl>
                      <w:p w:rsidR="005613AB" w:rsidRPr="00BE1959" w:rsidRDefault="005613AB" w:rsidP="005613AB">
                        <w:pPr>
                          <w:spacing w:after="0" w:line="240" w:lineRule="auto"/>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7335"/>
                        </w:tblGrid>
                        <w:tr w:rsidR="00DE3173" w:rsidRPr="0043174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621B0F" w:rsidP="00966542">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пенсійні продукти, які за національним законодавством визнаються як такі, що спрямовані в основному на надання інвестору доходу після виходу на пенсію, і які </w:t>
                              </w:r>
                              <w:r w:rsidR="00966542" w:rsidRPr="00BE1959">
                                <w:rPr>
                                  <w:rFonts w:ascii="Times New Roman" w:eastAsia="Times New Roman" w:hAnsi="Times New Roman" w:cs="Times New Roman"/>
                                  <w:sz w:val="24"/>
                                  <w:szCs w:val="24"/>
                                  <w:lang w:val="uk-UA"/>
                                </w:rPr>
                                <w:t>надають інвестору право на певні пільги;</w:t>
                              </w:r>
                            </w:p>
                          </w:tc>
                        </w:tr>
                      </w:tbl>
                      <w:p w:rsidR="005613AB" w:rsidRPr="00BE1959" w:rsidRDefault="005613AB" w:rsidP="005613AB">
                        <w:pPr>
                          <w:spacing w:after="0" w:line="240" w:lineRule="auto"/>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7322"/>
                        </w:tblGrid>
                        <w:tr w:rsidR="00DE3173" w:rsidRPr="0043174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966542" w:rsidP="00966542">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офіційно визнані схеми недержавного пенсійного забезпечення, на які поширюється сфера дії</w:t>
                              </w:r>
                              <w:r w:rsidR="005613AB" w:rsidRPr="00BE1959">
                                <w:rPr>
                                  <w:rFonts w:ascii="Times New Roman" w:eastAsia="Times New Roman" w:hAnsi="Times New Roman" w:cs="Times New Roman"/>
                                  <w:sz w:val="24"/>
                                  <w:szCs w:val="24"/>
                                  <w:lang w:val="uk-UA"/>
                                </w:rPr>
                                <w:t xml:space="preserve"> </w:t>
                              </w:r>
                              <w:r w:rsidR="00016E03" w:rsidRPr="00BE1959">
                                <w:rPr>
                                  <w:rFonts w:ascii="Times New Roman" w:eastAsia="Times New Roman" w:hAnsi="Times New Roman" w:cs="Times New Roman"/>
                                  <w:sz w:val="24"/>
                                  <w:szCs w:val="24"/>
                                  <w:lang w:val="uk-UA"/>
                                </w:rPr>
                                <w:t>Директиви</w:t>
                              </w:r>
                              <w:r w:rsidR="005613AB" w:rsidRPr="00BE1959">
                                <w:rPr>
                                  <w:rFonts w:ascii="Times New Roman" w:eastAsia="Times New Roman" w:hAnsi="Times New Roman" w:cs="Times New Roman"/>
                                  <w:sz w:val="24"/>
                                  <w:szCs w:val="24"/>
                                  <w:lang w:val="uk-UA"/>
                                </w:rPr>
                                <w:t xml:space="preserve"> 2003/41/EC </w:t>
                              </w:r>
                              <w:r w:rsidRPr="00BE1959">
                                <w:rPr>
                                  <w:rFonts w:ascii="Times New Roman" w:eastAsia="Times New Roman" w:hAnsi="Times New Roman" w:cs="Times New Roman"/>
                                  <w:sz w:val="24"/>
                                  <w:szCs w:val="24"/>
                                  <w:lang w:val="uk-UA"/>
                                </w:rPr>
                                <w:t>або Директиви</w:t>
                              </w:r>
                              <w:r w:rsidR="005613AB" w:rsidRPr="00BE1959">
                                <w:rPr>
                                  <w:rFonts w:ascii="Times New Roman" w:eastAsia="Times New Roman" w:hAnsi="Times New Roman" w:cs="Times New Roman"/>
                                  <w:sz w:val="24"/>
                                  <w:szCs w:val="24"/>
                                  <w:lang w:val="uk-UA"/>
                                </w:rPr>
                                <w:t xml:space="preserve"> 2009/138/EC;</w:t>
                              </w:r>
                            </w:p>
                          </w:tc>
                        </w:tr>
                      </w:tbl>
                      <w:p w:rsidR="005613AB" w:rsidRPr="00BE1959" w:rsidRDefault="005613AB" w:rsidP="005613AB">
                        <w:pPr>
                          <w:spacing w:after="0" w:line="240" w:lineRule="auto"/>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7335"/>
                        </w:tblGrid>
                        <w:tr w:rsidR="00DE3173" w:rsidRPr="0043174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(e)</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966542" w:rsidP="00966542">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індивідуальні пенсійні продукти, для яких національне законодавство вимагає фінансового внеску роботодавця, а у роботодавця чи працівника немає можливості вибору пенсійного продукту чи пенсійного фонду.»;</w:t>
                              </w:r>
                            </w:p>
                          </w:tc>
                        </w:tr>
                      </w:tbl>
                      <w:p w:rsidR="005613AB" w:rsidRPr="00BE1959" w:rsidRDefault="005613AB" w:rsidP="005613AB">
                        <w:pPr>
                          <w:spacing w:after="0" w:line="240" w:lineRule="auto"/>
                          <w:rPr>
                            <w:rFonts w:ascii="Times New Roman" w:eastAsia="Times New Roman" w:hAnsi="Times New Roman" w:cs="Times New Roman"/>
                            <w:sz w:val="24"/>
                            <w:szCs w:val="24"/>
                            <w:lang w:val="uk-UA"/>
                          </w:rPr>
                        </w:pPr>
                      </w:p>
                    </w:tc>
                  </w:tr>
                </w:tbl>
                <w:p w:rsidR="005613AB" w:rsidRPr="00BE1959" w:rsidRDefault="005613AB" w:rsidP="005613AB">
                  <w:pPr>
                    <w:spacing w:after="0" w:line="240" w:lineRule="auto"/>
                    <w:rPr>
                      <w:rFonts w:ascii="Times New Roman" w:eastAsia="Times New Roman" w:hAnsi="Times New Roman" w:cs="Times New Roman"/>
                      <w:sz w:val="24"/>
                      <w:szCs w:val="24"/>
                      <w:lang w:val="uk-UA"/>
                    </w:rPr>
                  </w:pPr>
                </w:p>
              </w:tc>
            </w:tr>
          </w:tbl>
          <w:p w:rsidR="005613AB" w:rsidRPr="00BE1959" w:rsidRDefault="005613AB" w:rsidP="005613AB">
            <w:pPr>
              <w:spacing w:after="0" w:line="240" w:lineRule="auto"/>
              <w:rPr>
                <w:rFonts w:ascii="Times New Roman" w:eastAsia="Times New Roman" w:hAnsi="Times New Roman" w:cs="Times New Roman"/>
                <w:sz w:val="24"/>
                <w:szCs w:val="24"/>
                <w:lang w:val="uk-UA"/>
              </w:rPr>
            </w:pP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DE3173"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(2)</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097DBC"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додається наступна глава</w:t>
            </w:r>
            <w:r w:rsidR="005613AB" w:rsidRPr="00BE1959">
              <w:rPr>
                <w:rFonts w:ascii="Times New Roman" w:eastAsia="Times New Roman" w:hAnsi="Times New Roman" w:cs="Times New Roman"/>
                <w:sz w:val="24"/>
                <w:szCs w:val="24"/>
                <w:lang w:val="uk-UA"/>
              </w:rPr>
              <w:t>:</w:t>
            </w:r>
          </w:p>
          <w:p w:rsidR="005613AB" w:rsidRPr="00BE1959" w:rsidRDefault="00097DBC" w:rsidP="005613AB">
            <w:pPr>
              <w:spacing w:after="0" w:line="312" w:lineRule="atLeast"/>
              <w:jc w:val="center"/>
              <w:textAlignment w:val="baseline"/>
              <w:rPr>
                <w:rFonts w:ascii="Times New Roman" w:eastAsia="Times New Roman" w:hAnsi="Times New Roman" w:cs="Times New Roman"/>
                <w:b/>
                <w:bCs/>
                <w:sz w:val="24"/>
                <w:szCs w:val="24"/>
                <w:lang w:val="uk-UA"/>
              </w:rPr>
            </w:pPr>
            <w:r w:rsidRPr="00BE1959">
              <w:rPr>
                <w:rFonts w:ascii="Times New Roman" w:eastAsia="Times New Roman" w:hAnsi="Times New Roman" w:cs="Times New Roman"/>
                <w:b/>
                <w:bCs/>
                <w:i/>
                <w:sz w:val="24"/>
                <w:szCs w:val="24"/>
                <w:lang w:val="uk-UA"/>
              </w:rPr>
              <w:t>«ГЛАВА</w:t>
            </w:r>
            <w:r w:rsidR="005613AB" w:rsidRPr="00BE1959">
              <w:rPr>
                <w:rFonts w:ascii="Times New Roman" w:eastAsia="Times New Roman" w:hAnsi="Times New Roman" w:cs="Times New Roman"/>
                <w:b/>
                <w:bCs/>
                <w:i/>
                <w:iCs/>
                <w:sz w:val="24"/>
                <w:szCs w:val="24"/>
                <w:bdr w:val="none" w:sz="0" w:space="0" w:color="auto" w:frame="1"/>
                <w:lang w:val="uk-UA"/>
              </w:rPr>
              <w:t xml:space="preserve"> IIIA</w:t>
            </w:r>
          </w:p>
          <w:p w:rsidR="005613AB" w:rsidRPr="00BE1959" w:rsidRDefault="00097DBC" w:rsidP="00097DBC">
            <w:pPr>
              <w:spacing w:after="0" w:line="312" w:lineRule="atLeast"/>
              <w:jc w:val="center"/>
              <w:textAlignment w:val="baseline"/>
              <w:rPr>
                <w:rFonts w:ascii="Times New Roman" w:eastAsia="Times New Roman" w:hAnsi="Times New Roman" w:cs="Times New Roman"/>
                <w:b/>
                <w:bCs/>
                <w:sz w:val="24"/>
                <w:szCs w:val="24"/>
                <w:lang w:val="uk-UA"/>
              </w:rPr>
            </w:pPr>
            <w:r w:rsidRPr="00BE1959">
              <w:rPr>
                <w:rFonts w:ascii="Times New Roman" w:eastAsia="Times New Roman" w:hAnsi="Times New Roman" w:cs="Times New Roman"/>
                <w:b/>
                <w:bCs/>
                <w:i/>
                <w:iCs/>
                <w:sz w:val="24"/>
                <w:szCs w:val="24"/>
                <w:bdr w:val="none" w:sz="0" w:space="0" w:color="auto" w:frame="1"/>
                <w:lang w:val="uk-UA"/>
              </w:rPr>
              <w:t>Додаткові вимоги щодо захисту споживачів стосовно страхових інвестиційних продуктів</w:t>
            </w:r>
          </w:p>
          <w:p w:rsidR="005613AB" w:rsidRPr="00BE1959" w:rsidRDefault="00162A11" w:rsidP="005613AB">
            <w:pPr>
              <w:spacing w:before="360" w:after="120" w:line="312" w:lineRule="atLeast"/>
              <w:jc w:val="center"/>
              <w:textAlignment w:val="baseline"/>
              <w:rPr>
                <w:rFonts w:ascii="Times New Roman" w:eastAsia="Times New Roman" w:hAnsi="Times New Roman" w:cs="Times New Roman"/>
                <w:i/>
                <w:iCs/>
                <w:sz w:val="24"/>
                <w:szCs w:val="24"/>
                <w:lang w:val="uk-UA"/>
              </w:rPr>
            </w:pPr>
            <w:r w:rsidRPr="00BE1959">
              <w:rPr>
                <w:rFonts w:ascii="Times New Roman" w:eastAsia="Times New Roman" w:hAnsi="Times New Roman" w:cs="Times New Roman"/>
                <w:i/>
                <w:iCs/>
                <w:sz w:val="24"/>
                <w:szCs w:val="24"/>
                <w:lang w:val="uk-UA"/>
              </w:rPr>
              <w:t>Стаття</w:t>
            </w:r>
            <w:r w:rsidR="005613AB" w:rsidRPr="00BE1959">
              <w:rPr>
                <w:rFonts w:ascii="Times New Roman" w:eastAsia="Times New Roman" w:hAnsi="Times New Roman" w:cs="Times New Roman"/>
                <w:i/>
                <w:iCs/>
                <w:sz w:val="24"/>
                <w:szCs w:val="24"/>
                <w:lang w:val="uk-UA"/>
              </w:rPr>
              <w:t xml:space="preserve"> 13a</w:t>
            </w:r>
          </w:p>
          <w:p w:rsidR="005613AB" w:rsidRPr="00BE1959" w:rsidRDefault="00097DBC" w:rsidP="005613AB">
            <w:pPr>
              <w:spacing w:before="60" w:after="120" w:line="312" w:lineRule="atLeast"/>
              <w:jc w:val="center"/>
              <w:textAlignment w:val="baseline"/>
              <w:rPr>
                <w:rFonts w:ascii="Times New Roman" w:eastAsia="Times New Roman" w:hAnsi="Times New Roman" w:cs="Times New Roman"/>
                <w:b/>
                <w:bCs/>
                <w:sz w:val="24"/>
                <w:szCs w:val="24"/>
                <w:lang w:val="uk-UA"/>
              </w:rPr>
            </w:pPr>
            <w:r w:rsidRPr="00BE1959">
              <w:rPr>
                <w:rFonts w:ascii="Times New Roman" w:eastAsia="Times New Roman" w:hAnsi="Times New Roman" w:cs="Times New Roman"/>
                <w:b/>
                <w:bCs/>
                <w:sz w:val="24"/>
                <w:szCs w:val="24"/>
                <w:lang w:val="uk-UA"/>
              </w:rPr>
              <w:t>Сфера дії</w:t>
            </w:r>
          </w:p>
          <w:p w:rsidR="002215B3" w:rsidRPr="00BE1959" w:rsidRDefault="002215B3"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З урахуванням винятку в другому абзаці статті 2(3) у цій статті викладено додаткові вимоги щодо страхової п</w:t>
            </w:r>
            <w:r w:rsidR="00B22DF3" w:rsidRPr="00BE1959">
              <w:rPr>
                <w:rFonts w:ascii="Times New Roman" w:eastAsia="Times New Roman" w:hAnsi="Times New Roman" w:cs="Times New Roman"/>
                <w:sz w:val="24"/>
                <w:szCs w:val="24"/>
                <w:lang w:val="uk-UA"/>
              </w:rPr>
              <w:t>осередницької діяльності та до прямих продажів, здійснюваних страховими компаніями, у випадку, коли вони здійснюються для продажу страхових інвестиційних продуктів. Ця діяльність далі йменується діяльністю з розповсюдження страхових продуктів.</w:t>
            </w:r>
          </w:p>
          <w:p w:rsidR="005613AB" w:rsidRPr="00BE1959" w:rsidRDefault="00162A11" w:rsidP="005613AB">
            <w:pPr>
              <w:spacing w:before="360" w:after="120" w:line="312" w:lineRule="atLeast"/>
              <w:jc w:val="center"/>
              <w:textAlignment w:val="baseline"/>
              <w:rPr>
                <w:rFonts w:ascii="Times New Roman" w:eastAsia="Times New Roman" w:hAnsi="Times New Roman" w:cs="Times New Roman"/>
                <w:i/>
                <w:iCs/>
                <w:sz w:val="24"/>
                <w:szCs w:val="24"/>
                <w:lang w:val="uk-UA"/>
              </w:rPr>
            </w:pPr>
            <w:r w:rsidRPr="00BE1959">
              <w:rPr>
                <w:rFonts w:ascii="Times New Roman" w:eastAsia="Times New Roman" w:hAnsi="Times New Roman" w:cs="Times New Roman"/>
                <w:i/>
                <w:iCs/>
                <w:sz w:val="24"/>
                <w:szCs w:val="24"/>
                <w:lang w:val="uk-UA"/>
              </w:rPr>
              <w:lastRenderedPageBreak/>
              <w:t>Стаття</w:t>
            </w:r>
            <w:r w:rsidR="005613AB" w:rsidRPr="00BE1959">
              <w:rPr>
                <w:rFonts w:ascii="Times New Roman" w:eastAsia="Times New Roman" w:hAnsi="Times New Roman" w:cs="Times New Roman"/>
                <w:i/>
                <w:iCs/>
                <w:sz w:val="24"/>
                <w:szCs w:val="24"/>
                <w:lang w:val="uk-UA"/>
              </w:rPr>
              <w:t xml:space="preserve"> 13b</w:t>
            </w:r>
          </w:p>
          <w:p w:rsidR="005613AB" w:rsidRPr="00BE1959" w:rsidRDefault="00B22DF3" w:rsidP="005613AB">
            <w:pPr>
              <w:spacing w:before="60" w:after="120" w:line="312" w:lineRule="atLeast"/>
              <w:jc w:val="center"/>
              <w:textAlignment w:val="baseline"/>
              <w:rPr>
                <w:rFonts w:ascii="Times New Roman" w:eastAsia="Times New Roman" w:hAnsi="Times New Roman" w:cs="Times New Roman"/>
                <w:b/>
                <w:bCs/>
                <w:sz w:val="24"/>
                <w:szCs w:val="24"/>
                <w:lang w:val="uk-UA"/>
              </w:rPr>
            </w:pPr>
            <w:r w:rsidRPr="00BE1959">
              <w:rPr>
                <w:rFonts w:ascii="Times New Roman" w:eastAsia="Times New Roman" w:hAnsi="Times New Roman" w:cs="Times New Roman"/>
                <w:b/>
                <w:bCs/>
                <w:sz w:val="24"/>
                <w:szCs w:val="24"/>
                <w:lang w:val="uk-UA"/>
              </w:rPr>
              <w:t>Запобігання конфліктів інтересів</w:t>
            </w:r>
          </w:p>
          <w:p w:rsidR="005613AB" w:rsidRPr="00BE1959" w:rsidRDefault="00B22DF3" w:rsidP="00B22DF3">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Страховий посередник або страхова компанія запроваджує та використовує ефективні організаційні та адміністративні механізми з метою вжиття всіх розумних заходів для запобігання негативного впливу конфліктів інтересів, визначених у статті 13с, на інтереси своїх клієнтів.</w:t>
            </w:r>
          </w:p>
          <w:p w:rsidR="005613AB" w:rsidRPr="00BE1959" w:rsidRDefault="00162A11" w:rsidP="005613AB">
            <w:pPr>
              <w:spacing w:before="360" w:after="120" w:line="312" w:lineRule="atLeast"/>
              <w:jc w:val="center"/>
              <w:textAlignment w:val="baseline"/>
              <w:rPr>
                <w:rFonts w:ascii="Times New Roman" w:eastAsia="Times New Roman" w:hAnsi="Times New Roman" w:cs="Times New Roman"/>
                <w:i/>
                <w:iCs/>
                <w:sz w:val="24"/>
                <w:szCs w:val="24"/>
                <w:lang w:val="uk-UA"/>
              </w:rPr>
            </w:pPr>
            <w:r w:rsidRPr="00BE1959">
              <w:rPr>
                <w:rFonts w:ascii="Times New Roman" w:eastAsia="Times New Roman" w:hAnsi="Times New Roman" w:cs="Times New Roman"/>
                <w:i/>
                <w:iCs/>
                <w:sz w:val="24"/>
                <w:szCs w:val="24"/>
                <w:lang w:val="uk-UA"/>
              </w:rPr>
              <w:t>Стаття</w:t>
            </w:r>
            <w:r w:rsidR="005613AB" w:rsidRPr="00BE1959">
              <w:rPr>
                <w:rFonts w:ascii="Times New Roman" w:eastAsia="Times New Roman" w:hAnsi="Times New Roman" w:cs="Times New Roman"/>
                <w:i/>
                <w:iCs/>
                <w:sz w:val="24"/>
                <w:szCs w:val="24"/>
                <w:lang w:val="uk-UA"/>
              </w:rPr>
              <w:t xml:space="preserve"> 13c</w:t>
            </w:r>
          </w:p>
          <w:p w:rsidR="005613AB" w:rsidRPr="00BE1959" w:rsidRDefault="00B22DF3" w:rsidP="005613AB">
            <w:pPr>
              <w:spacing w:before="60" w:after="120" w:line="312" w:lineRule="atLeast"/>
              <w:jc w:val="center"/>
              <w:textAlignment w:val="baseline"/>
              <w:rPr>
                <w:rFonts w:ascii="Times New Roman" w:eastAsia="Times New Roman" w:hAnsi="Times New Roman" w:cs="Times New Roman"/>
                <w:b/>
                <w:bCs/>
                <w:sz w:val="24"/>
                <w:szCs w:val="24"/>
                <w:lang w:val="uk-UA"/>
              </w:rPr>
            </w:pPr>
            <w:r w:rsidRPr="00BE1959">
              <w:rPr>
                <w:rFonts w:ascii="Times New Roman" w:eastAsia="Times New Roman" w:hAnsi="Times New Roman" w:cs="Times New Roman"/>
                <w:b/>
                <w:bCs/>
                <w:sz w:val="24"/>
                <w:szCs w:val="24"/>
                <w:lang w:val="uk-UA"/>
              </w:rPr>
              <w:t>Конфлікти інтересів</w:t>
            </w:r>
          </w:p>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1.   </w:t>
            </w:r>
            <w:r w:rsidR="001F5C90" w:rsidRPr="00BE1959">
              <w:rPr>
                <w:rFonts w:ascii="Times New Roman" w:eastAsia="Times New Roman" w:hAnsi="Times New Roman" w:cs="Times New Roman"/>
                <w:sz w:val="24"/>
                <w:szCs w:val="24"/>
                <w:lang w:val="uk-UA"/>
              </w:rPr>
              <w:t>Держави-члени</w:t>
            </w:r>
            <w:r w:rsidRPr="00BE1959">
              <w:rPr>
                <w:rFonts w:ascii="Times New Roman" w:eastAsia="Times New Roman" w:hAnsi="Times New Roman" w:cs="Times New Roman"/>
                <w:sz w:val="24"/>
                <w:szCs w:val="24"/>
                <w:lang w:val="uk-UA"/>
              </w:rPr>
              <w:t xml:space="preserve"> </w:t>
            </w:r>
            <w:r w:rsidR="00B22DF3" w:rsidRPr="00BE1959">
              <w:rPr>
                <w:rFonts w:ascii="Times New Roman" w:eastAsia="Times New Roman" w:hAnsi="Times New Roman" w:cs="Times New Roman"/>
                <w:sz w:val="24"/>
                <w:szCs w:val="24"/>
                <w:lang w:val="uk-UA"/>
              </w:rPr>
              <w:t xml:space="preserve">вимагають вжиття страховими посередниками та страховими компаніями всіх доречних заходів для виявлення конфліктів інтересів між ними, включно з їхніми керівниками, працівниками та пов'язаними страховими посередниками, або будь-якою особою, прямо чи непрямо пов'язаною з ними через контроль, та їхніми клієнтами або між двома клієнтами, що </w:t>
            </w:r>
            <w:r w:rsidR="00047747" w:rsidRPr="00BE1959">
              <w:rPr>
                <w:rFonts w:ascii="Times New Roman" w:eastAsia="Times New Roman" w:hAnsi="Times New Roman" w:cs="Times New Roman"/>
                <w:sz w:val="24"/>
                <w:szCs w:val="24"/>
                <w:lang w:val="uk-UA"/>
              </w:rPr>
              <w:t>виникають у процесі ведення діяльності з розповсюдження страхових продуктів.</w:t>
            </w:r>
          </w:p>
          <w:p w:rsidR="005613AB" w:rsidRPr="00BE1959" w:rsidRDefault="005613AB" w:rsidP="000D7265">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2.   </w:t>
            </w:r>
            <w:r w:rsidR="00561B6C" w:rsidRPr="00BE1959">
              <w:rPr>
                <w:rFonts w:ascii="Times New Roman" w:eastAsia="Times New Roman" w:hAnsi="Times New Roman" w:cs="Times New Roman"/>
                <w:sz w:val="24"/>
                <w:szCs w:val="24"/>
                <w:lang w:val="uk-UA"/>
              </w:rPr>
              <w:t>Якщо організаційні або адміністративні механізми, запроваджені страховим посередником або страховою компанією згідно зі статтею 13b для запобігання конфліктів інтересів, не достатні для забезпечення, з достатньою впевненістю, попередження ризиків шкоди інтересам клієнтів</w:t>
            </w:r>
            <w:r w:rsidR="000D7265" w:rsidRPr="00BE1959">
              <w:rPr>
                <w:rFonts w:ascii="Times New Roman" w:eastAsia="Times New Roman" w:hAnsi="Times New Roman" w:cs="Times New Roman"/>
                <w:sz w:val="24"/>
                <w:szCs w:val="24"/>
                <w:lang w:val="uk-UA"/>
              </w:rPr>
              <w:t>, то страховий посередник або страхова компанія повинні чітко довести до відома клієнта загальний характер і (або) джерела конфліктів інтересів, перш ніж вести діяльність від його імені.</w:t>
            </w:r>
          </w:p>
          <w:p w:rsidR="005613AB" w:rsidRPr="00BE1959" w:rsidRDefault="005613AB" w:rsidP="000D7265">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3.   </w:t>
            </w:r>
            <w:r w:rsidR="000D7265" w:rsidRPr="00BE1959">
              <w:rPr>
                <w:rFonts w:ascii="Times New Roman" w:eastAsia="Times New Roman" w:hAnsi="Times New Roman" w:cs="Times New Roman"/>
                <w:sz w:val="24"/>
                <w:szCs w:val="24"/>
                <w:lang w:val="uk-UA"/>
              </w:rPr>
              <w:t>Комісія уповноважується на прийняття делегованих актів відповідно до статті</w:t>
            </w:r>
            <w:r w:rsidRPr="00BE1959">
              <w:rPr>
                <w:rFonts w:ascii="Times New Roman" w:eastAsia="Times New Roman" w:hAnsi="Times New Roman" w:cs="Times New Roman"/>
                <w:sz w:val="24"/>
                <w:szCs w:val="24"/>
                <w:lang w:val="uk-UA"/>
              </w:rPr>
              <w:t xml:space="preserve"> 13e </w:t>
            </w:r>
            <w:r w:rsidR="000D7265" w:rsidRPr="00BE1959">
              <w:rPr>
                <w:rFonts w:ascii="Times New Roman" w:eastAsia="Times New Roman" w:hAnsi="Times New Roman" w:cs="Times New Roman"/>
                <w:sz w:val="24"/>
                <w:szCs w:val="24"/>
                <w:lang w:val="uk-UA"/>
              </w:rPr>
              <w:t>для</w:t>
            </w:r>
            <w:r w:rsidRPr="00BE1959">
              <w:rPr>
                <w:rFonts w:ascii="Times New Roman" w:eastAsia="Times New Roman" w:hAnsi="Times New Roman" w:cs="Times New Roman"/>
                <w:sz w:val="24"/>
                <w:szCs w:val="24"/>
                <w:lang w:val="uk-UA"/>
              </w:rP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587"/>
            </w:tblGrid>
            <w:tr w:rsidR="00DE3173" w:rsidRPr="0043174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0D7265" w:rsidP="00A0341C">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визначення заходів, яких можна обґрунтовано вимагати від страхових посередників або страхових компаній для </w:t>
                  </w:r>
                  <w:r w:rsidR="00A0341C" w:rsidRPr="00BE1959">
                    <w:rPr>
                      <w:rFonts w:ascii="Times New Roman" w:eastAsia="Times New Roman" w:hAnsi="Times New Roman" w:cs="Times New Roman"/>
                      <w:sz w:val="24"/>
                      <w:szCs w:val="24"/>
                      <w:lang w:val="uk-UA"/>
                    </w:rPr>
                    <w:t>виявлення, попередження, усунення та оприлюднення конфліктів інтересів при веденні діяльності з розповсюдження страхових продуктів;</w:t>
                  </w:r>
                </w:p>
              </w:tc>
            </w:tr>
          </w:tbl>
          <w:p w:rsidR="005613AB" w:rsidRPr="00BE1959" w:rsidRDefault="005613AB" w:rsidP="005613AB">
            <w:pPr>
              <w:spacing w:after="0" w:line="240" w:lineRule="auto"/>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574"/>
            </w:tblGrid>
            <w:tr w:rsidR="00DE3173" w:rsidRPr="0043174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A0341C" w:rsidP="00A0341C">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встановлення відповідних критеріїв для визначення видів конфліктів інтересів, існування яких може зашкодити інтересам фактичних або потенційних клієнтів страхового посередника або страхової компанії.</w:t>
                  </w:r>
                </w:p>
              </w:tc>
            </w:tr>
          </w:tbl>
          <w:p w:rsidR="005613AB" w:rsidRPr="00BE1959" w:rsidRDefault="00162A11" w:rsidP="005613AB">
            <w:pPr>
              <w:spacing w:before="360" w:after="120" w:line="312" w:lineRule="atLeast"/>
              <w:jc w:val="center"/>
              <w:textAlignment w:val="baseline"/>
              <w:rPr>
                <w:rFonts w:ascii="Times New Roman" w:eastAsia="Times New Roman" w:hAnsi="Times New Roman" w:cs="Times New Roman"/>
                <w:i/>
                <w:iCs/>
                <w:sz w:val="24"/>
                <w:szCs w:val="24"/>
                <w:lang w:val="uk-UA"/>
              </w:rPr>
            </w:pPr>
            <w:r w:rsidRPr="00BE1959">
              <w:rPr>
                <w:rFonts w:ascii="Times New Roman" w:eastAsia="Times New Roman" w:hAnsi="Times New Roman" w:cs="Times New Roman"/>
                <w:i/>
                <w:iCs/>
                <w:sz w:val="24"/>
                <w:szCs w:val="24"/>
                <w:lang w:val="uk-UA"/>
              </w:rPr>
              <w:t>Стаття</w:t>
            </w:r>
            <w:r w:rsidR="005613AB" w:rsidRPr="00BE1959">
              <w:rPr>
                <w:rFonts w:ascii="Times New Roman" w:eastAsia="Times New Roman" w:hAnsi="Times New Roman" w:cs="Times New Roman"/>
                <w:i/>
                <w:iCs/>
                <w:sz w:val="24"/>
                <w:szCs w:val="24"/>
                <w:lang w:val="uk-UA"/>
              </w:rPr>
              <w:t xml:space="preserve"> 13d</w:t>
            </w:r>
          </w:p>
          <w:p w:rsidR="005613AB" w:rsidRPr="00BE1959" w:rsidRDefault="00B22DF3" w:rsidP="005613AB">
            <w:pPr>
              <w:spacing w:before="60" w:after="120" w:line="312" w:lineRule="atLeast"/>
              <w:jc w:val="center"/>
              <w:textAlignment w:val="baseline"/>
              <w:rPr>
                <w:rFonts w:ascii="Times New Roman" w:eastAsia="Times New Roman" w:hAnsi="Times New Roman" w:cs="Times New Roman"/>
                <w:b/>
                <w:bCs/>
                <w:sz w:val="24"/>
                <w:szCs w:val="24"/>
                <w:lang w:val="uk-UA"/>
              </w:rPr>
            </w:pPr>
            <w:r w:rsidRPr="00BE1959">
              <w:rPr>
                <w:rFonts w:ascii="Times New Roman" w:eastAsia="Times New Roman" w:hAnsi="Times New Roman" w:cs="Times New Roman"/>
                <w:b/>
                <w:bCs/>
                <w:sz w:val="24"/>
                <w:szCs w:val="24"/>
                <w:lang w:val="uk-UA"/>
              </w:rPr>
              <w:t xml:space="preserve">Загальні принципи і надання інформації </w:t>
            </w:r>
            <w:r w:rsidR="00943257" w:rsidRPr="00BE1959">
              <w:rPr>
                <w:rFonts w:ascii="Times New Roman" w:eastAsia="Times New Roman" w:hAnsi="Times New Roman" w:cs="Times New Roman"/>
                <w:b/>
                <w:bCs/>
                <w:sz w:val="24"/>
                <w:szCs w:val="24"/>
                <w:lang w:val="uk-UA"/>
              </w:rPr>
              <w:t>клієнтам</w:t>
            </w:r>
          </w:p>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1.   </w:t>
            </w:r>
            <w:r w:rsidR="00943257" w:rsidRPr="00BE1959">
              <w:rPr>
                <w:rFonts w:ascii="Times New Roman" w:eastAsia="Times New Roman" w:hAnsi="Times New Roman" w:cs="Times New Roman"/>
                <w:sz w:val="24"/>
                <w:szCs w:val="24"/>
                <w:lang w:val="uk-UA"/>
              </w:rPr>
              <w:t>Держави-члени забезпечують, щоб при веденні діяльності з розповсюдження страхових продуктів страховий посередник або страхова компанія діяли чесно</w:t>
            </w:r>
            <w:r w:rsidR="006B29DE" w:rsidRPr="00BE1959">
              <w:rPr>
                <w:rFonts w:ascii="Times New Roman" w:eastAsia="Times New Roman" w:hAnsi="Times New Roman" w:cs="Times New Roman"/>
                <w:sz w:val="24"/>
                <w:szCs w:val="24"/>
                <w:lang w:val="uk-UA"/>
              </w:rPr>
              <w:t>,</w:t>
            </w:r>
            <w:r w:rsidR="00943257" w:rsidRPr="00BE1959">
              <w:rPr>
                <w:rFonts w:ascii="Times New Roman" w:eastAsia="Times New Roman" w:hAnsi="Times New Roman" w:cs="Times New Roman"/>
                <w:sz w:val="24"/>
                <w:szCs w:val="24"/>
                <w:lang w:val="uk-UA"/>
              </w:rPr>
              <w:t xml:space="preserve"> </w:t>
            </w:r>
            <w:r w:rsidR="00943257" w:rsidRPr="00BE1959">
              <w:rPr>
                <w:rFonts w:ascii="Times New Roman" w:eastAsia="Times New Roman" w:hAnsi="Times New Roman" w:cs="Times New Roman"/>
                <w:sz w:val="24"/>
                <w:szCs w:val="24"/>
                <w:lang w:val="uk-UA"/>
              </w:rPr>
              <w:lastRenderedPageBreak/>
              <w:t>справедливо та професійно відповідно до якнайкращих інтересів</w:t>
            </w:r>
            <w:r w:rsidR="006B29DE" w:rsidRPr="00BE1959">
              <w:rPr>
                <w:rFonts w:ascii="Times New Roman" w:eastAsia="Times New Roman" w:hAnsi="Times New Roman" w:cs="Times New Roman"/>
                <w:sz w:val="24"/>
                <w:szCs w:val="24"/>
                <w:lang w:val="uk-UA"/>
              </w:rPr>
              <w:t xml:space="preserve"> своїх</w:t>
            </w:r>
            <w:r w:rsidR="00943257" w:rsidRPr="00BE1959">
              <w:rPr>
                <w:rFonts w:ascii="Times New Roman" w:eastAsia="Times New Roman" w:hAnsi="Times New Roman" w:cs="Times New Roman"/>
                <w:sz w:val="24"/>
                <w:szCs w:val="24"/>
                <w:lang w:val="uk-UA"/>
              </w:rPr>
              <w:t xml:space="preserve"> клієнтів</w:t>
            </w:r>
            <w:r w:rsidRPr="00BE1959">
              <w:rPr>
                <w:rFonts w:ascii="Times New Roman" w:eastAsia="Times New Roman" w:hAnsi="Times New Roman" w:cs="Times New Roman"/>
                <w:sz w:val="24"/>
                <w:szCs w:val="24"/>
                <w:lang w:val="uk-UA"/>
              </w:rPr>
              <w:t>.</w:t>
            </w:r>
          </w:p>
          <w:p w:rsidR="006B29DE"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2.   </w:t>
            </w:r>
            <w:r w:rsidR="006B29DE" w:rsidRPr="00BE1959">
              <w:rPr>
                <w:rFonts w:ascii="Times New Roman" w:eastAsia="Times New Roman" w:hAnsi="Times New Roman" w:cs="Times New Roman"/>
                <w:sz w:val="24"/>
                <w:szCs w:val="24"/>
                <w:lang w:val="uk-UA"/>
              </w:rPr>
              <w:t>Уся інформація, включаючи маркетингові комунікації, що адресується страховим посередником або страховою компанією фактичним або потенційним клієнтам, повинна бути об’єктивною, зрозумілою і не вводити в оману. Маркетингові комунікації чітко визначаються як такі.</w:t>
            </w:r>
          </w:p>
          <w:p w:rsidR="005613AB" w:rsidRPr="00BE1959" w:rsidRDefault="005613AB" w:rsidP="00B9324E">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3.   </w:t>
            </w:r>
            <w:r w:rsidR="00C87244" w:rsidRPr="00BE1959">
              <w:rPr>
                <w:rFonts w:ascii="Times New Roman" w:eastAsia="Times New Roman" w:hAnsi="Times New Roman" w:cs="Times New Roman"/>
                <w:sz w:val="24"/>
                <w:szCs w:val="24"/>
                <w:lang w:val="uk-UA"/>
              </w:rPr>
              <w:t>Держави-члени можуть</w:t>
            </w:r>
            <w:r w:rsidRPr="00BE1959">
              <w:rPr>
                <w:rFonts w:ascii="Times New Roman" w:eastAsia="Times New Roman" w:hAnsi="Times New Roman" w:cs="Times New Roman"/>
                <w:sz w:val="24"/>
                <w:szCs w:val="24"/>
                <w:lang w:val="uk-UA"/>
              </w:rPr>
              <w:t xml:space="preserve"> </w:t>
            </w:r>
            <w:r w:rsidR="00B9324E" w:rsidRPr="00BE1959">
              <w:rPr>
                <w:rFonts w:ascii="Times New Roman" w:eastAsia="Times New Roman" w:hAnsi="Times New Roman" w:cs="Times New Roman"/>
                <w:sz w:val="24"/>
                <w:szCs w:val="24"/>
                <w:lang w:val="uk-UA"/>
              </w:rPr>
              <w:t xml:space="preserve">забороняти прийняття і отримання </w:t>
            </w:r>
            <w:r w:rsidR="006B29DE" w:rsidRPr="00BE1959">
              <w:rPr>
                <w:rFonts w:ascii="Times New Roman" w:eastAsia="Times New Roman" w:hAnsi="Times New Roman" w:cs="Times New Roman"/>
                <w:sz w:val="24"/>
                <w:szCs w:val="24"/>
                <w:lang w:val="uk-UA"/>
              </w:rPr>
              <w:t>гонорар</w:t>
            </w:r>
            <w:r w:rsidR="00B9324E" w:rsidRPr="00BE1959">
              <w:rPr>
                <w:rFonts w:ascii="Times New Roman" w:eastAsia="Times New Roman" w:hAnsi="Times New Roman" w:cs="Times New Roman"/>
                <w:sz w:val="24"/>
                <w:szCs w:val="24"/>
                <w:lang w:val="uk-UA"/>
              </w:rPr>
              <w:t>ів</w:t>
            </w:r>
            <w:r w:rsidR="006B29DE" w:rsidRPr="00BE1959">
              <w:rPr>
                <w:rFonts w:ascii="Times New Roman" w:eastAsia="Times New Roman" w:hAnsi="Times New Roman" w:cs="Times New Roman"/>
                <w:sz w:val="24"/>
                <w:szCs w:val="24"/>
                <w:lang w:val="uk-UA"/>
              </w:rPr>
              <w:t>, комісійн</w:t>
            </w:r>
            <w:r w:rsidR="00B9324E" w:rsidRPr="00BE1959">
              <w:rPr>
                <w:rFonts w:ascii="Times New Roman" w:eastAsia="Times New Roman" w:hAnsi="Times New Roman" w:cs="Times New Roman"/>
                <w:sz w:val="24"/>
                <w:szCs w:val="24"/>
                <w:lang w:val="uk-UA"/>
              </w:rPr>
              <w:t>их</w:t>
            </w:r>
            <w:r w:rsidR="006B29DE" w:rsidRPr="00BE1959">
              <w:rPr>
                <w:rFonts w:ascii="Times New Roman" w:eastAsia="Times New Roman" w:hAnsi="Times New Roman" w:cs="Times New Roman"/>
                <w:sz w:val="24"/>
                <w:szCs w:val="24"/>
                <w:lang w:val="uk-UA"/>
              </w:rPr>
              <w:t xml:space="preserve"> чи будь-як</w:t>
            </w:r>
            <w:r w:rsidR="00B9324E" w:rsidRPr="00BE1959">
              <w:rPr>
                <w:rFonts w:ascii="Times New Roman" w:eastAsia="Times New Roman" w:hAnsi="Times New Roman" w:cs="Times New Roman"/>
                <w:sz w:val="24"/>
                <w:szCs w:val="24"/>
                <w:lang w:val="uk-UA"/>
              </w:rPr>
              <w:t>их</w:t>
            </w:r>
            <w:r w:rsidR="006B29DE" w:rsidRPr="00BE1959">
              <w:rPr>
                <w:rFonts w:ascii="Times New Roman" w:eastAsia="Times New Roman" w:hAnsi="Times New Roman" w:cs="Times New Roman"/>
                <w:sz w:val="24"/>
                <w:szCs w:val="24"/>
                <w:lang w:val="uk-UA"/>
              </w:rPr>
              <w:t xml:space="preserve"> грошов</w:t>
            </w:r>
            <w:r w:rsidR="00B9324E" w:rsidRPr="00BE1959">
              <w:rPr>
                <w:rFonts w:ascii="Times New Roman" w:eastAsia="Times New Roman" w:hAnsi="Times New Roman" w:cs="Times New Roman"/>
                <w:sz w:val="24"/>
                <w:szCs w:val="24"/>
                <w:lang w:val="uk-UA"/>
              </w:rPr>
              <w:t>их вигід від третьої особи або особи, діючої</w:t>
            </w:r>
            <w:r w:rsidR="006B29DE" w:rsidRPr="00BE1959">
              <w:rPr>
                <w:rFonts w:ascii="Times New Roman" w:eastAsia="Times New Roman" w:hAnsi="Times New Roman" w:cs="Times New Roman"/>
                <w:sz w:val="24"/>
                <w:szCs w:val="24"/>
                <w:lang w:val="uk-UA"/>
              </w:rPr>
              <w:t xml:space="preserve"> імені третьої особи, </w:t>
            </w:r>
            <w:r w:rsidR="00B9324E" w:rsidRPr="00BE1959">
              <w:rPr>
                <w:rFonts w:ascii="Times New Roman" w:eastAsia="Times New Roman" w:hAnsi="Times New Roman" w:cs="Times New Roman"/>
                <w:sz w:val="24"/>
                <w:szCs w:val="24"/>
                <w:lang w:val="uk-UA"/>
              </w:rPr>
              <w:t>у зв'язку з розповсюдженням страхових інвестиційних продуктів серед клієнтів.</w:t>
            </w:r>
          </w:p>
          <w:p w:rsidR="005613AB" w:rsidRPr="00BE1959" w:rsidRDefault="00162A11" w:rsidP="005613AB">
            <w:pPr>
              <w:spacing w:before="360" w:after="120" w:line="312" w:lineRule="atLeast"/>
              <w:jc w:val="center"/>
              <w:textAlignment w:val="baseline"/>
              <w:rPr>
                <w:rFonts w:ascii="Times New Roman" w:eastAsia="Times New Roman" w:hAnsi="Times New Roman" w:cs="Times New Roman"/>
                <w:i/>
                <w:iCs/>
                <w:sz w:val="24"/>
                <w:szCs w:val="24"/>
                <w:lang w:val="uk-UA"/>
              </w:rPr>
            </w:pPr>
            <w:r w:rsidRPr="00BE1959">
              <w:rPr>
                <w:rFonts w:ascii="Times New Roman" w:eastAsia="Times New Roman" w:hAnsi="Times New Roman" w:cs="Times New Roman"/>
                <w:i/>
                <w:iCs/>
                <w:sz w:val="24"/>
                <w:szCs w:val="24"/>
                <w:lang w:val="uk-UA"/>
              </w:rPr>
              <w:t>Стаття</w:t>
            </w:r>
            <w:r w:rsidR="005613AB" w:rsidRPr="00BE1959">
              <w:rPr>
                <w:rFonts w:ascii="Times New Roman" w:eastAsia="Times New Roman" w:hAnsi="Times New Roman" w:cs="Times New Roman"/>
                <w:i/>
                <w:iCs/>
                <w:sz w:val="24"/>
                <w:szCs w:val="24"/>
                <w:lang w:val="uk-UA"/>
              </w:rPr>
              <w:t xml:space="preserve"> 13e</w:t>
            </w:r>
          </w:p>
          <w:p w:rsidR="005613AB" w:rsidRPr="00BE1959" w:rsidRDefault="00B22DF3" w:rsidP="005613AB">
            <w:pPr>
              <w:spacing w:before="60" w:after="120" w:line="312" w:lineRule="atLeast"/>
              <w:jc w:val="center"/>
              <w:textAlignment w:val="baseline"/>
              <w:rPr>
                <w:rFonts w:ascii="Times New Roman" w:eastAsia="Times New Roman" w:hAnsi="Times New Roman" w:cs="Times New Roman"/>
                <w:b/>
                <w:bCs/>
                <w:sz w:val="24"/>
                <w:szCs w:val="24"/>
                <w:lang w:val="uk-UA"/>
              </w:rPr>
            </w:pPr>
            <w:r w:rsidRPr="00BE1959">
              <w:rPr>
                <w:rFonts w:ascii="Times New Roman" w:eastAsia="Times New Roman" w:hAnsi="Times New Roman" w:cs="Times New Roman"/>
                <w:b/>
                <w:bCs/>
                <w:sz w:val="24"/>
                <w:szCs w:val="24"/>
                <w:lang w:val="uk-UA"/>
              </w:rPr>
              <w:t>Здійснення делегування</w:t>
            </w:r>
          </w:p>
          <w:p w:rsidR="005613AB" w:rsidRPr="00BE1959" w:rsidRDefault="005613AB" w:rsidP="003D765C">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1.   </w:t>
            </w:r>
            <w:r w:rsidR="003D765C" w:rsidRPr="00BE1959">
              <w:rPr>
                <w:rFonts w:ascii="Times New Roman" w:eastAsia="Times New Roman" w:hAnsi="Times New Roman" w:cs="Times New Roman"/>
                <w:sz w:val="24"/>
                <w:szCs w:val="24"/>
                <w:lang w:val="uk-UA"/>
              </w:rPr>
              <w:t>Повноваження на прийняття делегованого акту надається Комісії з урахуванням умов, викладених у цій статті.</w:t>
            </w:r>
          </w:p>
          <w:p w:rsidR="003D765C"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2.   </w:t>
            </w:r>
            <w:r w:rsidR="003D765C" w:rsidRPr="00BE1959">
              <w:rPr>
                <w:rFonts w:ascii="Times New Roman" w:eastAsia="Times New Roman" w:hAnsi="Times New Roman" w:cs="Times New Roman"/>
                <w:sz w:val="24"/>
                <w:szCs w:val="24"/>
                <w:lang w:val="uk-UA"/>
              </w:rPr>
              <w:t>Повноваження на прийняття делегованого акту, згадан</w:t>
            </w:r>
            <w:r w:rsidR="00FA4F46" w:rsidRPr="00BE1959">
              <w:rPr>
                <w:rFonts w:ascii="Times New Roman" w:eastAsia="Times New Roman" w:hAnsi="Times New Roman" w:cs="Times New Roman"/>
                <w:sz w:val="24"/>
                <w:szCs w:val="24"/>
                <w:lang w:val="uk-UA"/>
              </w:rPr>
              <w:t>е</w:t>
            </w:r>
            <w:r w:rsidR="003D765C" w:rsidRPr="00BE1959">
              <w:rPr>
                <w:rFonts w:ascii="Times New Roman" w:eastAsia="Times New Roman" w:hAnsi="Times New Roman" w:cs="Times New Roman"/>
                <w:sz w:val="24"/>
                <w:szCs w:val="24"/>
                <w:lang w:val="uk-UA"/>
              </w:rPr>
              <w:t xml:space="preserve"> у статті 13с, надається Комісії на невизначений період часу починаючи з 2 липня 2014 року.</w:t>
            </w:r>
          </w:p>
          <w:p w:rsidR="00FA4F46" w:rsidRPr="00BE1959" w:rsidRDefault="005613AB" w:rsidP="005613AB">
            <w:pPr>
              <w:spacing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3.   </w:t>
            </w:r>
            <w:r w:rsidR="00FA4F46" w:rsidRPr="00BE1959">
              <w:rPr>
                <w:rFonts w:ascii="Times New Roman" w:eastAsia="Times New Roman" w:hAnsi="Times New Roman" w:cs="Times New Roman"/>
                <w:sz w:val="24"/>
                <w:szCs w:val="24"/>
                <w:lang w:val="uk-UA"/>
              </w:rPr>
              <w:t>Повноваження на прийняття делегованого акту, згадане у статті 13с, може бути у будь-який момент відкликано Європейським Парламентом або Радою. Рішення про відкликання припиняє делегування повноваження, зазначеного у цьому рішенні. Воно набирає чинності на наступний день після публікації рішення в «Офіційному віснику Європейського Союзу» або в інший день, зазначений у рішенні. Це рішення не впливає на чинність будь-яких делегованих актів, які вже є чинними.</w:t>
            </w:r>
          </w:p>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4.   </w:t>
            </w:r>
            <w:r w:rsidR="00FA4F46" w:rsidRPr="00BE1959">
              <w:rPr>
                <w:rFonts w:ascii="Times New Roman" w:eastAsia="Times New Roman" w:hAnsi="Times New Roman" w:cs="Times New Roman"/>
                <w:sz w:val="24"/>
                <w:szCs w:val="24"/>
                <w:lang w:val="uk-UA"/>
              </w:rPr>
              <w:t>Негайно після прийняття делегованого акту Комісія одночасно доводить його до відома Європейського Парламенту і Ради.</w:t>
            </w:r>
          </w:p>
          <w:p w:rsidR="005613AB" w:rsidRPr="00BE1959" w:rsidRDefault="005613AB" w:rsidP="003622F7">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5.   </w:t>
            </w:r>
            <w:r w:rsidR="003622F7" w:rsidRPr="00BE1959">
              <w:rPr>
                <w:rFonts w:ascii="Times New Roman" w:eastAsia="Times New Roman" w:hAnsi="Times New Roman" w:cs="Times New Roman"/>
                <w:sz w:val="24"/>
                <w:szCs w:val="24"/>
                <w:lang w:val="uk-UA"/>
              </w:rPr>
              <w:t>Делегований акт, прийнятий відповідно до статті 13с, набирає чинності тільки за умови, що ані Європейський Парламент, ані Рада не висунули заперечення впродовж трьох місяців з моменту доведення акту до відома Європейського Парламенту або Ради, або якщо до закінчення цього періоду і Європейський Парламент, і Рада повідомили Комісії про відсутність у них заперечень. Цей термін продовжується на три місяці за ініціативою Європейського Парламенту і Ради.»</w:t>
            </w:r>
          </w:p>
        </w:tc>
      </w:tr>
    </w:tbl>
    <w:p w:rsidR="005613AB" w:rsidRPr="00BE1959" w:rsidRDefault="00162A11" w:rsidP="005613AB">
      <w:pPr>
        <w:spacing w:before="360" w:after="120" w:line="312" w:lineRule="atLeast"/>
        <w:jc w:val="center"/>
        <w:textAlignment w:val="baseline"/>
        <w:rPr>
          <w:rFonts w:ascii="Times New Roman" w:eastAsia="Times New Roman" w:hAnsi="Times New Roman" w:cs="Times New Roman"/>
          <w:i/>
          <w:iCs/>
          <w:sz w:val="24"/>
          <w:szCs w:val="24"/>
          <w:lang w:val="uk-UA"/>
        </w:rPr>
      </w:pPr>
      <w:r w:rsidRPr="00BE1959">
        <w:rPr>
          <w:rFonts w:ascii="Times New Roman" w:eastAsia="Times New Roman" w:hAnsi="Times New Roman" w:cs="Times New Roman"/>
          <w:i/>
          <w:iCs/>
          <w:sz w:val="24"/>
          <w:szCs w:val="24"/>
          <w:lang w:val="uk-UA"/>
        </w:rPr>
        <w:lastRenderedPageBreak/>
        <w:t>Стаття</w:t>
      </w:r>
      <w:r w:rsidR="005613AB" w:rsidRPr="00BE1959">
        <w:rPr>
          <w:rFonts w:ascii="Times New Roman" w:eastAsia="Times New Roman" w:hAnsi="Times New Roman" w:cs="Times New Roman"/>
          <w:i/>
          <w:iCs/>
          <w:sz w:val="24"/>
          <w:szCs w:val="24"/>
          <w:lang w:val="uk-UA"/>
        </w:rPr>
        <w:t xml:space="preserve"> 92</w:t>
      </w:r>
    </w:p>
    <w:p w:rsidR="005613AB" w:rsidRPr="00BE1959" w:rsidRDefault="00493E23" w:rsidP="005613AB">
      <w:pPr>
        <w:spacing w:before="60" w:after="120" w:line="312" w:lineRule="atLeast"/>
        <w:jc w:val="center"/>
        <w:textAlignment w:val="baseline"/>
        <w:rPr>
          <w:rFonts w:ascii="Times New Roman" w:eastAsia="Times New Roman" w:hAnsi="Times New Roman" w:cs="Times New Roman"/>
          <w:b/>
          <w:bCs/>
          <w:sz w:val="24"/>
          <w:szCs w:val="24"/>
          <w:lang w:val="uk-UA"/>
        </w:rPr>
      </w:pPr>
      <w:r w:rsidRPr="00BE1959">
        <w:rPr>
          <w:rFonts w:ascii="Times New Roman" w:eastAsia="Times New Roman" w:hAnsi="Times New Roman" w:cs="Times New Roman"/>
          <w:b/>
          <w:bCs/>
          <w:sz w:val="24"/>
          <w:szCs w:val="24"/>
          <w:lang w:val="uk-UA"/>
        </w:rPr>
        <w:t xml:space="preserve">Зміни </w:t>
      </w:r>
      <w:r w:rsidR="00B22DF3" w:rsidRPr="00BE1959">
        <w:rPr>
          <w:rFonts w:ascii="Times New Roman" w:eastAsia="Times New Roman" w:hAnsi="Times New Roman" w:cs="Times New Roman"/>
          <w:b/>
          <w:bCs/>
          <w:sz w:val="24"/>
          <w:szCs w:val="24"/>
          <w:lang w:val="uk-UA"/>
        </w:rPr>
        <w:t>до</w:t>
      </w:r>
      <w:r w:rsidRPr="00BE1959">
        <w:rPr>
          <w:rFonts w:ascii="Times New Roman" w:eastAsia="Times New Roman" w:hAnsi="Times New Roman" w:cs="Times New Roman"/>
          <w:b/>
          <w:bCs/>
          <w:sz w:val="24"/>
          <w:szCs w:val="24"/>
          <w:lang w:val="uk-UA"/>
        </w:rPr>
        <w:t xml:space="preserve"> Директив</w:t>
      </w:r>
      <w:r w:rsidR="00B22DF3" w:rsidRPr="00BE1959">
        <w:rPr>
          <w:rFonts w:ascii="Times New Roman" w:eastAsia="Times New Roman" w:hAnsi="Times New Roman" w:cs="Times New Roman"/>
          <w:b/>
          <w:bCs/>
          <w:sz w:val="24"/>
          <w:szCs w:val="24"/>
          <w:lang w:val="uk-UA"/>
        </w:rPr>
        <w:t>и</w:t>
      </w:r>
      <w:r w:rsidR="005613AB" w:rsidRPr="00BE1959">
        <w:rPr>
          <w:rFonts w:ascii="Times New Roman" w:eastAsia="Times New Roman" w:hAnsi="Times New Roman" w:cs="Times New Roman"/>
          <w:b/>
          <w:bCs/>
          <w:sz w:val="24"/>
          <w:szCs w:val="24"/>
          <w:lang w:val="uk-UA"/>
        </w:rPr>
        <w:t xml:space="preserve"> 2011/61/EU</w:t>
      </w:r>
    </w:p>
    <w:p w:rsidR="005613AB" w:rsidRPr="00BE1959" w:rsidRDefault="00F05BAC"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До Директиви</w:t>
      </w:r>
      <w:r w:rsidR="005613AB" w:rsidRPr="00BE1959">
        <w:rPr>
          <w:rFonts w:ascii="Times New Roman" w:eastAsia="Times New Roman" w:hAnsi="Times New Roman" w:cs="Times New Roman"/>
          <w:sz w:val="24"/>
          <w:szCs w:val="24"/>
          <w:lang w:val="uk-UA"/>
        </w:rPr>
        <w:t xml:space="preserve"> 2011/61/EU </w:t>
      </w:r>
      <w:r w:rsidRPr="00BE1959">
        <w:rPr>
          <w:rFonts w:ascii="Times New Roman" w:eastAsia="Times New Roman" w:hAnsi="Times New Roman" w:cs="Times New Roman"/>
          <w:sz w:val="24"/>
          <w:szCs w:val="24"/>
          <w:lang w:val="uk-UA"/>
        </w:rPr>
        <w:t>вносяться наступні зміни</w:t>
      </w:r>
      <w:r w:rsidR="005613AB" w:rsidRPr="00BE1959">
        <w:rPr>
          <w:rFonts w:ascii="Times New Roman" w:eastAsia="Times New Roman" w:hAnsi="Times New Roman" w:cs="Times New Roman"/>
          <w:sz w:val="24"/>
          <w:szCs w:val="24"/>
          <w:lang w:val="uk-UA"/>
        </w:rP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2832E9"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у п.</w:t>
            </w:r>
            <w:r w:rsidR="005613AB" w:rsidRPr="00BE1959">
              <w:rPr>
                <w:rFonts w:ascii="Times New Roman" w:eastAsia="Times New Roman" w:hAnsi="Times New Roman" w:cs="Times New Roman"/>
                <w:sz w:val="24"/>
                <w:szCs w:val="24"/>
                <w:lang w:val="uk-UA"/>
              </w:rPr>
              <w:t xml:space="preserve"> (r) </w:t>
            </w:r>
            <w:r w:rsidR="0065313E" w:rsidRPr="00BE1959">
              <w:rPr>
                <w:rFonts w:ascii="Times New Roman" w:eastAsia="Times New Roman" w:hAnsi="Times New Roman" w:cs="Times New Roman"/>
                <w:sz w:val="24"/>
                <w:szCs w:val="24"/>
                <w:lang w:val="uk-UA"/>
              </w:rPr>
              <w:t>статті</w:t>
            </w:r>
            <w:r w:rsidR="005613AB" w:rsidRPr="00BE1959">
              <w:rPr>
                <w:rFonts w:ascii="Times New Roman" w:eastAsia="Times New Roman" w:hAnsi="Times New Roman" w:cs="Times New Roman"/>
                <w:sz w:val="24"/>
                <w:szCs w:val="24"/>
                <w:lang w:val="uk-UA"/>
              </w:rPr>
              <w:t xml:space="preserve"> 4(1)</w:t>
            </w:r>
            <w:r w:rsidRPr="00BE1959">
              <w:rPr>
                <w:rFonts w:ascii="Times New Roman" w:eastAsia="Times New Roman" w:hAnsi="Times New Roman" w:cs="Times New Roman"/>
                <w:sz w:val="24"/>
                <w:szCs w:val="24"/>
                <w:lang w:val="uk-UA"/>
              </w:rPr>
              <w:t xml:space="preserve"> додається наступний підпункт</w:t>
            </w:r>
            <w:r w:rsidR="005613AB" w:rsidRPr="00BE1959">
              <w:rPr>
                <w:rFonts w:ascii="Times New Roman" w:eastAsia="Times New Roman" w:hAnsi="Times New Roman" w:cs="Times New Roman"/>
                <w:sz w:val="24"/>
                <w:szCs w:val="24"/>
                <w:lang w:val="uk-UA"/>
              </w:rP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39"/>
              <w:gridCol w:w="8320"/>
            </w:tblGrid>
            <w:tr w:rsidR="00DE3173" w:rsidRPr="0043174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2832E9" w:rsidP="002832E9">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w:t>
                  </w:r>
                  <w:r w:rsidR="005613AB" w:rsidRPr="00BE1959">
                    <w:rPr>
                      <w:rFonts w:ascii="Times New Roman" w:eastAsia="Times New Roman" w:hAnsi="Times New Roman" w:cs="Times New Roman"/>
                      <w:sz w:val="24"/>
                      <w:szCs w:val="24"/>
                      <w:lang w:val="uk-UA"/>
                    </w:rPr>
                    <w:t>(vii)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2832E9" w:rsidP="002832E9">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інша д</w:t>
                  </w:r>
                  <w:r w:rsidR="00540D96" w:rsidRPr="00BE1959">
                    <w:rPr>
                      <w:rFonts w:ascii="Times New Roman" w:eastAsia="Times New Roman" w:hAnsi="Times New Roman" w:cs="Times New Roman"/>
                      <w:sz w:val="24"/>
                      <w:szCs w:val="24"/>
                      <w:lang w:val="uk-UA"/>
                    </w:rPr>
                    <w:t>ержава-член</w:t>
                  </w:r>
                  <w:r w:rsidR="005613AB" w:rsidRPr="00BE1959">
                    <w:rPr>
                      <w:rFonts w:ascii="Times New Roman" w:eastAsia="Times New Roman" w:hAnsi="Times New Roman" w:cs="Times New Roman"/>
                      <w:sz w:val="24"/>
                      <w:szCs w:val="24"/>
                      <w:lang w:val="uk-UA"/>
                    </w:rPr>
                    <w:t xml:space="preserve">, </w:t>
                  </w:r>
                  <w:r w:rsidRPr="00BE1959">
                    <w:rPr>
                      <w:rFonts w:ascii="Times New Roman" w:eastAsia="Times New Roman" w:hAnsi="Times New Roman" w:cs="Times New Roman"/>
                      <w:sz w:val="24"/>
                      <w:szCs w:val="24"/>
                      <w:lang w:val="uk-UA"/>
                    </w:rPr>
                    <w:t>ніж д</w:t>
                  </w:r>
                  <w:r w:rsidR="00540D96" w:rsidRPr="00BE1959">
                    <w:rPr>
                      <w:rFonts w:ascii="Times New Roman" w:eastAsia="Times New Roman" w:hAnsi="Times New Roman" w:cs="Times New Roman"/>
                      <w:sz w:val="24"/>
                      <w:szCs w:val="24"/>
                      <w:lang w:val="uk-UA"/>
                    </w:rPr>
                    <w:t>ержава-член</w:t>
                  </w:r>
                  <w:r w:rsidRPr="00BE1959">
                    <w:rPr>
                      <w:rFonts w:ascii="Times New Roman" w:eastAsia="Times New Roman" w:hAnsi="Times New Roman" w:cs="Times New Roman"/>
                      <w:sz w:val="24"/>
                      <w:szCs w:val="24"/>
                      <w:lang w:val="uk-UA"/>
                    </w:rPr>
                    <w:t xml:space="preserve"> походження</w:t>
                  </w:r>
                  <w:r w:rsidR="005613AB" w:rsidRPr="00BE1959">
                    <w:rPr>
                      <w:rFonts w:ascii="Times New Roman" w:eastAsia="Times New Roman" w:hAnsi="Times New Roman" w:cs="Times New Roman"/>
                      <w:sz w:val="24"/>
                      <w:szCs w:val="24"/>
                      <w:lang w:val="uk-UA"/>
                    </w:rPr>
                    <w:t xml:space="preserve">, </w:t>
                  </w:r>
                  <w:r w:rsidRPr="00BE1959">
                    <w:rPr>
                      <w:rFonts w:ascii="Times New Roman" w:eastAsia="Times New Roman" w:hAnsi="Times New Roman" w:cs="Times New Roman"/>
                      <w:sz w:val="24"/>
                      <w:szCs w:val="24"/>
                      <w:lang w:val="uk-UA"/>
                    </w:rPr>
                    <w:t>в якій КУАИФ ЄС надає послуги, згадані у статті</w:t>
                  </w:r>
                  <w:r w:rsidR="005613AB" w:rsidRPr="00BE1959">
                    <w:rPr>
                      <w:rFonts w:ascii="Times New Roman" w:eastAsia="Times New Roman" w:hAnsi="Times New Roman" w:cs="Times New Roman"/>
                      <w:sz w:val="24"/>
                      <w:szCs w:val="24"/>
                      <w:lang w:val="uk-UA"/>
                    </w:rPr>
                    <w:t xml:space="preserve"> 6(4);</w:t>
                  </w:r>
                  <w:r w:rsidRPr="00BE1959">
                    <w:rPr>
                      <w:rFonts w:ascii="Times New Roman" w:eastAsia="Times New Roman" w:hAnsi="Times New Roman" w:cs="Times New Roman"/>
                      <w:sz w:val="24"/>
                      <w:szCs w:val="24"/>
                      <w:lang w:val="uk-UA"/>
                    </w:rPr>
                    <w:t>»</w:t>
                  </w:r>
                  <w:r w:rsidR="005613AB" w:rsidRPr="00BE1959">
                    <w:rPr>
                      <w:rFonts w:ascii="Times New Roman" w:eastAsia="Times New Roman" w:hAnsi="Times New Roman" w:cs="Times New Roman"/>
                      <w:sz w:val="24"/>
                      <w:szCs w:val="24"/>
                      <w:lang w:val="uk-UA"/>
                    </w:rPr>
                    <w:t>;</w:t>
                  </w:r>
                </w:p>
              </w:tc>
            </w:tr>
          </w:tbl>
          <w:p w:rsidR="005613AB" w:rsidRPr="00BE1959" w:rsidRDefault="005613AB" w:rsidP="005613AB">
            <w:pPr>
              <w:spacing w:after="0" w:line="240" w:lineRule="auto"/>
              <w:rPr>
                <w:rFonts w:ascii="Times New Roman" w:eastAsia="Times New Roman" w:hAnsi="Times New Roman" w:cs="Times New Roman"/>
                <w:sz w:val="24"/>
                <w:szCs w:val="24"/>
                <w:lang w:val="uk-UA"/>
              </w:rPr>
            </w:pP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DE3173"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lastRenderedPageBreak/>
              <w:t>(2)</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2832E9"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До статті 33 вносяться наступні зміни:</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587"/>
            </w:tblGrid>
            <w:tr w:rsidR="00DE3173" w:rsidRPr="0043174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2832E9"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назва замінюється наступною:</w:t>
                  </w:r>
                </w:p>
                <w:p w:rsidR="005613AB" w:rsidRPr="00BE1959" w:rsidRDefault="002832E9" w:rsidP="00E64006">
                  <w:pPr>
                    <w:spacing w:after="0" w:line="312" w:lineRule="atLeast"/>
                    <w:jc w:val="center"/>
                    <w:textAlignment w:val="baseline"/>
                    <w:rPr>
                      <w:rFonts w:ascii="Times New Roman" w:eastAsia="Times New Roman" w:hAnsi="Times New Roman" w:cs="Times New Roman"/>
                      <w:b/>
                      <w:bCs/>
                      <w:sz w:val="24"/>
                      <w:szCs w:val="24"/>
                      <w:lang w:val="uk-UA"/>
                    </w:rPr>
                  </w:pPr>
                  <w:r w:rsidRPr="00BE1959">
                    <w:rPr>
                      <w:rFonts w:ascii="Times New Roman" w:eastAsia="Times New Roman" w:hAnsi="Times New Roman" w:cs="Times New Roman"/>
                      <w:b/>
                      <w:bCs/>
                      <w:i/>
                      <w:sz w:val="24"/>
                      <w:szCs w:val="24"/>
                      <w:lang w:val="uk-UA"/>
                    </w:rPr>
                    <w:t>«Умови управління АІФ ЄС, створеними в інших державах-членах, і надання послуг в</w:t>
                  </w:r>
                  <w:r w:rsidR="00E64006" w:rsidRPr="00BE1959">
                    <w:rPr>
                      <w:rFonts w:ascii="Times New Roman" w:eastAsia="Times New Roman" w:hAnsi="Times New Roman" w:cs="Times New Roman"/>
                      <w:b/>
                      <w:bCs/>
                      <w:i/>
                      <w:sz w:val="24"/>
                      <w:szCs w:val="24"/>
                      <w:lang w:val="uk-UA"/>
                    </w:rPr>
                    <w:t xml:space="preserve"> інших державах-членах»</w:t>
                  </w:r>
                  <w:r w:rsidR="005613AB" w:rsidRPr="00BE1959">
                    <w:rPr>
                      <w:rFonts w:ascii="Times New Roman" w:eastAsia="Times New Roman" w:hAnsi="Times New Roman" w:cs="Times New Roman"/>
                      <w:b/>
                      <w:bCs/>
                      <w:sz w:val="24"/>
                      <w:szCs w:val="24"/>
                      <w:lang w:val="uk-UA"/>
                    </w:rPr>
                    <w:t>;</w:t>
                  </w:r>
                </w:p>
              </w:tc>
            </w:tr>
          </w:tbl>
          <w:p w:rsidR="005613AB" w:rsidRPr="00BE1959" w:rsidRDefault="005613AB" w:rsidP="005613AB">
            <w:pPr>
              <w:spacing w:after="0" w:line="240" w:lineRule="auto"/>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574"/>
            </w:tblGrid>
            <w:tr w:rsidR="00DE3173" w:rsidRPr="0043174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E64006"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пункти 1 і 2 замінюються наступними:</w:t>
                  </w:r>
                </w:p>
                <w:p w:rsidR="005613AB" w:rsidRPr="00BE1959" w:rsidRDefault="005613AB" w:rsidP="00E64006">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   </w:t>
                  </w:r>
                  <w:r w:rsidR="001F5C90" w:rsidRPr="00BE1959">
                    <w:rPr>
                      <w:rFonts w:ascii="Times New Roman" w:eastAsia="Times New Roman" w:hAnsi="Times New Roman" w:cs="Times New Roman"/>
                      <w:sz w:val="24"/>
                      <w:szCs w:val="24"/>
                      <w:lang w:val="uk-UA"/>
                    </w:rPr>
                    <w:t>Держави-члени</w:t>
                  </w:r>
                  <w:r w:rsidRPr="00BE1959">
                    <w:rPr>
                      <w:rFonts w:ascii="Times New Roman" w:eastAsia="Times New Roman" w:hAnsi="Times New Roman" w:cs="Times New Roman"/>
                      <w:sz w:val="24"/>
                      <w:szCs w:val="24"/>
                      <w:lang w:val="uk-UA"/>
                    </w:rPr>
                    <w:t xml:space="preserve"> </w:t>
                  </w:r>
                  <w:r w:rsidR="00E64006" w:rsidRPr="00BE1959">
                    <w:rPr>
                      <w:rFonts w:ascii="Times New Roman" w:eastAsia="Times New Roman" w:hAnsi="Times New Roman" w:cs="Times New Roman"/>
                      <w:sz w:val="24"/>
                      <w:szCs w:val="24"/>
                      <w:lang w:val="uk-UA"/>
                    </w:rPr>
                    <w:t>забезпечують, щоб уповноважена КУАІФ ЄС могла, безпосередньо або шляхом створення філії:</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081"/>
                  </w:tblGrid>
                  <w:tr w:rsidR="00DE3173" w:rsidRPr="0043174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E64006" w:rsidP="00E64006">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управляти АІФ ЄС, створеними в іншій</w:t>
                        </w:r>
                        <w:r w:rsidR="005613AB" w:rsidRPr="00BE1959">
                          <w:rPr>
                            <w:rFonts w:ascii="Times New Roman" w:eastAsia="Times New Roman" w:hAnsi="Times New Roman" w:cs="Times New Roman"/>
                            <w:sz w:val="24"/>
                            <w:szCs w:val="24"/>
                            <w:lang w:val="uk-UA"/>
                          </w:rPr>
                          <w:t xml:space="preserve"> </w:t>
                        </w:r>
                        <w:r w:rsidRPr="00BE1959">
                          <w:rPr>
                            <w:rFonts w:ascii="Times New Roman" w:eastAsia="Times New Roman" w:hAnsi="Times New Roman" w:cs="Times New Roman"/>
                            <w:sz w:val="24"/>
                            <w:szCs w:val="24"/>
                            <w:lang w:val="uk-UA"/>
                          </w:rPr>
                          <w:t>д</w:t>
                        </w:r>
                        <w:r w:rsidR="00540D96" w:rsidRPr="00BE1959">
                          <w:rPr>
                            <w:rFonts w:ascii="Times New Roman" w:eastAsia="Times New Roman" w:hAnsi="Times New Roman" w:cs="Times New Roman"/>
                            <w:sz w:val="24"/>
                            <w:szCs w:val="24"/>
                            <w:lang w:val="uk-UA"/>
                          </w:rPr>
                          <w:t>ержав</w:t>
                        </w:r>
                        <w:r w:rsidRPr="00BE1959">
                          <w:rPr>
                            <w:rFonts w:ascii="Times New Roman" w:eastAsia="Times New Roman" w:hAnsi="Times New Roman" w:cs="Times New Roman"/>
                            <w:sz w:val="24"/>
                            <w:szCs w:val="24"/>
                            <w:lang w:val="uk-UA"/>
                          </w:rPr>
                          <w:t>і</w:t>
                        </w:r>
                        <w:r w:rsidR="00540D96" w:rsidRPr="00BE1959">
                          <w:rPr>
                            <w:rFonts w:ascii="Times New Roman" w:eastAsia="Times New Roman" w:hAnsi="Times New Roman" w:cs="Times New Roman"/>
                            <w:sz w:val="24"/>
                            <w:szCs w:val="24"/>
                            <w:lang w:val="uk-UA"/>
                          </w:rPr>
                          <w:t>-член</w:t>
                        </w:r>
                        <w:r w:rsidRPr="00BE1959">
                          <w:rPr>
                            <w:rFonts w:ascii="Times New Roman" w:eastAsia="Times New Roman" w:hAnsi="Times New Roman" w:cs="Times New Roman"/>
                            <w:sz w:val="24"/>
                            <w:szCs w:val="24"/>
                            <w:lang w:val="uk-UA"/>
                          </w:rPr>
                          <w:t>і</w:t>
                        </w:r>
                        <w:r w:rsidR="005613AB" w:rsidRPr="00BE1959">
                          <w:rPr>
                            <w:rFonts w:ascii="Times New Roman" w:eastAsia="Times New Roman" w:hAnsi="Times New Roman" w:cs="Times New Roman"/>
                            <w:sz w:val="24"/>
                            <w:szCs w:val="24"/>
                            <w:lang w:val="uk-UA"/>
                          </w:rPr>
                          <w:t>,</w:t>
                        </w:r>
                        <w:r w:rsidRPr="00BE1959">
                          <w:rPr>
                            <w:rFonts w:ascii="Times New Roman" w:eastAsia="Times New Roman" w:hAnsi="Times New Roman" w:cs="Times New Roman"/>
                            <w:sz w:val="24"/>
                            <w:szCs w:val="24"/>
                            <w:lang w:val="uk-UA"/>
                          </w:rPr>
                          <w:t xml:space="preserve"> за умови, що дана КУАІФ має дозвіл на управління АІФ даного типу;</w:t>
                        </w:r>
                      </w:p>
                    </w:tc>
                  </w:tr>
                </w:tbl>
                <w:p w:rsidR="005613AB" w:rsidRPr="00BE1959" w:rsidRDefault="005613AB" w:rsidP="005613AB">
                  <w:pPr>
                    <w:spacing w:after="0" w:line="240" w:lineRule="auto"/>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068"/>
                  </w:tblGrid>
                  <w:tr w:rsidR="00DE3173" w:rsidRPr="0043174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FD06F0" w:rsidP="00FD06F0">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надавати в іншій державі-члені послуги, згадані у </w:t>
                        </w:r>
                        <w:r w:rsidR="005E1C03" w:rsidRPr="00BE1959">
                          <w:rPr>
                            <w:rFonts w:ascii="Times New Roman" w:eastAsia="Times New Roman" w:hAnsi="Times New Roman" w:cs="Times New Roman"/>
                            <w:sz w:val="24"/>
                            <w:szCs w:val="24"/>
                            <w:lang w:val="uk-UA"/>
                          </w:rPr>
                          <w:t>статті</w:t>
                        </w:r>
                        <w:r w:rsidR="005613AB" w:rsidRPr="00BE1959">
                          <w:rPr>
                            <w:rFonts w:ascii="Times New Roman" w:eastAsia="Times New Roman" w:hAnsi="Times New Roman" w:cs="Times New Roman"/>
                            <w:sz w:val="24"/>
                            <w:szCs w:val="24"/>
                            <w:lang w:val="uk-UA"/>
                          </w:rPr>
                          <w:t xml:space="preserve"> 6(4)</w:t>
                        </w:r>
                        <w:r w:rsidRPr="00BE1959">
                          <w:rPr>
                            <w:rFonts w:ascii="Times New Roman" w:eastAsia="Times New Roman" w:hAnsi="Times New Roman" w:cs="Times New Roman"/>
                            <w:sz w:val="24"/>
                            <w:szCs w:val="24"/>
                            <w:lang w:val="uk-UA"/>
                          </w:rPr>
                          <w:t>, на які вона має дозвіл.</w:t>
                        </w:r>
                      </w:p>
                    </w:tc>
                  </w:tr>
                </w:tbl>
                <w:p w:rsidR="005613AB" w:rsidRPr="00BE1959" w:rsidRDefault="005613AB" w:rsidP="001D7AD4">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2.   </w:t>
                  </w:r>
                  <w:r w:rsidR="00FD06F0" w:rsidRPr="00BE1959">
                    <w:rPr>
                      <w:rFonts w:ascii="Times New Roman" w:eastAsia="Times New Roman" w:hAnsi="Times New Roman" w:cs="Times New Roman"/>
                      <w:sz w:val="24"/>
                      <w:szCs w:val="24"/>
                      <w:lang w:val="uk-UA"/>
                    </w:rPr>
                    <w:t xml:space="preserve">КУАІФ, що має намір вперше вести діяльність і надавати послуги, згадані у пункті 1, </w:t>
                  </w:r>
                  <w:r w:rsidR="001D7AD4" w:rsidRPr="00BE1959">
                    <w:rPr>
                      <w:rFonts w:ascii="Times New Roman" w:eastAsia="Times New Roman" w:hAnsi="Times New Roman" w:cs="Times New Roman"/>
                      <w:sz w:val="24"/>
                      <w:szCs w:val="24"/>
                      <w:lang w:val="uk-UA"/>
                    </w:rPr>
                    <w:t>надає наступну інформацію</w:t>
                  </w:r>
                  <w:r w:rsidRPr="00BE1959">
                    <w:rPr>
                      <w:rFonts w:ascii="Times New Roman" w:eastAsia="Times New Roman" w:hAnsi="Times New Roman" w:cs="Times New Roman"/>
                      <w:sz w:val="24"/>
                      <w:szCs w:val="24"/>
                      <w:lang w:val="uk-UA"/>
                    </w:rPr>
                    <w:t xml:space="preserve"> </w:t>
                  </w:r>
                  <w:r w:rsidR="00434A96" w:rsidRPr="00BE1959">
                    <w:rPr>
                      <w:rFonts w:ascii="Times New Roman" w:eastAsia="Times New Roman" w:hAnsi="Times New Roman" w:cs="Times New Roman"/>
                      <w:sz w:val="24"/>
                      <w:szCs w:val="24"/>
                      <w:lang w:val="uk-UA"/>
                    </w:rPr>
                    <w:t>компетентн</w:t>
                  </w:r>
                  <w:r w:rsidR="001D7AD4" w:rsidRPr="00BE1959">
                    <w:rPr>
                      <w:rFonts w:ascii="Times New Roman" w:eastAsia="Times New Roman" w:hAnsi="Times New Roman" w:cs="Times New Roman"/>
                      <w:sz w:val="24"/>
                      <w:szCs w:val="24"/>
                      <w:lang w:val="uk-UA"/>
                    </w:rPr>
                    <w:t>им</w:t>
                  </w:r>
                  <w:r w:rsidR="00434A96" w:rsidRPr="00BE1959">
                    <w:rPr>
                      <w:rFonts w:ascii="Times New Roman" w:eastAsia="Times New Roman" w:hAnsi="Times New Roman" w:cs="Times New Roman"/>
                      <w:sz w:val="24"/>
                      <w:szCs w:val="24"/>
                      <w:lang w:val="uk-UA"/>
                    </w:rPr>
                    <w:t xml:space="preserve"> орган</w:t>
                  </w:r>
                  <w:r w:rsidR="001D7AD4" w:rsidRPr="00BE1959">
                    <w:rPr>
                      <w:rFonts w:ascii="Times New Roman" w:eastAsia="Times New Roman" w:hAnsi="Times New Roman" w:cs="Times New Roman"/>
                      <w:sz w:val="24"/>
                      <w:szCs w:val="24"/>
                      <w:lang w:val="uk-UA"/>
                    </w:rPr>
                    <w:t>ам</w:t>
                  </w:r>
                  <w:r w:rsidRPr="00BE1959">
                    <w:rPr>
                      <w:rFonts w:ascii="Times New Roman" w:eastAsia="Times New Roman" w:hAnsi="Times New Roman" w:cs="Times New Roman"/>
                      <w:sz w:val="24"/>
                      <w:szCs w:val="24"/>
                      <w:lang w:val="uk-UA"/>
                    </w:rPr>
                    <w:t xml:space="preserve"> </w:t>
                  </w:r>
                  <w:r w:rsidR="00214416" w:rsidRPr="00BE1959">
                    <w:rPr>
                      <w:rFonts w:ascii="Times New Roman" w:eastAsia="Times New Roman" w:hAnsi="Times New Roman" w:cs="Times New Roman"/>
                      <w:sz w:val="24"/>
                      <w:szCs w:val="24"/>
                      <w:lang w:val="uk-UA"/>
                    </w:rPr>
                    <w:t>держави-члена свого походження</w:t>
                  </w:r>
                  <w:r w:rsidRPr="00BE1959">
                    <w:rPr>
                      <w:rFonts w:ascii="Times New Roman" w:eastAsia="Times New Roman" w:hAnsi="Times New Roman" w:cs="Times New Roman"/>
                      <w:sz w:val="24"/>
                      <w:szCs w:val="24"/>
                      <w:lang w:val="uk-UA"/>
                    </w:rP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081"/>
                  </w:tblGrid>
                  <w:tr w:rsidR="00DE3173" w:rsidRPr="0043174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1D7AD4" w:rsidP="001D7AD4">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д</w:t>
                        </w:r>
                        <w:r w:rsidR="00540D96" w:rsidRPr="00BE1959">
                          <w:rPr>
                            <w:rFonts w:ascii="Times New Roman" w:eastAsia="Times New Roman" w:hAnsi="Times New Roman" w:cs="Times New Roman"/>
                            <w:sz w:val="24"/>
                            <w:szCs w:val="24"/>
                            <w:lang w:val="uk-UA"/>
                          </w:rPr>
                          <w:t>ержава-член</w:t>
                        </w:r>
                        <w:r w:rsidRPr="00BE1959">
                          <w:rPr>
                            <w:rFonts w:ascii="Times New Roman" w:eastAsia="Times New Roman" w:hAnsi="Times New Roman" w:cs="Times New Roman"/>
                            <w:sz w:val="24"/>
                            <w:szCs w:val="24"/>
                            <w:lang w:val="uk-UA"/>
                          </w:rPr>
                          <w:t xml:space="preserve">, у якій вона має намір управляти АІФ безпосередньо або шляхом створення філії і (або) надавати послуги, згадані </w:t>
                        </w:r>
                        <w:r w:rsidR="005E1C03" w:rsidRPr="00BE1959">
                          <w:rPr>
                            <w:rFonts w:ascii="Times New Roman" w:eastAsia="Times New Roman" w:hAnsi="Times New Roman" w:cs="Times New Roman"/>
                            <w:sz w:val="24"/>
                            <w:szCs w:val="24"/>
                            <w:lang w:val="uk-UA"/>
                          </w:rPr>
                          <w:t>у статті</w:t>
                        </w:r>
                        <w:r w:rsidR="005613AB" w:rsidRPr="00BE1959">
                          <w:rPr>
                            <w:rFonts w:ascii="Times New Roman" w:eastAsia="Times New Roman" w:hAnsi="Times New Roman" w:cs="Times New Roman"/>
                            <w:sz w:val="24"/>
                            <w:szCs w:val="24"/>
                            <w:lang w:val="uk-UA"/>
                          </w:rPr>
                          <w:t xml:space="preserve"> 6(4);</w:t>
                        </w:r>
                      </w:p>
                    </w:tc>
                  </w:tr>
                </w:tbl>
                <w:p w:rsidR="005613AB" w:rsidRPr="00BE1959" w:rsidRDefault="005613AB" w:rsidP="005613AB">
                  <w:pPr>
                    <w:spacing w:after="0" w:line="240" w:lineRule="auto"/>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068"/>
                  </w:tblGrid>
                  <w:tr w:rsidR="00DE3173" w:rsidRPr="0043174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1D7AD4" w:rsidP="001D7AD4">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програма діяльності, в якій зазначено, зокрема, послуги, які вона має намір надавати, і (або) визначено АІФ, якими вона має намір управляти.».</w:t>
                        </w:r>
                      </w:p>
                    </w:tc>
                  </w:tr>
                </w:tbl>
                <w:p w:rsidR="005613AB" w:rsidRPr="00BE1959" w:rsidRDefault="005613AB" w:rsidP="005613AB">
                  <w:pPr>
                    <w:spacing w:after="0" w:line="240" w:lineRule="auto"/>
                    <w:rPr>
                      <w:rFonts w:ascii="Times New Roman" w:eastAsia="Times New Roman" w:hAnsi="Times New Roman" w:cs="Times New Roman"/>
                      <w:sz w:val="24"/>
                      <w:szCs w:val="24"/>
                      <w:lang w:val="uk-UA"/>
                    </w:rPr>
                  </w:pPr>
                </w:p>
              </w:tc>
            </w:tr>
          </w:tbl>
          <w:p w:rsidR="005613AB" w:rsidRPr="00BE1959" w:rsidRDefault="005613AB" w:rsidP="005613AB">
            <w:pPr>
              <w:spacing w:after="0" w:line="240" w:lineRule="auto"/>
              <w:rPr>
                <w:rFonts w:ascii="Times New Roman" w:eastAsia="Times New Roman" w:hAnsi="Times New Roman" w:cs="Times New Roman"/>
                <w:sz w:val="24"/>
                <w:szCs w:val="24"/>
                <w:lang w:val="uk-UA"/>
              </w:rPr>
            </w:pPr>
          </w:p>
        </w:tc>
      </w:tr>
    </w:tbl>
    <w:p w:rsidR="005613AB" w:rsidRPr="00BE1959" w:rsidRDefault="00162A11" w:rsidP="005613AB">
      <w:pPr>
        <w:spacing w:before="360" w:after="120" w:line="312" w:lineRule="atLeast"/>
        <w:jc w:val="center"/>
        <w:textAlignment w:val="baseline"/>
        <w:rPr>
          <w:rFonts w:ascii="Times New Roman" w:eastAsia="Times New Roman" w:hAnsi="Times New Roman" w:cs="Times New Roman"/>
          <w:i/>
          <w:iCs/>
          <w:sz w:val="24"/>
          <w:szCs w:val="24"/>
          <w:lang w:val="uk-UA"/>
        </w:rPr>
      </w:pPr>
      <w:r w:rsidRPr="00BE1959">
        <w:rPr>
          <w:rFonts w:ascii="Times New Roman" w:eastAsia="Times New Roman" w:hAnsi="Times New Roman" w:cs="Times New Roman"/>
          <w:i/>
          <w:iCs/>
          <w:sz w:val="24"/>
          <w:szCs w:val="24"/>
          <w:lang w:val="uk-UA"/>
        </w:rPr>
        <w:t>Стаття</w:t>
      </w:r>
      <w:r w:rsidR="005613AB" w:rsidRPr="00BE1959">
        <w:rPr>
          <w:rFonts w:ascii="Times New Roman" w:eastAsia="Times New Roman" w:hAnsi="Times New Roman" w:cs="Times New Roman"/>
          <w:i/>
          <w:iCs/>
          <w:sz w:val="24"/>
          <w:szCs w:val="24"/>
          <w:lang w:val="uk-UA"/>
        </w:rPr>
        <w:t xml:space="preserve"> 93</w:t>
      </w:r>
    </w:p>
    <w:p w:rsidR="005613AB" w:rsidRPr="00BE1959" w:rsidRDefault="001919FA" w:rsidP="005613AB">
      <w:pPr>
        <w:spacing w:before="60" w:after="120" w:line="312" w:lineRule="atLeast"/>
        <w:jc w:val="center"/>
        <w:textAlignment w:val="baseline"/>
        <w:rPr>
          <w:rFonts w:ascii="Times New Roman" w:eastAsia="Times New Roman" w:hAnsi="Times New Roman" w:cs="Times New Roman"/>
          <w:b/>
          <w:bCs/>
          <w:sz w:val="24"/>
          <w:szCs w:val="24"/>
          <w:lang w:val="uk-UA"/>
        </w:rPr>
      </w:pPr>
      <w:r w:rsidRPr="00BE1959">
        <w:rPr>
          <w:rFonts w:ascii="Times New Roman" w:eastAsia="Times New Roman" w:hAnsi="Times New Roman" w:cs="Times New Roman"/>
          <w:b/>
          <w:bCs/>
          <w:sz w:val="24"/>
          <w:szCs w:val="24"/>
          <w:lang w:val="uk-UA"/>
        </w:rPr>
        <w:t xml:space="preserve">Транспозиція </w:t>
      </w:r>
    </w:p>
    <w:p w:rsidR="005613AB" w:rsidRPr="00BE1959" w:rsidRDefault="005613AB" w:rsidP="00135407">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1.   </w:t>
      </w:r>
      <w:r w:rsidR="001F5C90" w:rsidRPr="00BE1959">
        <w:rPr>
          <w:rFonts w:ascii="Times New Roman" w:eastAsia="Times New Roman" w:hAnsi="Times New Roman" w:cs="Times New Roman"/>
          <w:sz w:val="24"/>
          <w:szCs w:val="24"/>
          <w:lang w:val="uk-UA"/>
        </w:rPr>
        <w:t>Держави-члени</w:t>
      </w:r>
      <w:r w:rsidRPr="00BE1959">
        <w:rPr>
          <w:rFonts w:ascii="Times New Roman" w:eastAsia="Times New Roman" w:hAnsi="Times New Roman" w:cs="Times New Roman"/>
          <w:sz w:val="24"/>
          <w:szCs w:val="24"/>
          <w:lang w:val="uk-UA"/>
        </w:rPr>
        <w:t xml:space="preserve"> </w:t>
      </w:r>
      <w:r w:rsidR="001919FA" w:rsidRPr="00BE1959">
        <w:rPr>
          <w:rFonts w:ascii="Times New Roman" w:eastAsia="Times New Roman" w:hAnsi="Times New Roman" w:cs="Times New Roman"/>
          <w:sz w:val="24"/>
          <w:szCs w:val="24"/>
          <w:lang w:val="uk-UA"/>
        </w:rPr>
        <w:t xml:space="preserve">приймають і публікують до 3 липня 2016 року закони, нормативні акти і адміністративні положення, необхідні для виконання цієї директиви. </w:t>
      </w:r>
      <w:r w:rsidR="00135407" w:rsidRPr="00BE1959">
        <w:rPr>
          <w:rFonts w:ascii="Times New Roman" w:eastAsia="Times New Roman" w:hAnsi="Times New Roman" w:cs="Times New Roman"/>
          <w:sz w:val="24"/>
          <w:szCs w:val="24"/>
          <w:lang w:val="uk-UA"/>
        </w:rPr>
        <w:t>Вони негайно надають Комісії тексти цих документів.</w:t>
      </w:r>
    </w:p>
    <w:p w:rsidR="005613AB" w:rsidRPr="00BE1959" w:rsidRDefault="00135407" w:rsidP="00135407">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Держави-члени застосовують ці заходи починаючи з 3 січня 2017 року, за винятком положень, що транспонують статтю 65(2), які застосовуються з 3 вересня 2018 року.</w:t>
      </w:r>
    </w:p>
    <w:p w:rsidR="005613AB" w:rsidRPr="00BE1959" w:rsidRDefault="00135407" w:rsidP="00135407">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Вищезгадані документи, прийняті державами-членами, повинні містити посилання на цю директиву або супроводжуватися таким посиланням при їхній офіційній публікації.</w:t>
      </w:r>
      <w:r w:rsidR="005613AB" w:rsidRPr="00BE1959">
        <w:rPr>
          <w:rFonts w:ascii="Times New Roman" w:eastAsia="Times New Roman" w:hAnsi="Times New Roman" w:cs="Times New Roman"/>
          <w:sz w:val="24"/>
          <w:szCs w:val="24"/>
          <w:lang w:val="uk-UA"/>
        </w:rPr>
        <w:t xml:space="preserve"> </w:t>
      </w:r>
      <w:r w:rsidR="001F5C90" w:rsidRPr="00BE1959">
        <w:rPr>
          <w:rFonts w:ascii="Times New Roman" w:eastAsia="Times New Roman" w:hAnsi="Times New Roman" w:cs="Times New Roman"/>
          <w:sz w:val="24"/>
          <w:szCs w:val="24"/>
          <w:lang w:val="uk-UA"/>
        </w:rPr>
        <w:t>Держави-члени</w:t>
      </w:r>
      <w:r w:rsidR="005613AB" w:rsidRPr="00BE1959">
        <w:rPr>
          <w:rFonts w:ascii="Times New Roman" w:eastAsia="Times New Roman" w:hAnsi="Times New Roman" w:cs="Times New Roman"/>
          <w:sz w:val="24"/>
          <w:szCs w:val="24"/>
          <w:lang w:val="uk-UA"/>
        </w:rPr>
        <w:t xml:space="preserve"> </w:t>
      </w:r>
      <w:r w:rsidRPr="00BE1959">
        <w:rPr>
          <w:rFonts w:ascii="Times New Roman" w:eastAsia="Times New Roman" w:hAnsi="Times New Roman" w:cs="Times New Roman"/>
          <w:sz w:val="24"/>
          <w:szCs w:val="24"/>
          <w:lang w:val="uk-UA"/>
        </w:rPr>
        <w:t>визначають спосіб, у який надається таке посилання. Вищезгадані документи також повинні містити заяву по те, що посилання у чинних законах, нормативних актах і адміністративних положеннях на директиви, скасовані цією директивою, тлумачаться як посилання на цю директиву. Держави-члени визначають спосіб надання такого посилання та формулювання вищезгаданої заяви.</w:t>
      </w:r>
    </w:p>
    <w:p w:rsidR="005613AB" w:rsidRPr="00BE1959" w:rsidRDefault="005613AB" w:rsidP="00135407">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lastRenderedPageBreak/>
        <w:t>2.   </w:t>
      </w:r>
      <w:r w:rsidR="001F5C90" w:rsidRPr="00BE1959">
        <w:rPr>
          <w:rFonts w:ascii="Times New Roman" w:eastAsia="Times New Roman" w:hAnsi="Times New Roman" w:cs="Times New Roman"/>
          <w:sz w:val="24"/>
          <w:szCs w:val="24"/>
          <w:lang w:val="uk-UA"/>
        </w:rPr>
        <w:t>Держави-члени</w:t>
      </w:r>
      <w:r w:rsidRPr="00BE1959">
        <w:rPr>
          <w:rFonts w:ascii="Times New Roman" w:eastAsia="Times New Roman" w:hAnsi="Times New Roman" w:cs="Times New Roman"/>
          <w:sz w:val="24"/>
          <w:szCs w:val="24"/>
          <w:lang w:val="uk-UA"/>
        </w:rPr>
        <w:t xml:space="preserve"> </w:t>
      </w:r>
      <w:r w:rsidR="00135407" w:rsidRPr="00BE1959">
        <w:rPr>
          <w:rFonts w:ascii="Times New Roman" w:eastAsia="Times New Roman" w:hAnsi="Times New Roman" w:cs="Times New Roman"/>
          <w:sz w:val="24"/>
          <w:szCs w:val="24"/>
          <w:lang w:val="uk-UA"/>
        </w:rPr>
        <w:t>застосовують заходи, згадані у статті 92, починаючи з 3 липня 2015 року.</w:t>
      </w:r>
    </w:p>
    <w:p w:rsidR="005613AB" w:rsidRPr="00BE1959" w:rsidRDefault="005613AB" w:rsidP="00842A1E">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3.   </w:t>
      </w:r>
      <w:r w:rsidR="001F5C90" w:rsidRPr="00BE1959">
        <w:rPr>
          <w:rFonts w:ascii="Times New Roman" w:eastAsia="Times New Roman" w:hAnsi="Times New Roman" w:cs="Times New Roman"/>
          <w:sz w:val="24"/>
          <w:szCs w:val="24"/>
          <w:lang w:val="uk-UA"/>
        </w:rPr>
        <w:t>Держави-члени</w:t>
      </w:r>
      <w:r w:rsidRPr="00BE1959">
        <w:rPr>
          <w:rFonts w:ascii="Times New Roman" w:eastAsia="Times New Roman" w:hAnsi="Times New Roman" w:cs="Times New Roman"/>
          <w:sz w:val="24"/>
          <w:szCs w:val="24"/>
          <w:lang w:val="uk-UA"/>
        </w:rPr>
        <w:t xml:space="preserve"> </w:t>
      </w:r>
      <w:r w:rsidR="00842A1E" w:rsidRPr="00BE1959">
        <w:rPr>
          <w:rFonts w:ascii="Times New Roman" w:eastAsia="Times New Roman" w:hAnsi="Times New Roman" w:cs="Times New Roman"/>
          <w:sz w:val="24"/>
          <w:szCs w:val="24"/>
          <w:lang w:val="uk-UA"/>
        </w:rPr>
        <w:t>надають Комісії та ESMA текст основних положень національного законодавства, прийнятих ними у сфері, охопленій цією директивою.</w:t>
      </w:r>
    </w:p>
    <w:p w:rsidR="005613AB" w:rsidRPr="00BE1959" w:rsidRDefault="00162A11" w:rsidP="005613AB">
      <w:pPr>
        <w:spacing w:before="360" w:after="120" w:line="312" w:lineRule="atLeast"/>
        <w:jc w:val="center"/>
        <w:textAlignment w:val="baseline"/>
        <w:rPr>
          <w:rFonts w:ascii="Times New Roman" w:eastAsia="Times New Roman" w:hAnsi="Times New Roman" w:cs="Times New Roman"/>
          <w:i/>
          <w:iCs/>
          <w:sz w:val="24"/>
          <w:szCs w:val="24"/>
          <w:lang w:val="uk-UA"/>
        </w:rPr>
      </w:pPr>
      <w:r w:rsidRPr="00BE1959">
        <w:rPr>
          <w:rFonts w:ascii="Times New Roman" w:eastAsia="Times New Roman" w:hAnsi="Times New Roman" w:cs="Times New Roman"/>
          <w:i/>
          <w:iCs/>
          <w:sz w:val="24"/>
          <w:szCs w:val="24"/>
          <w:lang w:val="uk-UA"/>
        </w:rPr>
        <w:t>Стаття</w:t>
      </w:r>
      <w:r w:rsidR="005613AB" w:rsidRPr="00BE1959">
        <w:rPr>
          <w:rFonts w:ascii="Times New Roman" w:eastAsia="Times New Roman" w:hAnsi="Times New Roman" w:cs="Times New Roman"/>
          <w:i/>
          <w:iCs/>
          <w:sz w:val="24"/>
          <w:szCs w:val="24"/>
          <w:lang w:val="uk-UA"/>
        </w:rPr>
        <w:t xml:space="preserve"> 94</w:t>
      </w:r>
    </w:p>
    <w:p w:rsidR="005613AB" w:rsidRPr="00BE1959" w:rsidRDefault="00B22DF3" w:rsidP="005613AB">
      <w:pPr>
        <w:spacing w:before="60" w:after="120" w:line="312" w:lineRule="atLeast"/>
        <w:jc w:val="center"/>
        <w:textAlignment w:val="baseline"/>
        <w:rPr>
          <w:rFonts w:ascii="Times New Roman" w:eastAsia="Times New Roman" w:hAnsi="Times New Roman" w:cs="Times New Roman"/>
          <w:b/>
          <w:bCs/>
          <w:sz w:val="24"/>
          <w:szCs w:val="24"/>
          <w:lang w:val="uk-UA"/>
        </w:rPr>
      </w:pPr>
      <w:r w:rsidRPr="00BE1959">
        <w:rPr>
          <w:rFonts w:ascii="Times New Roman" w:eastAsia="Times New Roman" w:hAnsi="Times New Roman" w:cs="Times New Roman"/>
          <w:b/>
          <w:bCs/>
          <w:sz w:val="24"/>
          <w:szCs w:val="24"/>
          <w:lang w:val="uk-UA"/>
        </w:rPr>
        <w:t>Скасування</w:t>
      </w:r>
    </w:p>
    <w:p w:rsidR="005613AB" w:rsidRPr="00BE1959" w:rsidRDefault="00EA38CD" w:rsidP="00EA38CD">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Директива</w:t>
      </w:r>
      <w:r w:rsidR="005613AB" w:rsidRPr="00BE1959">
        <w:rPr>
          <w:rFonts w:ascii="Times New Roman" w:eastAsia="Times New Roman" w:hAnsi="Times New Roman" w:cs="Times New Roman"/>
          <w:sz w:val="24"/>
          <w:szCs w:val="24"/>
          <w:lang w:val="uk-UA"/>
        </w:rPr>
        <w:t xml:space="preserve"> 2004/39/EC, </w:t>
      </w:r>
      <w:r w:rsidRPr="00BE1959">
        <w:rPr>
          <w:rFonts w:ascii="Times New Roman" w:eastAsia="Times New Roman" w:hAnsi="Times New Roman" w:cs="Times New Roman"/>
          <w:sz w:val="24"/>
          <w:szCs w:val="24"/>
          <w:lang w:val="uk-UA"/>
        </w:rPr>
        <w:t>до якої внесено зміни актами, перерахованими у частині А Додатку ІІІ до цієї директиви, скасовується з 3 січня 2017 року, без впливу на зобов’язання держав-членів щодо строків транспонування в національне законодавство директив, перерахованих у частині В Додатку ІІІ до цієї директиви.</w:t>
      </w:r>
    </w:p>
    <w:p w:rsidR="005613AB" w:rsidRPr="00BE1959" w:rsidRDefault="00EA38CD" w:rsidP="00EA38CD">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Посилання на Директиву</w:t>
      </w:r>
      <w:r w:rsidR="005613AB" w:rsidRPr="00BE1959">
        <w:rPr>
          <w:rFonts w:ascii="Times New Roman" w:eastAsia="Times New Roman" w:hAnsi="Times New Roman" w:cs="Times New Roman"/>
          <w:sz w:val="24"/>
          <w:szCs w:val="24"/>
          <w:lang w:val="uk-UA"/>
        </w:rPr>
        <w:t xml:space="preserve"> 2004/39/EC </w:t>
      </w:r>
      <w:r w:rsidRPr="00BE1959">
        <w:rPr>
          <w:rFonts w:ascii="Times New Roman" w:eastAsia="Times New Roman" w:hAnsi="Times New Roman" w:cs="Times New Roman"/>
          <w:sz w:val="24"/>
          <w:szCs w:val="24"/>
          <w:lang w:val="uk-UA"/>
        </w:rPr>
        <w:t>або на Директиву</w:t>
      </w:r>
      <w:r w:rsidR="005613AB" w:rsidRPr="00BE1959">
        <w:rPr>
          <w:rFonts w:ascii="Times New Roman" w:eastAsia="Times New Roman" w:hAnsi="Times New Roman" w:cs="Times New Roman"/>
          <w:sz w:val="24"/>
          <w:szCs w:val="24"/>
          <w:lang w:val="uk-UA"/>
        </w:rPr>
        <w:t xml:space="preserve"> Directive 93/22/EEC</w:t>
      </w:r>
      <w:r w:rsidRPr="00BE1959">
        <w:rPr>
          <w:rFonts w:ascii="Times New Roman" w:eastAsia="Times New Roman" w:hAnsi="Times New Roman" w:cs="Times New Roman"/>
          <w:sz w:val="24"/>
          <w:szCs w:val="24"/>
          <w:lang w:val="uk-UA"/>
        </w:rPr>
        <w:t xml:space="preserve"> тлумачаться як посилання на цю директиву або на Регламент</w:t>
      </w:r>
      <w:r w:rsidR="005613AB" w:rsidRPr="00BE1959">
        <w:rPr>
          <w:rFonts w:ascii="Times New Roman" w:eastAsia="Times New Roman" w:hAnsi="Times New Roman" w:cs="Times New Roman"/>
          <w:sz w:val="24"/>
          <w:szCs w:val="24"/>
          <w:lang w:val="uk-UA"/>
        </w:rPr>
        <w:t xml:space="preserve"> </w:t>
      </w:r>
      <w:r w:rsidR="007B0149" w:rsidRPr="00BE1959">
        <w:rPr>
          <w:rFonts w:ascii="Times New Roman" w:eastAsia="Times New Roman" w:hAnsi="Times New Roman" w:cs="Times New Roman"/>
          <w:sz w:val="24"/>
          <w:szCs w:val="24"/>
          <w:lang w:val="uk-UA"/>
        </w:rPr>
        <w:t>(EU) № 600/2014</w:t>
      </w:r>
      <w:r w:rsidRPr="00BE1959">
        <w:rPr>
          <w:rFonts w:ascii="Times New Roman" w:eastAsia="Times New Roman" w:hAnsi="Times New Roman" w:cs="Times New Roman"/>
          <w:sz w:val="24"/>
          <w:szCs w:val="24"/>
          <w:lang w:val="uk-UA"/>
        </w:rPr>
        <w:t xml:space="preserve"> і мають читатися відповідно до таблиці відповідності, наведеної у Додатку</w:t>
      </w:r>
      <w:r w:rsidR="005613AB" w:rsidRPr="00BE1959">
        <w:rPr>
          <w:rFonts w:ascii="Times New Roman" w:eastAsia="Times New Roman" w:hAnsi="Times New Roman" w:cs="Times New Roman"/>
          <w:sz w:val="24"/>
          <w:szCs w:val="24"/>
          <w:lang w:val="uk-UA"/>
        </w:rPr>
        <w:t xml:space="preserve"> IV </w:t>
      </w:r>
      <w:r w:rsidRPr="00BE1959">
        <w:rPr>
          <w:rFonts w:ascii="Times New Roman" w:eastAsia="Times New Roman" w:hAnsi="Times New Roman" w:cs="Times New Roman"/>
          <w:sz w:val="24"/>
          <w:szCs w:val="24"/>
          <w:lang w:val="uk-UA"/>
        </w:rPr>
        <w:t xml:space="preserve">до </w:t>
      </w:r>
      <w:r w:rsidR="00432567" w:rsidRPr="00BE1959">
        <w:rPr>
          <w:rFonts w:ascii="Times New Roman" w:eastAsia="Times New Roman" w:hAnsi="Times New Roman" w:cs="Times New Roman"/>
          <w:sz w:val="24"/>
          <w:szCs w:val="24"/>
          <w:lang w:val="uk-UA"/>
        </w:rPr>
        <w:t>цієї директиви</w:t>
      </w:r>
      <w:r w:rsidR="005613AB" w:rsidRPr="00BE1959">
        <w:rPr>
          <w:rFonts w:ascii="Times New Roman" w:eastAsia="Times New Roman" w:hAnsi="Times New Roman" w:cs="Times New Roman"/>
          <w:sz w:val="24"/>
          <w:szCs w:val="24"/>
          <w:lang w:val="uk-UA"/>
        </w:rPr>
        <w:t>.</w:t>
      </w:r>
    </w:p>
    <w:p w:rsidR="005613AB" w:rsidRPr="00BE1959" w:rsidRDefault="00EA38CD" w:rsidP="00EA38CD">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Посилання на терміни, визначені у Директиві 2004/39/EC або Директиві 93/22/EEC, або на статті цих директив тлумачаться як посилання на еквівалентні терміни, визначені в цій директиві, або на статті цієї директиви.</w:t>
      </w:r>
    </w:p>
    <w:p w:rsidR="005613AB" w:rsidRPr="00BE1959" w:rsidRDefault="00162A11" w:rsidP="005613AB">
      <w:pPr>
        <w:spacing w:before="360" w:after="120" w:line="312" w:lineRule="atLeast"/>
        <w:jc w:val="center"/>
        <w:textAlignment w:val="baseline"/>
        <w:rPr>
          <w:rFonts w:ascii="Times New Roman" w:eastAsia="Times New Roman" w:hAnsi="Times New Roman" w:cs="Times New Roman"/>
          <w:i/>
          <w:iCs/>
          <w:sz w:val="24"/>
          <w:szCs w:val="24"/>
          <w:lang w:val="uk-UA"/>
        </w:rPr>
      </w:pPr>
      <w:r w:rsidRPr="00BE1959">
        <w:rPr>
          <w:rFonts w:ascii="Times New Roman" w:eastAsia="Times New Roman" w:hAnsi="Times New Roman" w:cs="Times New Roman"/>
          <w:i/>
          <w:iCs/>
          <w:sz w:val="24"/>
          <w:szCs w:val="24"/>
          <w:lang w:val="uk-UA"/>
        </w:rPr>
        <w:t>Стаття</w:t>
      </w:r>
      <w:r w:rsidR="005613AB" w:rsidRPr="00BE1959">
        <w:rPr>
          <w:rFonts w:ascii="Times New Roman" w:eastAsia="Times New Roman" w:hAnsi="Times New Roman" w:cs="Times New Roman"/>
          <w:i/>
          <w:iCs/>
          <w:sz w:val="24"/>
          <w:szCs w:val="24"/>
          <w:lang w:val="uk-UA"/>
        </w:rPr>
        <w:t xml:space="preserve"> 95</w:t>
      </w:r>
    </w:p>
    <w:p w:rsidR="005613AB" w:rsidRPr="00BE1959" w:rsidRDefault="00B22DF3" w:rsidP="005613AB">
      <w:pPr>
        <w:spacing w:before="60" w:after="120" w:line="312" w:lineRule="atLeast"/>
        <w:jc w:val="center"/>
        <w:textAlignment w:val="baseline"/>
        <w:rPr>
          <w:rFonts w:ascii="Times New Roman" w:eastAsia="Times New Roman" w:hAnsi="Times New Roman" w:cs="Times New Roman"/>
          <w:b/>
          <w:bCs/>
          <w:sz w:val="24"/>
          <w:szCs w:val="24"/>
          <w:lang w:val="uk-UA"/>
        </w:rPr>
      </w:pPr>
      <w:r w:rsidRPr="00BE1959">
        <w:rPr>
          <w:rFonts w:ascii="Times New Roman" w:eastAsia="Times New Roman" w:hAnsi="Times New Roman" w:cs="Times New Roman"/>
          <w:b/>
          <w:bCs/>
          <w:sz w:val="24"/>
          <w:szCs w:val="24"/>
          <w:lang w:val="uk-UA"/>
        </w:rPr>
        <w:t>Перехідні положення</w:t>
      </w:r>
    </w:p>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1.   </w:t>
      </w:r>
      <w:r w:rsidR="00EA38CD" w:rsidRPr="00BE1959">
        <w:rPr>
          <w:rFonts w:ascii="Times New Roman" w:eastAsia="Times New Roman" w:hAnsi="Times New Roman" w:cs="Times New Roman"/>
          <w:sz w:val="24"/>
          <w:szCs w:val="24"/>
          <w:lang w:val="uk-UA"/>
        </w:rPr>
        <w:t>До 3 липня 2020 року</w:t>
      </w:r>
      <w:r w:rsidRPr="00BE1959">
        <w:rPr>
          <w:rFonts w:ascii="Times New Roman" w:eastAsia="Times New Roman" w:hAnsi="Times New Roman" w:cs="Times New Roman"/>
          <w:sz w:val="24"/>
          <w:szCs w:val="24"/>
          <w:lang w:val="uk-UA"/>
        </w:rP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9093"/>
      </w:tblGrid>
      <w:tr w:rsidR="005613AB"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EA38CD" w:rsidP="0022797C">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зобов’язання щодо клірингу, встановлене у</w:t>
            </w:r>
            <w:r w:rsidR="005E1C03" w:rsidRPr="00BE1959">
              <w:rPr>
                <w:rFonts w:ascii="Times New Roman" w:eastAsia="Times New Roman" w:hAnsi="Times New Roman" w:cs="Times New Roman"/>
                <w:sz w:val="24"/>
                <w:szCs w:val="24"/>
                <w:lang w:val="uk-UA"/>
              </w:rPr>
              <w:t xml:space="preserve"> статті</w:t>
            </w:r>
            <w:r w:rsidR="005613AB" w:rsidRPr="00BE1959">
              <w:rPr>
                <w:rFonts w:ascii="Times New Roman" w:eastAsia="Times New Roman" w:hAnsi="Times New Roman" w:cs="Times New Roman"/>
                <w:sz w:val="24"/>
                <w:szCs w:val="24"/>
                <w:lang w:val="uk-UA"/>
              </w:rPr>
              <w:t xml:space="preserve"> 4 </w:t>
            </w:r>
            <w:r w:rsidR="008824AE" w:rsidRPr="00BE1959">
              <w:rPr>
                <w:rFonts w:ascii="Times New Roman" w:eastAsia="Times New Roman" w:hAnsi="Times New Roman" w:cs="Times New Roman"/>
                <w:sz w:val="24"/>
                <w:szCs w:val="24"/>
                <w:lang w:val="uk-UA"/>
              </w:rPr>
              <w:t>Регламенту</w:t>
            </w:r>
            <w:r w:rsidR="005613AB" w:rsidRPr="00BE1959">
              <w:rPr>
                <w:rFonts w:ascii="Times New Roman" w:eastAsia="Times New Roman" w:hAnsi="Times New Roman" w:cs="Times New Roman"/>
                <w:sz w:val="24"/>
                <w:szCs w:val="24"/>
                <w:lang w:val="uk-UA"/>
              </w:rPr>
              <w:t xml:space="preserve"> </w:t>
            </w:r>
            <w:r w:rsidR="00DB4825" w:rsidRPr="00BE1959">
              <w:rPr>
                <w:rFonts w:ascii="Times New Roman" w:eastAsia="Times New Roman" w:hAnsi="Times New Roman" w:cs="Times New Roman"/>
                <w:sz w:val="24"/>
                <w:szCs w:val="24"/>
                <w:lang w:val="uk-UA"/>
              </w:rPr>
              <w:t>(EU) №</w:t>
            </w:r>
            <w:r w:rsidR="005613AB" w:rsidRPr="00BE1959">
              <w:rPr>
                <w:rFonts w:ascii="Times New Roman" w:eastAsia="Times New Roman" w:hAnsi="Times New Roman" w:cs="Times New Roman"/>
                <w:sz w:val="24"/>
                <w:szCs w:val="24"/>
                <w:lang w:val="uk-UA"/>
              </w:rPr>
              <w:t> 648/2012</w:t>
            </w:r>
            <w:r w:rsidR="000333DB" w:rsidRPr="00BE1959">
              <w:rPr>
                <w:rFonts w:ascii="Times New Roman" w:eastAsia="Times New Roman" w:hAnsi="Times New Roman" w:cs="Times New Roman"/>
                <w:sz w:val="24"/>
                <w:szCs w:val="24"/>
                <w:lang w:val="uk-UA"/>
              </w:rPr>
              <w:t>, та методи зменшення ризиків, наведені у статті 11(3) вищезгаданого регламенту, не застосовуються до контрактів на енергетичні деривативи за розділом 6, укладених нефінансовими контрагентами, які відповідають умовам</w:t>
            </w:r>
            <w:r w:rsidR="005E1C03" w:rsidRPr="00BE1959">
              <w:rPr>
                <w:rFonts w:ascii="Times New Roman" w:eastAsia="Times New Roman" w:hAnsi="Times New Roman" w:cs="Times New Roman"/>
                <w:sz w:val="24"/>
                <w:szCs w:val="24"/>
                <w:lang w:val="uk-UA"/>
              </w:rPr>
              <w:t xml:space="preserve"> статті</w:t>
            </w:r>
            <w:r w:rsidR="005613AB" w:rsidRPr="00BE1959">
              <w:rPr>
                <w:rFonts w:ascii="Times New Roman" w:eastAsia="Times New Roman" w:hAnsi="Times New Roman" w:cs="Times New Roman"/>
                <w:sz w:val="24"/>
                <w:szCs w:val="24"/>
                <w:lang w:val="uk-UA"/>
              </w:rPr>
              <w:t xml:space="preserve"> 10(1) </w:t>
            </w:r>
            <w:r w:rsidR="008824AE" w:rsidRPr="00BE1959">
              <w:rPr>
                <w:rFonts w:ascii="Times New Roman" w:eastAsia="Times New Roman" w:hAnsi="Times New Roman" w:cs="Times New Roman"/>
                <w:sz w:val="24"/>
                <w:szCs w:val="24"/>
                <w:lang w:val="uk-UA"/>
              </w:rPr>
              <w:t>Регламенту</w:t>
            </w:r>
            <w:r w:rsidR="005613AB" w:rsidRPr="00BE1959">
              <w:rPr>
                <w:rFonts w:ascii="Times New Roman" w:eastAsia="Times New Roman" w:hAnsi="Times New Roman" w:cs="Times New Roman"/>
                <w:sz w:val="24"/>
                <w:szCs w:val="24"/>
                <w:lang w:val="uk-UA"/>
              </w:rPr>
              <w:t xml:space="preserve"> </w:t>
            </w:r>
            <w:r w:rsidR="00DB4825" w:rsidRPr="00BE1959">
              <w:rPr>
                <w:rFonts w:ascii="Times New Roman" w:eastAsia="Times New Roman" w:hAnsi="Times New Roman" w:cs="Times New Roman"/>
                <w:sz w:val="24"/>
                <w:szCs w:val="24"/>
                <w:lang w:val="uk-UA"/>
              </w:rPr>
              <w:t>(EU) №</w:t>
            </w:r>
            <w:r w:rsidR="005613AB" w:rsidRPr="00BE1959">
              <w:rPr>
                <w:rFonts w:ascii="Times New Roman" w:eastAsia="Times New Roman" w:hAnsi="Times New Roman" w:cs="Times New Roman"/>
                <w:sz w:val="24"/>
                <w:szCs w:val="24"/>
                <w:lang w:val="uk-UA"/>
              </w:rPr>
              <w:t> 648/2012</w:t>
            </w:r>
            <w:r w:rsidR="000333DB" w:rsidRPr="00BE1959">
              <w:rPr>
                <w:rFonts w:ascii="Times New Roman" w:eastAsia="Times New Roman" w:hAnsi="Times New Roman" w:cs="Times New Roman"/>
                <w:sz w:val="24"/>
                <w:szCs w:val="24"/>
                <w:lang w:val="uk-UA"/>
              </w:rPr>
              <w:t xml:space="preserve">, або нефінансовими контрагентами, які вперше отримали дозвіл в якості інвестиційних фірм, починаючи </w:t>
            </w:r>
            <w:r w:rsidR="0022797C" w:rsidRPr="00BE1959">
              <w:rPr>
                <w:rFonts w:ascii="Times New Roman" w:eastAsia="Times New Roman" w:hAnsi="Times New Roman" w:cs="Times New Roman"/>
                <w:sz w:val="24"/>
                <w:szCs w:val="24"/>
                <w:lang w:val="uk-UA"/>
              </w:rPr>
              <w:t>з 3 січня 2017 року;</w:t>
            </w:r>
          </w:p>
        </w:tc>
      </w:tr>
    </w:tbl>
    <w:p w:rsidR="005613AB" w:rsidRPr="00BE1959" w:rsidRDefault="005613AB" w:rsidP="005613AB">
      <w:pPr>
        <w:spacing w:after="0" w:line="468" w:lineRule="atLeast"/>
        <w:textAlignment w:val="baseline"/>
        <w:rPr>
          <w:rFonts w:ascii="Times New Roman" w:eastAsia="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DE3173" w:rsidRPr="0043174D" w:rsidTr="005613A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5613AB"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613AB" w:rsidRPr="00BE1959" w:rsidRDefault="0022797C" w:rsidP="00C6146A">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такі контракти на енергетичні деривативи за розділом 6 не вважаються контрактами </w:t>
            </w:r>
            <w:r w:rsidR="00C6146A" w:rsidRPr="00BE1959">
              <w:rPr>
                <w:rFonts w:ascii="Times New Roman" w:eastAsia="Times New Roman" w:hAnsi="Times New Roman" w:cs="Times New Roman"/>
                <w:sz w:val="24"/>
                <w:szCs w:val="24"/>
                <w:lang w:val="uk-UA"/>
              </w:rPr>
              <w:t xml:space="preserve">на позабіржові деривативи в цілях клірингового порогу, встановленого </w:t>
            </w:r>
            <w:r w:rsidR="005E1C03" w:rsidRPr="00BE1959">
              <w:rPr>
                <w:rFonts w:ascii="Times New Roman" w:eastAsia="Times New Roman" w:hAnsi="Times New Roman" w:cs="Times New Roman"/>
                <w:sz w:val="24"/>
                <w:szCs w:val="24"/>
                <w:lang w:val="uk-UA"/>
              </w:rPr>
              <w:t>у статті</w:t>
            </w:r>
            <w:r w:rsidR="005613AB" w:rsidRPr="00BE1959">
              <w:rPr>
                <w:rFonts w:ascii="Times New Roman" w:eastAsia="Times New Roman" w:hAnsi="Times New Roman" w:cs="Times New Roman"/>
                <w:sz w:val="24"/>
                <w:szCs w:val="24"/>
                <w:lang w:val="uk-UA"/>
              </w:rPr>
              <w:t xml:space="preserve"> 10 </w:t>
            </w:r>
            <w:r w:rsidR="008824AE" w:rsidRPr="00BE1959">
              <w:rPr>
                <w:rFonts w:ascii="Times New Roman" w:eastAsia="Times New Roman" w:hAnsi="Times New Roman" w:cs="Times New Roman"/>
                <w:sz w:val="24"/>
                <w:szCs w:val="24"/>
                <w:lang w:val="uk-UA"/>
              </w:rPr>
              <w:t>Регламенту</w:t>
            </w:r>
            <w:r w:rsidR="005613AB" w:rsidRPr="00BE1959">
              <w:rPr>
                <w:rFonts w:ascii="Times New Roman" w:eastAsia="Times New Roman" w:hAnsi="Times New Roman" w:cs="Times New Roman"/>
                <w:sz w:val="24"/>
                <w:szCs w:val="24"/>
                <w:lang w:val="uk-UA"/>
              </w:rPr>
              <w:t xml:space="preserve"> </w:t>
            </w:r>
            <w:r w:rsidR="00DB4825" w:rsidRPr="00BE1959">
              <w:rPr>
                <w:rFonts w:ascii="Times New Roman" w:eastAsia="Times New Roman" w:hAnsi="Times New Roman" w:cs="Times New Roman"/>
                <w:sz w:val="24"/>
                <w:szCs w:val="24"/>
                <w:lang w:val="uk-UA"/>
              </w:rPr>
              <w:t>(EU) №</w:t>
            </w:r>
            <w:r w:rsidR="005613AB" w:rsidRPr="00BE1959">
              <w:rPr>
                <w:rFonts w:ascii="Times New Roman" w:eastAsia="Times New Roman" w:hAnsi="Times New Roman" w:cs="Times New Roman"/>
                <w:sz w:val="24"/>
                <w:szCs w:val="24"/>
                <w:lang w:val="uk-UA"/>
              </w:rPr>
              <w:t> 648/2012.</w:t>
            </w:r>
          </w:p>
        </w:tc>
      </w:tr>
    </w:tbl>
    <w:p w:rsidR="005613AB" w:rsidRPr="00BE1959" w:rsidRDefault="00C6146A" w:rsidP="00C6146A">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Контракти на енергетичні деривативи за розділом 6, які користуються перехідним режимом, визначеним у першому абзаці, підпадають під дію всіх інших вимог, викладених у</w:t>
      </w:r>
      <w:r w:rsidR="00270867" w:rsidRPr="00BE1959">
        <w:rPr>
          <w:rFonts w:ascii="Times New Roman" w:eastAsia="Times New Roman" w:hAnsi="Times New Roman" w:cs="Times New Roman"/>
          <w:sz w:val="24"/>
          <w:szCs w:val="24"/>
          <w:lang w:val="uk-UA"/>
        </w:rPr>
        <w:t xml:space="preserve"> Регламенті</w:t>
      </w:r>
      <w:r w:rsidR="005613AB" w:rsidRPr="00BE1959">
        <w:rPr>
          <w:rFonts w:ascii="Times New Roman" w:eastAsia="Times New Roman" w:hAnsi="Times New Roman" w:cs="Times New Roman"/>
          <w:sz w:val="24"/>
          <w:szCs w:val="24"/>
          <w:lang w:val="uk-UA"/>
        </w:rPr>
        <w:t xml:space="preserve"> </w:t>
      </w:r>
      <w:r w:rsidR="00DB4825" w:rsidRPr="00BE1959">
        <w:rPr>
          <w:rFonts w:ascii="Times New Roman" w:eastAsia="Times New Roman" w:hAnsi="Times New Roman" w:cs="Times New Roman"/>
          <w:sz w:val="24"/>
          <w:szCs w:val="24"/>
          <w:lang w:val="uk-UA"/>
        </w:rPr>
        <w:t>(EU) №</w:t>
      </w:r>
      <w:r w:rsidR="005613AB" w:rsidRPr="00BE1959">
        <w:rPr>
          <w:rFonts w:ascii="Times New Roman" w:eastAsia="Times New Roman" w:hAnsi="Times New Roman" w:cs="Times New Roman"/>
          <w:sz w:val="24"/>
          <w:szCs w:val="24"/>
          <w:lang w:val="uk-UA"/>
        </w:rPr>
        <w:t> 648/2012.</w:t>
      </w:r>
    </w:p>
    <w:p w:rsidR="005613AB" w:rsidRPr="00BE1959" w:rsidRDefault="005613AB" w:rsidP="00C6146A">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2.   </w:t>
      </w:r>
      <w:r w:rsidR="00C6146A" w:rsidRPr="00BE1959">
        <w:rPr>
          <w:rFonts w:ascii="Times New Roman" w:eastAsia="Times New Roman" w:hAnsi="Times New Roman" w:cs="Times New Roman"/>
          <w:sz w:val="24"/>
          <w:szCs w:val="24"/>
          <w:lang w:val="uk-UA"/>
        </w:rPr>
        <w:t xml:space="preserve">Звільнення, згадане у пункті 1, надається відповідним компетентним органом. </w:t>
      </w:r>
      <w:r w:rsidR="00AF288E" w:rsidRPr="00BE1959">
        <w:rPr>
          <w:rFonts w:ascii="Times New Roman" w:eastAsia="Times New Roman" w:hAnsi="Times New Roman" w:cs="Times New Roman"/>
          <w:sz w:val="24"/>
          <w:szCs w:val="24"/>
          <w:lang w:val="uk-UA"/>
        </w:rPr>
        <w:t>Компетентний орган</w:t>
      </w:r>
      <w:r w:rsidRPr="00BE1959">
        <w:rPr>
          <w:rFonts w:ascii="Times New Roman" w:eastAsia="Times New Roman" w:hAnsi="Times New Roman" w:cs="Times New Roman"/>
          <w:sz w:val="24"/>
          <w:szCs w:val="24"/>
          <w:lang w:val="uk-UA"/>
        </w:rPr>
        <w:t xml:space="preserve"> </w:t>
      </w:r>
      <w:r w:rsidR="00C6146A" w:rsidRPr="00BE1959">
        <w:rPr>
          <w:rFonts w:ascii="Times New Roman" w:eastAsia="Times New Roman" w:hAnsi="Times New Roman" w:cs="Times New Roman"/>
          <w:sz w:val="24"/>
          <w:szCs w:val="24"/>
          <w:lang w:val="uk-UA"/>
        </w:rPr>
        <w:t xml:space="preserve">повідомляє ESMA про контракти на енергетичні деривативи за </w:t>
      </w:r>
      <w:r w:rsidR="00C6146A" w:rsidRPr="00BE1959">
        <w:rPr>
          <w:rFonts w:ascii="Times New Roman" w:eastAsia="Times New Roman" w:hAnsi="Times New Roman" w:cs="Times New Roman"/>
          <w:sz w:val="24"/>
          <w:szCs w:val="24"/>
          <w:lang w:val="uk-UA"/>
        </w:rPr>
        <w:lastRenderedPageBreak/>
        <w:t>розділом 6, щодо яких надано звільнення</w:t>
      </w:r>
      <w:r w:rsidRPr="00BE1959">
        <w:rPr>
          <w:rFonts w:ascii="Times New Roman" w:eastAsia="Times New Roman" w:hAnsi="Times New Roman" w:cs="Times New Roman"/>
          <w:sz w:val="24"/>
          <w:szCs w:val="24"/>
          <w:lang w:val="uk-UA"/>
        </w:rPr>
        <w:t xml:space="preserve"> </w:t>
      </w:r>
      <w:r w:rsidR="00AE4EB5" w:rsidRPr="00BE1959">
        <w:rPr>
          <w:rFonts w:ascii="Times New Roman" w:eastAsia="Times New Roman" w:hAnsi="Times New Roman" w:cs="Times New Roman"/>
          <w:sz w:val="24"/>
          <w:szCs w:val="24"/>
          <w:lang w:val="uk-UA"/>
        </w:rPr>
        <w:t>відповідно до пункту</w:t>
      </w:r>
      <w:r w:rsidRPr="00BE1959">
        <w:rPr>
          <w:rFonts w:ascii="Times New Roman" w:eastAsia="Times New Roman" w:hAnsi="Times New Roman" w:cs="Times New Roman"/>
          <w:sz w:val="24"/>
          <w:szCs w:val="24"/>
          <w:lang w:val="uk-UA"/>
        </w:rPr>
        <w:t xml:space="preserve"> 1</w:t>
      </w:r>
      <w:r w:rsidR="00C6146A" w:rsidRPr="00BE1959">
        <w:rPr>
          <w:rFonts w:ascii="Times New Roman" w:eastAsia="Times New Roman" w:hAnsi="Times New Roman" w:cs="Times New Roman"/>
          <w:sz w:val="24"/>
          <w:szCs w:val="24"/>
          <w:lang w:val="uk-UA"/>
        </w:rPr>
        <w:t>, а</w:t>
      </w:r>
      <w:r w:rsidRPr="00BE1959">
        <w:rPr>
          <w:rFonts w:ascii="Times New Roman" w:eastAsia="Times New Roman" w:hAnsi="Times New Roman" w:cs="Times New Roman"/>
          <w:sz w:val="24"/>
          <w:szCs w:val="24"/>
          <w:lang w:val="uk-UA"/>
        </w:rPr>
        <w:t xml:space="preserve"> ESMA </w:t>
      </w:r>
      <w:r w:rsidR="00C6146A" w:rsidRPr="00BE1959">
        <w:rPr>
          <w:rFonts w:ascii="Times New Roman" w:eastAsia="Times New Roman" w:hAnsi="Times New Roman" w:cs="Times New Roman"/>
          <w:sz w:val="24"/>
          <w:szCs w:val="24"/>
          <w:lang w:val="uk-UA"/>
        </w:rPr>
        <w:t>публікує на своєму веб-сайті перелік таких контрактів.</w:t>
      </w:r>
    </w:p>
    <w:p w:rsidR="005613AB" w:rsidRPr="00BE1959" w:rsidRDefault="00162A11" w:rsidP="005613AB">
      <w:pPr>
        <w:spacing w:before="360" w:after="120" w:line="312" w:lineRule="atLeast"/>
        <w:jc w:val="center"/>
        <w:textAlignment w:val="baseline"/>
        <w:rPr>
          <w:rFonts w:ascii="Times New Roman" w:eastAsia="Times New Roman" w:hAnsi="Times New Roman" w:cs="Times New Roman"/>
          <w:i/>
          <w:iCs/>
          <w:sz w:val="24"/>
          <w:szCs w:val="24"/>
          <w:lang w:val="uk-UA"/>
        </w:rPr>
      </w:pPr>
      <w:r w:rsidRPr="00BE1959">
        <w:rPr>
          <w:rFonts w:ascii="Times New Roman" w:eastAsia="Times New Roman" w:hAnsi="Times New Roman" w:cs="Times New Roman"/>
          <w:i/>
          <w:iCs/>
          <w:sz w:val="24"/>
          <w:szCs w:val="24"/>
          <w:lang w:val="uk-UA"/>
        </w:rPr>
        <w:t>Стаття</w:t>
      </w:r>
      <w:r w:rsidR="005613AB" w:rsidRPr="00BE1959">
        <w:rPr>
          <w:rFonts w:ascii="Times New Roman" w:eastAsia="Times New Roman" w:hAnsi="Times New Roman" w:cs="Times New Roman"/>
          <w:i/>
          <w:iCs/>
          <w:sz w:val="24"/>
          <w:szCs w:val="24"/>
          <w:lang w:val="uk-UA"/>
        </w:rPr>
        <w:t xml:space="preserve"> 96</w:t>
      </w:r>
    </w:p>
    <w:p w:rsidR="005613AB" w:rsidRPr="00BE1959" w:rsidRDefault="00F05BAC" w:rsidP="005613AB">
      <w:pPr>
        <w:spacing w:before="60" w:after="120" w:line="312" w:lineRule="atLeast"/>
        <w:jc w:val="center"/>
        <w:textAlignment w:val="baseline"/>
        <w:rPr>
          <w:rFonts w:ascii="Times New Roman" w:eastAsia="Times New Roman" w:hAnsi="Times New Roman" w:cs="Times New Roman"/>
          <w:b/>
          <w:bCs/>
          <w:sz w:val="24"/>
          <w:szCs w:val="24"/>
          <w:lang w:val="uk-UA"/>
        </w:rPr>
      </w:pPr>
      <w:r w:rsidRPr="00BE1959">
        <w:rPr>
          <w:rFonts w:ascii="Times New Roman" w:eastAsia="Times New Roman" w:hAnsi="Times New Roman" w:cs="Times New Roman"/>
          <w:b/>
          <w:bCs/>
          <w:sz w:val="24"/>
          <w:szCs w:val="24"/>
          <w:lang w:val="uk-UA"/>
        </w:rPr>
        <w:t>Набрання чинності</w:t>
      </w:r>
    </w:p>
    <w:p w:rsidR="005613AB" w:rsidRPr="00BE1959" w:rsidRDefault="00F05BAC" w:rsidP="005613AB">
      <w:pPr>
        <w:spacing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Ця директива набирає чинності на двадцятий день після її публікації в «Офіційному віснику Європейського Союзу».</w:t>
      </w:r>
    </w:p>
    <w:p w:rsidR="005613AB" w:rsidRPr="00BE1959" w:rsidRDefault="00162A11" w:rsidP="005613AB">
      <w:pPr>
        <w:spacing w:before="360" w:after="120" w:line="312" w:lineRule="atLeast"/>
        <w:jc w:val="center"/>
        <w:textAlignment w:val="baseline"/>
        <w:rPr>
          <w:rFonts w:ascii="Times New Roman" w:eastAsia="Times New Roman" w:hAnsi="Times New Roman" w:cs="Times New Roman"/>
          <w:i/>
          <w:iCs/>
          <w:sz w:val="24"/>
          <w:szCs w:val="24"/>
          <w:lang w:val="uk-UA"/>
        </w:rPr>
      </w:pPr>
      <w:r w:rsidRPr="00BE1959">
        <w:rPr>
          <w:rFonts w:ascii="Times New Roman" w:eastAsia="Times New Roman" w:hAnsi="Times New Roman" w:cs="Times New Roman"/>
          <w:i/>
          <w:iCs/>
          <w:sz w:val="24"/>
          <w:szCs w:val="24"/>
          <w:lang w:val="uk-UA"/>
        </w:rPr>
        <w:t>Стаття</w:t>
      </w:r>
      <w:r w:rsidR="005613AB" w:rsidRPr="00BE1959">
        <w:rPr>
          <w:rFonts w:ascii="Times New Roman" w:eastAsia="Times New Roman" w:hAnsi="Times New Roman" w:cs="Times New Roman"/>
          <w:i/>
          <w:iCs/>
          <w:sz w:val="24"/>
          <w:szCs w:val="24"/>
          <w:lang w:val="uk-UA"/>
        </w:rPr>
        <w:t xml:space="preserve"> 97</w:t>
      </w:r>
    </w:p>
    <w:p w:rsidR="005613AB" w:rsidRPr="00BE1959" w:rsidRDefault="00F05BAC" w:rsidP="005613AB">
      <w:pPr>
        <w:spacing w:before="60" w:after="120" w:line="312" w:lineRule="atLeast"/>
        <w:jc w:val="center"/>
        <w:textAlignment w:val="baseline"/>
        <w:rPr>
          <w:rFonts w:ascii="Times New Roman" w:eastAsia="Times New Roman" w:hAnsi="Times New Roman" w:cs="Times New Roman"/>
          <w:b/>
          <w:bCs/>
          <w:sz w:val="24"/>
          <w:szCs w:val="24"/>
          <w:lang w:val="uk-UA"/>
        </w:rPr>
      </w:pPr>
      <w:r w:rsidRPr="00BE1959">
        <w:rPr>
          <w:rFonts w:ascii="Times New Roman" w:eastAsia="Times New Roman" w:hAnsi="Times New Roman" w:cs="Times New Roman"/>
          <w:b/>
          <w:bCs/>
          <w:sz w:val="24"/>
          <w:szCs w:val="24"/>
          <w:lang w:val="uk-UA"/>
        </w:rPr>
        <w:t>Адресати</w:t>
      </w:r>
    </w:p>
    <w:p w:rsidR="005613AB" w:rsidRPr="00BE1959" w:rsidRDefault="00F05BAC" w:rsidP="005613AB">
      <w:pPr>
        <w:spacing w:before="120"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Ц</w:t>
      </w:r>
      <w:r w:rsidR="00E17671" w:rsidRPr="00BE1959">
        <w:rPr>
          <w:rFonts w:ascii="Times New Roman" w:eastAsia="Times New Roman" w:hAnsi="Times New Roman" w:cs="Times New Roman"/>
          <w:sz w:val="24"/>
          <w:szCs w:val="24"/>
          <w:lang w:val="uk-UA"/>
        </w:rPr>
        <w:t>ю</w:t>
      </w:r>
      <w:r w:rsidRPr="00BE1959">
        <w:rPr>
          <w:rFonts w:ascii="Times New Roman" w:eastAsia="Times New Roman" w:hAnsi="Times New Roman" w:cs="Times New Roman"/>
          <w:sz w:val="24"/>
          <w:szCs w:val="24"/>
          <w:lang w:val="uk-UA"/>
        </w:rPr>
        <w:t xml:space="preserve"> директив</w:t>
      </w:r>
      <w:r w:rsidR="00E17671" w:rsidRPr="00BE1959">
        <w:rPr>
          <w:rFonts w:ascii="Times New Roman" w:eastAsia="Times New Roman" w:hAnsi="Times New Roman" w:cs="Times New Roman"/>
          <w:sz w:val="24"/>
          <w:szCs w:val="24"/>
          <w:lang w:val="uk-UA"/>
        </w:rPr>
        <w:t>у</w:t>
      </w:r>
      <w:r w:rsidRPr="00BE1959">
        <w:rPr>
          <w:rFonts w:ascii="Times New Roman" w:eastAsia="Times New Roman" w:hAnsi="Times New Roman" w:cs="Times New Roman"/>
          <w:sz w:val="24"/>
          <w:szCs w:val="24"/>
          <w:lang w:val="uk-UA"/>
        </w:rPr>
        <w:t xml:space="preserve"> адресован</w:t>
      </w:r>
      <w:r w:rsidR="00E17671" w:rsidRPr="00BE1959">
        <w:rPr>
          <w:rFonts w:ascii="Times New Roman" w:eastAsia="Times New Roman" w:hAnsi="Times New Roman" w:cs="Times New Roman"/>
          <w:sz w:val="24"/>
          <w:szCs w:val="24"/>
          <w:lang w:val="uk-UA"/>
        </w:rPr>
        <w:t>о</w:t>
      </w:r>
      <w:r w:rsidRPr="00BE1959">
        <w:rPr>
          <w:rFonts w:ascii="Times New Roman" w:eastAsia="Times New Roman" w:hAnsi="Times New Roman" w:cs="Times New Roman"/>
          <w:sz w:val="24"/>
          <w:szCs w:val="24"/>
          <w:lang w:val="uk-UA"/>
        </w:rPr>
        <w:t xml:space="preserve"> державам-членам</w:t>
      </w:r>
      <w:r w:rsidR="005613AB" w:rsidRPr="00BE1959">
        <w:rPr>
          <w:rFonts w:ascii="Times New Roman" w:eastAsia="Times New Roman" w:hAnsi="Times New Roman" w:cs="Times New Roman"/>
          <w:sz w:val="24"/>
          <w:szCs w:val="24"/>
          <w:lang w:val="uk-UA"/>
        </w:rPr>
        <w:t>.</w:t>
      </w:r>
    </w:p>
    <w:p w:rsidR="00E17671" w:rsidRPr="00BE1959" w:rsidRDefault="00E17671" w:rsidP="005613AB">
      <w:pPr>
        <w:spacing w:after="0" w:line="312" w:lineRule="atLeast"/>
        <w:jc w:val="both"/>
        <w:textAlignment w:val="baseline"/>
        <w:rPr>
          <w:rFonts w:ascii="Times New Roman" w:eastAsia="Times New Roman" w:hAnsi="Times New Roman" w:cs="Times New Roman"/>
          <w:sz w:val="24"/>
          <w:szCs w:val="24"/>
          <w:lang w:val="uk-UA"/>
        </w:rPr>
      </w:pPr>
    </w:p>
    <w:p w:rsidR="005613AB" w:rsidRPr="00BE1959" w:rsidRDefault="00E17671" w:rsidP="005613AB">
      <w:pPr>
        <w:spacing w:after="0" w:line="312" w:lineRule="atLeast"/>
        <w:jc w:val="both"/>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Вчинено у Брюсселі 15 травня 2014 року.</w:t>
      </w:r>
    </w:p>
    <w:p w:rsidR="00E17671" w:rsidRPr="00BE1959" w:rsidRDefault="00E17671" w:rsidP="005613AB">
      <w:pPr>
        <w:spacing w:after="0" w:line="312" w:lineRule="atLeast"/>
        <w:jc w:val="center"/>
        <w:textAlignment w:val="baseline"/>
        <w:rPr>
          <w:rFonts w:ascii="Times New Roman" w:eastAsia="Times New Roman" w:hAnsi="Times New Roman" w:cs="Times New Roman"/>
          <w:i/>
          <w:iCs/>
          <w:sz w:val="24"/>
          <w:szCs w:val="24"/>
          <w:bdr w:val="none" w:sz="0" w:space="0" w:color="auto" w:frame="1"/>
          <w:lang w:val="uk-UA"/>
        </w:rPr>
      </w:pPr>
    </w:p>
    <w:p w:rsidR="005613AB" w:rsidRPr="00BE1959" w:rsidRDefault="00E17671" w:rsidP="005613AB">
      <w:pPr>
        <w:spacing w:after="0" w:line="312" w:lineRule="atLeast"/>
        <w:jc w:val="center"/>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i/>
          <w:iCs/>
          <w:sz w:val="24"/>
          <w:szCs w:val="24"/>
          <w:bdr w:val="none" w:sz="0" w:space="0" w:color="auto" w:frame="1"/>
          <w:lang w:val="uk-UA"/>
        </w:rPr>
        <w:t>За Європейський Парламент</w:t>
      </w:r>
    </w:p>
    <w:p w:rsidR="005613AB" w:rsidRPr="00BE1959" w:rsidRDefault="00E17671" w:rsidP="005613AB">
      <w:pPr>
        <w:spacing w:after="0" w:line="312" w:lineRule="atLeast"/>
        <w:jc w:val="center"/>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i/>
          <w:iCs/>
          <w:sz w:val="24"/>
          <w:szCs w:val="24"/>
          <w:bdr w:val="none" w:sz="0" w:space="0" w:color="auto" w:frame="1"/>
          <w:lang w:val="uk-UA"/>
        </w:rPr>
        <w:t>Голова</w:t>
      </w:r>
    </w:p>
    <w:p w:rsidR="005613AB" w:rsidRPr="00BE1959" w:rsidRDefault="005613AB" w:rsidP="005613AB">
      <w:pPr>
        <w:spacing w:before="60" w:after="60" w:line="312" w:lineRule="atLeast"/>
        <w:jc w:val="center"/>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M. </w:t>
      </w:r>
      <w:r w:rsidR="00E17671" w:rsidRPr="00BE1959">
        <w:rPr>
          <w:rFonts w:ascii="Times New Roman" w:eastAsia="Times New Roman" w:hAnsi="Times New Roman" w:cs="Times New Roman"/>
          <w:sz w:val="24"/>
          <w:szCs w:val="24"/>
          <w:lang w:val="uk-UA"/>
        </w:rPr>
        <w:t>ШУЛЬЦ</w:t>
      </w:r>
    </w:p>
    <w:p w:rsidR="005613AB" w:rsidRPr="00BE1959" w:rsidRDefault="00E17671" w:rsidP="005613AB">
      <w:pPr>
        <w:spacing w:after="0" w:line="312" w:lineRule="atLeast"/>
        <w:jc w:val="center"/>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i/>
          <w:iCs/>
          <w:sz w:val="24"/>
          <w:szCs w:val="24"/>
          <w:bdr w:val="none" w:sz="0" w:space="0" w:color="auto" w:frame="1"/>
          <w:lang w:val="uk-UA"/>
        </w:rPr>
        <w:t>За Раду</w:t>
      </w:r>
    </w:p>
    <w:p w:rsidR="005613AB" w:rsidRPr="00BE1959" w:rsidRDefault="00E17671" w:rsidP="005613AB">
      <w:pPr>
        <w:spacing w:after="0" w:line="312" w:lineRule="atLeast"/>
        <w:jc w:val="center"/>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i/>
          <w:iCs/>
          <w:sz w:val="24"/>
          <w:szCs w:val="24"/>
          <w:bdr w:val="none" w:sz="0" w:space="0" w:color="auto" w:frame="1"/>
          <w:lang w:val="uk-UA"/>
        </w:rPr>
        <w:t>Голова</w:t>
      </w:r>
    </w:p>
    <w:p w:rsidR="005613AB" w:rsidRPr="00BE1959" w:rsidRDefault="00E17671" w:rsidP="005613AB">
      <w:pPr>
        <w:spacing w:before="60" w:after="60" w:line="312" w:lineRule="atLeast"/>
        <w:jc w:val="center"/>
        <w:textAlignment w:val="baseline"/>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Д. КУРКУЛАС</w:t>
      </w:r>
    </w:p>
    <w:p w:rsidR="00BE1959" w:rsidRPr="00BE1959" w:rsidRDefault="0043174D" w:rsidP="00BE1959">
      <w:pPr>
        <w:spacing w:after="0" w:line="240" w:lineRule="auto"/>
        <w:rPr>
          <w:lang w:val="uk-UA"/>
        </w:rPr>
      </w:pPr>
      <w:r>
        <w:rPr>
          <w:lang w:val="uk-UA"/>
        </w:rPr>
        <w:pict>
          <v:rect id="_x0000_i1025" style="width:93.55pt;height:.75pt" o:hrpct="200" o:hrstd="t" o:hrnoshade="t" o:hr="t" fillcolor="black" stroked="f"/>
        </w:pict>
      </w:r>
    </w:p>
    <w:p w:rsidR="00BE1959" w:rsidRPr="00BE1959" w:rsidRDefault="0043174D" w:rsidP="00BE1959">
      <w:pPr>
        <w:spacing w:after="0" w:line="240" w:lineRule="auto"/>
        <w:jc w:val="both"/>
        <w:rPr>
          <w:rFonts w:ascii="Times New Roman" w:hAnsi="Times New Roman" w:cs="Times New Roman"/>
          <w:sz w:val="18"/>
          <w:szCs w:val="18"/>
          <w:lang w:val="uk-UA"/>
        </w:rPr>
      </w:pPr>
      <w:hyperlink r:id="rId56" w:anchor="ntc1-L_2014173EN.01034901-E0001" w:history="1">
        <w:r w:rsidR="00BE1959" w:rsidRPr="00BE1959">
          <w:rPr>
            <w:rFonts w:ascii="Times New Roman" w:hAnsi="Times New Roman" w:cs="Times New Roman"/>
            <w:sz w:val="18"/>
            <w:szCs w:val="18"/>
            <w:lang w:val="uk-UA"/>
          </w:rPr>
          <w:t>(1)</w:t>
        </w:r>
      </w:hyperlink>
      <w:r w:rsidR="00BE1959" w:rsidRPr="00BE1959">
        <w:rPr>
          <w:rFonts w:ascii="Times New Roman" w:hAnsi="Times New Roman" w:cs="Times New Roman"/>
          <w:sz w:val="18"/>
          <w:szCs w:val="18"/>
          <w:lang w:val="uk-UA"/>
        </w:rPr>
        <w:t>  </w:t>
      </w:r>
      <w:hyperlink r:id="rId57" w:history="1">
        <w:r w:rsidR="00BE1959" w:rsidRPr="00BE1959">
          <w:rPr>
            <w:rFonts w:ascii="Times New Roman" w:hAnsi="Times New Roman" w:cs="Times New Roman"/>
            <w:sz w:val="18"/>
            <w:szCs w:val="18"/>
            <w:lang w:val="uk-UA"/>
          </w:rPr>
          <w:t>ОВ C 161, 7.6.2012, стоp. 3</w:t>
        </w:r>
      </w:hyperlink>
      <w:r w:rsidR="00BE1959" w:rsidRPr="00BE1959">
        <w:rPr>
          <w:rFonts w:ascii="Times New Roman" w:hAnsi="Times New Roman" w:cs="Times New Roman"/>
          <w:sz w:val="18"/>
          <w:szCs w:val="18"/>
          <w:lang w:val="uk-UA"/>
        </w:rPr>
        <w:t>.</w:t>
      </w:r>
    </w:p>
    <w:p w:rsidR="00BE1959" w:rsidRPr="00BE1959" w:rsidRDefault="0043174D" w:rsidP="00BE1959">
      <w:pPr>
        <w:spacing w:after="0" w:line="240" w:lineRule="auto"/>
        <w:jc w:val="both"/>
        <w:rPr>
          <w:rFonts w:ascii="Times New Roman" w:hAnsi="Times New Roman" w:cs="Times New Roman"/>
          <w:sz w:val="18"/>
          <w:szCs w:val="18"/>
          <w:lang w:val="uk-UA"/>
        </w:rPr>
      </w:pPr>
      <w:hyperlink r:id="rId58" w:anchor="ntc2-L_2014173EN.01034901-E0002" w:history="1">
        <w:r w:rsidR="00BE1959" w:rsidRPr="00BE1959">
          <w:rPr>
            <w:rFonts w:ascii="Times New Roman" w:hAnsi="Times New Roman" w:cs="Times New Roman"/>
            <w:sz w:val="18"/>
            <w:szCs w:val="18"/>
            <w:lang w:val="uk-UA"/>
          </w:rPr>
          <w:t>(2)</w:t>
        </w:r>
      </w:hyperlink>
      <w:r w:rsidR="00BE1959" w:rsidRPr="00BE1959">
        <w:rPr>
          <w:rFonts w:ascii="Times New Roman" w:hAnsi="Times New Roman" w:cs="Times New Roman"/>
          <w:sz w:val="18"/>
          <w:szCs w:val="18"/>
          <w:lang w:val="uk-UA"/>
        </w:rPr>
        <w:t>  </w:t>
      </w:r>
      <w:hyperlink r:id="rId59" w:history="1">
        <w:r w:rsidR="00BE1959" w:rsidRPr="00BE1959">
          <w:rPr>
            <w:rFonts w:ascii="Times New Roman" w:hAnsi="Times New Roman" w:cs="Times New Roman"/>
            <w:sz w:val="18"/>
            <w:szCs w:val="18"/>
            <w:lang w:val="uk-UA"/>
          </w:rPr>
          <w:t>ОВ C 191, 29.6.2012, стоp. 80</w:t>
        </w:r>
      </w:hyperlink>
      <w:r w:rsidR="00BE1959" w:rsidRPr="00BE1959">
        <w:rPr>
          <w:rFonts w:ascii="Times New Roman" w:hAnsi="Times New Roman" w:cs="Times New Roman"/>
          <w:sz w:val="18"/>
          <w:szCs w:val="18"/>
          <w:lang w:val="uk-UA"/>
        </w:rPr>
        <w:t>.</w:t>
      </w:r>
    </w:p>
    <w:p w:rsidR="00BE1959" w:rsidRPr="00BE1959" w:rsidRDefault="0043174D" w:rsidP="00BE1959">
      <w:pPr>
        <w:spacing w:after="0" w:line="240" w:lineRule="auto"/>
        <w:jc w:val="both"/>
        <w:rPr>
          <w:rFonts w:ascii="Times New Roman" w:hAnsi="Times New Roman" w:cs="Times New Roman"/>
          <w:sz w:val="18"/>
          <w:szCs w:val="18"/>
          <w:lang w:val="uk-UA"/>
        </w:rPr>
      </w:pPr>
      <w:hyperlink r:id="rId60" w:anchor="ntc3-L_2014173EN.01034901-E0003" w:history="1">
        <w:r w:rsidR="00BE1959" w:rsidRPr="00BE1959">
          <w:rPr>
            <w:rFonts w:ascii="Times New Roman" w:hAnsi="Times New Roman" w:cs="Times New Roman"/>
            <w:sz w:val="18"/>
            <w:szCs w:val="18"/>
            <w:lang w:val="uk-UA"/>
          </w:rPr>
          <w:t>(3)</w:t>
        </w:r>
      </w:hyperlink>
      <w:r w:rsidR="00BE1959" w:rsidRPr="00BE1959">
        <w:rPr>
          <w:rFonts w:ascii="Times New Roman" w:hAnsi="Times New Roman" w:cs="Times New Roman"/>
          <w:sz w:val="18"/>
          <w:szCs w:val="18"/>
          <w:lang w:val="uk-UA"/>
        </w:rPr>
        <w:t>  Позиція Європейського Парламенту від 15 квітня 2014 (ще не опублікована в Офіційному віснику) та Рішення Ради від 13 травня 2014 року.</w:t>
      </w:r>
    </w:p>
    <w:p w:rsidR="00BE1959" w:rsidRPr="00BE1959" w:rsidRDefault="0043174D" w:rsidP="00BE1959">
      <w:pPr>
        <w:spacing w:after="0" w:line="240" w:lineRule="auto"/>
        <w:jc w:val="both"/>
        <w:rPr>
          <w:rFonts w:ascii="Times New Roman" w:hAnsi="Times New Roman" w:cs="Times New Roman"/>
          <w:sz w:val="18"/>
          <w:szCs w:val="18"/>
          <w:lang w:val="uk-UA"/>
        </w:rPr>
      </w:pPr>
      <w:hyperlink r:id="rId61" w:anchor="ntc4-L_2014173EN.01034901-E0004" w:history="1">
        <w:r w:rsidR="00BE1959" w:rsidRPr="00BE1959">
          <w:rPr>
            <w:rFonts w:ascii="Times New Roman" w:hAnsi="Times New Roman" w:cs="Times New Roman"/>
            <w:sz w:val="18"/>
            <w:szCs w:val="18"/>
            <w:lang w:val="uk-UA"/>
          </w:rPr>
          <w:t>(4)</w:t>
        </w:r>
      </w:hyperlink>
      <w:r w:rsidR="00BE1959" w:rsidRPr="00BE1959">
        <w:rPr>
          <w:rFonts w:ascii="Times New Roman" w:hAnsi="Times New Roman" w:cs="Times New Roman"/>
          <w:sz w:val="18"/>
          <w:szCs w:val="18"/>
          <w:lang w:val="uk-UA"/>
        </w:rPr>
        <w:t>  Директива 2004/39/EC Європейського Парламенту та Ради від 21 квітня 2004 року про ринки фінансових інструментів, що вносить зміни до Директив Ради 85/611/EEC та 93/6/EEC та Директиву 2000/12/EC Європейського Парламенту та Ради та скасовує Директиву Ради 93/22/EEC (</w:t>
      </w:r>
      <w:hyperlink r:id="rId62" w:history="1">
        <w:r w:rsidR="00BE1959" w:rsidRPr="00BE1959">
          <w:rPr>
            <w:rFonts w:ascii="Times New Roman" w:hAnsi="Times New Roman" w:cs="Times New Roman"/>
            <w:sz w:val="18"/>
            <w:szCs w:val="18"/>
            <w:lang w:val="uk-UA"/>
          </w:rPr>
          <w:t>ОВ L 145, 30.4.2004, стоp. 1</w:t>
        </w:r>
      </w:hyperlink>
      <w:r w:rsidR="00BE1959" w:rsidRPr="00BE1959">
        <w:rPr>
          <w:rFonts w:ascii="Times New Roman" w:hAnsi="Times New Roman" w:cs="Times New Roman"/>
          <w:sz w:val="18"/>
          <w:szCs w:val="18"/>
          <w:lang w:val="uk-UA"/>
        </w:rPr>
        <w:t>).</w:t>
      </w:r>
    </w:p>
    <w:p w:rsidR="00BE1959" w:rsidRPr="00BE1959" w:rsidRDefault="0043174D" w:rsidP="00BE1959">
      <w:pPr>
        <w:spacing w:after="0" w:line="240" w:lineRule="auto"/>
        <w:jc w:val="both"/>
        <w:rPr>
          <w:rFonts w:ascii="Times New Roman" w:hAnsi="Times New Roman" w:cs="Times New Roman"/>
          <w:sz w:val="18"/>
          <w:szCs w:val="18"/>
          <w:lang w:val="uk-UA"/>
        </w:rPr>
      </w:pPr>
      <w:hyperlink r:id="rId63" w:anchor="ntc5-L_2014173EN.01034901-E0005" w:history="1">
        <w:r w:rsidR="00BE1959" w:rsidRPr="00BE1959">
          <w:rPr>
            <w:rFonts w:ascii="Times New Roman" w:hAnsi="Times New Roman" w:cs="Times New Roman"/>
            <w:sz w:val="18"/>
            <w:szCs w:val="18"/>
            <w:lang w:val="uk-UA"/>
          </w:rPr>
          <w:t>(5)</w:t>
        </w:r>
      </w:hyperlink>
      <w:r w:rsidR="00BE1959" w:rsidRPr="00BE1959">
        <w:rPr>
          <w:rFonts w:ascii="Times New Roman" w:hAnsi="Times New Roman" w:cs="Times New Roman"/>
          <w:sz w:val="18"/>
          <w:szCs w:val="18"/>
          <w:lang w:val="uk-UA"/>
        </w:rPr>
        <w:t>  Див. Додаток  III, Частина A.</w:t>
      </w:r>
    </w:p>
    <w:p w:rsidR="00BE1959" w:rsidRPr="00BE1959" w:rsidRDefault="0043174D" w:rsidP="00BE1959">
      <w:pPr>
        <w:spacing w:after="0" w:line="240" w:lineRule="auto"/>
        <w:jc w:val="both"/>
        <w:rPr>
          <w:rFonts w:ascii="Times New Roman" w:hAnsi="Times New Roman" w:cs="Times New Roman"/>
          <w:sz w:val="18"/>
          <w:szCs w:val="18"/>
          <w:lang w:val="uk-UA"/>
        </w:rPr>
      </w:pPr>
      <w:hyperlink r:id="rId64" w:anchor="ntc6-L_2014173EN.01034901-E0006" w:history="1">
        <w:r w:rsidR="00BE1959" w:rsidRPr="00BE1959">
          <w:rPr>
            <w:rFonts w:ascii="Times New Roman" w:hAnsi="Times New Roman" w:cs="Times New Roman"/>
            <w:sz w:val="18"/>
            <w:szCs w:val="18"/>
            <w:lang w:val="uk-UA"/>
          </w:rPr>
          <w:t>(6)</w:t>
        </w:r>
      </w:hyperlink>
      <w:r w:rsidR="00BE1959" w:rsidRPr="00BE1959">
        <w:rPr>
          <w:rFonts w:ascii="Times New Roman" w:hAnsi="Times New Roman" w:cs="Times New Roman"/>
          <w:sz w:val="18"/>
          <w:szCs w:val="18"/>
          <w:lang w:val="uk-UA"/>
        </w:rPr>
        <w:t>  Директива Ради 93/22/EEC від 10 травня 1993 року про інвестиційні послуги в сфері цінних паперів (</w:t>
      </w:r>
      <w:hyperlink r:id="rId65" w:history="1">
        <w:r w:rsidR="00BE1959" w:rsidRPr="00BE1959">
          <w:rPr>
            <w:rFonts w:ascii="Times New Roman" w:hAnsi="Times New Roman" w:cs="Times New Roman"/>
            <w:sz w:val="18"/>
            <w:szCs w:val="18"/>
            <w:lang w:val="uk-UA"/>
          </w:rPr>
          <w:t>ОВ L 141, 11.6.1993, стор. 27</w:t>
        </w:r>
      </w:hyperlink>
      <w:r w:rsidR="00BE1959" w:rsidRPr="00BE1959">
        <w:rPr>
          <w:rFonts w:ascii="Times New Roman" w:hAnsi="Times New Roman" w:cs="Times New Roman"/>
          <w:sz w:val="18"/>
          <w:szCs w:val="18"/>
          <w:lang w:val="uk-UA"/>
        </w:rPr>
        <w:t>).</w:t>
      </w:r>
    </w:p>
    <w:p w:rsidR="00BE1959" w:rsidRPr="00BE1959" w:rsidRDefault="0043174D" w:rsidP="00BE1959">
      <w:pPr>
        <w:spacing w:after="0" w:line="240" w:lineRule="auto"/>
        <w:jc w:val="both"/>
        <w:rPr>
          <w:rFonts w:ascii="Times New Roman" w:hAnsi="Times New Roman" w:cs="Times New Roman"/>
          <w:sz w:val="18"/>
          <w:szCs w:val="18"/>
          <w:lang w:val="uk-UA"/>
        </w:rPr>
      </w:pPr>
      <w:hyperlink r:id="rId66" w:anchor="ntc7-L_2014173EN.01034901-E0007" w:history="1">
        <w:r w:rsidR="00BE1959" w:rsidRPr="00BE1959">
          <w:rPr>
            <w:rFonts w:ascii="Times New Roman" w:hAnsi="Times New Roman" w:cs="Times New Roman"/>
            <w:sz w:val="18"/>
            <w:szCs w:val="18"/>
            <w:lang w:val="uk-UA"/>
          </w:rPr>
          <w:t>(7)</w:t>
        </w:r>
      </w:hyperlink>
      <w:r w:rsidR="00BE1959" w:rsidRPr="00BE1959">
        <w:rPr>
          <w:rFonts w:ascii="Times New Roman" w:hAnsi="Times New Roman" w:cs="Times New Roman"/>
          <w:sz w:val="18"/>
          <w:szCs w:val="18"/>
          <w:lang w:val="uk-UA"/>
        </w:rPr>
        <w:t>  Регламент (EU) № 600/2014 Європейського Парламенту та Ради від 15 травня 2014 року про ринки фінансових інструментів та внесення змін до Регламенту (EU) № 648/2012 (сторінка 84 данного Офіційного Вісника).</w:t>
      </w:r>
    </w:p>
    <w:p w:rsidR="00BE1959" w:rsidRPr="00BE1959" w:rsidRDefault="0043174D" w:rsidP="00BE1959">
      <w:pPr>
        <w:pStyle w:val="EndnoteText"/>
        <w:jc w:val="both"/>
        <w:rPr>
          <w:sz w:val="18"/>
          <w:szCs w:val="18"/>
        </w:rPr>
      </w:pPr>
      <w:hyperlink r:id="rId67" w:anchor="ntc8-L_2014173EN.01034901-E0008" w:history="1">
        <w:r w:rsidR="00BE1959" w:rsidRPr="00BE1959">
          <w:rPr>
            <w:sz w:val="18"/>
            <w:szCs w:val="18"/>
          </w:rPr>
          <w:t>(8)</w:t>
        </w:r>
      </w:hyperlink>
      <w:r w:rsidR="00BE1959" w:rsidRPr="00BE1959">
        <w:rPr>
          <w:sz w:val="18"/>
          <w:szCs w:val="18"/>
        </w:rPr>
        <w:t xml:space="preserve">  Регламент (EU) № 1227/2011 Європейського Парламенту та Ради від 25 жовтня 2011 року щодо цілісності та прозорості оптового ринку енергетики </w:t>
      </w:r>
      <w:r w:rsidR="00BE1959" w:rsidRPr="00BE1959">
        <w:rPr>
          <w:color w:val="444444"/>
          <w:sz w:val="18"/>
          <w:szCs w:val="18"/>
          <w:shd w:val="clear" w:color="auto" w:fill="FFFFFF"/>
        </w:rPr>
        <w:t>(</w:t>
      </w:r>
      <w:hyperlink r:id="rId68" w:history="1">
        <w:r w:rsidR="00BE1959" w:rsidRPr="00BE1959">
          <w:rPr>
            <w:rStyle w:val="Hyperlink"/>
            <w:color w:val="800080"/>
            <w:sz w:val="18"/>
            <w:szCs w:val="18"/>
            <w:bdr w:val="none" w:sz="0" w:space="0" w:color="auto" w:frame="1"/>
            <w:shd w:val="clear" w:color="auto" w:fill="FFFFFF"/>
          </w:rPr>
          <w:t>OВ L 326, 8.12.2011, стоp. 1</w:t>
        </w:r>
      </w:hyperlink>
      <w:r w:rsidR="00BE1959" w:rsidRPr="00BE1959">
        <w:rPr>
          <w:color w:val="444444"/>
          <w:sz w:val="18"/>
          <w:szCs w:val="18"/>
          <w:shd w:val="clear" w:color="auto" w:fill="FFFFFF"/>
        </w:rPr>
        <w:t>).</w:t>
      </w:r>
    </w:p>
    <w:p w:rsidR="00BE1959" w:rsidRPr="00BE1959" w:rsidRDefault="0043174D" w:rsidP="00BE1959">
      <w:pPr>
        <w:spacing w:after="0" w:line="240" w:lineRule="auto"/>
        <w:jc w:val="both"/>
        <w:rPr>
          <w:rFonts w:ascii="Times New Roman" w:hAnsi="Times New Roman" w:cs="Times New Roman"/>
          <w:sz w:val="18"/>
          <w:szCs w:val="18"/>
          <w:lang w:val="uk-UA"/>
        </w:rPr>
      </w:pPr>
      <w:hyperlink r:id="rId69" w:anchor="ntc9-L_2014173EN.01034901-E0009" w:history="1">
        <w:r w:rsidR="00BE1959" w:rsidRPr="00BE1959">
          <w:rPr>
            <w:rFonts w:ascii="Times New Roman" w:hAnsi="Times New Roman" w:cs="Times New Roman"/>
            <w:sz w:val="18"/>
            <w:szCs w:val="18"/>
            <w:lang w:val="uk-UA"/>
          </w:rPr>
          <w:t>(9)</w:t>
        </w:r>
      </w:hyperlink>
      <w:r w:rsidR="00BE1959" w:rsidRPr="00BE1959">
        <w:rPr>
          <w:rFonts w:ascii="Times New Roman" w:hAnsi="Times New Roman" w:cs="Times New Roman"/>
          <w:sz w:val="18"/>
          <w:szCs w:val="18"/>
          <w:lang w:val="uk-UA"/>
        </w:rPr>
        <w:t>  Регламент (EU) № 575/2013 Європейського Парламенту та Ради від 26 червня 2013 року про пруденційні вимоги  до кредитних організацій та інвестиційних компаній, що вносить зміни до Регламенту (</w:t>
      </w:r>
      <w:r w:rsidR="00BE1959" w:rsidRPr="00BE1959">
        <w:rPr>
          <w:rFonts w:ascii="Times New Roman" w:hAnsi="Times New Roman" w:cs="Times New Roman"/>
          <w:color w:val="444444"/>
          <w:sz w:val="18"/>
          <w:szCs w:val="18"/>
          <w:shd w:val="clear" w:color="auto" w:fill="FFFFFF"/>
          <w:lang w:val="uk-UA"/>
        </w:rPr>
        <w:t>EU</w:t>
      </w:r>
      <w:r w:rsidR="00BE1959" w:rsidRPr="00BE1959">
        <w:rPr>
          <w:rFonts w:ascii="Times New Roman" w:hAnsi="Times New Roman" w:cs="Times New Roman"/>
          <w:sz w:val="18"/>
          <w:szCs w:val="18"/>
          <w:lang w:val="uk-UA"/>
        </w:rPr>
        <w:t xml:space="preserve">) № 648/2012 </w:t>
      </w:r>
      <w:r w:rsidR="00BE1959" w:rsidRPr="00BE1959">
        <w:rPr>
          <w:rFonts w:ascii="Times New Roman" w:hAnsi="Times New Roman" w:cs="Times New Roman"/>
          <w:color w:val="444444"/>
          <w:sz w:val="18"/>
          <w:szCs w:val="18"/>
          <w:shd w:val="clear" w:color="auto" w:fill="FFFFFF"/>
          <w:lang w:val="uk-UA"/>
        </w:rPr>
        <w:t>(</w:t>
      </w:r>
      <w:hyperlink r:id="rId70" w:history="1">
        <w:r w:rsidR="00BE1959" w:rsidRPr="00BE1959">
          <w:rPr>
            <w:rStyle w:val="Hyperlink"/>
            <w:rFonts w:ascii="Times New Roman" w:hAnsi="Times New Roman" w:cs="Times New Roman"/>
            <w:color w:val="800080"/>
            <w:sz w:val="18"/>
            <w:szCs w:val="18"/>
            <w:bdr w:val="none" w:sz="0" w:space="0" w:color="auto" w:frame="1"/>
            <w:shd w:val="clear" w:color="auto" w:fill="FFFFFF"/>
            <w:lang w:val="uk-UA"/>
          </w:rPr>
          <w:t>OВ L 176, 27.6.2013, стоp. 1</w:t>
        </w:r>
      </w:hyperlink>
      <w:r w:rsidR="00BE1959" w:rsidRPr="00BE1959">
        <w:rPr>
          <w:rFonts w:ascii="Times New Roman" w:hAnsi="Times New Roman" w:cs="Times New Roman"/>
          <w:color w:val="444444"/>
          <w:sz w:val="18"/>
          <w:szCs w:val="18"/>
          <w:shd w:val="clear" w:color="auto" w:fill="FFFFFF"/>
          <w:lang w:val="uk-UA"/>
        </w:rPr>
        <w:t>).</w:t>
      </w:r>
    </w:p>
    <w:p w:rsidR="00BE1959" w:rsidRPr="00BE1959" w:rsidRDefault="0043174D" w:rsidP="00BE1959">
      <w:pPr>
        <w:spacing w:after="0" w:line="240" w:lineRule="auto"/>
        <w:jc w:val="both"/>
        <w:rPr>
          <w:rFonts w:ascii="Times New Roman" w:hAnsi="Times New Roman" w:cs="Times New Roman"/>
          <w:sz w:val="18"/>
          <w:szCs w:val="18"/>
          <w:lang w:val="uk-UA"/>
        </w:rPr>
      </w:pPr>
      <w:hyperlink r:id="rId71" w:anchor="ntc10-L_2014173EN.01034901-E0010" w:history="1">
        <w:r w:rsidR="00BE1959" w:rsidRPr="00BE1959">
          <w:rPr>
            <w:rFonts w:ascii="Times New Roman" w:hAnsi="Times New Roman" w:cs="Times New Roman"/>
            <w:sz w:val="18"/>
            <w:szCs w:val="18"/>
            <w:lang w:val="uk-UA"/>
          </w:rPr>
          <w:t>(10)</w:t>
        </w:r>
      </w:hyperlink>
      <w:r w:rsidR="00BE1959" w:rsidRPr="00BE1959">
        <w:rPr>
          <w:rFonts w:ascii="Times New Roman" w:hAnsi="Times New Roman" w:cs="Times New Roman"/>
          <w:sz w:val="18"/>
          <w:szCs w:val="18"/>
          <w:lang w:val="uk-UA"/>
        </w:rPr>
        <w:t xml:space="preserve">  Регламент (EU) № 648/2012 Європейського Парламенту та Ради від </w:t>
      </w:r>
      <w:r w:rsidR="00BE1959" w:rsidRPr="00BE1959">
        <w:rPr>
          <w:rFonts w:ascii="Times New Roman" w:hAnsi="Times New Roman" w:cs="Times New Roman"/>
          <w:color w:val="444444"/>
          <w:sz w:val="18"/>
          <w:szCs w:val="18"/>
          <w:shd w:val="clear" w:color="auto" w:fill="FFFFFF"/>
          <w:lang w:val="uk-UA"/>
        </w:rPr>
        <w:t>4 липня 2012 року про позабіржові деривативи, центральних контрагентів та торгових репозитаріїв (</w:t>
      </w:r>
      <w:hyperlink r:id="rId72" w:history="1">
        <w:r w:rsidR="00BE1959" w:rsidRPr="00BE1959">
          <w:rPr>
            <w:rStyle w:val="Hyperlink"/>
            <w:rFonts w:ascii="Times New Roman" w:hAnsi="Times New Roman" w:cs="Times New Roman"/>
            <w:color w:val="800080"/>
            <w:sz w:val="18"/>
            <w:szCs w:val="18"/>
            <w:bdr w:val="none" w:sz="0" w:space="0" w:color="auto" w:frame="1"/>
            <w:shd w:val="clear" w:color="auto" w:fill="FFFFFF"/>
            <w:lang w:val="uk-UA"/>
          </w:rPr>
          <w:t>OВ L 201, 27.7.2012, стоp. 1</w:t>
        </w:r>
      </w:hyperlink>
      <w:r w:rsidR="00BE1959" w:rsidRPr="00BE1959">
        <w:rPr>
          <w:rFonts w:ascii="Times New Roman" w:hAnsi="Times New Roman" w:cs="Times New Roman"/>
          <w:color w:val="444444"/>
          <w:sz w:val="18"/>
          <w:szCs w:val="18"/>
          <w:shd w:val="clear" w:color="auto" w:fill="FFFFFF"/>
          <w:lang w:val="uk-UA"/>
        </w:rPr>
        <w:t>).</w:t>
      </w:r>
    </w:p>
    <w:p w:rsidR="00BE1959" w:rsidRPr="00BE1959" w:rsidRDefault="0043174D" w:rsidP="00BE1959">
      <w:pPr>
        <w:spacing w:after="0" w:line="240" w:lineRule="auto"/>
        <w:jc w:val="both"/>
        <w:rPr>
          <w:rFonts w:ascii="Times New Roman" w:hAnsi="Times New Roman" w:cs="Times New Roman"/>
          <w:sz w:val="18"/>
          <w:szCs w:val="18"/>
          <w:lang w:val="uk-UA"/>
        </w:rPr>
      </w:pPr>
      <w:hyperlink r:id="rId73" w:anchor="ntc11-L_2014173EN.01034901-E0011" w:history="1">
        <w:r w:rsidR="00BE1959" w:rsidRPr="00BE1959">
          <w:rPr>
            <w:rFonts w:ascii="Times New Roman" w:hAnsi="Times New Roman" w:cs="Times New Roman"/>
            <w:sz w:val="18"/>
            <w:szCs w:val="18"/>
            <w:lang w:val="uk-UA"/>
          </w:rPr>
          <w:t>(11)</w:t>
        </w:r>
      </w:hyperlink>
      <w:r w:rsidR="00BE1959" w:rsidRPr="00BE1959">
        <w:rPr>
          <w:rFonts w:ascii="Times New Roman" w:hAnsi="Times New Roman" w:cs="Times New Roman"/>
          <w:sz w:val="18"/>
          <w:szCs w:val="18"/>
          <w:lang w:val="uk-UA"/>
        </w:rPr>
        <w:t xml:space="preserve">  Директива 2003/87/EC Європейського Парламенту та Ради від 13 жовтня 2003 року про встановлення схеми торгівлі викидами парникових газів у рамках Співтовариства та внесення змін та доповнень  до Директиви Ради 96/61/EC </w:t>
      </w:r>
      <w:r w:rsidR="00BE1959" w:rsidRPr="00BE1959">
        <w:rPr>
          <w:rFonts w:ascii="Times New Roman" w:hAnsi="Times New Roman" w:cs="Times New Roman"/>
          <w:color w:val="444444"/>
          <w:sz w:val="18"/>
          <w:szCs w:val="18"/>
          <w:shd w:val="clear" w:color="auto" w:fill="FFFFFF"/>
          <w:lang w:val="uk-UA"/>
        </w:rPr>
        <w:t>(</w:t>
      </w:r>
      <w:hyperlink r:id="rId74" w:history="1">
        <w:r w:rsidR="00BE1959" w:rsidRPr="00BE1959">
          <w:rPr>
            <w:rStyle w:val="Hyperlink"/>
            <w:rFonts w:ascii="Times New Roman" w:hAnsi="Times New Roman" w:cs="Times New Roman"/>
            <w:color w:val="800080"/>
            <w:sz w:val="18"/>
            <w:szCs w:val="18"/>
            <w:bdr w:val="none" w:sz="0" w:space="0" w:color="auto" w:frame="1"/>
            <w:shd w:val="clear" w:color="auto" w:fill="FFFFFF"/>
            <w:lang w:val="uk-UA"/>
          </w:rPr>
          <w:t>OВ L 275, 25.10.2003, стоp. 32</w:t>
        </w:r>
      </w:hyperlink>
      <w:r w:rsidR="00BE1959" w:rsidRPr="00BE1959">
        <w:rPr>
          <w:rFonts w:ascii="Times New Roman" w:hAnsi="Times New Roman" w:cs="Times New Roman"/>
          <w:color w:val="444444"/>
          <w:sz w:val="18"/>
          <w:szCs w:val="18"/>
          <w:shd w:val="clear" w:color="auto" w:fill="FFFFFF"/>
          <w:lang w:val="uk-UA"/>
        </w:rPr>
        <w:t>).</w:t>
      </w:r>
    </w:p>
    <w:p w:rsidR="00BE1959" w:rsidRPr="00BE1959" w:rsidRDefault="0043174D" w:rsidP="00BE1959">
      <w:pPr>
        <w:spacing w:after="0" w:line="240" w:lineRule="auto"/>
        <w:jc w:val="both"/>
        <w:rPr>
          <w:rFonts w:ascii="Times New Roman" w:hAnsi="Times New Roman" w:cs="Times New Roman"/>
          <w:sz w:val="18"/>
          <w:szCs w:val="18"/>
          <w:lang w:val="uk-UA"/>
        </w:rPr>
      </w:pPr>
      <w:hyperlink r:id="rId75" w:anchor="ntc12-L_2014173EN.01034901-E0012" w:history="1">
        <w:r w:rsidR="00BE1959" w:rsidRPr="00BE1959">
          <w:rPr>
            <w:rFonts w:ascii="Times New Roman" w:hAnsi="Times New Roman" w:cs="Times New Roman"/>
            <w:sz w:val="18"/>
            <w:szCs w:val="18"/>
            <w:lang w:val="uk-UA"/>
          </w:rPr>
          <w:t>(12)</w:t>
        </w:r>
      </w:hyperlink>
      <w:r w:rsidR="00BE1959" w:rsidRPr="00BE1959">
        <w:rPr>
          <w:rFonts w:ascii="Times New Roman" w:hAnsi="Times New Roman" w:cs="Times New Roman"/>
          <w:sz w:val="18"/>
          <w:szCs w:val="18"/>
          <w:lang w:val="uk-UA"/>
        </w:rPr>
        <w:t xml:space="preserve">  Регламент (EU) № 596/2014 Європейського Парламенту та Ради of 16 April 2014 від 16 квітня 2014 року стосовно зловживань на ринку (Регламент про зловживання на ринку) і який скасовує Директиву </w:t>
      </w:r>
      <w:r w:rsidR="00BE1959" w:rsidRPr="00BE1959">
        <w:rPr>
          <w:rFonts w:ascii="Times New Roman" w:hAnsi="Times New Roman" w:cs="Times New Roman"/>
          <w:color w:val="444444"/>
          <w:sz w:val="18"/>
          <w:szCs w:val="18"/>
          <w:shd w:val="clear" w:color="auto" w:fill="FFFFFF"/>
          <w:lang w:val="uk-UA"/>
        </w:rPr>
        <w:t xml:space="preserve">2003/6/EC </w:t>
      </w:r>
      <w:r w:rsidR="00BE1959" w:rsidRPr="00BE1959">
        <w:rPr>
          <w:rFonts w:ascii="Times New Roman" w:hAnsi="Times New Roman" w:cs="Times New Roman"/>
          <w:sz w:val="18"/>
          <w:szCs w:val="18"/>
          <w:lang w:val="uk-UA"/>
        </w:rPr>
        <w:t xml:space="preserve">Європейського Парламенту та Директив Ради і Комісії </w:t>
      </w:r>
      <w:r w:rsidR="00BE1959" w:rsidRPr="00BE1959">
        <w:rPr>
          <w:rFonts w:ascii="Times New Roman" w:hAnsi="Times New Roman" w:cs="Times New Roman"/>
          <w:color w:val="444444"/>
          <w:sz w:val="18"/>
          <w:szCs w:val="18"/>
          <w:shd w:val="clear" w:color="auto" w:fill="FFFFFF"/>
          <w:lang w:val="uk-UA"/>
        </w:rPr>
        <w:t xml:space="preserve">2003/124/EC, 2003/125/EC та 2004/72/EC </w:t>
      </w:r>
      <w:r w:rsidR="00BE1959" w:rsidRPr="00BE1959">
        <w:rPr>
          <w:rFonts w:ascii="Times New Roman" w:hAnsi="Times New Roman" w:cs="Times New Roman"/>
          <w:sz w:val="18"/>
          <w:szCs w:val="18"/>
          <w:lang w:val="uk-UA"/>
        </w:rPr>
        <w:t>(стор. 1 даного Офіційного Вісника).</w:t>
      </w:r>
    </w:p>
    <w:p w:rsidR="00BE1959" w:rsidRPr="00BE1959" w:rsidRDefault="0043174D" w:rsidP="00BE1959">
      <w:pPr>
        <w:spacing w:after="0" w:line="240" w:lineRule="auto"/>
        <w:jc w:val="both"/>
        <w:rPr>
          <w:rFonts w:ascii="Times New Roman" w:hAnsi="Times New Roman" w:cs="Times New Roman"/>
          <w:sz w:val="18"/>
          <w:szCs w:val="18"/>
          <w:lang w:val="uk-UA"/>
        </w:rPr>
      </w:pPr>
      <w:hyperlink r:id="rId76" w:anchor="ntc13-L_2014173EN.01034901-E0013" w:history="1">
        <w:r w:rsidR="00BE1959" w:rsidRPr="00BE1959">
          <w:rPr>
            <w:rFonts w:ascii="Times New Roman" w:hAnsi="Times New Roman" w:cs="Times New Roman"/>
            <w:sz w:val="18"/>
            <w:szCs w:val="18"/>
            <w:lang w:val="uk-UA"/>
          </w:rPr>
          <w:t>(13)</w:t>
        </w:r>
      </w:hyperlink>
      <w:r w:rsidR="00BE1959" w:rsidRPr="00BE1959">
        <w:rPr>
          <w:rFonts w:ascii="Times New Roman" w:hAnsi="Times New Roman" w:cs="Times New Roman"/>
          <w:sz w:val="18"/>
          <w:szCs w:val="18"/>
          <w:lang w:val="uk-UA"/>
        </w:rPr>
        <w:t>  Директива 2013/36/EU Європейського Парламенту та Ради від 26 червня 2013 року</w:t>
      </w:r>
    </w:p>
    <w:p w:rsidR="00BE1959" w:rsidRPr="00BE1959" w:rsidRDefault="00BE1959" w:rsidP="00BE1959">
      <w:pPr>
        <w:spacing w:after="0" w:line="240" w:lineRule="auto"/>
        <w:jc w:val="both"/>
        <w:rPr>
          <w:rFonts w:ascii="Times New Roman" w:hAnsi="Times New Roman" w:cs="Times New Roman"/>
          <w:sz w:val="18"/>
          <w:szCs w:val="18"/>
          <w:lang w:val="uk-UA"/>
        </w:rPr>
      </w:pPr>
      <w:r w:rsidRPr="00BE1959">
        <w:rPr>
          <w:rStyle w:val="hps"/>
          <w:rFonts w:ascii="Times New Roman" w:hAnsi="Times New Roman" w:cs="Times New Roman"/>
          <w:color w:val="222222"/>
          <w:sz w:val="18"/>
          <w:szCs w:val="18"/>
          <w:lang w:val="uk-UA"/>
        </w:rPr>
        <w:lastRenderedPageBreak/>
        <w:t>про доступ до</w:t>
      </w:r>
      <w:r w:rsidRPr="00BE1959">
        <w:rPr>
          <w:rFonts w:ascii="Times New Roman" w:hAnsi="Times New Roman" w:cs="Times New Roman"/>
          <w:color w:val="222222"/>
          <w:sz w:val="18"/>
          <w:szCs w:val="18"/>
          <w:lang w:val="uk-UA"/>
        </w:rPr>
        <w:t xml:space="preserve"> </w:t>
      </w:r>
      <w:r w:rsidRPr="00BE1959">
        <w:rPr>
          <w:rStyle w:val="hps"/>
          <w:rFonts w:ascii="Times New Roman" w:hAnsi="Times New Roman" w:cs="Times New Roman"/>
          <w:color w:val="222222"/>
          <w:sz w:val="18"/>
          <w:szCs w:val="18"/>
          <w:lang w:val="uk-UA"/>
        </w:rPr>
        <w:t>діяльності кредитних організацій</w:t>
      </w:r>
      <w:r w:rsidRPr="00BE1959">
        <w:rPr>
          <w:rFonts w:ascii="Times New Roman" w:hAnsi="Times New Roman" w:cs="Times New Roman"/>
          <w:color w:val="222222"/>
          <w:sz w:val="18"/>
          <w:szCs w:val="18"/>
          <w:lang w:val="uk-UA"/>
        </w:rPr>
        <w:t xml:space="preserve"> </w:t>
      </w:r>
      <w:r w:rsidRPr="00BE1959">
        <w:rPr>
          <w:rStyle w:val="hps"/>
          <w:rFonts w:ascii="Times New Roman" w:hAnsi="Times New Roman" w:cs="Times New Roman"/>
          <w:color w:val="222222"/>
          <w:sz w:val="18"/>
          <w:szCs w:val="18"/>
          <w:lang w:val="uk-UA"/>
        </w:rPr>
        <w:t>і</w:t>
      </w:r>
      <w:r w:rsidRPr="00BE1959">
        <w:rPr>
          <w:rFonts w:ascii="Times New Roman" w:hAnsi="Times New Roman" w:cs="Times New Roman"/>
          <w:color w:val="222222"/>
          <w:sz w:val="18"/>
          <w:szCs w:val="18"/>
          <w:lang w:val="uk-UA"/>
        </w:rPr>
        <w:t xml:space="preserve"> </w:t>
      </w:r>
      <w:r w:rsidRPr="00BE1959">
        <w:rPr>
          <w:rStyle w:val="hps"/>
          <w:rFonts w:ascii="Times New Roman" w:hAnsi="Times New Roman" w:cs="Times New Roman"/>
          <w:color w:val="222222"/>
          <w:sz w:val="18"/>
          <w:szCs w:val="18"/>
          <w:lang w:val="uk-UA"/>
        </w:rPr>
        <w:t>пруденційний нагляд за кредитними установами та інвестиційними</w:t>
      </w:r>
      <w:r w:rsidRPr="00BE1959">
        <w:rPr>
          <w:rFonts w:ascii="Times New Roman" w:hAnsi="Times New Roman" w:cs="Times New Roman"/>
          <w:color w:val="222222"/>
          <w:sz w:val="18"/>
          <w:szCs w:val="18"/>
          <w:lang w:val="uk-UA"/>
        </w:rPr>
        <w:t xml:space="preserve"> </w:t>
      </w:r>
      <w:r w:rsidRPr="00BE1959">
        <w:rPr>
          <w:rStyle w:val="hps"/>
          <w:rFonts w:ascii="Times New Roman" w:hAnsi="Times New Roman" w:cs="Times New Roman"/>
          <w:color w:val="222222"/>
          <w:sz w:val="18"/>
          <w:szCs w:val="18"/>
          <w:lang w:val="uk-UA"/>
        </w:rPr>
        <w:t>фірмами</w:t>
      </w:r>
      <w:r w:rsidRPr="00BE1959">
        <w:rPr>
          <w:rFonts w:ascii="Times New Roman" w:hAnsi="Times New Roman" w:cs="Times New Roman"/>
          <w:color w:val="222222"/>
          <w:sz w:val="18"/>
          <w:szCs w:val="18"/>
          <w:lang w:val="uk-UA"/>
        </w:rPr>
        <w:t xml:space="preserve">, що вносить </w:t>
      </w:r>
      <w:r w:rsidRPr="00BE1959">
        <w:rPr>
          <w:rStyle w:val="hps"/>
          <w:rFonts w:ascii="Times New Roman" w:hAnsi="Times New Roman" w:cs="Times New Roman"/>
          <w:color w:val="222222"/>
          <w:sz w:val="18"/>
          <w:szCs w:val="18"/>
          <w:lang w:val="uk-UA"/>
        </w:rPr>
        <w:t>зміни та доповнення до</w:t>
      </w:r>
      <w:r w:rsidRPr="00BE1959">
        <w:rPr>
          <w:rFonts w:ascii="Times New Roman" w:hAnsi="Times New Roman" w:cs="Times New Roman"/>
          <w:sz w:val="18"/>
          <w:szCs w:val="18"/>
          <w:lang w:val="uk-UA"/>
        </w:rPr>
        <w:t xml:space="preserve"> Директиви 2002/87/EC та скасовує Директиви 2006/48/EC та 2006/49/EC (</w:t>
      </w:r>
      <w:hyperlink r:id="rId77" w:history="1">
        <w:r w:rsidRPr="00BE1959">
          <w:rPr>
            <w:rFonts w:ascii="Times New Roman" w:hAnsi="Times New Roman" w:cs="Times New Roman"/>
            <w:sz w:val="18"/>
            <w:szCs w:val="18"/>
            <w:lang w:val="uk-UA"/>
          </w:rPr>
          <w:t>ОВ L 176, 27.6.2013, стоp. 338</w:t>
        </w:r>
      </w:hyperlink>
      <w:r w:rsidRPr="00BE1959">
        <w:rPr>
          <w:rFonts w:ascii="Times New Roman" w:hAnsi="Times New Roman" w:cs="Times New Roman"/>
          <w:sz w:val="18"/>
          <w:szCs w:val="18"/>
          <w:lang w:val="uk-UA"/>
        </w:rPr>
        <w:t>).</w:t>
      </w:r>
    </w:p>
    <w:p w:rsidR="00BE1959" w:rsidRPr="00BE1959" w:rsidRDefault="0043174D" w:rsidP="00BE1959">
      <w:pPr>
        <w:spacing w:after="0" w:line="240" w:lineRule="auto"/>
        <w:jc w:val="both"/>
        <w:rPr>
          <w:rFonts w:ascii="Times New Roman" w:hAnsi="Times New Roman" w:cs="Times New Roman"/>
          <w:sz w:val="18"/>
          <w:szCs w:val="18"/>
          <w:lang w:val="uk-UA"/>
        </w:rPr>
      </w:pPr>
      <w:hyperlink r:id="rId78" w:anchor="ntc14-L_2014173EN.01034901-E0014" w:history="1">
        <w:r w:rsidR="00BE1959" w:rsidRPr="00BE1959">
          <w:rPr>
            <w:rFonts w:ascii="Times New Roman" w:hAnsi="Times New Roman" w:cs="Times New Roman"/>
            <w:sz w:val="18"/>
            <w:szCs w:val="18"/>
            <w:lang w:val="uk-UA"/>
          </w:rPr>
          <w:t>(14)</w:t>
        </w:r>
      </w:hyperlink>
      <w:r w:rsidR="00BE1959" w:rsidRPr="00BE1959">
        <w:rPr>
          <w:rFonts w:ascii="Times New Roman" w:hAnsi="Times New Roman" w:cs="Times New Roman"/>
          <w:sz w:val="18"/>
          <w:szCs w:val="18"/>
          <w:lang w:val="uk-UA"/>
        </w:rPr>
        <w:t xml:space="preserve">  Директива 2009/138/EC Європейського Парламенту та Ради від листопада 2009 року про початок та ведення діяльності у сфері страхування та перестрахування (Платоспроможність II) </w:t>
      </w:r>
      <w:r w:rsidR="00BE1959" w:rsidRPr="00BE1959">
        <w:rPr>
          <w:rFonts w:ascii="Times New Roman" w:hAnsi="Times New Roman" w:cs="Times New Roman"/>
          <w:color w:val="444444"/>
          <w:sz w:val="18"/>
          <w:szCs w:val="18"/>
          <w:shd w:val="clear" w:color="auto" w:fill="FFFFFF"/>
          <w:lang w:val="uk-UA"/>
        </w:rPr>
        <w:t>(</w:t>
      </w:r>
      <w:hyperlink r:id="rId79" w:history="1">
        <w:r w:rsidR="00BE1959" w:rsidRPr="00BE1959">
          <w:rPr>
            <w:rStyle w:val="Hyperlink"/>
            <w:rFonts w:ascii="Times New Roman" w:hAnsi="Times New Roman" w:cs="Times New Roman"/>
            <w:color w:val="800080"/>
            <w:sz w:val="18"/>
            <w:szCs w:val="18"/>
            <w:bdr w:val="none" w:sz="0" w:space="0" w:color="auto" w:frame="1"/>
            <w:shd w:val="clear" w:color="auto" w:fill="FFFFFF"/>
            <w:lang w:val="uk-UA"/>
          </w:rPr>
          <w:t>OВ L 335, 17.12.2009, стоp. 1</w:t>
        </w:r>
      </w:hyperlink>
      <w:r w:rsidR="00BE1959" w:rsidRPr="00BE1959">
        <w:rPr>
          <w:rFonts w:ascii="Times New Roman" w:hAnsi="Times New Roman" w:cs="Times New Roman"/>
          <w:color w:val="444444"/>
          <w:sz w:val="18"/>
          <w:szCs w:val="18"/>
          <w:shd w:val="clear" w:color="auto" w:fill="FFFFFF"/>
          <w:lang w:val="uk-UA"/>
        </w:rPr>
        <w:t>).</w:t>
      </w:r>
    </w:p>
    <w:p w:rsidR="00BE1959" w:rsidRPr="00BE1959" w:rsidRDefault="0043174D" w:rsidP="00BE1959">
      <w:pPr>
        <w:spacing w:after="0" w:line="240" w:lineRule="auto"/>
        <w:jc w:val="both"/>
        <w:rPr>
          <w:rFonts w:ascii="Times New Roman" w:hAnsi="Times New Roman" w:cs="Times New Roman"/>
          <w:sz w:val="18"/>
          <w:szCs w:val="18"/>
          <w:lang w:val="uk-UA"/>
        </w:rPr>
      </w:pPr>
      <w:hyperlink r:id="rId80" w:anchor="ntc15-L_2014173EN.01034901-E0015" w:history="1">
        <w:r w:rsidR="00BE1959" w:rsidRPr="00BE1959">
          <w:rPr>
            <w:rFonts w:ascii="Times New Roman" w:hAnsi="Times New Roman" w:cs="Times New Roman"/>
            <w:sz w:val="18"/>
            <w:szCs w:val="18"/>
            <w:lang w:val="uk-UA"/>
          </w:rPr>
          <w:t>(15)</w:t>
        </w:r>
      </w:hyperlink>
      <w:r w:rsidR="00BE1959" w:rsidRPr="00BE1959">
        <w:rPr>
          <w:rFonts w:ascii="Times New Roman" w:hAnsi="Times New Roman" w:cs="Times New Roman"/>
          <w:sz w:val="18"/>
          <w:szCs w:val="18"/>
          <w:lang w:val="uk-UA"/>
        </w:rPr>
        <w:t>  Директива 2009/72/EC Європейського Парламенту та Ради від 13 липня 2009 року про загальні правила внутрішнього ринку електроенергії, що скасовує Директиву 2003/54/EC (</w:t>
      </w:r>
      <w:hyperlink r:id="rId81" w:history="1">
        <w:r w:rsidR="00BE1959" w:rsidRPr="00BE1959">
          <w:rPr>
            <w:rFonts w:ascii="Times New Roman" w:hAnsi="Times New Roman" w:cs="Times New Roman"/>
            <w:sz w:val="18"/>
            <w:szCs w:val="18"/>
            <w:lang w:val="uk-UA"/>
          </w:rPr>
          <w:t>ОВ L 211, 14.8.2009, стоp. 55</w:t>
        </w:r>
      </w:hyperlink>
      <w:r w:rsidR="00BE1959" w:rsidRPr="00BE1959">
        <w:rPr>
          <w:rFonts w:ascii="Times New Roman" w:hAnsi="Times New Roman" w:cs="Times New Roman"/>
          <w:sz w:val="18"/>
          <w:szCs w:val="18"/>
          <w:lang w:val="uk-UA"/>
        </w:rPr>
        <w:t>).</w:t>
      </w:r>
    </w:p>
    <w:p w:rsidR="00BE1959" w:rsidRPr="00BE1959" w:rsidRDefault="0043174D" w:rsidP="00BE1959">
      <w:pPr>
        <w:spacing w:after="0" w:line="240" w:lineRule="auto"/>
        <w:jc w:val="both"/>
        <w:rPr>
          <w:rFonts w:ascii="Times New Roman" w:hAnsi="Times New Roman" w:cs="Times New Roman"/>
          <w:sz w:val="18"/>
          <w:szCs w:val="18"/>
          <w:lang w:val="uk-UA"/>
        </w:rPr>
      </w:pPr>
      <w:hyperlink r:id="rId82" w:anchor="ntc16-L_2014173EN.01034901-E0016" w:history="1">
        <w:r w:rsidR="00BE1959" w:rsidRPr="00BE1959">
          <w:rPr>
            <w:rFonts w:ascii="Times New Roman" w:hAnsi="Times New Roman" w:cs="Times New Roman"/>
            <w:sz w:val="18"/>
            <w:szCs w:val="18"/>
            <w:lang w:val="uk-UA"/>
          </w:rPr>
          <w:t>(16)</w:t>
        </w:r>
      </w:hyperlink>
      <w:r w:rsidR="00BE1959" w:rsidRPr="00BE1959">
        <w:rPr>
          <w:rFonts w:ascii="Times New Roman" w:hAnsi="Times New Roman" w:cs="Times New Roman"/>
          <w:sz w:val="18"/>
          <w:szCs w:val="18"/>
          <w:lang w:val="uk-UA"/>
        </w:rPr>
        <w:t>  Директива 2009/73/EC Європейського Парламенту та Ради від 13 липня 2009 року про загальні правила внутрішнього ринку природного газу, що скасовує Директиву 2003/55/EC (</w:t>
      </w:r>
      <w:hyperlink r:id="rId83" w:history="1">
        <w:r w:rsidR="00BE1959" w:rsidRPr="00BE1959">
          <w:rPr>
            <w:rFonts w:ascii="Times New Roman" w:hAnsi="Times New Roman" w:cs="Times New Roman"/>
            <w:sz w:val="18"/>
            <w:szCs w:val="18"/>
            <w:lang w:val="uk-UA"/>
          </w:rPr>
          <w:t>ОВ L 211, 14.8.2009, стоp. 94</w:t>
        </w:r>
      </w:hyperlink>
      <w:r w:rsidR="00BE1959" w:rsidRPr="00BE1959">
        <w:rPr>
          <w:rFonts w:ascii="Times New Roman" w:hAnsi="Times New Roman" w:cs="Times New Roman"/>
          <w:sz w:val="18"/>
          <w:szCs w:val="18"/>
          <w:lang w:val="uk-UA"/>
        </w:rPr>
        <w:t>).</w:t>
      </w:r>
    </w:p>
    <w:p w:rsidR="00BE1959" w:rsidRPr="00BE1959" w:rsidRDefault="0043174D" w:rsidP="00BE1959">
      <w:pPr>
        <w:spacing w:after="0" w:line="240" w:lineRule="auto"/>
        <w:jc w:val="both"/>
        <w:rPr>
          <w:rFonts w:ascii="Times New Roman" w:hAnsi="Times New Roman" w:cs="Times New Roman"/>
          <w:sz w:val="18"/>
          <w:szCs w:val="18"/>
          <w:lang w:val="uk-UA"/>
        </w:rPr>
      </w:pPr>
      <w:hyperlink r:id="rId84" w:anchor="ntc17-L_2014173EN.01034901-E0017" w:history="1">
        <w:r w:rsidR="00BE1959" w:rsidRPr="00BE1959">
          <w:rPr>
            <w:rFonts w:ascii="Times New Roman" w:hAnsi="Times New Roman" w:cs="Times New Roman"/>
            <w:sz w:val="18"/>
            <w:szCs w:val="18"/>
            <w:lang w:val="uk-UA"/>
          </w:rPr>
          <w:t>(17)</w:t>
        </w:r>
      </w:hyperlink>
      <w:r w:rsidR="00BE1959" w:rsidRPr="00BE1959">
        <w:rPr>
          <w:rFonts w:ascii="Times New Roman" w:hAnsi="Times New Roman" w:cs="Times New Roman"/>
          <w:sz w:val="18"/>
          <w:szCs w:val="18"/>
          <w:lang w:val="uk-UA"/>
        </w:rPr>
        <w:t>  Регламент (EC) № 714/2009 Європейського Парламенту та Ради від 13 липня 2009 року про умови доступу до мережі для транскордонного обміну електроенергією та скасування Регламенту (ЕС) №1228/2003 (</w:t>
      </w:r>
      <w:hyperlink r:id="rId85" w:history="1">
        <w:r w:rsidR="00BE1959" w:rsidRPr="00BE1959">
          <w:rPr>
            <w:rFonts w:ascii="Times New Roman" w:hAnsi="Times New Roman" w:cs="Times New Roman"/>
            <w:sz w:val="18"/>
            <w:szCs w:val="18"/>
            <w:lang w:val="uk-UA"/>
          </w:rPr>
          <w:t>ОВ L 211, 14.8.2009, стоp. 15</w:t>
        </w:r>
      </w:hyperlink>
      <w:r w:rsidR="00BE1959" w:rsidRPr="00BE1959">
        <w:rPr>
          <w:rFonts w:ascii="Times New Roman" w:hAnsi="Times New Roman" w:cs="Times New Roman"/>
          <w:sz w:val="18"/>
          <w:szCs w:val="18"/>
          <w:lang w:val="uk-UA"/>
        </w:rPr>
        <w:t>).</w:t>
      </w:r>
    </w:p>
    <w:p w:rsidR="00BE1959" w:rsidRPr="00BE1959" w:rsidRDefault="0043174D" w:rsidP="00BE1959">
      <w:pPr>
        <w:tabs>
          <w:tab w:val="left" w:pos="1800"/>
          <w:tab w:val="left" w:pos="7740"/>
        </w:tabs>
        <w:autoSpaceDE w:val="0"/>
        <w:autoSpaceDN w:val="0"/>
        <w:adjustRightInd w:val="0"/>
        <w:spacing w:before="120" w:after="120"/>
        <w:jc w:val="both"/>
        <w:rPr>
          <w:rFonts w:ascii="Times New Roman" w:hAnsi="Times New Roman" w:cs="Times New Roman"/>
          <w:b/>
          <w:bCs/>
          <w:sz w:val="18"/>
          <w:szCs w:val="18"/>
          <w:lang w:val="uk-UA" w:bidi="sa-IN"/>
        </w:rPr>
      </w:pPr>
      <w:hyperlink r:id="rId86" w:anchor="ntc18-L_2014173EN.01034901-E0018" w:history="1">
        <w:r w:rsidR="00BE1959" w:rsidRPr="00BE1959">
          <w:rPr>
            <w:rFonts w:ascii="Times New Roman" w:hAnsi="Times New Roman" w:cs="Times New Roman"/>
            <w:sz w:val="18"/>
            <w:szCs w:val="18"/>
            <w:lang w:val="uk-UA"/>
          </w:rPr>
          <w:t>(18)</w:t>
        </w:r>
      </w:hyperlink>
      <w:r w:rsidR="00BE1959" w:rsidRPr="00BE1959">
        <w:rPr>
          <w:rFonts w:ascii="Times New Roman" w:hAnsi="Times New Roman" w:cs="Times New Roman"/>
          <w:sz w:val="18"/>
          <w:szCs w:val="18"/>
          <w:lang w:val="uk-UA"/>
        </w:rPr>
        <w:t xml:space="preserve">  Регламент (EC) № 715/2009 Європейського Парламенту та Ради від 13 липня 2009 року </w:t>
      </w:r>
      <w:r w:rsidR="00BE1959" w:rsidRPr="00BE1959">
        <w:rPr>
          <w:rFonts w:ascii="Times New Roman" w:hAnsi="Times New Roman" w:cs="Times New Roman"/>
          <w:bCs/>
          <w:sz w:val="18"/>
          <w:szCs w:val="18"/>
          <w:lang w:val="uk-UA" w:bidi="sa-IN"/>
        </w:rPr>
        <w:t>про умови доступу до мереж транспортування природного газу та яким скасовується Регламент (ЄС) № 1775/2005</w:t>
      </w:r>
      <w:r w:rsidR="00BE1959" w:rsidRPr="00BE1959">
        <w:rPr>
          <w:rFonts w:ascii="Times New Roman" w:hAnsi="Times New Roman" w:cs="Times New Roman"/>
          <w:sz w:val="18"/>
          <w:szCs w:val="18"/>
          <w:lang w:val="uk-UA"/>
        </w:rPr>
        <w:t xml:space="preserve"> (</w:t>
      </w:r>
      <w:hyperlink r:id="rId87" w:history="1">
        <w:r w:rsidR="00BE1959" w:rsidRPr="00BE1959">
          <w:rPr>
            <w:rFonts w:ascii="Times New Roman" w:hAnsi="Times New Roman" w:cs="Times New Roman"/>
            <w:sz w:val="18"/>
            <w:szCs w:val="18"/>
            <w:lang w:val="uk-UA"/>
          </w:rPr>
          <w:t>ОВ L 211, 14.8.2009, стоp. 36</w:t>
        </w:r>
      </w:hyperlink>
      <w:r w:rsidR="00BE1959" w:rsidRPr="00BE1959">
        <w:rPr>
          <w:rFonts w:ascii="Times New Roman" w:hAnsi="Times New Roman" w:cs="Times New Roman"/>
          <w:sz w:val="18"/>
          <w:szCs w:val="18"/>
          <w:lang w:val="uk-UA"/>
        </w:rPr>
        <w:t>).</w:t>
      </w:r>
    </w:p>
    <w:p w:rsidR="00BE1959" w:rsidRPr="00BE1959" w:rsidRDefault="0043174D" w:rsidP="00BE1959">
      <w:pPr>
        <w:spacing w:after="0" w:line="240" w:lineRule="auto"/>
        <w:jc w:val="both"/>
        <w:rPr>
          <w:rFonts w:ascii="Times New Roman" w:hAnsi="Times New Roman" w:cs="Times New Roman"/>
          <w:sz w:val="18"/>
          <w:szCs w:val="18"/>
          <w:lang w:val="uk-UA"/>
        </w:rPr>
      </w:pPr>
      <w:hyperlink r:id="rId88" w:anchor="ntc19-L_2014173EN.01034901-E0019" w:history="1">
        <w:r w:rsidR="00BE1959" w:rsidRPr="00BE1959">
          <w:rPr>
            <w:rFonts w:ascii="Times New Roman" w:hAnsi="Times New Roman" w:cs="Times New Roman"/>
            <w:sz w:val="18"/>
            <w:szCs w:val="18"/>
            <w:lang w:val="uk-UA"/>
          </w:rPr>
          <w:t>(19)</w:t>
        </w:r>
      </w:hyperlink>
      <w:r w:rsidR="00BE1959" w:rsidRPr="00BE1959">
        <w:rPr>
          <w:rFonts w:ascii="Times New Roman" w:hAnsi="Times New Roman" w:cs="Times New Roman"/>
          <w:sz w:val="18"/>
          <w:szCs w:val="18"/>
          <w:lang w:val="uk-UA"/>
        </w:rPr>
        <w:t>  Директива 97/9/EC Європейського Парламенту та Ради від 3 березня 1997 року про схеми компенсації інвесторам (</w:t>
      </w:r>
      <w:hyperlink r:id="rId89" w:history="1">
        <w:r w:rsidR="00BE1959" w:rsidRPr="00BE1959">
          <w:rPr>
            <w:rFonts w:ascii="Times New Roman" w:hAnsi="Times New Roman" w:cs="Times New Roman"/>
            <w:sz w:val="18"/>
            <w:szCs w:val="18"/>
            <w:lang w:val="uk-UA"/>
          </w:rPr>
          <w:t>ОВ L 84, 26.3.1997, стоp. 22</w:t>
        </w:r>
      </w:hyperlink>
      <w:r w:rsidR="00BE1959" w:rsidRPr="00BE1959">
        <w:rPr>
          <w:rFonts w:ascii="Times New Roman" w:hAnsi="Times New Roman" w:cs="Times New Roman"/>
          <w:sz w:val="18"/>
          <w:szCs w:val="18"/>
          <w:lang w:val="uk-UA"/>
        </w:rPr>
        <w:t>).</w:t>
      </w:r>
    </w:p>
    <w:p w:rsidR="00BE1959" w:rsidRPr="00BE1959" w:rsidRDefault="0043174D" w:rsidP="00BE1959">
      <w:pPr>
        <w:spacing w:after="0" w:line="240" w:lineRule="auto"/>
        <w:jc w:val="both"/>
        <w:rPr>
          <w:rFonts w:ascii="Times New Roman" w:hAnsi="Times New Roman" w:cs="Times New Roman"/>
          <w:sz w:val="18"/>
          <w:szCs w:val="18"/>
          <w:lang w:val="uk-UA"/>
        </w:rPr>
      </w:pPr>
      <w:hyperlink r:id="rId90" w:anchor="ntc20-L_2014173EN.01034901-E0020" w:history="1">
        <w:r w:rsidR="00BE1959" w:rsidRPr="00BE1959">
          <w:rPr>
            <w:rFonts w:ascii="Times New Roman" w:hAnsi="Times New Roman" w:cs="Times New Roman"/>
            <w:sz w:val="18"/>
            <w:szCs w:val="18"/>
            <w:lang w:val="uk-UA"/>
          </w:rPr>
          <w:t>(20)</w:t>
        </w:r>
      </w:hyperlink>
      <w:r w:rsidR="00BE1959" w:rsidRPr="00BE1959">
        <w:rPr>
          <w:rFonts w:ascii="Times New Roman" w:hAnsi="Times New Roman" w:cs="Times New Roman"/>
          <w:sz w:val="18"/>
          <w:szCs w:val="18"/>
          <w:lang w:val="uk-UA"/>
        </w:rPr>
        <w:t>  Директива 2007/44/EC Європейського Парламенту та Ради від 5 вересня 2007 року, що вносить зміни до Директиви Ради 92/49/EEC та Директив 2002/83/EC, 2004/39/EC, 2005/68/EC та 2006/48/EC стосовно процедурних правил та критеріїв оцінювання  для пруденційного оцінювання придбання та збільшення часток у фінансовому секторі (</w:t>
      </w:r>
      <w:hyperlink r:id="rId91" w:history="1">
        <w:r w:rsidR="00BE1959" w:rsidRPr="00BE1959">
          <w:rPr>
            <w:rFonts w:ascii="Times New Roman" w:hAnsi="Times New Roman" w:cs="Times New Roman"/>
            <w:sz w:val="18"/>
            <w:szCs w:val="18"/>
            <w:lang w:val="uk-UA"/>
          </w:rPr>
          <w:t>ОВ L 247, 21.9.2007, стоp. 1</w:t>
        </w:r>
      </w:hyperlink>
      <w:r w:rsidR="00BE1959" w:rsidRPr="00BE1959">
        <w:rPr>
          <w:rFonts w:ascii="Times New Roman" w:hAnsi="Times New Roman" w:cs="Times New Roman"/>
          <w:sz w:val="18"/>
          <w:szCs w:val="18"/>
          <w:lang w:val="uk-UA"/>
        </w:rPr>
        <w:t>).</w:t>
      </w:r>
    </w:p>
    <w:p w:rsidR="00BE1959" w:rsidRPr="00BE1959" w:rsidRDefault="0043174D" w:rsidP="00BE1959">
      <w:pPr>
        <w:spacing w:after="0" w:line="240" w:lineRule="auto"/>
        <w:jc w:val="both"/>
        <w:rPr>
          <w:rFonts w:ascii="Times New Roman" w:hAnsi="Times New Roman" w:cs="Times New Roman"/>
          <w:sz w:val="18"/>
          <w:szCs w:val="18"/>
          <w:lang w:val="uk-UA"/>
        </w:rPr>
      </w:pPr>
      <w:hyperlink r:id="rId92" w:anchor="ntc21-L_2014173EN.01034901-E0021" w:history="1">
        <w:r w:rsidR="00BE1959" w:rsidRPr="00BE1959">
          <w:rPr>
            <w:rFonts w:ascii="Times New Roman" w:hAnsi="Times New Roman" w:cs="Times New Roman"/>
            <w:sz w:val="18"/>
            <w:szCs w:val="18"/>
            <w:lang w:val="uk-UA"/>
          </w:rPr>
          <w:t>(21)</w:t>
        </w:r>
      </w:hyperlink>
      <w:r w:rsidR="00BE1959" w:rsidRPr="00BE1959">
        <w:rPr>
          <w:rFonts w:ascii="Times New Roman" w:hAnsi="Times New Roman" w:cs="Times New Roman"/>
          <w:sz w:val="18"/>
          <w:szCs w:val="18"/>
          <w:lang w:val="uk-UA"/>
        </w:rPr>
        <w:t xml:space="preserve">  Директива 2002/87/EC Європейського Парламенту та Ради від 16 грудня 2002 року </w:t>
      </w:r>
      <w:r w:rsidR="00BE1959" w:rsidRPr="00BE1959">
        <w:rPr>
          <w:rFonts w:ascii="Times New Roman" w:eastAsia="Times New Roman" w:hAnsi="Times New Roman" w:cs="Times New Roman"/>
          <w:sz w:val="18"/>
          <w:szCs w:val="18"/>
          <w:lang w:val="uk-UA"/>
        </w:rPr>
        <w:t>про додатковий нагляд за кредитними установами, страховими компаніями та інвестиційними фірмами у фінансовому конгломераті</w:t>
      </w:r>
      <w:r w:rsidR="00BE1959" w:rsidRPr="00BE1959">
        <w:rPr>
          <w:rFonts w:ascii="Times New Roman" w:hAnsi="Times New Roman" w:cs="Times New Roman"/>
          <w:sz w:val="18"/>
          <w:szCs w:val="18"/>
          <w:lang w:val="uk-UA"/>
        </w:rPr>
        <w:t>, яка вносить зміни до Директив Ради 73/239/EEC, 79/267/EEC, 92/49/EEC, 92/96/EEC, 93/6/EEC та 93/22/EEC, та Директив 98/78/EC та 2000/12/EC Європейського Парламенту та Ради (</w:t>
      </w:r>
      <w:hyperlink r:id="rId93" w:history="1">
        <w:r w:rsidR="00BE1959" w:rsidRPr="00BE1959">
          <w:rPr>
            <w:rFonts w:ascii="Times New Roman" w:hAnsi="Times New Roman" w:cs="Times New Roman"/>
            <w:sz w:val="18"/>
            <w:szCs w:val="18"/>
            <w:lang w:val="uk-UA"/>
          </w:rPr>
          <w:t>ОВ L 35, 11.2.2003, стоp. 1</w:t>
        </w:r>
      </w:hyperlink>
      <w:r w:rsidR="00BE1959" w:rsidRPr="00BE1959">
        <w:rPr>
          <w:rFonts w:ascii="Times New Roman" w:hAnsi="Times New Roman" w:cs="Times New Roman"/>
          <w:sz w:val="18"/>
          <w:szCs w:val="18"/>
          <w:lang w:val="uk-UA"/>
        </w:rPr>
        <w:t>).</w:t>
      </w:r>
    </w:p>
    <w:p w:rsidR="00BE1959" w:rsidRPr="00BE1959" w:rsidRDefault="0043174D" w:rsidP="00BE1959">
      <w:pPr>
        <w:pStyle w:val="EndnoteText"/>
        <w:jc w:val="both"/>
        <w:rPr>
          <w:sz w:val="18"/>
          <w:szCs w:val="18"/>
        </w:rPr>
      </w:pPr>
      <w:hyperlink r:id="rId94" w:anchor="ntc22-L_2014173EN.01034901-E0022" w:history="1">
        <w:r w:rsidR="00BE1959" w:rsidRPr="00BE1959">
          <w:rPr>
            <w:sz w:val="18"/>
            <w:szCs w:val="18"/>
          </w:rPr>
          <w:t>(22)</w:t>
        </w:r>
      </w:hyperlink>
      <w:r w:rsidR="00BE1959" w:rsidRPr="00BE1959">
        <w:rPr>
          <w:sz w:val="18"/>
          <w:szCs w:val="18"/>
        </w:rPr>
        <w:t xml:space="preserve">  Директива 2005/60/EC Європейського Парламенту та Ради від 26 жовтня 2005 року про запобігання використанню фінансової системи з метою відмивання коштів та фінансування тероризму </w:t>
      </w:r>
      <w:r w:rsidR="00BE1959" w:rsidRPr="00BE1959">
        <w:rPr>
          <w:color w:val="444444"/>
          <w:sz w:val="18"/>
          <w:szCs w:val="18"/>
          <w:shd w:val="clear" w:color="auto" w:fill="FFFFFF"/>
        </w:rPr>
        <w:t>(</w:t>
      </w:r>
      <w:hyperlink r:id="rId95" w:history="1">
        <w:r w:rsidR="00BE1959" w:rsidRPr="00BE1959">
          <w:rPr>
            <w:rStyle w:val="Hyperlink"/>
            <w:color w:val="800080"/>
            <w:sz w:val="18"/>
            <w:szCs w:val="18"/>
            <w:bdr w:val="none" w:sz="0" w:space="0" w:color="auto" w:frame="1"/>
            <w:shd w:val="clear" w:color="auto" w:fill="FFFFFF"/>
          </w:rPr>
          <w:t>OВ L 309, 25.11.2005, стоp. 15</w:t>
        </w:r>
      </w:hyperlink>
      <w:r w:rsidR="00BE1959" w:rsidRPr="00BE1959">
        <w:rPr>
          <w:color w:val="444444"/>
          <w:sz w:val="18"/>
          <w:szCs w:val="18"/>
          <w:shd w:val="clear" w:color="auto" w:fill="FFFFFF"/>
        </w:rPr>
        <w:t>).</w:t>
      </w:r>
    </w:p>
    <w:p w:rsidR="00BE1959" w:rsidRPr="00BE1959" w:rsidRDefault="0043174D" w:rsidP="00BE1959">
      <w:pPr>
        <w:spacing w:after="0" w:line="240" w:lineRule="auto"/>
        <w:jc w:val="both"/>
        <w:rPr>
          <w:rFonts w:ascii="Times New Roman" w:hAnsi="Times New Roman" w:cs="Times New Roman"/>
          <w:sz w:val="18"/>
          <w:szCs w:val="18"/>
          <w:lang w:val="uk-UA"/>
        </w:rPr>
      </w:pPr>
      <w:hyperlink r:id="rId96" w:anchor="ntc23-L_2014173EN.01034901-E0023" w:history="1">
        <w:r w:rsidR="00BE1959" w:rsidRPr="00BE1959">
          <w:rPr>
            <w:rFonts w:ascii="Times New Roman" w:hAnsi="Times New Roman" w:cs="Times New Roman"/>
            <w:sz w:val="18"/>
            <w:szCs w:val="18"/>
            <w:lang w:val="uk-UA"/>
          </w:rPr>
          <w:t>(23)</w:t>
        </w:r>
      </w:hyperlink>
      <w:r w:rsidR="00BE1959" w:rsidRPr="00BE1959">
        <w:rPr>
          <w:rFonts w:ascii="Times New Roman" w:hAnsi="Times New Roman" w:cs="Times New Roman"/>
          <w:sz w:val="18"/>
          <w:szCs w:val="18"/>
          <w:lang w:val="uk-UA"/>
        </w:rPr>
        <w:t>  Директива 2002/92/EC Європейського Парламенту та Ради of 9 December 2002 року про посередництво у страхуванні (</w:t>
      </w:r>
      <w:hyperlink r:id="rId97" w:history="1">
        <w:r w:rsidR="00BE1959" w:rsidRPr="00BE1959">
          <w:rPr>
            <w:rFonts w:ascii="Times New Roman" w:hAnsi="Times New Roman" w:cs="Times New Roman"/>
            <w:sz w:val="18"/>
            <w:szCs w:val="18"/>
            <w:lang w:val="uk-UA"/>
          </w:rPr>
          <w:t>ОВ L 9, 15.1.2003, стоp. 3</w:t>
        </w:r>
      </w:hyperlink>
      <w:r w:rsidR="00BE1959" w:rsidRPr="00BE1959">
        <w:rPr>
          <w:rFonts w:ascii="Times New Roman" w:hAnsi="Times New Roman" w:cs="Times New Roman"/>
          <w:sz w:val="18"/>
          <w:szCs w:val="18"/>
          <w:lang w:val="uk-UA"/>
        </w:rPr>
        <w:t>).</w:t>
      </w:r>
    </w:p>
    <w:p w:rsidR="00BE1959" w:rsidRPr="00BE1959" w:rsidRDefault="0043174D" w:rsidP="00BE1959">
      <w:pPr>
        <w:spacing w:after="0" w:line="240" w:lineRule="auto"/>
        <w:jc w:val="both"/>
        <w:rPr>
          <w:rFonts w:ascii="Times New Roman" w:hAnsi="Times New Roman" w:cs="Times New Roman"/>
          <w:sz w:val="18"/>
          <w:szCs w:val="18"/>
          <w:lang w:val="uk-UA"/>
        </w:rPr>
      </w:pPr>
      <w:hyperlink r:id="rId98" w:anchor="ntc24-L_2014173EN.01034901-E0024" w:history="1">
        <w:r w:rsidR="00BE1959" w:rsidRPr="00BE1959">
          <w:rPr>
            <w:rFonts w:ascii="Times New Roman" w:hAnsi="Times New Roman" w:cs="Times New Roman"/>
            <w:sz w:val="18"/>
            <w:szCs w:val="18"/>
            <w:lang w:val="uk-UA"/>
          </w:rPr>
          <w:t>(24)</w:t>
        </w:r>
      </w:hyperlink>
      <w:r w:rsidR="00BE1959" w:rsidRPr="00BE1959">
        <w:rPr>
          <w:rFonts w:ascii="Times New Roman" w:hAnsi="Times New Roman" w:cs="Times New Roman"/>
          <w:sz w:val="18"/>
          <w:szCs w:val="18"/>
          <w:lang w:val="uk-UA"/>
        </w:rPr>
        <w:t>  Директива 2002/47/EC Європейського Парламенту та Ради від 6 червня 2002 року про механізми застосування фінансової застави (</w:t>
      </w:r>
      <w:hyperlink r:id="rId99" w:history="1">
        <w:r w:rsidR="00BE1959" w:rsidRPr="00BE1959">
          <w:rPr>
            <w:rFonts w:ascii="Times New Roman" w:hAnsi="Times New Roman" w:cs="Times New Roman"/>
            <w:sz w:val="18"/>
            <w:szCs w:val="18"/>
            <w:lang w:val="uk-UA"/>
          </w:rPr>
          <w:t>ОВ L 168, 27.6.2002, стоp. 43</w:t>
        </w:r>
      </w:hyperlink>
      <w:r w:rsidR="00BE1959" w:rsidRPr="00BE1959">
        <w:rPr>
          <w:rFonts w:ascii="Times New Roman" w:hAnsi="Times New Roman" w:cs="Times New Roman"/>
          <w:sz w:val="18"/>
          <w:szCs w:val="18"/>
          <w:lang w:val="uk-UA"/>
        </w:rPr>
        <w:t>).</w:t>
      </w:r>
    </w:p>
    <w:p w:rsidR="00BE1959" w:rsidRPr="00BE1959" w:rsidRDefault="0043174D" w:rsidP="00BE1959">
      <w:pPr>
        <w:spacing w:after="0" w:line="240" w:lineRule="auto"/>
        <w:jc w:val="both"/>
        <w:rPr>
          <w:rFonts w:ascii="Times New Roman" w:hAnsi="Times New Roman" w:cs="Times New Roman"/>
          <w:sz w:val="18"/>
          <w:szCs w:val="18"/>
          <w:lang w:val="uk-UA"/>
        </w:rPr>
      </w:pPr>
      <w:hyperlink r:id="rId100" w:anchor="ntc25-L_2014173EN.01034901-E0025" w:history="1">
        <w:r w:rsidR="00BE1959" w:rsidRPr="00BE1959">
          <w:rPr>
            <w:rFonts w:ascii="Times New Roman" w:hAnsi="Times New Roman" w:cs="Times New Roman"/>
            <w:sz w:val="18"/>
            <w:szCs w:val="18"/>
            <w:lang w:val="uk-UA"/>
          </w:rPr>
          <w:t>(25)</w:t>
        </w:r>
      </w:hyperlink>
      <w:r w:rsidR="00BE1959" w:rsidRPr="00BE1959">
        <w:rPr>
          <w:rFonts w:ascii="Times New Roman" w:hAnsi="Times New Roman" w:cs="Times New Roman"/>
          <w:sz w:val="18"/>
          <w:szCs w:val="18"/>
          <w:lang w:val="uk-UA"/>
        </w:rPr>
        <w:t>   Директива Комісії 2006/73/EC від 10 серпня 2006 року щодо імплементації Директиви № 2004/39/ЕС Європейського Парламенту та Ради стосовно організаційних вимог та операційних умов для інвестиційних фірм та визначених термінів для цілей цієї Директиви (</w:t>
      </w:r>
      <w:hyperlink r:id="rId101" w:history="1">
        <w:r w:rsidR="00BE1959" w:rsidRPr="00BE1959">
          <w:rPr>
            <w:rFonts w:ascii="Times New Roman" w:hAnsi="Times New Roman" w:cs="Times New Roman"/>
            <w:sz w:val="18"/>
            <w:szCs w:val="18"/>
            <w:lang w:val="uk-UA"/>
          </w:rPr>
          <w:t>ОВ L 241, 2.9.2006, стоp. 26</w:t>
        </w:r>
      </w:hyperlink>
      <w:r w:rsidR="00BE1959" w:rsidRPr="00BE1959">
        <w:rPr>
          <w:rFonts w:ascii="Times New Roman" w:hAnsi="Times New Roman" w:cs="Times New Roman"/>
          <w:sz w:val="18"/>
          <w:szCs w:val="18"/>
          <w:lang w:val="uk-UA"/>
        </w:rPr>
        <w:t>).</w:t>
      </w:r>
    </w:p>
    <w:p w:rsidR="00BE1959" w:rsidRPr="00BE1959" w:rsidRDefault="0043174D" w:rsidP="00BE1959">
      <w:pPr>
        <w:spacing w:after="0" w:line="240" w:lineRule="auto"/>
        <w:jc w:val="both"/>
        <w:rPr>
          <w:rFonts w:ascii="Times New Roman" w:hAnsi="Times New Roman" w:cs="Times New Roman"/>
          <w:sz w:val="18"/>
          <w:szCs w:val="18"/>
          <w:lang w:val="uk-UA"/>
        </w:rPr>
      </w:pPr>
      <w:hyperlink r:id="rId102" w:anchor="ntc26-L_2014173EN.01034901-E0026" w:history="1">
        <w:r w:rsidR="00BE1959" w:rsidRPr="00BE1959">
          <w:rPr>
            <w:rFonts w:ascii="Times New Roman" w:hAnsi="Times New Roman" w:cs="Times New Roman"/>
            <w:sz w:val="18"/>
            <w:szCs w:val="18"/>
            <w:lang w:val="uk-UA"/>
          </w:rPr>
          <w:t>(26)</w:t>
        </w:r>
      </w:hyperlink>
      <w:r w:rsidR="00BE1959" w:rsidRPr="00BE1959">
        <w:rPr>
          <w:rFonts w:ascii="Times New Roman" w:hAnsi="Times New Roman" w:cs="Times New Roman"/>
          <w:sz w:val="18"/>
          <w:szCs w:val="18"/>
          <w:lang w:val="uk-UA"/>
        </w:rPr>
        <w:t>  Директива 2014/57/EU Європейського Парламенту та Ради від 16 квітня 2014 року щодо кримінальних санкцій за зловживання на ринкову (Директива про зловживання на ринку) (стор. 179 даного Офіційного Вісника).</w:t>
      </w:r>
    </w:p>
    <w:p w:rsidR="00BE1959" w:rsidRPr="00BE1959" w:rsidRDefault="0043174D" w:rsidP="00BE1959">
      <w:pPr>
        <w:spacing w:after="0" w:line="240" w:lineRule="auto"/>
        <w:jc w:val="both"/>
        <w:rPr>
          <w:rFonts w:ascii="Times New Roman" w:hAnsi="Times New Roman" w:cs="Times New Roman"/>
          <w:sz w:val="18"/>
          <w:szCs w:val="18"/>
          <w:lang w:val="uk-UA"/>
        </w:rPr>
      </w:pPr>
      <w:hyperlink r:id="rId103" w:anchor="ntc27-L_2014173EN.01034901-E0027" w:history="1">
        <w:r w:rsidR="00BE1959" w:rsidRPr="00BE1959">
          <w:rPr>
            <w:rFonts w:ascii="Times New Roman" w:hAnsi="Times New Roman" w:cs="Times New Roman"/>
            <w:sz w:val="18"/>
            <w:szCs w:val="18"/>
            <w:lang w:val="uk-UA"/>
          </w:rPr>
          <w:t>(27)</w:t>
        </w:r>
      </w:hyperlink>
      <w:r w:rsidR="00BE1959" w:rsidRPr="00BE1959">
        <w:rPr>
          <w:rFonts w:ascii="Times New Roman" w:hAnsi="Times New Roman" w:cs="Times New Roman"/>
          <w:sz w:val="18"/>
          <w:szCs w:val="18"/>
          <w:lang w:val="uk-UA"/>
        </w:rPr>
        <w:t xml:space="preserve">  Регламент (EU) № 236/2012 Європейського Парламенту та Ради від </w:t>
      </w:r>
      <w:r w:rsidR="00BE1959" w:rsidRPr="00BE1959">
        <w:rPr>
          <w:rFonts w:ascii="Times New Roman" w:hAnsi="Times New Roman" w:cs="Times New Roman"/>
          <w:color w:val="444444"/>
          <w:sz w:val="18"/>
          <w:szCs w:val="18"/>
          <w:shd w:val="clear" w:color="auto" w:fill="FFFFFF"/>
          <w:lang w:val="uk-UA"/>
        </w:rPr>
        <w:t xml:space="preserve">14 березня 2012 року про </w:t>
      </w:r>
      <w:r w:rsidR="00BE1959" w:rsidRPr="00BE1959">
        <w:rPr>
          <w:rFonts w:ascii="Times New Roman" w:hAnsi="Times New Roman" w:cs="Times New Roman"/>
          <w:sz w:val="18"/>
          <w:szCs w:val="18"/>
          <w:lang w:val="uk-UA"/>
        </w:rPr>
        <w:t>короткі продажі і деякі аспекти кредитних дефолтних свопів</w:t>
      </w:r>
      <w:r w:rsidR="00BE1959" w:rsidRPr="00BE1959">
        <w:rPr>
          <w:rFonts w:ascii="Times New Roman" w:hAnsi="Times New Roman" w:cs="Times New Roman"/>
          <w:color w:val="444444"/>
          <w:sz w:val="18"/>
          <w:szCs w:val="18"/>
          <w:shd w:val="clear" w:color="auto" w:fill="FFFFFF"/>
          <w:lang w:val="uk-UA"/>
        </w:rPr>
        <w:t xml:space="preserve"> (</w:t>
      </w:r>
      <w:hyperlink r:id="rId104" w:history="1">
        <w:r w:rsidR="00BE1959" w:rsidRPr="00BE1959">
          <w:rPr>
            <w:rStyle w:val="Hyperlink"/>
            <w:rFonts w:ascii="Times New Roman" w:hAnsi="Times New Roman" w:cs="Times New Roman"/>
            <w:color w:val="800080"/>
            <w:sz w:val="18"/>
            <w:szCs w:val="18"/>
            <w:bdr w:val="none" w:sz="0" w:space="0" w:color="auto" w:frame="1"/>
            <w:shd w:val="clear" w:color="auto" w:fill="FFFFFF"/>
            <w:lang w:val="uk-UA"/>
          </w:rPr>
          <w:t>OВ L 86, 24.3.2012, стоp. 1</w:t>
        </w:r>
      </w:hyperlink>
      <w:r w:rsidR="00BE1959" w:rsidRPr="00BE1959">
        <w:rPr>
          <w:rFonts w:ascii="Times New Roman" w:hAnsi="Times New Roman" w:cs="Times New Roman"/>
          <w:color w:val="444444"/>
          <w:sz w:val="18"/>
          <w:szCs w:val="18"/>
          <w:shd w:val="clear" w:color="auto" w:fill="FFFFFF"/>
          <w:lang w:val="uk-UA"/>
        </w:rPr>
        <w:t>).</w:t>
      </w:r>
    </w:p>
    <w:p w:rsidR="00BE1959" w:rsidRPr="00BE1959" w:rsidRDefault="0043174D" w:rsidP="00BE1959">
      <w:pPr>
        <w:spacing w:after="0" w:line="240" w:lineRule="auto"/>
        <w:jc w:val="both"/>
        <w:rPr>
          <w:rFonts w:ascii="Times New Roman" w:hAnsi="Times New Roman" w:cs="Times New Roman"/>
          <w:sz w:val="18"/>
          <w:szCs w:val="18"/>
          <w:lang w:val="uk-UA"/>
        </w:rPr>
      </w:pPr>
      <w:hyperlink r:id="rId105" w:anchor="ntc28-L_2014173EN.01034901-E0028" w:history="1">
        <w:r w:rsidR="00BE1959" w:rsidRPr="00BE1959">
          <w:rPr>
            <w:rFonts w:ascii="Times New Roman" w:hAnsi="Times New Roman" w:cs="Times New Roman"/>
            <w:sz w:val="18"/>
            <w:szCs w:val="18"/>
            <w:lang w:val="uk-UA"/>
          </w:rPr>
          <w:t>(28)</w:t>
        </w:r>
      </w:hyperlink>
      <w:r w:rsidR="00BE1959" w:rsidRPr="00BE1959">
        <w:rPr>
          <w:rFonts w:ascii="Times New Roman" w:hAnsi="Times New Roman" w:cs="Times New Roman"/>
          <w:sz w:val="18"/>
          <w:szCs w:val="18"/>
          <w:lang w:val="uk-UA"/>
        </w:rPr>
        <w:t xml:space="preserve">  Регламент (EU) № 1095/2010 Європейського Парламенту та Ради від </w:t>
      </w:r>
      <w:r w:rsidR="00BE1959" w:rsidRPr="00BE1959">
        <w:rPr>
          <w:rFonts w:ascii="Times New Roman" w:hAnsi="Times New Roman" w:cs="Times New Roman"/>
          <w:color w:val="444444"/>
          <w:sz w:val="18"/>
          <w:szCs w:val="18"/>
          <w:shd w:val="clear" w:color="auto" w:fill="FFFFFF"/>
          <w:lang w:val="uk-UA"/>
        </w:rPr>
        <w:t xml:space="preserve">24 листопада 2010 року, що </w:t>
      </w:r>
      <w:r w:rsidR="00BE1959" w:rsidRPr="00BE1959">
        <w:rPr>
          <w:rFonts w:ascii="Times New Roman" w:hAnsi="Times New Roman" w:cs="Times New Roman"/>
          <w:sz w:val="18"/>
          <w:szCs w:val="18"/>
          <w:lang w:val="uk-UA"/>
        </w:rPr>
        <w:t xml:space="preserve">засновує Європейський наглядовий орган (Європейську організацію з цінних паперів), що вносить зміни до Рішення № </w:t>
      </w:r>
      <w:r w:rsidR="00BE1959" w:rsidRPr="00BE1959">
        <w:rPr>
          <w:rFonts w:ascii="Times New Roman" w:hAnsi="Times New Roman" w:cs="Times New Roman"/>
          <w:color w:val="444444"/>
          <w:sz w:val="18"/>
          <w:szCs w:val="18"/>
          <w:shd w:val="clear" w:color="auto" w:fill="FFFFFF"/>
          <w:lang w:val="uk-UA"/>
        </w:rPr>
        <w:t>716/2009/EC та скасовує Рішення Комісії 2009/77/EC (</w:t>
      </w:r>
      <w:hyperlink r:id="rId106" w:history="1">
        <w:r w:rsidR="00BE1959" w:rsidRPr="00BE1959">
          <w:rPr>
            <w:rStyle w:val="Hyperlink"/>
            <w:rFonts w:ascii="Times New Roman" w:hAnsi="Times New Roman" w:cs="Times New Roman"/>
            <w:color w:val="800080"/>
            <w:sz w:val="18"/>
            <w:szCs w:val="18"/>
            <w:bdr w:val="none" w:sz="0" w:space="0" w:color="auto" w:frame="1"/>
            <w:shd w:val="clear" w:color="auto" w:fill="FFFFFF"/>
            <w:lang w:val="uk-UA"/>
          </w:rPr>
          <w:t>OВ L 331, 15.12.2010, стоp. 84</w:t>
        </w:r>
      </w:hyperlink>
      <w:r w:rsidR="00BE1959" w:rsidRPr="00BE1959">
        <w:rPr>
          <w:rFonts w:ascii="Times New Roman" w:hAnsi="Times New Roman" w:cs="Times New Roman"/>
          <w:color w:val="444444"/>
          <w:sz w:val="18"/>
          <w:szCs w:val="18"/>
          <w:shd w:val="clear" w:color="auto" w:fill="FFFFFF"/>
          <w:lang w:val="uk-UA"/>
        </w:rPr>
        <w:t>).</w:t>
      </w:r>
    </w:p>
    <w:p w:rsidR="00BE1959" w:rsidRPr="00BE1959" w:rsidRDefault="0043174D" w:rsidP="00BE1959">
      <w:pPr>
        <w:spacing w:after="0" w:line="240" w:lineRule="auto"/>
        <w:jc w:val="both"/>
        <w:rPr>
          <w:rFonts w:ascii="Times New Roman" w:hAnsi="Times New Roman" w:cs="Times New Roman"/>
          <w:sz w:val="18"/>
          <w:szCs w:val="18"/>
          <w:lang w:val="uk-UA"/>
        </w:rPr>
      </w:pPr>
      <w:hyperlink r:id="rId107" w:anchor="ntc29-L_2014173EN.01034901-E0029" w:history="1">
        <w:r w:rsidR="00BE1959" w:rsidRPr="00BE1959">
          <w:rPr>
            <w:rFonts w:ascii="Times New Roman" w:hAnsi="Times New Roman" w:cs="Times New Roman"/>
            <w:sz w:val="18"/>
            <w:szCs w:val="18"/>
            <w:lang w:val="uk-UA"/>
          </w:rPr>
          <w:t>(29)</w:t>
        </w:r>
      </w:hyperlink>
      <w:r w:rsidR="00BE1959" w:rsidRPr="00BE1959">
        <w:rPr>
          <w:rFonts w:ascii="Times New Roman" w:hAnsi="Times New Roman" w:cs="Times New Roman"/>
          <w:sz w:val="18"/>
          <w:szCs w:val="18"/>
          <w:lang w:val="uk-UA"/>
        </w:rPr>
        <w:t>   Регламент (EU) № 583/2010 від 1 липня 2010 року щодо імплементації Директиви № 2009/65/ЄС Європейського Парламенту та Ради, яка стосується ключової інформації про інвестора і умови повинні бути виконані при наданні ключової інформації інвестора щодо проспектів на довгострокових носіях, відмінних від паперу, або за допомогою веб-сайту. (</w:t>
      </w:r>
      <w:hyperlink r:id="rId108" w:history="1">
        <w:r w:rsidR="00BE1959" w:rsidRPr="00BE1959">
          <w:rPr>
            <w:rFonts w:ascii="Times New Roman" w:hAnsi="Times New Roman" w:cs="Times New Roman"/>
            <w:sz w:val="18"/>
            <w:szCs w:val="18"/>
            <w:lang w:val="uk-UA"/>
          </w:rPr>
          <w:t>ОВ L 176, 10.7.2010, стоp. 1</w:t>
        </w:r>
      </w:hyperlink>
      <w:r w:rsidR="00BE1959" w:rsidRPr="00BE1959">
        <w:rPr>
          <w:rFonts w:ascii="Times New Roman" w:hAnsi="Times New Roman" w:cs="Times New Roman"/>
          <w:sz w:val="18"/>
          <w:szCs w:val="18"/>
          <w:lang w:val="uk-UA"/>
        </w:rPr>
        <w:t>).</w:t>
      </w:r>
    </w:p>
    <w:p w:rsidR="00BE1959" w:rsidRPr="00BE1959" w:rsidRDefault="0043174D" w:rsidP="00BE1959">
      <w:pPr>
        <w:spacing w:after="0" w:line="240" w:lineRule="auto"/>
        <w:jc w:val="both"/>
        <w:rPr>
          <w:rFonts w:ascii="Times New Roman" w:hAnsi="Times New Roman" w:cs="Times New Roman"/>
          <w:sz w:val="18"/>
          <w:szCs w:val="18"/>
          <w:lang w:val="uk-UA"/>
        </w:rPr>
      </w:pPr>
      <w:hyperlink r:id="rId109" w:anchor="ntc30-L_2014173EN.01034901-E0030" w:history="1">
        <w:r w:rsidR="00BE1959" w:rsidRPr="00BE1959">
          <w:rPr>
            <w:rFonts w:ascii="Times New Roman" w:hAnsi="Times New Roman" w:cs="Times New Roman"/>
            <w:sz w:val="18"/>
            <w:szCs w:val="18"/>
            <w:lang w:val="uk-UA"/>
          </w:rPr>
          <w:t>(30)</w:t>
        </w:r>
      </w:hyperlink>
      <w:r w:rsidR="00BE1959" w:rsidRPr="00BE1959">
        <w:rPr>
          <w:rFonts w:ascii="Times New Roman" w:hAnsi="Times New Roman" w:cs="Times New Roman"/>
          <w:sz w:val="18"/>
          <w:szCs w:val="18"/>
          <w:lang w:val="uk-UA"/>
        </w:rPr>
        <w:t>  Регламент Комісії (EU) № 1094/2010 Європейського Парламенту та Ради від 24 листопада 2010 року, що засновує Європейський Наглядовий Орган (Європейську організацію страхування та пенсійного забезпечення), що вносить зміни до Рішення № 716/2009/EC та скасовує Рішення Комісії 2009/79/EC (</w:t>
      </w:r>
      <w:hyperlink r:id="rId110" w:history="1">
        <w:r w:rsidR="00BE1959" w:rsidRPr="00BE1959">
          <w:rPr>
            <w:rFonts w:ascii="Times New Roman" w:hAnsi="Times New Roman" w:cs="Times New Roman"/>
            <w:sz w:val="18"/>
            <w:szCs w:val="18"/>
            <w:lang w:val="uk-UA"/>
          </w:rPr>
          <w:t>ОВ L 331, 15.12.2010, стоp. 48</w:t>
        </w:r>
      </w:hyperlink>
      <w:r w:rsidR="00BE1959" w:rsidRPr="00BE1959">
        <w:rPr>
          <w:rFonts w:ascii="Times New Roman" w:hAnsi="Times New Roman" w:cs="Times New Roman"/>
          <w:sz w:val="18"/>
          <w:szCs w:val="18"/>
          <w:lang w:val="uk-UA"/>
        </w:rPr>
        <w:t>).</w:t>
      </w:r>
    </w:p>
    <w:p w:rsidR="00BE1959" w:rsidRPr="00BE1959" w:rsidRDefault="0043174D" w:rsidP="00BE1959">
      <w:pPr>
        <w:spacing w:after="0" w:line="240" w:lineRule="auto"/>
        <w:jc w:val="both"/>
        <w:rPr>
          <w:rFonts w:ascii="Times New Roman" w:hAnsi="Times New Roman" w:cs="Times New Roman"/>
          <w:sz w:val="18"/>
          <w:szCs w:val="18"/>
          <w:lang w:val="uk-UA"/>
        </w:rPr>
      </w:pPr>
      <w:hyperlink r:id="rId111" w:anchor="ntc31-L_2014173EN.01034901-E0031" w:history="1">
        <w:r w:rsidR="00BE1959" w:rsidRPr="00BE1959">
          <w:rPr>
            <w:rFonts w:ascii="Times New Roman" w:hAnsi="Times New Roman" w:cs="Times New Roman"/>
            <w:sz w:val="18"/>
            <w:szCs w:val="18"/>
            <w:lang w:val="uk-UA"/>
          </w:rPr>
          <w:t>(31)</w:t>
        </w:r>
      </w:hyperlink>
      <w:r w:rsidR="00BE1959" w:rsidRPr="00BE1959">
        <w:rPr>
          <w:rFonts w:ascii="Times New Roman" w:hAnsi="Times New Roman" w:cs="Times New Roman"/>
          <w:sz w:val="18"/>
          <w:szCs w:val="18"/>
          <w:lang w:val="uk-UA"/>
        </w:rPr>
        <w:t xml:space="preserve">  Директива 95/46/EC Європейського Парламенту та Ради від </w:t>
      </w:r>
      <w:r w:rsidR="00BE1959" w:rsidRPr="00BE1959">
        <w:rPr>
          <w:rFonts w:ascii="Times New Roman" w:hAnsi="Times New Roman" w:cs="Times New Roman"/>
          <w:color w:val="444444"/>
          <w:sz w:val="18"/>
          <w:szCs w:val="18"/>
          <w:shd w:val="clear" w:color="auto" w:fill="FFFFFF"/>
          <w:lang w:val="uk-UA"/>
        </w:rPr>
        <w:t>24 жовтня 1995 року п</w:t>
      </w:r>
      <w:r w:rsidR="00BE1959" w:rsidRPr="00BE1959">
        <w:rPr>
          <w:rFonts w:ascii="Times New Roman" w:hAnsi="Times New Roman" w:cs="Times New Roman"/>
          <w:color w:val="000000"/>
          <w:sz w:val="18"/>
          <w:szCs w:val="18"/>
          <w:lang w:val="uk-UA"/>
        </w:rPr>
        <w:t>ро захист фізичних осіб при обробці персональних даних і про вільне переміщення таких даних</w:t>
      </w:r>
      <w:r w:rsidR="00BE1959" w:rsidRPr="00BE1959">
        <w:rPr>
          <w:rFonts w:ascii="Times New Roman" w:hAnsi="Times New Roman" w:cs="Times New Roman"/>
          <w:color w:val="444444"/>
          <w:sz w:val="18"/>
          <w:szCs w:val="18"/>
          <w:shd w:val="clear" w:color="auto" w:fill="FFFFFF"/>
          <w:lang w:val="uk-UA"/>
        </w:rPr>
        <w:t>(</w:t>
      </w:r>
      <w:hyperlink r:id="rId112" w:history="1">
        <w:r w:rsidR="00BE1959" w:rsidRPr="00BE1959">
          <w:rPr>
            <w:rStyle w:val="Hyperlink"/>
            <w:rFonts w:ascii="Times New Roman" w:hAnsi="Times New Roman" w:cs="Times New Roman"/>
            <w:color w:val="800080"/>
            <w:sz w:val="18"/>
            <w:szCs w:val="18"/>
            <w:bdr w:val="none" w:sz="0" w:space="0" w:color="auto" w:frame="1"/>
            <w:shd w:val="clear" w:color="auto" w:fill="FFFFFF"/>
            <w:lang w:val="uk-UA"/>
          </w:rPr>
          <w:t>OВ L 281, 23.11.1995, стоp. 31</w:t>
        </w:r>
      </w:hyperlink>
      <w:r w:rsidR="00BE1959" w:rsidRPr="00BE1959">
        <w:rPr>
          <w:rFonts w:ascii="Times New Roman" w:hAnsi="Times New Roman" w:cs="Times New Roman"/>
          <w:color w:val="444444"/>
          <w:sz w:val="18"/>
          <w:szCs w:val="18"/>
          <w:shd w:val="clear" w:color="auto" w:fill="FFFFFF"/>
          <w:lang w:val="uk-UA"/>
        </w:rPr>
        <w:t>).</w:t>
      </w:r>
    </w:p>
    <w:p w:rsidR="00BE1959" w:rsidRPr="00BE1959" w:rsidRDefault="0043174D" w:rsidP="00BE1959">
      <w:pPr>
        <w:spacing w:after="0" w:line="240" w:lineRule="auto"/>
        <w:jc w:val="both"/>
        <w:rPr>
          <w:rFonts w:ascii="Times New Roman" w:hAnsi="Times New Roman" w:cs="Times New Roman"/>
          <w:sz w:val="18"/>
          <w:szCs w:val="18"/>
          <w:lang w:val="uk-UA"/>
        </w:rPr>
      </w:pPr>
      <w:hyperlink r:id="rId113" w:anchor="ntc32-L_2014173EN.01034901-E0032" w:history="1">
        <w:r w:rsidR="00BE1959" w:rsidRPr="00BE1959">
          <w:rPr>
            <w:rFonts w:ascii="Times New Roman" w:hAnsi="Times New Roman" w:cs="Times New Roman"/>
            <w:sz w:val="18"/>
            <w:szCs w:val="18"/>
            <w:lang w:val="uk-UA"/>
          </w:rPr>
          <w:t>(32)</w:t>
        </w:r>
      </w:hyperlink>
      <w:r w:rsidR="00BE1959" w:rsidRPr="00BE1959">
        <w:rPr>
          <w:rFonts w:ascii="Times New Roman" w:hAnsi="Times New Roman" w:cs="Times New Roman"/>
          <w:sz w:val="18"/>
          <w:szCs w:val="18"/>
          <w:lang w:val="uk-UA"/>
        </w:rPr>
        <w:t>  Директива 2002/58/EC Європейського Парламенту та Ради від 12 липня 2002 року про обробку персональних даних та захист таємниці сектора електронних комунікацій (Директива про секретність та електронні комунікації) (</w:t>
      </w:r>
      <w:hyperlink r:id="rId114" w:history="1">
        <w:r w:rsidR="00BE1959" w:rsidRPr="00BE1959">
          <w:rPr>
            <w:rFonts w:ascii="Times New Roman" w:hAnsi="Times New Roman" w:cs="Times New Roman"/>
            <w:sz w:val="18"/>
            <w:szCs w:val="18"/>
            <w:lang w:val="uk-UA"/>
          </w:rPr>
          <w:t>ОВ L 201, 31.7.2002, стоp. 37</w:t>
        </w:r>
      </w:hyperlink>
      <w:r w:rsidR="00BE1959" w:rsidRPr="00BE1959">
        <w:rPr>
          <w:rFonts w:ascii="Times New Roman" w:hAnsi="Times New Roman" w:cs="Times New Roman"/>
          <w:sz w:val="18"/>
          <w:szCs w:val="18"/>
          <w:lang w:val="uk-UA"/>
        </w:rPr>
        <w:t>).</w:t>
      </w:r>
    </w:p>
    <w:p w:rsidR="00BE1959" w:rsidRPr="00BE1959" w:rsidRDefault="0043174D" w:rsidP="00BE1959">
      <w:pPr>
        <w:spacing w:after="0" w:line="240" w:lineRule="auto"/>
        <w:jc w:val="both"/>
        <w:rPr>
          <w:rFonts w:ascii="Times New Roman" w:hAnsi="Times New Roman" w:cs="Times New Roman"/>
          <w:sz w:val="18"/>
          <w:szCs w:val="18"/>
          <w:lang w:val="uk-UA"/>
        </w:rPr>
      </w:pPr>
      <w:hyperlink r:id="rId115" w:anchor="ntc33-L_2014173EN.01034901-E0033" w:history="1">
        <w:r w:rsidR="00BE1959" w:rsidRPr="00BE1959">
          <w:rPr>
            <w:rFonts w:ascii="Times New Roman" w:hAnsi="Times New Roman" w:cs="Times New Roman"/>
            <w:sz w:val="18"/>
            <w:szCs w:val="18"/>
            <w:lang w:val="uk-UA"/>
          </w:rPr>
          <w:t>(33)</w:t>
        </w:r>
      </w:hyperlink>
      <w:r w:rsidR="00BE1959" w:rsidRPr="00BE1959">
        <w:rPr>
          <w:rFonts w:ascii="Times New Roman" w:hAnsi="Times New Roman" w:cs="Times New Roman"/>
          <w:sz w:val="18"/>
          <w:szCs w:val="18"/>
          <w:lang w:val="uk-UA"/>
        </w:rPr>
        <w:t xml:space="preserve">  Регламент (EC) № 45/2001 Європейського Парламенту та Ради від 18 грудня 2000 року про захист фізичних осіб стосовно обробки персональних даних установами та органами Співтовариства і про вільний рух таких даних </w:t>
      </w:r>
      <w:r w:rsidR="00BE1959" w:rsidRPr="00BE1959">
        <w:rPr>
          <w:rFonts w:ascii="Times New Roman" w:hAnsi="Times New Roman" w:cs="Times New Roman"/>
          <w:color w:val="444444"/>
          <w:sz w:val="18"/>
          <w:szCs w:val="18"/>
          <w:shd w:val="clear" w:color="auto" w:fill="FFFFFF"/>
          <w:lang w:val="uk-UA"/>
        </w:rPr>
        <w:t>(</w:t>
      </w:r>
      <w:hyperlink r:id="rId116" w:history="1">
        <w:r w:rsidR="00BE1959" w:rsidRPr="00BE1959">
          <w:rPr>
            <w:rStyle w:val="Hyperlink"/>
            <w:rFonts w:ascii="Times New Roman" w:hAnsi="Times New Roman" w:cs="Times New Roman"/>
            <w:color w:val="800080"/>
            <w:sz w:val="18"/>
            <w:szCs w:val="18"/>
            <w:bdr w:val="none" w:sz="0" w:space="0" w:color="auto" w:frame="1"/>
            <w:shd w:val="clear" w:color="auto" w:fill="FFFFFF"/>
            <w:lang w:val="uk-UA"/>
          </w:rPr>
          <w:t>OВ L 8, 12.1.2001, стоp. 1</w:t>
        </w:r>
      </w:hyperlink>
      <w:r w:rsidR="00BE1959" w:rsidRPr="00BE1959">
        <w:rPr>
          <w:rFonts w:ascii="Times New Roman" w:hAnsi="Times New Roman" w:cs="Times New Roman"/>
          <w:color w:val="444444"/>
          <w:sz w:val="18"/>
          <w:szCs w:val="18"/>
          <w:shd w:val="clear" w:color="auto" w:fill="FFFFFF"/>
          <w:lang w:val="uk-UA"/>
        </w:rPr>
        <w:t>).</w:t>
      </w:r>
    </w:p>
    <w:p w:rsidR="00BE1959" w:rsidRPr="00BE1959" w:rsidRDefault="0043174D" w:rsidP="00BE1959">
      <w:pPr>
        <w:pStyle w:val="HTMLPreformatted"/>
        <w:shd w:val="clear" w:color="auto" w:fill="FFFFFF"/>
        <w:jc w:val="both"/>
        <w:textAlignment w:val="baseline"/>
        <w:rPr>
          <w:rFonts w:ascii="Times New Roman" w:hAnsi="Times New Roman" w:cs="Times New Roman"/>
          <w:color w:val="000000"/>
          <w:sz w:val="18"/>
          <w:szCs w:val="18"/>
          <w:lang w:val="uk-UA"/>
        </w:rPr>
      </w:pPr>
      <w:hyperlink r:id="rId117" w:anchor="ntc34-L_2014173EN.01034901-E0034" w:history="1">
        <w:r w:rsidR="00BE1959" w:rsidRPr="00BE1959">
          <w:rPr>
            <w:rFonts w:ascii="Times New Roman" w:hAnsi="Times New Roman" w:cs="Times New Roman"/>
            <w:sz w:val="18"/>
            <w:szCs w:val="18"/>
            <w:lang w:val="uk-UA"/>
          </w:rPr>
          <w:t>(34)</w:t>
        </w:r>
      </w:hyperlink>
      <w:r w:rsidR="00BE1959" w:rsidRPr="00BE1959">
        <w:rPr>
          <w:rFonts w:ascii="Times New Roman" w:hAnsi="Times New Roman" w:cs="Times New Roman"/>
          <w:sz w:val="18"/>
          <w:szCs w:val="18"/>
          <w:lang w:val="uk-UA"/>
        </w:rPr>
        <w:t>  Директива 2001/34/EC Європейського Парламенту та Ради від 28 травня 2001 року п</w:t>
      </w:r>
      <w:r w:rsidR="00BE1959" w:rsidRPr="00BE1959">
        <w:rPr>
          <w:rFonts w:ascii="Times New Roman" w:hAnsi="Times New Roman" w:cs="Times New Roman"/>
          <w:bCs/>
          <w:color w:val="000000"/>
          <w:sz w:val="18"/>
          <w:szCs w:val="18"/>
          <w:bdr w:val="none" w:sz="0" w:space="0" w:color="auto" w:frame="1"/>
          <w:lang w:val="uk-UA"/>
        </w:rPr>
        <w:t>ро допуск цінних паперів до офіційного лістингу на фондовій біржі і про інформацію, що повинна бути опублікована про ці цінні папери</w:t>
      </w:r>
      <w:r w:rsidR="00BE1959" w:rsidRPr="00BE1959">
        <w:rPr>
          <w:rFonts w:ascii="Times New Roman" w:hAnsi="Times New Roman" w:cs="Times New Roman"/>
          <w:sz w:val="18"/>
          <w:szCs w:val="18"/>
          <w:lang w:val="uk-UA"/>
        </w:rPr>
        <w:t xml:space="preserve"> (</w:t>
      </w:r>
      <w:hyperlink r:id="rId118" w:history="1">
        <w:r w:rsidR="00BE1959" w:rsidRPr="00BE1959">
          <w:rPr>
            <w:rFonts w:ascii="Times New Roman" w:hAnsi="Times New Roman" w:cs="Times New Roman"/>
            <w:sz w:val="18"/>
            <w:szCs w:val="18"/>
            <w:lang w:val="uk-UA"/>
          </w:rPr>
          <w:t>ОВ L 184, 6.7.2001, стор. 1</w:t>
        </w:r>
      </w:hyperlink>
      <w:r w:rsidR="00BE1959" w:rsidRPr="00BE1959">
        <w:rPr>
          <w:rFonts w:ascii="Times New Roman" w:hAnsi="Times New Roman" w:cs="Times New Roman"/>
          <w:sz w:val="18"/>
          <w:szCs w:val="18"/>
          <w:lang w:val="uk-UA"/>
        </w:rPr>
        <w:t>).</w:t>
      </w:r>
    </w:p>
    <w:p w:rsidR="00BE1959" w:rsidRPr="00BE1959" w:rsidRDefault="0043174D" w:rsidP="00BE1959">
      <w:pPr>
        <w:spacing w:after="0" w:line="240" w:lineRule="auto"/>
        <w:jc w:val="both"/>
        <w:rPr>
          <w:rFonts w:ascii="Times New Roman" w:hAnsi="Times New Roman" w:cs="Times New Roman"/>
          <w:sz w:val="18"/>
          <w:szCs w:val="18"/>
          <w:lang w:val="uk-UA"/>
        </w:rPr>
      </w:pPr>
      <w:hyperlink r:id="rId119" w:anchor="ntc35-L_2014173EN.01034901-E0035" w:history="1">
        <w:r w:rsidR="00BE1959" w:rsidRPr="00BE1959">
          <w:rPr>
            <w:rFonts w:ascii="Times New Roman" w:hAnsi="Times New Roman" w:cs="Times New Roman"/>
            <w:sz w:val="18"/>
            <w:szCs w:val="18"/>
            <w:lang w:val="uk-UA"/>
          </w:rPr>
          <w:t>(35)</w:t>
        </w:r>
      </w:hyperlink>
      <w:r w:rsidR="00BE1959" w:rsidRPr="00BE1959">
        <w:rPr>
          <w:rFonts w:ascii="Times New Roman" w:hAnsi="Times New Roman" w:cs="Times New Roman"/>
          <w:sz w:val="18"/>
          <w:szCs w:val="18"/>
          <w:lang w:val="uk-UA"/>
        </w:rPr>
        <w:t>  Директива 2003/71/EC Європейського Парламенту та Ради від 4 листопада 2003 року про проспекти, що підлягають опублікуванню при відкритій пропозиції цінних паперів або виставленні їх на продаж (</w:t>
      </w:r>
      <w:hyperlink r:id="rId120" w:history="1">
        <w:r w:rsidR="00BE1959" w:rsidRPr="00BE1959">
          <w:rPr>
            <w:rFonts w:ascii="Times New Roman" w:hAnsi="Times New Roman" w:cs="Times New Roman"/>
            <w:sz w:val="18"/>
            <w:szCs w:val="18"/>
            <w:lang w:val="uk-UA"/>
          </w:rPr>
          <w:t>ОВ L 345, 31.12.2003, стоp. 64</w:t>
        </w:r>
      </w:hyperlink>
      <w:r w:rsidR="00BE1959" w:rsidRPr="00BE1959">
        <w:rPr>
          <w:rFonts w:ascii="Times New Roman" w:hAnsi="Times New Roman" w:cs="Times New Roman"/>
          <w:sz w:val="18"/>
          <w:szCs w:val="18"/>
          <w:lang w:val="uk-UA"/>
        </w:rPr>
        <w:t>).</w:t>
      </w:r>
    </w:p>
    <w:p w:rsidR="00BE1959" w:rsidRPr="00BE1959" w:rsidRDefault="0043174D" w:rsidP="00BE1959">
      <w:pPr>
        <w:spacing w:after="0" w:line="240" w:lineRule="auto"/>
        <w:jc w:val="both"/>
        <w:rPr>
          <w:rFonts w:ascii="Times New Roman" w:hAnsi="Times New Roman" w:cs="Times New Roman"/>
          <w:sz w:val="18"/>
          <w:szCs w:val="18"/>
          <w:lang w:val="uk-UA"/>
        </w:rPr>
      </w:pPr>
      <w:hyperlink r:id="rId121" w:anchor="ntc36-L_2014173EN.01034901-E0036" w:history="1">
        <w:r w:rsidR="00BE1959" w:rsidRPr="00BE1959">
          <w:rPr>
            <w:rFonts w:ascii="Times New Roman" w:hAnsi="Times New Roman" w:cs="Times New Roman"/>
            <w:sz w:val="18"/>
            <w:szCs w:val="18"/>
            <w:lang w:val="uk-UA"/>
          </w:rPr>
          <w:t>(36)</w:t>
        </w:r>
      </w:hyperlink>
      <w:r w:rsidR="00BE1959" w:rsidRPr="00BE1959">
        <w:rPr>
          <w:rFonts w:ascii="Times New Roman" w:hAnsi="Times New Roman" w:cs="Times New Roman"/>
          <w:sz w:val="18"/>
          <w:szCs w:val="18"/>
          <w:lang w:val="uk-UA"/>
        </w:rPr>
        <w:t>  Рекомендація Комісії 98/257/EC від 30 березня 1998 року п</w:t>
      </w:r>
      <w:r w:rsidR="00BE1959" w:rsidRPr="00BE1959">
        <w:rPr>
          <w:rFonts w:ascii="Times New Roman" w:hAnsi="Times New Roman" w:cs="Times New Roman"/>
          <w:color w:val="545454"/>
          <w:sz w:val="18"/>
          <w:szCs w:val="18"/>
          <w:shd w:val="clear" w:color="auto" w:fill="FFFFFF"/>
          <w:lang w:val="uk-UA"/>
        </w:rPr>
        <w:t xml:space="preserve">ро принципи, які застосовуються до органів, відповідальних за позасудове врегулювання спорів про захист прав </w:t>
      </w:r>
      <w:r w:rsidR="00BE1959" w:rsidRPr="00BE1959">
        <w:rPr>
          <w:rFonts w:ascii="Times New Roman" w:hAnsi="Times New Roman" w:cs="Times New Roman"/>
          <w:sz w:val="18"/>
          <w:szCs w:val="18"/>
          <w:lang w:val="uk-UA"/>
        </w:rPr>
        <w:t>споживачів (</w:t>
      </w:r>
      <w:hyperlink r:id="rId122" w:history="1">
        <w:r w:rsidR="00BE1959" w:rsidRPr="00BE1959">
          <w:rPr>
            <w:rFonts w:ascii="Times New Roman" w:hAnsi="Times New Roman" w:cs="Times New Roman"/>
            <w:sz w:val="18"/>
            <w:szCs w:val="18"/>
            <w:lang w:val="uk-UA"/>
          </w:rPr>
          <w:t>ОВ L 115, 17.4.1998, стоp. 31</w:t>
        </w:r>
      </w:hyperlink>
      <w:r w:rsidR="00BE1959" w:rsidRPr="00BE1959">
        <w:rPr>
          <w:rFonts w:ascii="Times New Roman" w:hAnsi="Times New Roman" w:cs="Times New Roman"/>
          <w:sz w:val="18"/>
          <w:szCs w:val="18"/>
          <w:lang w:val="uk-UA"/>
        </w:rPr>
        <w:t>).</w:t>
      </w:r>
    </w:p>
    <w:p w:rsidR="00BE1959" w:rsidRPr="00BE1959" w:rsidRDefault="0043174D" w:rsidP="00BE1959">
      <w:pPr>
        <w:spacing w:after="0" w:line="240" w:lineRule="auto"/>
        <w:jc w:val="both"/>
        <w:rPr>
          <w:rFonts w:ascii="Times New Roman" w:hAnsi="Times New Roman" w:cs="Times New Roman"/>
          <w:sz w:val="18"/>
          <w:szCs w:val="18"/>
          <w:lang w:val="uk-UA"/>
        </w:rPr>
      </w:pPr>
      <w:hyperlink r:id="rId123" w:anchor="ntc37-L_2014173EN.01034901-E0037" w:history="1">
        <w:r w:rsidR="00BE1959" w:rsidRPr="00BE1959">
          <w:rPr>
            <w:rFonts w:ascii="Times New Roman" w:hAnsi="Times New Roman" w:cs="Times New Roman"/>
            <w:sz w:val="18"/>
            <w:szCs w:val="18"/>
            <w:lang w:val="uk-UA"/>
          </w:rPr>
          <w:t>(37)</w:t>
        </w:r>
      </w:hyperlink>
      <w:r w:rsidR="00BE1959" w:rsidRPr="00BE1959">
        <w:rPr>
          <w:rFonts w:ascii="Times New Roman" w:hAnsi="Times New Roman" w:cs="Times New Roman"/>
          <w:sz w:val="18"/>
          <w:szCs w:val="18"/>
          <w:lang w:val="uk-UA"/>
        </w:rPr>
        <w:t>  Рекомендація Комісії 2001/310/EC від 4 квітня 2001 року про принципи функціонування позасудових органів, залучених до консенсуального вирішення споживчих спорів (</w:t>
      </w:r>
      <w:hyperlink r:id="rId124" w:history="1">
        <w:r w:rsidR="00BE1959" w:rsidRPr="00BE1959">
          <w:rPr>
            <w:rFonts w:ascii="Times New Roman" w:hAnsi="Times New Roman" w:cs="Times New Roman"/>
            <w:sz w:val="18"/>
            <w:szCs w:val="18"/>
            <w:lang w:val="uk-UA"/>
          </w:rPr>
          <w:t>ОВ L 109, 19.4.2001, стоp. 56</w:t>
        </w:r>
      </w:hyperlink>
      <w:r w:rsidR="00BE1959" w:rsidRPr="00BE1959">
        <w:rPr>
          <w:rFonts w:ascii="Times New Roman" w:hAnsi="Times New Roman" w:cs="Times New Roman"/>
          <w:sz w:val="18"/>
          <w:szCs w:val="18"/>
          <w:lang w:val="uk-UA"/>
        </w:rPr>
        <w:t>).</w:t>
      </w:r>
    </w:p>
    <w:p w:rsidR="00BE1959" w:rsidRPr="00BE1959" w:rsidRDefault="0043174D" w:rsidP="00BE1959">
      <w:pPr>
        <w:spacing w:after="0" w:line="240" w:lineRule="auto"/>
        <w:jc w:val="both"/>
        <w:rPr>
          <w:rFonts w:ascii="Times New Roman" w:hAnsi="Times New Roman" w:cs="Times New Roman"/>
          <w:sz w:val="18"/>
          <w:szCs w:val="18"/>
          <w:lang w:val="uk-UA"/>
        </w:rPr>
      </w:pPr>
      <w:hyperlink r:id="rId125" w:anchor="ntc38-L_2014173EN.01034901-E0038" w:history="1">
        <w:r w:rsidR="00BE1959" w:rsidRPr="00BE1959">
          <w:rPr>
            <w:rFonts w:ascii="Times New Roman" w:hAnsi="Times New Roman" w:cs="Times New Roman"/>
            <w:sz w:val="18"/>
            <w:szCs w:val="18"/>
            <w:lang w:val="uk-UA"/>
          </w:rPr>
          <w:t>(38)</w:t>
        </w:r>
      </w:hyperlink>
      <w:r w:rsidR="00BE1959" w:rsidRPr="00BE1959">
        <w:rPr>
          <w:rFonts w:ascii="Times New Roman" w:hAnsi="Times New Roman" w:cs="Times New Roman"/>
          <w:sz w:val="18"/>
          <w:szCs w:val="18"/>
          <w:lang w:val="uk-UA"/>
        </w:rPr>
        <w:t>  Регламент (EU) № 1093/2010 Європейського Парламенту та Ради від 24 листопада 2010 року про створення Єв</w:t>
      </w:r>
      <w:r w:rsidR="00BE1959">
        <w:rPr>
          <w:rFonts w:ascii="Times New Roman" w:hAnsi="Times New Roman" w:cs="Times New Roman"/>
          <w:sz w:val="18"/>
          <w:szCs w:val="18"/>
          <w:lang w:val="uk-UA"/>
        </w:rPr>
        <w:t>ропейського  банківського органу</w:t>
      </w:r>
      <w:r w:rsidR="00BE1959" w:rsidRPr="00BE1959">
        <w:rPr>
          <w:rFonts w:ascii="Times New Roman" w:hAnsi="Times New Roman" w:cs="Times New Roman"/>
          <w:sz w:val="18"/>
          <w:szCs w:val="18"/>
          <w:lang w:val="uk-UA"/>
        </w:rPr>
        <w:t xml:space="preserve"> (ЄБО), яким вносяться поправки до Регламенту  (ЕС) № 716/2009 та скасовує Рішення Комісії 2009/78 / EC </w:t>
      </w:r>
      <w:r w:rsidR="00BE1959" w:rsidRPr="00BE1959">
        <w:rPr>
          <w:rFonts w:ascii="Times New Roman" w:hAnsi="Times New Roman" w:cs="Times New Roman"/>
          <w:color w:val="444444"/>
          <w:sz w:val="18"/>
          <w:szCs w:val="18"/>
          <w:shd w:val="clear" w:color="auto" w:fill="FFFFFF"/>
          <w:lang w:val="uk-UA"/>
        </w:rPr>
        <w:t>(</w:t>
      </w:r>
      <w:hyperlink r:id="rId126" w:history="1">
        <w:r w:rsidR="00BE1959" w:rsidRPr="00BE1959">
          <w:rPr>
            <w:rStyle w:val="Hyperlink"/>
            <w:rFonts w:ascii="Times New Roman" w:hAnsi="Times New Roman" w:cs="Times New Roman"/>
            <w:color w:val="800080"/>
            <w:sz w:val="18"/>
            <w:szCs w:val="18"/>
            <w:bdr w:val="none" w:sz="0" w:space="0" w:color="auto" w:frame="1"/>
            <w:shd w:val="clear" w:color="auto" w:fill="FFFFFF"/>
            <w:lang w:val="uk-UA"/>
          </w:rPr>
          <w:t>OВ L 331, 15.12.2010, стоp. 12</w:t>
        </w:r>
      </w:hyperlink>
      <w:r w:rsidR="00BE1959" w:rsidRPr="00BE1959">
        <w:rPr>
          <w:rFonts w:ascii="Times New Roman" w:hAnsi="Times New Roman" w:cs="Times New Roman"/>
          <w:color w:val="444444"/>
          <w:sz w:val="18"/>
          <w:szCs w:val="18"/>
          <w:shd w:val="clear" w:color="auto" w:fill="FFFFFF"/>
          <w:lang w:val="uk-UA"/>
        </w:rPr>
        <w:t>).</w:t>
      </w:r>
    </w:p>
    <w:p w:rsidR="00BE1959" w:rsidRPr="00BE1959" w:rsidRDefault="0043174D" w:rsidP="00BE1959">
      <w:pPr>
        <w:spacing w:after="0" w:line="240" w:lineRule="auto"/>
        <w:jc w:val="both"/>
        <w:rPr>
          <w:rFonts w:ascii="Times New Roman" w:hAnsi="Times New Roman" w:cs="Times New Roman"/>
          <w:sz w:val="18"/>
          <w:szCs w:val="18"/>
          <w:lang w:val="uk-UA"/>
        </w:rPr>
      </w:pPr>
      <w:hyperlink r:id="rId127" w:anchor="ntc39-L_2014173EN.01034901-E0039" w:history="1">
        <w:r w:rsidR="00BE1959" w:rsidRPr="00BE1959">
          <w:rPr>
            <w:rFonts w:ascii="Times New Roman" w:hAnsi="Times New Roman" w:cs="Times New Roman"/>
            <w:sz w:val="18"/>
            <w:szCs w:val="18"/>
            <w:lang w:val="uk-UA"/>
          </w:rPr>
          <w:t>(39)</w:t>
        </w:r>
      </w:hyperlink>
      <w:r w:rsidR="00BE1959" w:rsidRPr="00BE1959">
        <w:rPr>
          <w:rFonts w:ascii="Times New Roman" w:hAnsi="Times New Roman" w:cs="Times New Roman"/>
          <w:sz w:val="18"/>
          <w:szCs w:val="18"/>
          <w:lang w:val="uk-UA"/>
        </w:rPr>
        <w:t xml:space="preserve">  Директива 2011/61/EU Європейського Парламенту та Ради від 8 червня 2011 року про юридичних осіб, які керують альтернативними інвестиційними фондами, та що вносить зміни до Директив </w:t>
      </w:r>
      <w:r w:rsidR="00BE1959" w:rsidRPr="00BE1959">
        <w:rPr>
          <w:rFonts w:ascii="Times New Roman" w:hAnsi="Times New Roman" w:cs="Times New Roman"/>
          <w:color w:val="444444"/>
          <w:sz w:val="18"/>
          <w:szCs w:val="18"/>
          <w:shd w:val="clear" w:color="auto" w:fill="FFFFFF"/>
          <w:lang w:val="uk-UA"/>
        </w:rPr>
        <w:t>2003/41/EC та 2009/65/EC та Регламентів (EC) № 1060/2009 та (EU) № 1095/2010 (</w:t>
      </w:r>
      <w:hyperlink r:id="rId128" w:history="1">
        <w:r w:rsidR="00BE1959" w:rsidRPr="00BE1959">
          <w:rPr>
            <w:rStyle w:val="Hyperlink"/>
            <w:rFonts w:ascii="Times New Roman" w:hAnsi="Times New Roman" w:cs="Times New Roman"/>
            <w:color w:val="800080"/>
            <w:sz w:val="18"/>
            <w:szCs w:val="18"/>
            <w:bdr w:val="none" w:sz="0" w:space="0" w:color="auto" w:frame="1"/>
            <w:shd w:val="clear" w:color="auto" w:fill="FFFFFF"/>
            <w:lang w:val="uk-UA"/>
          </w:rPr>
          <w:t>OВ L 174, 1.7.2011, стоp. 1</w:t>
        </w:r>
      </w:hyperlink>
      <w:r w:rsidR="00BE1959" w:rsidRPr="00BE1959">
        <w:rPr>
          <w:rFonts w:ascii="Times New Roman" w:hAnsi="Times New Roman" w:cs="Times New Roman"/>
          <w:color w:val="444444"/>
          <w:sz w:val="18"/>
          <w:szCs w:val="18"/>
          <w:shd w:val="clear" w:color="auto" w:fill="FFFFFF"/>
          <w:lang w:val="uk-UA"/>
        </w:rPr>
        <w:t>).</w:t>
      </w:r>
    </w:p>
    <w:p w:rsidR="00BE1959" w:rsidRPr="00BE1959" w:rsidRDefault="0043174D" w:rsidP="00BE1959">
      <w:pPr>
        <w:spacing w:after="0" w:line="240" w:lineRule="auto"/>
        <w:jc w:val="both"/>
        <w:rPr>
          <w:rFonts w:ascii="Times New Roman" w:hAnsi="Times New Roman" w:cs="Times New Roman"/>
          <w:sz w:val="18"/>
          <w:szCs w:val="18"/>
          <w:lang w:val="uk-UA"/>
        </w:rPr>
      </w:pPr>
      <w:hyperlink r:id="rId129" w:anchor="ntc40-L_2014173EN.01034901-E0040" w:history="1">
        <w:r w:rsidR="00BE1959" w:rsidRPr="00BE1959">
          <w:rPr>
            <w:rFonts w:ascii="Times New Roman" w:hAnsi="Times New Roman" w:cs="Times New Roman"/>
            <w:sz w:val="18"/>
            <w:szCs w:val="18"/>
            <w:lang w:val="uk-UA"/>
          </w:rPr>
          <w:t>(40)</w:t>
        </w:r>
      </w:hyperlink>
      <w:r w:rsidR="00BE1959" w:rsidRPr="00BE1959">
        <w:rPr>
          <w:rFonts w:ascii="Times New Roman" w:hAnsi="Times New Roman" w:cs="Times New Roman"/>
          <w:sz w:val="18"/>
          <w:szCs w:val="18"/>
          <w:lang w:val="uk-UA"/>
        </w:rPr>
        <w:t>  </w:t>
      </w:r>
      <w:hyperlink r:id="rId130" w:history="1">
        <w:r w:rsidR="00BE1959" w:rsidRPr="00BE1959">
          <w:rPr>
            <w:rFonts w:ascii="Times New Roman" w:hAnsi="Times New Roman" w:cs="Times New Roman"/>
            <w:sz w:val="18"/>
            <w:szCs w:val="18"/>
            <w:lang w:val="uk-UA"/>
          </w:rPr>
          <w:t>ОВ C 147, 25.5.2012, стоp. 1</w:t>
        </w:r>
      </w:hyperlink>
      <w:r w:rsidR="00BE1959" w:rsidRPr="00BE1959">
        <w:rPr>
          <w:rFonts w:ascii="Times New Roman" w:hAnsi="Times New Roman" w:cs="Times New Roman"/>
          <w:sz w:val="18"/>
          <w:szCs w:val="18"/>
          <w:lang w:val="uk-UA"/>
        </w:rPr>
        <w:t>.</w:t>
      </w:r>
    </w:p>
    <w:p w:rsidR="00BE1959" w:rsidRPr="00BE1959" w:rsidRDefault="0043174D" w:rsidP="00BE1959">
      <w:pPr>
        <w:spacing w:after="0" w:line="240" w:lineRule="auto"/>
        <w:jc w:val="both"/>
        <w:rPr>
          <w:rFonts w:ascii="Times New Roman" w:hAnsi="Times New Roman" w:cs="Times New Roman"/>
          <w:sz w:val="18"/>
          <w:szCs w:val="18"/>
          <w:lang w:val="uk-UA"/>
        </w:rPr>
      </w:pPr>
      <w:hyperlink r:id="rId131" w:anchor="ntc41-L_2014173EN.01034901-E0041" w:history="1">
        <w:r w:rsidR="00BE1959" w:rsidRPr="00BE1959">
          <w:rPr>
            <w:rFonts w:ascii="Times New Roman" w:hAnsi="Times New Roman" w:cs="Times New Roman"/>
            <w:sz w:val="18"/>
            <w:szCs w:val="18"/>
            <w:lang w:val="uk-UA"/>
          </w:rPr>
          <w:t>(41)</w:t>
        </w:r>
      </w:hyperlink>
      <w:r w:rsidR="00BE1959" w:rsidRPr="00BE1959">
        <w:rPr>
          <w:rFonts w:ascii="Times New Roman" w:hAnsi="Times New Roman" w:cs="Times New Roman"/>
          <w:sz w:val="18"/>
          <w:szCs w:val="18"/>
          <w:lang w:val="uk-UA"/>
        </w:rPr>
        <w:t>  </w:t>
      </w:r>
      <w:hyperlink r:id="rId132" w:history="1">
        <w:r w:rsidR="00BE1959" w:rsidRPr="00BE1959">
          <w:rPr>
            <w:rFonts w:ascii="Times New Roman" w:hAnsi="Times New Roman" w:cs="Times New Roman"/>
            <w:sz w:val="18"/>
            <w:szCs w:val="18"/>
            <w:lang w:val="uk-UA"/>
          </w:rPr>
          <w:t>ОВ C 369, 17.12.2011, стоp. 14</w:t>
        </w:r>
      </w:hyperlink>
      <w:r w:rsidR="00BE1959" w:rsidRPr="00BE1959">
        <w:rPr>
          <w:rFonts w:ascii="Times New Roman" w:hAnsi="Times New Roman" w:cs="Times New Roman"/>
          <w:sz w:val="18"/>
          <w:szCs w:val="18"/>
          <w:lang w:val="uk-UA"/>
        </w:rPr>
        <w:t>.</w:t>
      </w:r>
    </w:p>
    <w:p w:rsidR="00BE1959" w:rsidRPr="00BE1959" w:rsidRDefault="0043174D" w:rsidP="00BE1959">
      <w:pPr>
        <w:spacing w:after="0" w:line="240" w:lineRule="auto"/>
        <w:jc w:val="both"/>
        <w:rPr>
          <w:rFonts w:ascii="Times New Roman" w:hAnsi="Times New Roman" w:cs="Times New Roman"/>
          <w:sz w:val="18"/>
          <w:szCs w:val="18"/>
          <w:lang w:val="uk-UA"/>
        </w:rPr>
      </w:pPr>
      <w:hyperlink r:id="rId133" w:anchor="ntc42-L_2014173EN.01034901-E0042" w:history="1">
        <w:r w:rsidR="00BE1959" w:rsidRPr="00BE1959">
          <w:rPr>
            <w:rFonts w:ascii="Times New Roman" w:hAnsi="Times New Roman" w:cs="Times New Roman"/>
            <w:sz w:val="18"/>
            <w:szCs w:val="18"/>
            <w:lang w:val="uk-UA"/>
          </w:rPr>
          <w:t>(42)</w:t>
        </w:r>
      </w:hyperlink>
      <w:r w:rsidR="00BE1959" w:rsidRPr="00BE1959">
        <w:rPr>
          <w:rFonts w:ascii="Times New Roman" w:hAnsi="Times New Roman" w:cs="Times New Roman"/>
          <w:sz w:val="18"/>
          <w:szCs w:val="18"/>
          <w:lang w:val="uk-UA"/>
        </w:rPr>
        <w:t>  Директива 2012/30/EU Європейського Парламенту та Ради від 25 жовтня 2012 року про координацію гарантій, які вимагаються Державами-членами від компаній в рамках значення другого абзацу Статті 54 Договору про функціонування Європейського Союзу для того, щоб отримати еквівалентність захисту інтересів учасників та третіх осіб при створенні акціонерного товариства, збереженні та зміні його капіталу (</w:t>
      </w:r>
      <w:hyperlink r:id="rId134" w:history="1">
        <w:r w:rsidR="00BE1959" w:rsidRPr="00BE1959">
          <w:rPr>
            <w:rFonts w:ascii="Times New Roman" w:hAnsi="Times New Roman" w:cs="Times New Roman"/>
            <w:sz w:val="18"/>
            <w:szCs w:val="18"/>
            <w:lang w:val="uk-UA"/>
          </w:rPr>
          <w:t>ОВ L 315, 14.11.2012, стоp. 74</w:t>
        </w:r>
      </w:hyperlink>
      <w:r w:rsidR="00BE1959" w:rsidRPr="00BE1959">
        <w:rPr>
          <w:rFonts w:ascii="Times New Roman" w:hAnsi="Times New Roman" w:cs="Times New Roman"/>
          <w:sz w:val="18"/>
          <w:szCs w:val="18"/>
          <w:lang w:val="uk-UA"/>
        </w:rPr>
        <w:t>).</w:t>
      </w:r>
    </w:p>
    <w:p w:rsidR="00BE1959" w:rsidRPr="00BE1959" w:rsidRDefault="0043174D" w:rsidP="00BE1959">
      <w:pPr>
        <w:spacing w:after="0" w:line="240" w:lineRule="auto"/>
        <w:jc w:val="both"/>
        <w:rPr>
          <w:rFonts w:ascii="Times New Roman" w:hAnsi="Times New Roman" w:cs="Times New Roman"/>
          <w:sz w:val="18"/>
          <w:szCs w:val="18"/>
          <w:lang w:val="uk-UA"/>
        </w:rPr>
      </w:pPr>
      <w:hyperlink r:id="rId135" w:anchor="ntc43-L_2014173EN.01034901-E0043" w:history="1">
        <w:r w:rsidR="00BE1959" w:rsidRPr="00BE1959">
          <w:rPr>
            <w:rFonts w:ascii="Times New Roman" w:hAnsi="Times New Roman" w:cs="Times New Roman"/>
            <w:sz w:val="18"/>
            <w:szCs w:val="18"/>
            <w:lang w:val="uk-UA"/>
          </w:rPr>
          <w:t>(43)</w:t>
        </w:r>
      </w:hyperlink>
      <w:r w:rsidR="00BE1959" w:rsidRPr="00BE1959">
        <w:rPr>
          <w:rFonts w:ascii="Times New Roman" w:hAnsi="Times New Roman" w:cs="Times New Roman"/>
          <w:sz w:val="18"/>
          <w:szCs w:val="18"/>
          <w:lang w:val="uk-UA"/>
        </w:rPr>
        <w:t xml:space="preserve">  Директива 2009/65/EC Європейського Парламенту та Ради від 13 липня 2009 року </w:t>
      </w:r>
      <w:r w:rsidR="00BE1959" w:rsidRPr="00BE1959">
        <w:rPr>
          <w:rFonts w:ascii="Times New Roman" w:hAnsi="Times New Roman" w:cs="Times New Roman"/>
          <w:bCs/>
          <w:color w:val="1A171B"/>
          <w:spacing w:val="-2"/>
          <w:sz w:val="18"/>
          <w:szCs w:val="18"/>
          <w:lang w:val="uk-UA"/>
        </w:rPr>
        <w:t>про координацію законів, підзаконних актів та адміністративних положень стосовно підприємств колективного інвестування в перевідні цінні папери</w:t>
      </w:r>
      <w:r w:rsidR="00BE1959" w:rsidRPr="00BE1959">
        <w:rPr>
          <w:rFonts w:ascii="Times New Roman" w:hAnsi="Times New Roman" w:cs="Times New Roman"/>
          <w:color w:val="444444"/>
          <w:sz w:val="18"/>
          <w:szCs w:val="18"/>
          <w:shd w:val="clear" w:color="auto" w:fill="FFFFFF"/>
          <w:lang w:val="uk-UA"/>
        </w:rPr>
        <w:t xml:space="preserve"> (ПКІПЦП) (</w:t>
      </w:r>
      <w:hyperlink r:id="rId136" w:history="1">
        <w:r w:rsidR="00BE1959" w:rsidRPr="00BE1959">
          <w:rPr>
            <w:rStyle w:val="Hyperlink"/>
            <w:rFonts w:ascii="Times New Roman" w:hAnsi="Times New Roman" w:cs="Times New Roman"/>
            <w:color w:val="800080"/>
            <w:sz w:val="18"/>
            <w:szCs w:val="18"/>
            <w:bdr w:val="none" w:sz="0" w:space="0" w:color="auto" w:frame="1"/>
            <w:shd w:val="clear" w:color="auto" w:fill="FFFFFF"/>
            <w:lang w:val="uk-UA"/>
          </w:rPr>
          <w:t>OВ L 302, 17.11.2009, стоp. 32</w:t>
        </w:r>
      </w:hyperlink>
      <w:r w:rsidR="00BE1959" w:rsidRPr="00BE1959">
        <w:rPr>
          <w:rFonts w:ascii="Times New Roman" w:hAnsi="Times New Roman" w:cs="Times New Roman"/>
          <w:color w:val="444444"/>
          <w:sz w:val="18"/>
          <w:szCs w:val="18"/>
          <w:shd w:val="clear" w:color="auto" w:fill="FFFFFF"/>
          <w:lang w:val="uk-UA"/>
        </w:rPr>
        <w:t>).</w:t>
      </w:r>
    </w:p>
    <w:p w:rsidR="00BE1959" w:rsidRPr="00BE1959" w:rsidRDefault="0043174D" w:rsidP="00BE1959">
      <w:pPr>
        <w:spacing w:after="0" w:line="240" w:lineRule="auto"/>
        <w:jc w:val="both"/>
        <w:rPr>
          <w:rFonts w:ascii="Times New Roman" w:hAnsi="Times New Roman" w:cs="Times New Roman"/>
          <w:sz w:val="18"/>
          <w:szCs w:val="18"/>
          <w:lang w:val="uk-UA"/>
        </w:rPr>
      </w:pPr>
      <w:hyperlink r:id="rId137" w:anchor="ntc44-L_2014173EN.01034901-E0044" w:history="1">
        <w:r w:rsidR="00BE1959" w:rsidRPr="00BE1959">
          <w:rPr>
            <w:rFonts w:ascii="Times New Roman" w:hAnsi="Times New Roman" w:cs="Times New Roman"/>
            <w:sz w:val="18"/>
            <w:szCs w:val="18"/>
            <w:lang w:val="uk-UA"/>
          </w:rPr>
          <w:t>(44)</w:t>
        </w:r>
      </w:hyperlink>
      <w:r w:rsidR="00BE1959" w:rsidRPr="00BE1959">
        <w:rPr>
          <w:rFonts w:ascii="Times New Roman" w:hAnsi="Times New Roman" w:cs="Times New Roman"/>
          <w:sz w:val="18"/>
          <w:szCs w:val="18"/>
          <w:lang w:val="uk-UA"/>
        </w:rPr>
        <w:t>  Директива 2004/109/EC Європейського Парламенту та Ради від 15 грудня 2004 року</w:t>
      </w:r>
    </w:p>
    <w:p w:rsidR="00BE1959" w:rsidRPr="00BE1959" w:rsidRDefault="00BE1959" w:rsidP="00BE1959">
      <w:pPr>
        <w:spacing w:after="0" w:line="240" w:lineRule="auto"/>
        <w:jc w:val="both"/>
        <w:rPr>
          <w:rFonts w:ascii="Times New Roman" w:hAnsi="Times New Roman" w:cs="Times New Roman"/>
          <w:sz w:val="18"/>
          <w:szCs w:val="18"/>
          <w:lang w:val="uk-UA"/>
        </w:rPr>
      </w:pPr>
      <w:r w:rsidRPr="00BE1959">
        <w:rPr>
          <w:rFonts w:ascii="Times New Roman" w:hAnsi="Times New Roman" w:cs="Times New Roman"/>
          <w:sz w:val="18"/>
          <w:szCs w:val="18"/>
          <w:lang w:val="uk-UA"/>
        </w:rPr>
        <w:t>про гармонізацію вимог щодо прозорості відносно інформації про емітентів, цінні папери яких допущені до торгів на регульованому ринку, та внесення змін до Директиви 2001/34/ЕС (</w:t>
      </w:r>
      <w:hyperlink r:id="rId138" w:history="1">
        <w:r w:rsidRPr="00BE1959">
          <w:rPr>
            <w:rFonts w:ascii="Times New Roman" w:hAnsi="Times New Roman" w:cs="Times New Roman"/>
            <w:sz w:val="18"/>
            <w:szCs w:val="18"/>
            <w:lang w:val="uk-UA"/>
          </w:rPr>
          <w:t>ОВ L 390, 31.12.2004, стоp. 38</w:t>
        </w:r>
      </w:hyperlink>
      <w:r w:rsidRPr="00BE1959">
        <w:rPr>
          <w:rFonts w:ascii="Times New Roman" w:hAnsi="Times New Roman" w:cs="Times New Roman"/>
          <w:sz w:val="18"/>
          <w:szCs w:val="18"/>
          <w:lang w:val="uk-UA"/>
        </w:rPr>
        <w:t>).</w:t>
      </w:r>
    </w:p>
    <w:p w:rsidR="00BE1959" w:rsidRPr="00BE1959" w:rsidRDefault="0043174D" w:rsidP="00BE1959">
      <w:pPr>
        <w:spacing w:after="0" w:line="240" w:lineRule="auto"/>
        <w:jc w:val="both"/>
        <w:rPr>
          <w:rFonts w:ascii="Times New Roman" w:hAnsi="Times New Roman" w:cs="Times New Roman"/>
          <w:sz w:val="18"/>
          <w:szCs w:val="18"/>
          <w:lang w:val="uk-UA"/>
        </w:rPr>
      </w:pPr>
      <w:hyperlink r:id="rId139" w:anchor="ntc45-L_2014173EN.01034901-E0045" w:history="1">
        <w:r w:rsidR="00BE1959" w:rsidRPr="00BE1959">
          <w:rPr>
            <w:rFonts w:ascii="Times New Roman" w:hAnsi="Times New Roman" w:cs="Times New Roman"/>
            <w:sz w:val="18"/>
            <w:szCs w:val="18"/>
            <w:lang w:val="uk-UA"/>
          </w:rPr>
          <w:t>(45)</w:t>
        </w:r>
      </w:hyperlink>
      <w:r w:rsidR="00BE1959" w:rsidRPr="00BE1959">
        <w:rPr>
          <w:rFonts w:ascii="Times New Roman" w:hAnsi="Times New Roman" w:cs="Times New Roman"/>
          <w:sz w:val="18"/>
          <w:szCs w:val="18"/>
          <w:lang w:val="uk-UA"/>
        </w:rPr>
        <w:t>  Директива 2013/34/EU Європейського Парламенту та Ради від 26 червня 2013 року про річну фінансову звітність, консолідовану фінансову звітність та пов’язану звітність певних типів підприємств, що вносить зміни до Директиви 2006/43/EC Європейського Парламенту та Ради та скасовує Директиви Ради 78/660/EEC та 83/349/EEC (</w:t>
      </w:r>
      <w:hyperlink r:id="rId140" w:history="1">
        <w:r w:rsidR="00BE1959" w:rsidRPr="00BE1959">
          <w:rPr>
            <w:rFonts w:ascii="Times New Roman" w:hAnsi="Times New Roman" w:cs="Times New Roman"/>
            <w:sz w:val="18"/>
            <w:szCs w:val="18"/>
            <w:lang w:val="uk-UA"/>
          </w:rPr>
          <w:t>ОВ L 182, 29.6.2013, стоp. 19</w:t>
        </w:r>
      </w:hyperlink>
      <w:r w:rsidR="00BE1959" w:rsidRPr="00BE1959">
        <w:rPr>
          <w:rFonts w:ascii="Times New Roman" w:hAnsi="Times New Roman" w:cs="Times New Roman"/>
          <w:sz w:val="18"/>
          <w:szCs w:val="18"/>
          <w:lang w:val="uk-UA"/>
        </w:rPr>
        <w:t>).</w:t>
      </w:r>
    </w:p>
    <w:p w:rsidR="00BE1959" w:rsidRPr="00BE1959" w:rsidRDefault="0043174D" w:rsidP="00BE1959">
      <w:pPr>
        <w:spacing w:after="0" w:line="240" w:lineRule="auto"/>
        <w:jc w:val="both"/>
        <w:rPr>
          <w:rFonts w:ascii="Times New Roman" w:hAnsi="Times New Roman" w:cs="Times New Roman"/>
          <w:sz w:val="18"/>
          <w:szCs w:val="18"/>
          <w:lang w:val="uk-UA"/>
        </w:rPr>
      </w:pPr>
      <w:hyperlink r:id="rId141" w:anchor="ntc46-L_2014173EN.01034901-E0046" w:history="1">
        <w:r w:rsidR="00BE1959" w:rsidRPr="00BE1959">
          <w:rPr>
            <w:rFonts w:ascii="Times New Roman" w:hAnsi="Times New Roman" w:cs="Times New Roman"/>
            <w:sz w:val="18"/>
            <w:szCs w:val="18"/>
            <w:lang w:val="uk-UA"/>
          </w:rPr>
          <w:t>(46)</w:t>
        </w:r>
      </w:hyperlink>
      <w:r w:rsidR="00BE1959" w:rsidRPr="00BE1959">
        <w:rPr>
          <w:rFonts w:ascii="Times New Roman" w:hAnsi="Times New Roman" w:cs="Times New Roman"/>
          <w:sz w:val="18"/>
          <w:szCs w:val="18"/>
          <w:lang w:val="uk-UA"/>
        </w:rPr>
        <w:t>  Директива 2014/49/EU Європейського Парламенту та Ради від 16 квітня 2014 року про схеми гарантування депозитів (див. сторінку 149 цього Офіційного Вісника).</w:t>
      </w:r>
    </w:p>
    <w:p w:rsidR="00BE1959" w:rsidRPr="00BE1959" w:rsidRDefault="0043174D" w:rsidP="00BE1959">
      <w:pPr>
        <w:spacing w:after="0" w:line="240" w:lineRule="auto"/>
        <w:jc w:val="both"/>
        <w:rPr>
          <w:rFonts w:ascii="Times New Roman" w:hAnsi="Times New Roman" w:cs="Times New Roman"/>
          <w:color w:val="444444"/>
          <w:sz w:val="18"/>
          <w:szCs w:val="18"/>
          <w:shd w:val="clear" w:color="auto" w:fill="FFFFFF"/>
          <w:lang w:val="uk-UA"/>
        </w:rPr>
      </w:pPr>
      <w:hyperlink r:id="rId142" w:anchor="ntc47-L_2014173EN.01034901-E0047" w:history="1">
        <w:r w:rsidR="00BE1959" w:rsidRPr="00BE1959">
          <w:rPr>
            <w:rFonts w:ascii="Times New Roman" w:hAnsi="Times New Roman" w:cs="Times New Roman"/>
            <w:sz w:val="18"/>
            <w:szCs w:val="18"/>
            <w:lang w:val="uk-UA"/>
          </w:rPr>
          <w:t>(47)</w:t>
        </w:r>
      </w:hyperlink>
      <w:r w:rsidR="00BE1959" w:rsidRPr="00BE1959">
        <w:rPr>
          <w:rFonts w:ascii="Times New Roman" w:hAnsi="Times New Roman" w:cs="Times New Roman"/>
          <w:sz w:val="18"/>
          <w:szCs w:val="18"/>
          <w:lang w:val="uk-UA"/>
        </w:rPr>
        <w:t>  Регламент (EU) № 1308/2013 Європейського Парламенту та Ради від 17 грудня 2013 року щодо створення спільної організації ринків сільськогосподарської продукції в та скасовує Положення Регламенту Ради</w:t>
      </w:r>
      <w:r w:rsidR="00BE1959" w:rsidRPr="00BE1959">
        <w:rPr>
          <w:rFonts w:ascii="Times New Roman" w:hAnsi="Times New Roman" w:cs="Times New Roman"/>
          <w:color w:val="444444"/>
          <w:sz w:val="18"/>
          <w:szCs w:val="18"/>
          <w:shd w:val="clear" w:color="auto" w:fill="FFFFFF"/>
          <w:lang w:val="uk-UA"/>
        </w:rPr>
        <w:t xml:space="preserve"> (EEC) № 922/72, (EEC) № 234/79, (EC) № 1037/2001 та (EC) № 1234/2007 (</w:t>
      </w:r>
      <w:hyperlink r:id="rId143" w:history="1">
        <w:r w:rsidR="00BE1959" w:rsidRPr="00BE1959">
          <w:rPr>
            <w:rStyle w:val="Hyperlink"/>
            <w:rFonts w:ascii="Times New Roman" w:hAnsi="Times New Roman" w:cs="Times New Roman"/>
            <w:color w:val="800080"/>
            <w:sz w:val="18"/>
            <w:szCs w:val="18"/>
            <w:bdr w:val="none" w:sz="0" w:space="0" w:color="auto" w:frame="1"/>
            <w:shd w:val="clear" w:color="auto" w:fill="FFFFFF"/>
            <w:lang w:val="uk-UA"/>
          </w:rPr>
          <w:t>OВ L 347, 20.12.2013, стоp. 671</w:t>
        </w:r>
      </w:hyperlink>
      <w:r w:rsidR="00BE1959" w:rsidRPr="00BE1959">
        <w:rPr>
          <w:rFonts w:ascii="Times New Roman" w:hAnsi="Times New Roman" w:cs="Times New Roman"/>
          <w:color w:val="444444"/>
          <w:sz w:val="18"/>
          <w:szCs w:val="18"/>
          <w:shd w:val="clear" w:color="auto" w:fill="FFFFFF"/>
          <w:lang w:val="uk-UA"/>
        </w:rPr>
        <w:t>).</w:t>
      </w:r>
    </w:p>
    <w:p w:rsidR="00BE1959" w:rsidRPr="00BE1959" w:rsidRDefault="0043174D" w:rsidP="00BE1959">
      <w:pPr>
        <w:spacing w:after="0" w:line="240" w:lineRule="auto"/>
        <w:jc w:val="both"/>
        <w:rPr>
          <w:rFonts w:ascii="Times New Roman" w:hAnsi="Times New Roman" w:cs="Times New Roman"/>
          <w:sz w:val="18"/>
          <w:szCs w:val="18"/>
          <w:lang w:val="uk-UA"/>
        </w:rPr>
      </w:pPr>
      <w:hyperlink r:id="rId144" w:anchor="ntc48-L_2014173EN.01034901-E0048" w:history="1">
        <w:r w:rsidR="00BE1959" w:rsidRPr="00BE1959">
          <w:rPr>
            <w:rFonts w:ascii="Times New Roman" w:hAnsi="Times New Roman" w:cs="Times New Roman"/>
            <w:sz w:val="18"/>
            <w:szCs w:val="18"/>
            <w:lang w:val="uk-UA"/>
          </w:rPr>
          <w:t>(48)</w:t>
        </w:r>
      </w:hyperlink>
      <w:r w:rsidR="00BE1959" w:rsidRPr="00BE1959">
        <w:rPr>
          <w:rFonts w:ascii="Times New Roman" w:hAnsi="Times New Roman" w:cs="Times New Roman"/>
          <w:sz w:val="18"/>
          <w:szCs w:val="18"/>
          <w:lang w:val="uk-UA"/>
        </w:rPr>
        <w:t>  Директива 2014/17/EU Європейського Парламенту та Ради від 4 лютого 2014 року  про кредитні угоди для споживачів стосовно житлової нерухомості та внесення змін до Директив 2008/48/EC та 2013/36/EU та Регламенту (EU) № 1093/2010 (</w:t>
      </w:r>
      <w:hyperlink r:id="rId145" w:history="1">
        <w:r w:rsidR="00BE1959" w:rsidRPr="00BE1959">
          <w:rPr>
            <w:rFonts w:ascii="Times New Roman" w:hAnsi="Times New Roman" w:cs="Times New Roman"/>
            <w:sz w:val="18"/>
            <w:szCs w:val="18"/>
            <w:lang w:val="uk-UA"/>
          </w:rPr>
          <w:t>ОВ L 60, 28.2.2014, стоp. 34</w:t>
        </w:r>
      </w:hyperlink>
      <w:r w:rsidR="00BE1959" w:rsidRPr="00BE1959">
        <w:rPr>
          <w:rFonts w:ascii="Times New Roman" w:hAnsi="Times New Roman" w:cs="Times New Roman"/>
          <w:sz w:val="18"/>
          <w:szCs w:val="18"/>
          <w:lang w:val="uk-UA"/>
        </w:rPr>
        <w:t>).</w:t>
      </w:r>
    </w:p>
    <w:p w:rsidR="00BE1959" w:rsidRPr="00BE1959" w:rsidRDefault="0043174D" w:rsidP="00BE1959">
      <w:pPr>
        <w:pStyle w:val="HTMLPreformatted"/>
        <w:shd w:val="clear" w:color="auto" w:fill="FFFFFF"/>
        <w:jc w:val="both"/>
        <w:textAlignment w:val="baseline"/>
        <w:rPr>
          <w:rFonts w:ascii="Times New Roman" w:hAnsi="Times New Roman" w:cs="Times New Roman"/>
          <w:sz w:val="18"/>
          <w:szCs w:val="18"/>
          <w:lang w:val="uk-UA"/>
        </w:rPr>
      </w:pPr>
      <w:hyperlink r:id="rId146" w:anchor="ntc49-L_2014173EN.01034901-E0049" w:history="1">
        <w:r w:rsidR="00BE1959" w:rsidRPr="00BE1959">
          <w:rPr>
            <w:rFonts w:ascii="Times New Roman" w:hAnsi="Times New Roman" w:cs="Times New Roman"/>
            <w:sz w:val="18"/>
            <w:szCs w:val="18"/>
            <w:lang w:val="uk-UA"/>
          </w:rPr>
          <w:t>(49)</w:t>
        </w:r>
      </w:hyperlink>
      <w:r w:rsidR="00BE1959" w:rsidRPr="00BE1959">
        <w:rPr>
          <w:rFonts w:ascii="Times New Roman" w:hAnsi="Times New Roman" w:cs="Times New Roman"/>
          <w:sz w:val="18"/>
          <w:szCs w:val="18"/>
          <w:lang w:val="uk-UA"/>
        </w:rPr>
        <w:t xml:space="preserve">  Директива 2006/43/EC Європейського Парламенту та Ради від 17 травня 2006 року </w:t>
      </w:r>
      <w:r w:rsidR="00BE1959" w:rsidRPr="00BE1959">
        <w:rPr>
          <w:rFonts w:ascii="Times New Roman" w:hAnsi="Times New Roman" w:cs="Times New Roman"/>
          <w:bCs/>
          <w:color w:val="000000"/>
          <w:sz w:val="18"/>
          <w:szCs w:val="18"/>
          <w:bdr w:val="none" w:sz="0" w:space="0" w:color="auto" w:frame="1"/>
          <w:lang w:val="uk-UA"/>
        </w:rPr>
        <w:t>про обов'язковий аудит річної звітності та консолідованої звітності, що вносить зміни до</w:t>
      </w:r>
      <w:r w:rsidR="00BE1959" w:rsidRPr="00BE1959">
        <w:rPr>
          <w:rFonts w:ascii="Times New Roman" w:hAnsi="Times New Roman" w:cs="Times New Roman"/>
          <w:color w:val="000000"/>
          <w:sz w:val="18"/>
          <w:szCs w:val="18"/>
          <w:lang w:val="uk-UA"/>
        </w:rPr>
        <w:t xml:space="preserve"> Директив Ради</w:t>
      </w:r>
      <w:r w:rsidR="00BE1959" w:rsidRPr="00BE1959">
        <w:rPr>
          <w:rFonts w:ascii="Times New Roman" w:hAnsi="Times New Roman" w:cs="Times New Roman"/>
          <w:sz w:val="18"/>
          <w:szCs w:val="18"/>
          <w:lang w:val="uk-UA"/>
        </w:rPr>
        <w:t xml:space="preserve"> 78/660/EEC та 83/349/EEC та скасовує Директиву Ради 84/253/EEC (</w:t>
      </w:r>
      <w:hyperlink r:id="rId147" w:history="1">
        <w:r w:rsidR="00BE1959" w:rsidRPr="00BE1959">
          <w:rPr>
            <w:rFonts w:ascii="Times New Roman" w:hAnsi="Times New Roman" w:cs="Times New Roman"/>
            <w:sz w:val="18"/>
            <w:szCs w:val="18"/>
            <w:lang w:val="uk-UA"/>
          </w:rPr>
          <w:t>ОВ L 157, 9.6.2006, стоp. 87</w:t>
        </w:r>
      </w:hyperlink>
      <w:r w:rsidR="00BE1959" w:rsidRPr="00BE1959">
        <w:rPr>
          <w:rFonts w:ascii="Times New Roman" w:hAnsi="Times New Roman" w:cs="Times New Roman"/>
          <w:sz w:val="18"/>
          <w:szCs w:val="18"/>
          <w:lang w:val="uk-UA"/>
        </w:rPr>
        <w:t>).</w:t>
      </w:r>
    </w:p>
    <w:p w:rsidR="00BE1959" w:rsidRPr="00BE1959" w:rsidRDefault="0043174D" w:rsidP="00BE1959">
      <w:pPr>
        <w:spacing w:after="0" w:line="240" w:lineRule="auto"/>
        <w:jc w:val="both"/>
        <w:rPr>
          <w:rFonts w:ascii="Times New Roman" w:hAnsi="Times New Roman" w:cs="Times New Roman"/>
          <w:sz w:val="18"/>
          <w:szCs w:val="18"/>
          <w:lang w:val="uk-UA"/>
        </w:rPr>
      </w:pPr>
      <w:hyperlink r:id="rId148" w:anchor="ntc50-L_2014173EN.01034901-E0050" w:history="1">
        <w:r w:rsidR="00BE1959" w:rsidRPr="00BE1959">
          <w:rPr>
            <w:rFonts w:ascii="Times New Roman" w:hAnsi="Times New Roman" w:cs="Times New Roman"/>
            <w:sz w:val="18"/>
            <w:szCs w:val="18"/>
            <w:lang w:val="uk-UA"/>
          </w:rPr>
          <w:t>(50)</w:t>
        </w:r>
      </w:hyperlink>
      <w:r w:rsidR="00BE1959" w:rsidRPr="00BE1959">
        <w:rPr>
          <w:rFonts w:ascii="Times New Roman" w:hAnsi="Times New Roman" w:cs="Times New Roman"/>
          <w:sz w:val="18"/>
          <w:szCs w:val="18"/>
          <w:lang w:val="uk-UA"/>
        </w:rPr>
        <w:t xml:space="preserve">  Регламент (EU, </w:t>
      </w:r>
      <w:r w:rsidR="00BE1959" w:rsidRPr="00BE1959">
        <w:rPr>
          <w:rStyle w:val="rvts82"/>
          <w:rFonts w:ascii="Times New Roman" w:hAnsi="Times New Roman" w:cs="Times New Roman"/>
          <w:color w:val="000000"/>
          <w:sz w:val="18"/>
          <w:szCs w:val="18"/>
          <w:bdr w:val="none" w:sz="0" w:space="0" w:color="auto" w:frame="1"/>
          <w:shd w:val="clear" w:color="auto" w:fill="FFFFFF"/>
          <w:lang w:val="uk-UA"/>
        </w:rPr>
        <w:t>Євратом</w:t>
      </w:r>
      <w:r w:rsidR="00BE1959" w:rsidRPr="00BE1959">
        <w:rPr>
          <w:rFonts w:ascii="Times New Roman" w:hAnsi="Times New Roman" w:cs="Times New Roman"/>
          <w:sz w:val="18"/>
          <w:szCs w:val="18"/>
          <w:lang w:val="uk-UA"/>
        </w:rPr>
        <w:t xml:space="preserve">) № 966/2012 Європейського Парламенту та Ради </w:t>
      </w:r>
      <w:r w:rsidR="00BE1959" w:rsidRPr="00BE1959">
        <w:rPr>
          <w:rStyle w:val="rvts82"/>
          <w:rFonts w:ascii="Times New Roman" w:hAnsi="Times New Roman" w:cs="Times New Roman"/>
          <w:color w:val="000000"/>
          <w:sz w:val="18"/>
          <w:szCs w:val="18"/>
          <w:bdr w:val="none" w:sz="0" w:space="0" w:color="auto" w:frame="1"/>
          <w:shd w:val="clear" w:color="auto" w:fill="FFFFFF"/>
          <w:lang w:val="uk-UA"/>
        </w:rPr>
        <w:t xml:space="preserve">від 25 жовтня 2012 року про фінансові правила, що застосовуються до загального бюджету Союзу </w:t>
      </w:r>
      <w:r w:rsidR="00BE1959" w:rsidRPr="00BE1959">
        <w:rPr>
          <w:rFonts w:ascii="Times New Roman" w:hAnsi="Times New Roman" w:cs="Times New Roman"/>
          <w:sz w:val="18"/>
          <w:szCs w:val="18"/>
          <w:lang w:val="uk-UA"/>
        </w:rPr>
        <w:t xml:space="preserve">та скасовує Регламент Ради (EC, </w:t>
      </w:r>
      <w:r w:rsidR="00BE1959" w:rsidRPr="00BE1959">
        <w:rPr>
          <w:rStyle w:val="rvts82"/>
          <w:rFonts w:ascii="Times New Roman" w:hAnsi="Times New Roman" w:cs="Times New Roman"/>
          <w:color w:val="000000"/>
          <w:sz w:val="18"/>
          <w:szCs w:val="18"/>
          <w:bdr w:val="none" w:sz="0" w:space="0" w:color="auto" w:frame="1"/>
          <w:shd w:val="clear" w:color="auto" w:fill="FFFFFF"/>
          <w:lang w:val="uk-UA"/>
        </w:rPr>
        <w:t>Євратом</w:t>
      </w:r>
      <w:r w:rsidR="00BE1959" w:rsidRPr="00BE1959">
        <w:rPr>
          <w:rFonts w:ascii="Times New Roman" w:hAnsi="Times New Roman" w:cs="Times New Roman"/>
          <w:sz w:val="18"/>
          <w:szCs w:val="18"/>
          <w:lang w:val="uk-UA"/>
        </w:rPr>
        <w:t>) № 1605/2002 (</w:t>
      </w:r>
      <w:hyperlink r:id="rId149" w:history="1">
        <w:r w:rsidR="00BE1959" w:rsidRPr="00BE1959">
          <w:rPr>
            <w:rFonts w:ascii="Times New Roman" w:hAnsi="Times New Roman" w:cs="Times New Roman"/>
            <w:sz w:val="18"/>
            <w:szCs w:val="18"/>
            <w:lang w:val="uk-UA"/>
          </w:rPr>
          <w:t>ОВ L 298, 26.10.2012, стоp. 1</w:t>
        </w:r>
      </w:hyperlink>
      <w:r w:rsidR="00BE1959" w:rsidRPr="00BE1959">
        <w:rPr>
          <w:rFonts w:ascii="Times New Roman" w:hAnsi="Times New Roman" w:cs="Times New Roman"/>
          <w:sz w:val="18"/>
          <w:szCs w:val="18"/>
          <w:lang w:val="uk-UA"/>
        </w:rPr>
        <w:t>).</w:t>
      </w:r>
    </w:p>
    <w:p w:rsidR="00BE1959" w:rsidRPr="00BE1959" w:rsidRDefault="0043174D" w:rsidP="00BE1959">
      <w:pPr>
        <w:spacing w:after="0" w:line="240" w:lineRule="auto"/>
        <w:rPr>
          <w:lang w:val="uk-UA"/>
        </w:rPr>
      </w:pPr>
      <w:r>
        <w:rPr>
          <w:lang w:val="uk-UA"/>
        </w:rPr>
        <w:pict>
          <v:rect id="_x0000_i1026" style="width:46.8pt;height:.75pt" o:hrpct="100" o:hralign="center" o:hrstd="t" o:hrnoshade="t" o:hr="t" fillcolor="black" stroked="f"/>
        </w:pict>
      </w:r>
    </w:p>
    <w:p w:rsidR="00BE1959" w:rsidRPr="00BE1959" w:rsidRDefault="00BE1959" w:rsidP="00BE1959">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ДОДАТОК  I</w:t>
      </w:r>
    </w:p>
    <w:p w:rsidR="00BE1959" w:rsidRPr="00BE1959" w:rsidRDefault="00BE1959" w:rsidP="00BE1959">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ПЕРЕЛІК ПОСЛУГ ТА ВИДІВ ДІЯЛЬНОСТІ ТА ФІНАНСОВИХ ІНСТРУМЕНТІВ</w:t>
      </w:r>
    </w:p>
    <w:p w:rsidR="00BE1959" w:rsidRPr="00BE1959" w:rsidRDefault="00BE1959" w:rsidP="00BE1959">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РОЗДІЛ A</w:t>
      </w:r>
    </w:p>
    <w:p w:rsidR="00BE1959" w:rsidRPr="00BE1959" w:rsidRDefault="00BE1959" w:rsidP="00BE1959">
      <w:pPr>
        <w:spacing w:after="0" w:line="240" w:lineRule="auto"/>
        <w:jc w:val="both"/>
        <w:rPr>
          <w:rFonts w:ascii="Times New Roman" w:hAnsi="Times New Roman" w:cs="Times New Roman"/>
          <w:sz w:val="24"/>
          <w:szCs w:val="24"/>
          <w:lang w:val="uk-UA"/>
        </w:rPr>
      </w:pPr>
      <w:r w:rsidRPr="00BE1959">
        <w:rPr>
          <w:rFonts w:ascii="Times New Roman" w:hAnsi="Times New Roman" w:cs="Times New Roman"/>
          <w:sz w:val="24"/>
          <w:szCs w:val="24"/>
          <w:lang w:val="uk-UA"/>
        </w:rPr>
        <w:t>Інвестиційні послуги та види діяльності</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BE1959" w:rsidRPr="0043174D" w:rsidTr="0088280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E1959" w:rsidRPr="00BE1959" w:rsidRDefault="00BE1959" w:rsidP="00BE1959">
            <w:pPr>
              <w:spacing w:after="0" w:line="240" w:lineRule="auto"/>
              <w:jc w:val="both"/>
              <w:rPr>
                <w:rFonts w:ascii="Times New Roman" w:hAnsi="Times New Roman" w:cs="Times New Roman"/>
                <w:sz w:val="24"/>
                <w:szCs w:val="24"/>
                <w:lang w:val="uk-UA"/>
              </w:rPr>
            </w:pPr>
            <w:r w:rsidRPr="00BE1959">
              <w:rPr>
                <w:rFonts w:ascii="Times New Roman" w:hAnsi="Times New Roman" w:cs="Times New Roman"/>
                <w:sz w:val="24"/>
                <w:szCs w:val="24"/>
                <w:lang w:val="uk-UA"/>
              </w:rPr>
              <w:t>(1)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E1959" w:rsidRPr="00BE1959" w:rsidRDefault="00BE1959" w:rsidP="00BE1959">
            <w:pPr>
              <w:spacing w:after="0" w:line="240" w:lineRule="auto"/>
              <w:jc w:val="both"/>
              <w:rPr>
                <w:rFonts w:ascii="Times New Roman" w:hAnsi="Times New Roman" w:cs="Times New Roman"/>
                <w:sz w:val="24"/>
                <w:szCs w:val="24"/>
                <w:lang w:val="uk-UA"/>
              </w:rPr>
            </w:pPr>
            <w:r w:rsidRPr="00BE1959">
              <w:rPr>
                <w:rFonts w:ascii="Times New Roman" w:hAnsi="Times New Roman" w:cs="Times New Roman"/>
                <w:sz w:val="24"/>
                <w:szCs w:val="24"/>
                <w:lang w:val="uk-UA"/>
              </w:rPr>
              <w:t>Прийняття та передача замовлень стосовно одного або більше фінансових інструментів;</w:t>
            </w:r>
          </w:p>
        </w:tc>
      </w:tr>
    </w:tbl>
    <w:p w:rsidR="00BE1959" w:rsidRPr="00BE1959" w:rsidRDefault="00BE1959" w:rsidP="00BE1959">
      <w:pPr>
        <w:spacing w:after="0" w:line="240" w:lineRule="auto"/>
        <w:jc w:val="both"/>
        <w:rPr>
          <w:rFonts w:ascii="Times New Roman" w:hAnsi="Times New Roman" w:cs="Times New Roman"/>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789"/>
        <w:gridCol w:w="8676"/>
      </w:tblGrid>
      <w:tr w:rsidR="00BE1959" w:rsidRPr="0043174D" w:rsidTr="0088280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E1959" w:rsidRPr="00BE1959" w:rsidRDefault="00BE1959" w:rsidP="00BE1959">
            <w:pPr>
              <w:spacing w:after="0" w:line="240" w:lineRule="auto"/>
              <w:jc w:val="both"/>
              <w:rPr>
                <w:rFonts w:ascii="Times New Roman" w:hAnsi="Times New Roman" w:cs="Times New Roman"/>
                <w:sz w:val="24"/>
                <w:szCs w:val="24"/>
                <w:lang w:val="uk-UA"/>
              </w:rPr>
            </w:pPr>
            <w:r w:rsidRPr="00BE1959">
              <w:rPr>
                <w:rFonts w:ascii="Times New Roman" w:hAnsi="Times New Roman" w:cs="Times New Roman"/>
                <w:sz w:val="24"/>
                <w:szCs w:val="24"/>
                <w:lang w:val="uk-UA"/>
              </w:rPr>
              <w:t>(2)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E1959" w:rsidRPr="00BE1959" w:rsidRDefault="00BE1959" w:rsidP="00BE1959">
            <w:pPr>
              <w:spacing w:after="0" w:line="240" w:lineRule="auto"/>
              <w:jc w:val="both"/>
              <w:rPr>
                <w:rFonts w:ascii="Times New Roman" w:hAnsi="Times New Roman" w:cs="Times New Roman"/>
                <w:sz w:val="24"/>
                <w:szCs w:val="24"/>
                <w:lang w:val="uk-UA"/>
              </w:rPr>
            </w:pPr>
            <w:r w:rsidRPr="00BE1959">
              <w:rPr>
                <w:rFonts w:ascii="Times New Roman" w:hAnsi="Times New Roman" w:cs="Times New Roman"/>
                <w:sz w:val="24"/>
                <w:szCs w:val="24"/>
                <w:lang w:val="uk-UA"/>
              </w:rPr>
              <w:t>Виконання замовлень від імені клієнтів;</w:t>
            </w:r>
          </w:p>
        </w:tc>
      </w:tr>
    </w:tbl>
    <w:p w:rsidR="00BE1959" w:rsidRPr="00BE1959" w:rsidRDefault="00BE1959" w:rsidP="00BE1959">
      <w:pPr>
        <w:spacing w:after="0" w:line="240" w:lineRule="auto"/>
        <w:jc w:val="both"/>
        <w:rPr>
          <w:rFonts w:ascii="Times New Roman" w:hAnsi="Times New Roman" w:cs="Times New Roman"/>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48"/>
        <w:gridCol w:w="8617"/>
      </w:tblGrid>
      <w:tr w:rsidR="00BE1959" w:rsidRPr="0043174D" w:rsidTr="0088280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E1959" w:rsidRPr="00BE1959" w:rsidRDefault="00BE1959" w:rsidP="00BE1959">
            <w:pPr>
              <w:spacing w:after="0" w:line="240" w:lineRule="auto"/>
              <w:jc w:val="both"/>
              <w:rPr>
                <w:rFonts w:ascii="Times New Roman" w:hAnsi="Times New Roman" w:cs="Times New Roman"/>
                <w:sz w:val="24"/>
                <w:szCs w:val="24"/>
                <w:lang w:val="uk-UA"/>
              </w:rPr>
            </w:pPr>
            <w:r w:rsidRPr="00BE1959">
              <w:rPr>
                <w:rFonts w:ascii="Times New Roman" w:hAnsi="Times New Roman" w:cs="Times New Roman"/>
                <w:sz w:val="24"/>
                <w:szCs w:val="24"/>
                <w:lang w:val="uk-UA"/>
              </w:rPr>
              <w:t>(3)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E1959" w:rsidRPr="00BE1959" w:rsidRDefault="00BE1959" w:rsidP="00BE1959">
            <w:pPr>
              <w:spacing w:after="0" w:line="240" w:lineRule="auto"/>
              <w:jc w:val="both"/>
              <w:rPr>
                <w:rFonts w:ascii="Times New Roman" w:hAnsi="Times New Roman" w:cs="Times New Roman"/>
                <w:sz w:val="24"/>
                <w:szCs w:val="24"/>
                <w:lang w:val="uk-UA"/>
              </w:rPr>
            </w:pPr>
            <w:r w:rsidRPr="00BE1959">
              <w:rPr>
                <w:rFonts w:ascii="Times New Roman" w:eastAsia="Times New Roman" w:hAnsi="Times New Roman" w:cs="Times New Roman"/>
                <w:sz w:val="24"/>
                <w:szCs w:val="24"/>
                <w:lang w:val="uk-UA"/>
              </w:rPr>
              <w:t>Здійснення операцій за свій рахунок</w:t>
            </w:r>
            <w:r w:rsidRPr="00BE1959">
              <w:rPr>
                <w:rFonts w:ascii="Times New Roman" w:hAnsi="Times New Roman" w:cs="Times New Roman"/>
                <w:sz w:val="24"/>
                <w:szCs w:val="24"/>
                <w:lang w:val="uk-UA"/>
              </w:rPr>
              <w:t>;</w:t>
            </w:r>
          </w:p>
        </w:tc>
      </w:tr>
    </w:tbl>
    <w:p w:rsidR="00BE1959" w:rsidRPr="00BE1959" w:rsidRDefault="00BE1959" w:rsidP="00BE1959">
      <w:pPr>
        <w:spacing w:after="0" w:line="240" w:lineRule="auto"/>
        <w:jc w:val="both"/>
        <w:rPr>
          <w:rFonts w:ascii="Times New Roman" w:hAnsi="Times New Roman" w:cs="Times New Roman"/>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93"/>
        <w:gridCol w:w="8272"/>
      </w:tblGrid>
      <w:tr w:rsidR="00BE1959" w:rsidRPr="00BE1959" w:rsidTr="0088280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E1959" w:rsidRPr="00BE1959" w:rsidRDefault="00BE1959" w:rsidP="00BE1959">
            <w:pPr>
              <w:spacing w:after="0" w:line="240" w:lineRule="auto"/>
              <w:jc w:val="both"/>
              <w:rPr>
                <w:rFonts w:ascii="Times New Roman" w:hAnsi="Times New Roman" w:cs="Times New Roman"/>
                <w:sz w:val="24"/>
                <w:szCs w:val="24"/>
                <w:lang w:val="uk-UA"/>
              </w:rPr>
            </w:pPr>
            <w:r w:rsidRPr="00BE1959">
              <w:rPr>
                <w:rFonts w:ascii="Times New Roman" w:hAnsi="Times New Roman" w:cs="Times New Roman"/>
                <w:sz w:val="24"/>
                <w:szCs w:val="24"/>
                <w:lang w:val="uk-UA"/>
              </w:rPr>
              <w:t>(4)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E1959" w:rsidRPr="00BE1959" w:rsidRDefault="00BE1959" w:rsidP="00BE1959">
            <w:pPr>
              <w:spacing w:after="0" w:line="240" w:lineRule="auto"/>
              <w:jc w:val="both"/>
              <w:rPr>
                <w:rFonts w:ascii="Times New Roman" w:hAnsi="Times New Roman" w:cs="Times New Roman"/>
                <w:sz w:val="24"/>
                <w:szCs w:val="24"/>
                <w:lang w:val="uk-UA"/>
              </w:rPr>
            </w:pPr>
            <w:r w:rsidRPr="00BE1959">
              <w:rPr>
                <w:rFonts w:ascii="Times New Roman" w:eastAsia="Times New Roman" w:hAnsi="Times New Roman" w:cs="Times New Roman"/>
                <w:sz w:val="24"/>
                <w:szCs w:val="24"/>
                <w:lang w:val="uk-UA"/>
              </w:rPr>
              <w:t>Управління портфелями</w:t>
            </w:r>
            <w:r w:rsidRPr="00BE1959">
              <w:rPr>
                <w:rFonts w:ascii="Times New Roman" w:hAnsi="Times New Roman" w:cs="Times New Roman"/>
                <w:sz w:val="24"/>
                <w:szCs w:val="24"/>
                <w:lang w:val="uk-UA"/>
              </w:rPr>
              <w:t>;</w:t>
            </w:r>
          </w:p>
        </w:tc>
      </w:tr>
    </w:tbl>
    <w:p w:rsidR="00BE1959" w:rsidRPr="00BE1959" w:rsidRDefault="00BE1959" w:rsidP="00BE1959">
      <w:pPr>
        <w:spacing w:after="0" w:line="240" w:lineRule="auto"/>
        <w:jc w:val="both"/>
        <w:rPr>
          <w:rFonts w:ascii="Times New Roman" w:hAnsi="Times New Roman" w:cs="Times New Roman"/>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386"/>
        <w:gridCol w:w="8079"/>
      </w:tblGrid>
      <w:tr w:rsidR="00BE1959" w:rsidRPr="00BE1959" w:rsidTr="0088280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E1959" w:rsidRPr="00BE1959" w:rsidRDefault="00BE1959" w:rsidP="00BE1959">
            <w:pPr>
              <w:spacing w:after="0" w:line="240" w:lineRule="auto"/>
              <w:jc w:val="both"/>
              <w:rPr>
                <w:rFonts w:ascii="Times New Roman" w:hAnsi="Times New Roman" w:cs="Times New Roman"/>
                <w:sz w:val="24"/>
                <w:szCs w:val="24"/>
                <w:lang w:val="uk-UA"/>
              </w:rPr>
            </w:pPr>
            <w:r w:rsidRPr="00BE1959">
              <w:rPr>
                <w:rFonts w:ascii="Times New Roman" w:hAnsi="Times New Roman" w:cs="Times New Roman"/>
                <w:sz w:val="24"/>
                <w:szCs w:val="24"/>
                <w:lang w:val="uk-UA"/>
              </w:rPr>
              <w:t>(5)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E1959" w:rsidRPr="00BE1959" w:rsidRDefault="00BE1959" w:rsidP="00BE1959">
            <w:pPr>
              <w:spacing w:after="0" w:line="240" w:lineRule="auto"/>
              <w:jc w:val="both"/>
              <w:rPr>
                <w:rFonts w:ascii="Times New Roman" w:hAnsi="Times New Roman" w:cs="Times New Roman"/>
                <w:sz w:val="24"/>
                <w:szCs w:val="24"/>
                <w:lang w:val="uk-UA"/>
              </w:rPr>
            </w:pPr>
            <w:r w:rsidRPr="00BE1959">
              <w:rPr>
                <w:rFonts w:ascii="Times New Roman" w:eastAsia="Times New Roman" w:hAnsi="Times New Roman" w:cs="Times New Roman"/>
                <w:sz w:val="24"/>
                <w:szCs w:val="24"/>
                <w:lang w:val="uk-UA"/>
              </w:rPr>
              <w:t>Інвестиційні поради</w:t>
            </w:r>
            <w:r w:rsidRPr="00BE1959">
              <w:rPr>
                <w:rFonts w:ascii="Times New Roman" w:hAnsi="Times New Roman" w:cs="Times New Roman"/>
                <w:sz w:val="24"/>
                <w:szCs w:val="24"/>
                <w:lang w:val="uk-UA"/>
              </w:rPr>
              <w:t>;</w:t>
            </w:r>
          </w:p>
        </w:tc>
      </w:tr>
    </w:tbl>
    <w:p w:rsidR="00BE1959" w:rsidRPr="00BE1959" w:rsidRDefault="00BE1959" w:rsidP="00BE1959">
      <w:pPr>
        <w:spacing w:after="0" w:line="240" w:lineRule="auto"/>
        <w:jc w:val="both"/>
        <w:rPr>
          <w:rFonts w:ascii="Times New Roman" w:hAnsi="Times New Roman" w:cs="Times New Roman"/>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BE1959" w:rsidRPr="0043174D" w:rsidTr="0088280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E1959" w:rsidRPr="00BE1959" w:rsidRDefault="00BE1959" w:rsidP="00BE1959">
            <w:pPr>
              <w:spacing w:after="0" w:line="240" w:lineRule="auto"/>
              <w:jc w:val="both"/>
              <w:rPr>
                <w:rFonts w:ascii="Times New Roman" w:hAnsi="Times New Roman" w:cs="Times New Roman"/>
                <w:sz w:val="24"/>
                <w:szCs w:val="24"/>
                <w:lang w:val="uk-UA"/>
              </w:rPr>
            </w:pPr>
            <w:r w:rsidRPr="00BE1959">
              <w:rPr>
                <w:rFonts w:ascii="Times New Roman" w:hAnsi="Times New Roman" w:cs="Times New Roman"/>
                <w:sz w:val="24"/>
                <w:szCs w:val="24"/>
                <w:lang w:val="uk-UA"/>
              </w:rPr>
              <w:t>(6)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E1959" w:rsidRPr="00BE1959" w:rsidRDefault="00BE1959" w:rsidP="00BE1959">
            <w:pPr>
              <w:spacing w:after="0" w:line="240" w:lineRule="auto"/>
              <w:jc w:val="both"/>
              <w:rPr>
                <w:rFonts w:ascii="Times New Roman" w:hAnsi="Times New Roman" w:cs="Times New Roman"/>
                <w:sz w:val="24"/>
                <w:szCs w:val="24"/>
                <w:lang w:val="uk-UA"/>
              </w:rPr>
            </w:pPr>
            <w:r w:rsidRPr="00BE1959">
              <w:rPr>
                <w:rFonts w:ascii="Times New Roman" w:eastAsia="Times New Roman" w:hAnsi="Times New Roman" w:cs="Times New Roman"/>
                <w:sz w:val="24"/>
                <w:szCs w:val="24"/>
                <w:lang w:val="uk-UA"/>
              </w:rPr>
              <w:t>Передплата на фінансові інструменти і (або) розміщення фінансових інструментів на основі твердого зобов’язання;</w:t>
            </w:r>
          </w:p>
        </w:tc>
      </w:tr>
    </w:tbl>
    <w:p w:rsidR="00BE1959" w:rsidRPr="00BE1959" w:rsidRDefault="00BE1959" w:rsidP="00BE1959">
      <w:pPr>
        <w:spacing w:after="0" w:line="240" w:lineRule="auto"/>
        <w:jc w:val="both"/>
        <w:rPr>
          <w:rFonts w:ascii="Times New Roman" w:hAnsi="Times New Roman" w:cs="Times New Roman"/>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52"/>
        <w:gridCol w:w="9013"/>
      </w:tblGrid>
      <w:tr w:rsidR="00BE1959" w:rsidRPr="0043174D" w:rsidTr="0088280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E1959" w:rsidRPr="00BE1959" w:rsidRDefault="00BE1959" w:rsidP="00BE1959">
            <w:pPr>
              <w:spacing w:after="0" w:line="240" w:lineRule="auto"/>
              <w:jc w:val="both"/>
              <w:rPr>
                <w:rFonts w:ascii="Times New Roman" w:hAnsi="Times New Roman" w:cs="Times New Roman"/>
                <w:sz w:val="24"/>
                <w:szCs w:val="24"/>
                <w:lang w:val="uk-UA"/>
              </w:rPr>
            </w:pPr>
            <w:r w:rsidRPr="00BE1959">
              <w:rPr>
                <w:rFonts w:ascii="Times New Roman" w:hAnsi="Times New Roman" w:cs="Times New Roman"/>
                <w:sz w:val="24"/>
                <w:szCs w:val="24"/>
                <w:lang w:val="uk-UA"/>
              </w:rPr>
              <w:t>(7)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E1959" w:rsidRPr="00BE1959" w:rsidRDefault="00BE1959" w:rsidP="00BE1959">
            <w:pPr>
              <w:spacing w:after="0" w:line="240" w:lineRule="auto"/>
              <w:jc w:val="both"/>
              <w:rPr>
                <w:rFonts w:ascii="Times New Roman" w:hAnsi="Times New Roman" w:cs="Times New Roman"/>
                <w:sz w:val="24"/>
                <w:szCs w:val="24"/>
                <w:lang w:val="uk-UA"/>
              </w:rPr>
            </w:pPr>
            <w:r w:rsidRPr="00BE1959">
              <w:rPr>
                <w:rFonts w:ascii="Times New Roman" w:eastAsia="Times New Roman" w:hAnsi="Times New Roman" w:cs="Times New Roman"/>
                <w:sz w:val="24"/>
                <w:szCs w:val="24"/>
                <w:lang w:val="uk-UA"/>
              </w:rPr>
              <w:t>Розміщення фінансових інструментів не на основі твердого зобов’язання;</w:t>
            </w:r>
          </w:p>
        </w:tc>
      </w:tr>
    </w:tbl>
    <w:p w:rsidR="00BE1959" w:rsidRPr="00BE1959" w:rsidRDefault="00BE1959" w:rsidP="00BE1959">
      <w:pPr>
        <w:spacing w:after="0" w:line="240" w:lineRule="auto"/>
        <w:jc w:val="both"/>
        <w:rPr>
          <w:rFonts w:ascii="Times New Roman" w:hAnsi="Times New Roman" w:cs="Times New Roman"/>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580"/>
        <w:gridCol w:w="7885"/>
      </w:tblGrid>
      <w:tr w:rsidR="00BE1959" w:rsidRPr="00BE1959" w:rsidTr="0088280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E1959" w:rsidRPr="00BE1959" w:rsidRDefault="00BE1959" w:rsidP="00BE1959">
            <w:pPr>
              <w:spacing w:after="0" w:line="240" w:lineRule="auto"/>
              <w:jc w:val="both"/>
              <w:rPr>
                <w:rFonts w:ascii="Times New Roman" w:hAnsi="Times New Roman" w:cs="Times New Roman"/>
                <w:sz w:val="24"/>
                <w:szCs w:val="24"/>
                <w:lang w:val="uk-UA"/>
              </w:rPr>
            </w:pPr>
            <w:r w:rsidRPr="00BE1959">
              <w:rPr>
                <w:rFonts w:ascii="Times New Roman" w:hAnsi="Times New Roman" w:cs="Times New Roman"/>
                <w:sz w:val="24"/>
                <w:szCs w:val="24"/>
                <w:lang w:val="uk-UA"/>
              </w:rPr>
              <w:t>(8)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E1959" w:rsidRPr="00BE1959" w:rsidRDefault="00BE1959" w:rsidP="00BE1959">
            <w:pPr>
              <w:spacing w:after="0" w:line="240" w:lineRule="auto"/>
              <w:jc w:val="both"/>
              <w:rPr>
                <w:rFonts w:ascii="Times New Roman" w:hAnsi="Times New Roman" w:cs="Times New Roman"/>
                <w:sz w:val="24"/>
                <w:szCs w:val="24"/>
                <w:lang w:val="uk-UA"/>
              </w:rPr>
            </w:pPr>
            <w:r w:rsidRPr="00BE1959">
              <w:rPr>
                <w:rFonts w:ascii="Times New Roman" w:hAnsi="Times New Roman" w:cs="Times New Roman"/>
                <w:sz w:val="24"/>
                <w:szCs w:val="24"/>
                <w:lang w:val="uk-UA"/>
              </w:rPr>
              <w:t>Управління БТМ;</w:t>
            </w:r>
          </w:p>
        </w:tc>
      </w:tr>
    </w:tbl>
    <w:p w:rsidR="00BE1959" w:rsidRPr="00BE1959" w:rsidRDefault="00BE1959" w:rsidP="00BE1959">
      <w:pPr>
        <w:spacing w:after="0" w:line="240" w:lineRule="auto"/>
        <w:jc w:val="both"/>
        <w:rPr>
          <w:rFonts w:ascii="Times New Roman" w:hAnsi="Times New Roman" w:cs="Times New Roman"/>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560"/>
        <w:gridCol w:w="7905"/>
      </w:tblGrid>
      <w:tr w:rsidR="00BE1959" w:rsidRPr="00BE1959" w:rsidTr="0088280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E1959" w:rsidRPr="00BE1959" w:rsidRDefault="00BE1959" w:rsidP="00BE1959">
            <w:pPr>
              <w:spacing w:after="0" w:line="240" w:lineRule="auto"/>
              <w:jc w:val="both"/>
              <w:rPr>
                <w:rFonts w:ascii="Times New Roman" w:hAnsi="Times New Roman" w:cs="Times New Roman"/>
                <w:sz w:val="24"/>
                <w:szCs w:val="24"/>
                <w:lang w:val="uk-UA"/>
              </w:rPr>
            </w:pPr>
            <w:r w:rsidRPr="00BE1959">
              <w:rPr>
                <w:rFonts w:ascii="Times New Roman" w:hAnsi="Times New Roman" w:cs="Times New Roman"/>
                <w:sz w:val="24"/>
                <w:szCs w:val="24"/>
                <w:lang w:val="uk-UA"/>
              </w:rPr>
              <w:t>(9)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E1959" w:rsidRPr="00BE1959" w:rsidRDefault="00BE1959" w:rsidP="00BE1959">
            <w:pPr>
              <w:spacing w:after="0" w:line="240" w:lineRule="auto"/>
              <w:jc w:val="both"/>
              <w:rPr>
                <w:rFonts w:ascii="Times New Roman" w:hAnsi="Times New Roman" w:cs="Times New Roman"/>
                <w:sz w:val="24"/>
                <w:szCs w:val="24"/>
                <w:lang w:val="uk-UA"/>
              </w:rPr>
            </w:pPr>
            <w:r w:rsidRPr="00BE1959">
              <w:rPr>
                <w:rFonts w:ascii="Times New Roman" w:hAnsi="Times New Roman" w:cs="Times New Roman"/>
                <w:sz w:val="24"/>
                <w:szCs w:val="24"/>
                <w:lang w:val="uk-UA"/>
              </w:rPr>
              <w:t>Управління OTМ.</w:t>
            </w:r>
          </w:p>
        </w:tc>
      </w:tr>
    </w:tbl>
    <w:p w:rsidR="00BE1959" w:rsidRPr="00BE1959" w:rsidRDefault="00BE1959" w:rsidP="00BE1959">
      <w:pPr>
        <w:spacing w:after="0" w:line="240" w:lineRule="auto"/>
        <w:jc w:val="both"/>
        <w:rPr>
          <w:rFonts w:ascii="Times New Roman" w:hAnsi="Times New Roman" w:cs="Times New Roman"/>
          <w:sz w:val="24"/>
          <w:szCs w:val="24"/>
          <w:lang w:val="uk-UA"/>
        </w:rPr>
      </w:pPr>
      <w:r w:rsidRPr="00BE1959">
        <w:rPr>
          <w:rFonts w:ascii="Times New Roman" w:hAnsi="Times New Roman" w:cs="Times New Roman"/>
          <w:sz w:val="24"/>
          <w:szCs w:val="24"/>
          <w:lang w:val="uk-UA"/>
        </w:rPr>
        <w:t>РОЗДІЛ B</w:t>
      </w:r>
    </w:p>
    <w:p w:rsidR="00BE1959" w:rsidRPr="00BE1959" w:rsidRDefault="00BE1959" w:rsidP="00BE1959">
      <w:pPr>
        <w:spacing w:after="0" w:line="240" w:lineRule="auto"/>
        <w:jc w:val="both"/>
        <w:rPr>
          <w:rFonts w:ascii="Times New Roman" w:hAnsi="Times New Roman" w:cs="Times New Roman"/>
          <w:sz w:val="24"/>
          <w:szCs w:val="24"/>
          <w:lang w:val="uk-UA"/>
        </w:rPr>
      </w:pPr>
      <w:r w:rsidRPr="00BE1959">
        <w:rPr>
          <w:rFonts w:ascii="Times New Roman" w:hAnsi="Times New Roman" w:cs="Times New Roman"/>
          <w:sz w:val="24"/>
          <w:szCs w:val="24"/>
          <w:lang w:val="uk-UA"/>
        </w:rPr>
        <w:t>Допоміжні послуги</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BE1959" w:rsidRPr="0043174D" w:rsidTr="0088280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E1959" w:rsidRPr="00BE1959" w:rsidRDefault="00BE1959" w:rsidP="00BE1959">
            <w:pPr>
              <w:spacing w:after="0" w:line="240" w:lineRule="auto"/>
              <w:jc w:val="both"/>
              <w:rPr>
                <w:rFonts w:ascii="Times New Roman" w:hAnsi="Times New Roman" w:cs="Times New Roman"/>
                <w:sz w:val="24"/>
                <w:szCs w:val="24"/>
                <w:lang w:val="uk-UA"/>
              </w:rPr>
            </w:pPr>
            <w:r w:rsidRPr="00BE1959">
              <w:rPr>
                <w:rFonts w:ascii="Times New Roman" w:hAnsi="Times New Roman" w:cs="Times New Roman"/>
                <w:sz w:val="24"/>
                <w:szCs w:val="24"/>
                <w:lang w:val="uk-UA"/>
              </w:rPr>
              <w:t>(1)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E1959" w:rsidRPr="00BE1959" w:rsidRDefault="00BE1959" w:rsidP="00BE1959">
            <w:pPr>
              <w:spacing w:after="0" w:line="240" w:lineRule="auto"/>
              <w:jc w:val="both"/>
              <w:rPr>
                <w:rFonts w:ascii="Times New Roman" w:hAnsi="Times New Roman" w:cs="Times New Roman"/>
                <w:sz w:val="24"/>
                <w:szCs w:val="24"/>
                <w:lang w:val="uk-UA"/>
              </w:rPr>
            </w:pPr>
            <w:r w:rsidRPr="00BE1959">
              <w:rPr>
                <w:rStyle w:val="hps"/>
                <w:rFonts w:ascii="Times New Roman" w:hAnsi="Times New Roman" w:cs="Times New Roman"/>
                <w:color w:val="222222"/>
                <w:sz w:val="24"/>
                <w:szCs w:val="24"/>
                <w:lang w:val="uk-UA"/>
              </w:rPr>
              <w:t>Зберігання</w:t>
            </w:r>
            <w:r w:rsidRPr="00BE1959">
              <w:rPr>
                <w:rFonts w:ascii="Times New Roman" w:hAnsi="Times New Roman" w:cs="Times New Roman"/>
                <w:color w:val="222222"/>
                <w:sz w:val="24"/>
                <w:szCs w:val="24"/>
                <w:lang w:val="uk-UA"/>
              </w:rPr>
              <w:t xml:space="preserve"> </w:t>
            </w:r>
            <w:r w:rsidRPr="00BE1959">
              <w:rPr>
                <w:rStyle w:val="hps"/>
                <w:rFonts w:ascii="Times New Roman" w:hAnsi="Times New Roman" w:cs="Times New Roman"/>
                <w:color w:val="222222"/>
                <w:sz w:val="24"/>
                <w:szCs w:val="24"/>
                <w:lang w:val="uk-UA"/>
              </w:rPr>
              <w:t>та</w:t>
            </w:r>
            <w:r w:rsidRPr="00BE1959">
              <w:rPr>
                <w:rFonts w:ascii="Times New Roman" w:hAnsi="Times New Roman" w:cs="Times New Roman"/>
                <w:color w:val="222222"/>
                <w:sz w:val="24"/>
                <w:szCs w:val="24"/>
                <w:lang w:val="uk-UA"/>
              </w:rPr>
              <w:t xml:space="preserve"> </w:t>
            </w:r>
            <w:r w:rsidRPr="00BE1959">
              <w:rPr>
                <w:rStyle w:val="hps"/>
                <w:rFonts w:ascii="Times New Roman" w:hAnsi="Times New Roman" w:cs="Times New Roman"/>
                <w:color w:val="222222"/>
                <w:sz w:val="24"/>
                <w:szCs w:val="24"/>
                <w:lang w:val="uk-UA"/>
              </w:rPr>
              <w:t>управління фінансовими</w:t>
            </w:r>
            <w:r w:rsidRPr="00BE1959">
              <w:rPr>
                <w:rFonts w:ascii="Times New Roman" w:hAnsi="Times New Roman" w:cs="Times New Roman"/>
                <w:color w:val="222222"/>
                <w:sz w:val="24"/>
                <w:szCs w:val="24"/>
                <w:lang w:val="uk-UA"/>
              </w:rPr>
              <w:t xml:space="preserve"> </w:t>
            </w:r>
            <w:r w:rsidRPr="00BE1959">
              <w:rPr>
                <w:rStyle w:val="hps"/>
                <w:rFonts w:ascii="Times New Roman" w:hAnsi="Times New Roman" w:cs="Times New Roman"/>
                <w:color w:val="222222"/>
                <w:sz w:val="24"/>
                <w:szCs w:val="24"/>
                <w:lang w:val="uk-UA"/>
              </w:rPr>
              <w:t>інструментами</w:t>
            </w:r>
            <w:r w:rsidRPr="00BE1959">
              <w:rPr>
                <w:rFonts w:ascii="Times New Roman" w:hAnsi="Times New Roman" w:cs="Times New Roman"/>
                <w:color w:val="222222"/>
                <w:sz w:val="24"/>
                <w:szCs w:val="24"/>
                <w:lang w:val="uk-UA"/>
              </w:rPr>
              <w:t xml:space="preserve"> </w:t>
            </w:r>
            <w:r w:rsidRPr="00BE1959">
              <w:rPr>
                <w:rStyle w:val="hps"/>
                <w:rFonts w:ascii="Times New Roman" w:hAnsi="Times New Roman" w:cs="Times New Roman"/>
                <w:color w:val="222222"/>
                <w:sz w:val="24"/>
                <w:szCs w:val="24"/>
                <w:lang w:val="uk-UA"/>
              </w:rPr>
              <w:t>для обліку</w:t>
            </w:r>
            <w:r w:rsidRPr="00BE1959">
              <w:rPr>
                <w:rFonts w:ascii="Times New Roman" w:hAnsi="Times New Roman" w:cs="Times New Roman"/>
                <w:color w:val="222222"/>
                <w:sz w:val="24"/>
                <w:szCs w:val="24"/>
                <w:lang w:val="uk-UA"/>
              </w:rPr>
              <w:t xml:space="preserve"> </w:t>
            </w:r>
            <w:r w:rsidRPr="00BE1959">
              <w:rPr>
                <w:rStyle w:val="hps"/>
                <w:rFonts w:ascii="Times New Roman" w:hAnsi="Times New Roman" w:cs="Times New Roman"/>
                <w:color w:val="222222"/>
                <w:sz w:val="24"/>
                <w:szCs w:val="24"/>
                <w:lang w:val="uk-UA"/>
              </w:rPr>
              <w:t>клієнтів, включаючи послуги зі зберігання цінностей, а</w:t>
            </w:r>
            <w:r w:rsidRPr="00BE1959">
              <w:rPr>
                <w:rFonts w:ascii="Times New Roman" w:hAnsi="Times New Roman" w:cs="Times New Roman"/>
                <w:color w:val="222222"/>
                <w:sz w:val="24"/>
                <w:szCs w:val="24"/>
                <w:lang w:val="uk-UA"/>
              </w:rPr>
              <w:t xml:space="preserve"> також споріднені </w:t>
            </w:r>
            <w:r w:rsidRPr="00BE1959">
              <w:rPr>
                <w:rStyle w:val="hps"/>
                <w:rFonts w:ascii="Times New Roman" w:hAnsi="Times New Roman" w:cs="Times New Roman"/>
                <w:color w:val="222222"/>
                <w:sz w:val="24"/>
                <w:szCs w:val="24"/>
                <w:lang w:val="uk-UA"/>
              </w:rPr>
              <w:t>послуги</w:t>
            </w:r>
            <w:r w:rsidRPr="00BE1959">
              <w:rPr>
                <w:rFonts w:ascii="Times New Roman" w:hAnsi="Times New Roman" w:cs="Times New Roman"/>
                <w:color w:val="222222"/>
                <w:sz w:val="24"/>
                <w:szCs w:val="24"/>
                <w:lang w:val="uk-UA"/>
              </w:rPr>
              <w:t xml:space="preserve">, </w:t>
            </w:r>
            <w:r w:rsidRPr="00BE1959">
              <w:rPr>
                <w:rStyle w:val="hps"/>
                <w:rFonts w:ascii="Times New Roman" w:hAnsi="Times New Roman" w:cs="Times New Roman"/>
                <w:color w:val="222222"/>
                <w:sz w:val="24"/>
                <w:szCs w:val="24"/>
                <w:lang w:val="uk-UA"/>
              </w:rPr>
              <w:t>такі</w:t>
            </w:r>
            <w:r w:rsidRPr="00BE1959">
              <w:rPr>
                <w:rFonts w:ascii="Times New Roman" w:hAnsi="Times New Roman" w:cs="Times New Roman"/>
                <w:color w:val="222222"/>
                <w:sz w:val="24"/>
                <w:szCs w:val="24"/>
                <w:lang w:val="uk-UA"/>
              </w:rPr>
              <w:t xml:space="preserve"> </w:t>
            </w:r>
            <w:r w:rsidRPr="00BE1959">
              <w:rPr>
                <w:rStyle w:val="hps"/>
                <w:rFonts w:ascii="Times New Roman" w:hAnsi="Times New Roman" w:cs="Times New Roman"/>
                <w:color w:val="222222"/>
                <w:sz w:val="24"/>
                <w:szCs w:val="24"/>
                <w:lang w:val="uk-UA"/>
              </w:rPr>
              <w:t>як управління готівкою</w:t>
            </w:r>
            <w:r w:rsidRPr="00BE1959">
              <w:rPr>
                <w:rFonts w:ascii="Times New Roman" w:hAnsi="Times New Roman" w:cs="Times New Roman"/>
                <w:color w:val="222222"/>
                <w:sz w:val="24"/>
                <w:szCs w:val="24"/>
                <w:lang w:val="uk-UA"/>
              </w:rPr>
              <w:t xml:space="preserve"> </w:t>
            </w:r>
            <w:r w:rsidRPr="00BE1959">
              <w:rPr>
                <w:rStyle w:val="hps"/>
                <w:rFonts w:ascii="Times New Roman" w:hAnsi="Times New Roman" w:cs="Times New Roman"/>
                <w:color w:val="222222"/>
                <w:sz w:val="24"/>
                <w:szCs w:val="24"/>
                <w:lang w:val="uk-UA"/>
              </w:rPr>
              <w:t>/ забезпеченням</w:t>
            </w:r>
            <w:r w:rsidRPr="00BE1959">
              <w:rPr>
                <w:rFonts w:ascii="Times New Roman" w:hAnsi="Times New Roman" w:cs="Times New Roman"/>
                <w:color w:val="222222"/>
                <w:sz w:val="24"/>
                <w:szCs w:val="24"/>
                <w:lang w:val="uk-UA"/>
              </w:rPr>
              <w:t xml:space="preserve"> </w:t>
            </w:r>
            <w:r w:rsidRPr="00BE1959">
              <w:rPr>
                <w:rStyle w:val="hps"/>
                <w:rFonts w:ascii="Times New Roman" w:hAnsi="Times New Roman" w:cs="Times New Roman"/>
                <w:color w:val="222222"/>
                <w:sz w:val="24"/>
                <w:szCs w:val="24"/>
                <w:lang w:val="uk-UA"/>
              </w:rPr>
              <w:t>та</w:t>
            </w:r>
            <w:r w:rsidRPr="00BE1959">
              <w:rPr>
                <w:rFonts w:ascii="Times New Roman" w:hAnsi="Times New Roman" w:cs="Times New Roman"/>
                <w:color w:val="222222"/>
                <w:sz w:val="24"/>
                <w:szCs w:val="24"/>
                <w:lang w:val="uk-UA"/>
              </w:rPr>
              <w:t xml:space="preserve"> </w:t>
            </w:r>
            <w:r w:rsidRPr="00BE1959">
              <w:rPr>
                <w:rStyle w:val="hps"/>
                <w:rFonts w:ascii="Times New Roman" w:hAnsi="Times New Roman" w:cs="Times New Roman"/>
                <w:color w:val="222222"/>
                <w:sz w:val="24"/>
                <w:szCs w:val="24"/>
                <w:lang w:val="uk-UA"/>
              </w:rPr>
              <w:t>виключаючи послуги з</w:t>
            </w:r>
            <w:r w:rsidRPr="00BE1959">
              <w:rPr>
                <w:rFonts w:ascii="Times New Roman" w:hAnsi="Times New Roman" w:cs="Times New Roman"/>
                <w:color w:val="222222"/>
                <w:sz w:val="24"/>
                <w:szCs w:val="24"/>
                <w:lang w:val="uk-UA"/>
              </w:rPr>
              <w:t xml:space="preserve"> </w:t>
            </w:r>
            <w:r w:rsidRPr="00BE1959">
              <w:rPr>
                <w:rStyle w:val="hps"/>
                <w:rFonts w:ascii="Times New Roman" w:hAnsi="Times New Roman" w:cs="Times New Roman"/>
                <w:color w:val="222222"/>
                <w:sz w:val="24"/>
                <w:szCs w:val="24"/>
                <w:lang w:val="uk-UA"/>
              </w:rPr>
              <w:t>ведення</w:t>
            </w:r>
            <w:r w:rsidRPr="00BE1959">
              <w:rPr>
                <w:rFonts w:ascii="Times New Roman" w:hAnsi="Times New Roman" w:cs="Times New Roman"/>
                <w:color w:val="222222"/>
                <w:sz w:val="24"/>
                <w:szCs w:val="24"/>
                <w:lang w:val="uk-UA"/>
              </w:rPr>
              <w:t xml:space="preserve"> </w:t>
            </w:r>
            <w:r w:rsidRPr="00BE1959">
              <w:rPr>
                <w:rStyle w:val="hps"/>
                <w:rFonts w:ascii="Times New Roman" w:hAnsi="Times New Roman" w:cs="Times New Roman"/>
                <w:color w:val="222222"/>
                <w:sz w:val="24"/>
                <w:szCs w:val="24"/>
                <w:lang w:val="uk-UA"/>
              </w:rPr>
              <w:t>рахунків у цінних паперах</w:t>
            </w:r>
            <w:r w:rsidRPr="00BE1959">
              <w:rPr>
                <w:rFonts w:ascii="Times New Roman" w:hAnsi="Times New Roman" w:cs="Times New Roman"/>
                <w:color w:val="222222"/>
                <w:sz w:val="24"/>
                <w:szCs w:val="24"/>
                <w:lang w:val="uk-UA"/>
              </w:rPr>
              <w:t xml:space="preserve"> </w:t>
            </w:r>
            <w:r w:rsidRPr="00BE1959">
              <w:rPr>
                <w:rStyle w:val="hps"/>
                <w:rFonts w:ascii="Times New Roman" w:hAnsi="Times New Roman" w:cs="Times New Roman"/>
                <w:color w:val="222222"/>
                <w:sz w:val="24"/>
                <w:szCs w:val="24"/>
                <w:lang w:val="uk-UA"/>
              </w:rPr>
              <w:t>на</w:t>
            </w:r>
            <w:r w:rsidRPr="00BE1959">
              <w:rPr>
                <w:rFonts w:ascii="Times New Roman" w:hAnsi="Times New Roman" w:cs="Times New Roman"/>
                <w:color w:val="222222"/>
                <w:sz w:val="24"/>
                <w:szCs w:val="24"/>
                <w:lang w:val="uk-UA"/>
              </w:rPr>
              <w:t xml:space="preserve"> </w:t>
            </w:r>
            <w:r w:rsidRPr="00BE1959">
              <w:rPr>
                <w:rStyle w:val="hps"/>
                <w:rFonts w:ascii="Times New Roman" w:hAnsi="Times New Roman" w:cs="Times New Roman"/>
                <w:color w:val="222222"/>
                <w:sz w:val="24"/>
                <w:szCs w:val="24"/>
                <w:lang w:val="uk-UA"/>
              </w:rPr>
              <w:t>вищому рівні;</w:t>
            </w:r>
          </w:p>
        </w:tc>
      </w:tr>
      <w:tr w:rsidR="00BE1959" w:rsidRPr="0043174D" w:rsidTr="0088280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E1959" w:rsidRPr="00BE1959" w:rsidRDefault="00BE1959" w:rsidP="00BE1959">
            <w:pPr>
              <w:spacing w:after="0" w:line="240" w:lineRule="auto"/>
              <w:jc w:val="both"/>
              <w:rPr>
                <w:rFonts w:ascii="Times New Roman" w:hAnsi="Times New Roman" w:cs="Times New Roman"/>
                <w:sz w:val="24"/>
                <w:szCs w:val="24"/>
                <w:lang w:val="uk-UA"/>
              </w:rPr>
            </w:pPr>
            <w:r w:rsidRPr="00BE1959">
              <w:rPr>
                <w:rFonts w:ascii="Times New Roman" w:hAnsi="Times New Roman" w:cs="Times New Roman"/>
                <w:sz w:val="24"/>
                <w:szCs w:val="24"/>
                <w:lang w:val="uk-UA"/>
              </w:rPr>
              <w:t>(2)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E1959" w:rsidRPr="00BE1959" w:rsidRDefault="00BE1959" w:rsidP="00BE1959">
            <w:pPr>
              <w:spacing w:after="0" w:line="240" w:lineRule="auto"/>
              <w:jc w:val="both"/>
              <w:rPr>
                <w:rFonts w:ascii="Times New Roman" w:hAnsi="Times New Roman" w:cs="Times New Roman"/>
                <w:sz w:val="24"/>
                <w:szCs w:val="24"/>
                <w:lang w:val="uk-UA"/>
              </w:rPr>
            </w:pPr>
            <w:r w:rsidRPr="00BE1959">
              <w:rPr>
                <w:rStyle w:val="hps"/>
                <w:rFonts w:ascii="Times New Roman" w:hAnsi="Times New Roman" w:cs="Times New Roman"/>
                <w:color w:val="222222"/>
                <w:sz w:val="24"/>
                <w:szCs w:val="24"/>
                <w:lang w:val="uk-UA"/>
              </w:rPr>
              <w:t>Надання</w:t>
            </w:r>
            <w:r w:rsidRPr="00BE1959">
              <w:rPr>
                <w:rFonts w:ascii="Times New Roman" w:hAnsi="Times New Roman" w:cs="Times New Roman"/>
                <w:color w:val="222222"/>
                <w:sz w:val="24"/>
                <w:szCs w:val="24"/>
                <w:lang w:val="uk-UA"/>
              </w:rPr>
              <w:t xml:space="preserve"> </w:t>
            </w:r>
            <w:r w:rsidRPr="00BE1959">
              <w:rPr>
                <w:rStyle w:val="hps"/>
                <w:rFonts w:ascii="Times New Roman" w:hAnsi="Times New Roman" w:cs="Times New Roman"/>
                <w:color w:val="222222"/>
                <w:sz w:val="24"/>
                <w:szCs w:val="24"/>
                <w:lang w:val="uk-UA"/>
              </w:rPr>
              <w:t>кредитів або позик</w:t>
            </w:r>
            <w:r w:rsidRPr="00BE1959">
              <w:rPr>
                <w:rFonts w:ascii="Times New Roman" w:hAnsi="Times New Roman" w:cs="Times New Roman"/>
                <w:color w:val="222222"/>
                <w:sz w:val="24"/>
                <w:szCs w:val="24"/>
                <w:lang w:val="uk-UA"/>
              </w:rPr>
              <w:t xml:space="preserve"> </w:t>
            </w:r>
            <w:r w:rsidRPr="00BE1959">
              <w:rPr>
                <w:rStyle w:val="hps"/>
                <w:rFonts w:ascii="Times New Roman" w:hAnsi="Times New Roman" w:cs="Times New Roman"/>
                <w:color w:val="222222"/>
                <w:sz w:val="24"/>
                <w:szCs w:val="24"/>
                <w:lang w:val="uk-UA"/>
              </w:rPr>
              <w:t>інвестору</w:t>
            </w:r>
            <w:r w:rsidRPr="00BE1959">
              <w:rPr>
                <w:rFonts w:ascii="Times New Roman" w:hAnsi="Times New Roman" w:cs="Times New Roman"/>
                <w:color w:val="222222"/>
                <w:sz w:val="24"/>
                <w:szCs w:val="24"/>
                <w:lang w:val="uk-UA"/>
              </w:rPr>
              <w:t xml:space="preserve">, </w:t>
            </w:r>
            <w:r w:rsidRPr="00BE1959">
              <w:rPr>
                <w:rStyle w:val="hps"/>
                <w:rFonts w:ascii="Times New Roman" w:hAnsi="Times New Roman" w:cs="Times New Roman"/>
                <w:color w:val="222222"/>
                <w:sz w:val="24"/>
                <w:szCs w:val="24"/>
                <w:lang w:val="uk-UA"/>
              </w:rPr>
              <w:t>щоб дозволити йому</w:t>
            </w:r>
            <w:r w:rsidRPr="00BE1959">
              <w:rPr>
                <w:rFonts w:ascii="Times New Roman" w:hAnsi="Times New Roman" w:cs="Times New Roman"/>
                <w:color w:val="222222"/>
                <w:sz w:val="24"/>
                <w:szCs w:val="24"/>
                <w:lang w:val="uk-UA"/>
              </w:rPr>
              <w:t xml:space="preserve"> </w:t>
            </w:r>
            <w:r w:rsidRPr="00BE1959">
              <w:rPr>
                <w:rStyle w:val="hps"/>
                <w:rFonts w:ascii="Times New Roman" w:hAnsi="Times New Roman" w:cs="Times New Roman"/>
                <w:color w:val="222222"/>
                <w:sz w:val="24"/>
                <w:szCs w:val="24"/>
                <w:lang w:val="uk-UA"/>
              </w:rPr>
              <w:t>здійснити транзакцію з одним або декількома</w:t>
            </w:r>
            <w:r w:rsidRPr="00BE1959">
              <w:rPr>
                <w:rFonts w:ascii="Times New Roman" w:hAnsi="Times New Roman" w:cs="Times New Roman"/>
                <w:color w:val="222222"/>
                <w:sz w:val="24"/>
                <w:szCs w:val="24"/>
                <w:lang w:val="uk-UA"/>
              </w:rPr>
              <w:t xml:space="preserve"> </w:t>
            </w:r>
            <w:r w:rsidRPr="00BE1959">
              <w:rPr>
                <w:rStyle w:val="hps"/>
                <w:rFonts w:ascii="Times New Roman" w:hAnsi="Times New Roman" w:cs="Times New Roman"/>
                <w:color w:val="222222"/>
                <w:sz w:val="24"/>
                <w:szCs w:val="24"/>
                <w:lang w:val="uk-UA"/>
              </w:rPr>
              <w:t>фінансовими інструментами у випадках</w:t>
            </w:r>
            <w:r w:rsidRPr="00BE1959">
              <w:rPr>
                <w:rFonts w:ascii="Times New Roman" w:hAnsi="Times New Roman" w:cs="Times New Roman"/>
                <w:color w:val="222222"/>
                <w:sz w:val="24"/>
                <w:szCs w:val="24"/>
                <w:lang w:val="uk-UA"/>
              </w:rPr>
              <w:t xml:space="preserve">, в яких у транзакції бере участь фірма, що </w:t>
            </w:r>
            <w:r w:rsidRPr="00BE1959">
              <w:rPr>
                <w:rStyle w:val="hps"/>
                <w:rFonts w:ascii="Times New Roman" w:hAnsi="Times New Roman" w:cs="Times New Roman"/>
                <w:color w:val="222222"/>
                <w:sz w:val="24"/>
                <w:szCs w:val="24"/>
                <w:lang w:val="uk-UA"/>
              </w:rPr>
              <w:t>надає</w:t>
            </w:r>
            <w:r w:rsidRPr="00BE1959">
              <w:rPr>
                <w:rFonts w:ascii="Times New Roman" w:hAnsi="Times New Roman" w:cs="Times New Roman"/>
                <w:color w:val="222222"/>
                <w:sz w:val="24"/>
                <w:szCs w:val="24"/>
                <w:lang w:val="uk-UA"/>
              </w:rPr>
              <w:t xml:space="preserve"> </w:t>
            </w:r>
            <w:r w:rsidRPr="00BE1959">
              <w:rPr>
                <w:rStyle w:val="hps"/>
                <w:rFonts w:ascii="Times New Roman" w:hAnsi="Times New Roman" w:cs="Times New Roman"/>
                <w:color w:val="222222"/>
                <w:sz w:val="24"/>
                <w:szCs w:val="24"/>
                <w:lang w:val="uk-UA"/>
              </w:rPr>
              <w:t>кредит або позики</w:t>
            </w:r>
            <w:r w:rsidRPr="00BE1959">
              <w:rPr>
                <w:rFonts w:ascii="Times New Roman" w:hAnsi="Times New Roman" w:cs="Times New Roman"/>
                <w:color w:val="222222"/>
                <w:sz w:val="24"/>
                <w:szCs w:val="24"/>
                <w:lang w:val="uk-UA"/>
              </w:rPr>
              <w:t>;</w:t>
            </w:r>
          </w:p>
        </w:tc>
      </w:tr>
      <w:tr w:rsidR="00BE1959" w:rsidRPr="0043174D" w:rsidTr="00882802">
        <w:trPr>
          <w:trHeight w:val="378"/>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E1959" w:rsidRPr="00BE1959" w:rsidRDefault="00BE1959" w:rsidP="00BE1959">
            <w:pPr>
              <w:spacing w:after="0" w:line="240" w:lineRule="auto"/>
              <w:jc w:val="both"/>
              <w:rPr>
                <w:rFonts w:ascii="Times New Roman" w:hAnsi="Times New Roman" w:cs="Times New Roman"/>
                <w:sz w:val="24"/>
                <w:szCs w:val="24"/>
                <w:lang w:val="uk-UA"/>
              </w:rPr>
            </w:pPr>
            <w:r w:rsidRPr="00BE1959">
              <w:rPr>
                <w:rFonts w:ascii="Times New Roman" w:hAnsi="Times New Roman" w:cs="Times New Roman"/>
                <w:sz w:val="24"/>
                <w:szCs w:val="24"/>
                <w:lang w:val="uk-UA"/>
              </w:rPr>
              <w:t>(3)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E1959" w:rsidRPr="00BE1959" w:rsidRDefault="00BE1959" w:rsidP="00BE1959">
            <w:pPr>
              <w:spacing w:after="0" w:line="240" w:lineRule="auto"/>
              <w:jc w:val="both"/>
              <w:rPr>
                <w:rFonts w:ascii="Times New Roman" w:hAnsi="Times New Roman" w:cs="Times New Roman"/>
                <w:sz w:val="24"/>
                <w:szCs w:val="24"/>
                <w:lang w:val="uk-UA"/>
              </w:rPr>
            </w:pPr>
            <w:r w:rsidRPr="00BE1959">
              <w:rPr>
                <w:rStyle w:val="hps"/>
                <w:rFonts w:ascii="Times New Roman" w:hAnsi="Times New Roman" w:cs="Times New Roman"/>
                <w:color w:val="222222"/>
                <w:sz w:val="24"/>
                <w:szCs w:val="24"/>
                <w:lang w:val="uk-UA"/>
              </w:rPr>
              <w:t>Консультування підприємств</w:t>
            </w:r>
            <w:r w:rsidRPr="00BE1959">
              <w:rPr>
                <w:rFonts w:ascii="Times New Roman" w:hAnsi="Times New Roman" w:cs="Times New Roman"/>
                <w:color w:val="222222"/>
                <w:sz w:val="24"/>
                <w:szCs w:val="24"/>
                <w:lang w:val="uk-UA"/>
              </w:rPr>
              <w:t xml:space="preserve"> </w:t>
            </w:r>
            <w:r w:rsidRPr="00BE1959">
              <w:rPr>
                <w:rStyle w:val="hps"/>
                <w:rFonts w:ascii="Times New Roman" w:hAnsi="Times New Roman" w:cs="Times New Roman"/>
                <w:color w:val="222222"/>
                <w:sz w:val="24"/>
                <w:szCs w:val="24"/>
                <w:lang w:val="uk-UA"/>
              </w:rPr>
              <w:t>з питань</w:t>
            </w:r>
            <w:r w:rsidRPr="00BE1959">
              <w:rPr>
                <w:rFonts w:ascii="Times New Roman" w:hAnsi="Times New Roman" w:cs="Times New Roman"/>
                <w:color w:val="222222"/>
                <w:sz w:val="24"/>
                <w:szCs w:val="24"/>
                <w:lang w:val="uk-UA"/>
              </w:rPr>
              <w:t xml:space="preserve"> </w:t>
            </w:r>
            <w:r w:rsidRPr="00BE1959">
              <w:rPr>
                <w:rStyle w:val="hps"/>
                <w:rFonts w:ascii="Times New Roman" w:hAnsi="Times New Roman" w:cs="Times New Roman"/>
                <w:color w:val="222222"/>
                <w:sz w:val="24"/>
                <w:szCs w:val="24"/>
                <w:lang w:val="uk-UA"/>
              </w:rPr>
              <w:t>структури капіталу,</w:t>
            </w:r>
            <w:r w:rsidRPr="00BE1959">
              <w:rPr>
                <w:rFonts w:ascii="Times New Roman" w:hAnsi="Times New Roman" w:cs="Times New Roman"/>
                <w:color w:val="222222"/>
                <w:sz w:val="24"/>
                <w:szCs w:val="24"/>
                <w:lang w:val="uk-UA"/>
              </w:rPr>
              <w:t xml:space="preserve"> </w:t>
            </w:r>
            <w:r w:rsidRPr="00BE1959">
              <w:rPr>
                <w:rStyle w:val="hps"/>
                <w:rFonts w:ascii="Times New Roman" w:hAnsi="Times New Roman" w:cs="Times New Roman"/>
                <w:color w:val="222222"/>
                <w:sz w:val="24"/>
                <w:szCs w:val="24"/>
                <w:lang w:val="uk-UA"/>
              </w:rPr>
              <w:t>промислової</w:t>
            </w:r>
            <w:r w:rsidRPr="00BE1959">
              <w:rPr>
                <w:rFonts w:ascii="Times New Roman" w:hAnsi="Times New Roman" w:cs="Times New Roman"/>
                <w:color w:val="222222"/>
                <w:sz w:val="24"/>
                <w:szCs w:val="24"/>
                <w:lang w:val="uk-UA"/>
              </w:rPr>
              <w:t xml:space="preserve"> </w:t>
            </w:r>
            <w:r w:rsidRPr="00BE1959">
              <w:rPr>
                <w:rStyle w:val="hps"/>
                <w:rFonts w:ascii="Times New Roman" w:hAnsi="Times New Roman" w:cs="Times New Roman"/>
                <w:color w:val="222222"/>
                <w:sz w:val="24"/>
                <w:szCs w:val="24"/>
                <w:lang w:val="uk-UA"/>
              </w:rPr>
              <w:t>стратегії</w:t>
            </w:r>
            <w:r w:rsidRPr="00BE1959">
              <w:rPr>
                <w:rFonts w:ascii="Times New Roman" w:hAnsi="Times New Roman" w:cs="Times New Roman"/>
                <w:color w:val="222222"/>
                <w:sz w:val="24"/>
                <w:szCs w:val="24"/>
                <w:lang w:val="uk-UA"/>
              </w:rPr>
              <w:t xml:space="preserve"> т</w:t>
            </w:r>
            <w:r w:rsidRPr="00BE1959">
              <w:rPr>
                <w:rStyle w:val="hps"/>
                <w:rFonts w:ascii="Times New Roman" w:hAnsi="Times New Roman" w:cs="Times New Roman"/>
                <w:color w:val="222222"/>
                <w:sz w:val="24"/>
                <w:szCs w:val="24"/>
                <w:lang w:val="uk-UA"/>
              </w:rPr>
              <w:t>а</w:t>
            </w:r>
            <w:r w:rsidRPr="00BE1959">
              <w:rPr>
                <w:rFonts w:ascii="Times New Roman" w:hAnsi="Times New Roman" w:cs="Times New Roman"/>
                <w:color w:val="222222"/>
                <w:sz w:val="24"/>
                <w:szCs w:val="24"/>
                <w:lang w:val="uk-UA"/>
              </w:rPr>
              <w:t xml:space="preserve"> споріднених </w:t>
            </w:r>
            <w:r w:rsidRPr="00BE1959">
              <w:rPr>
                <w:rStyle w:val="hps"/>
                <w:rFonts w:ascii="Times New Roman" w:hAnsi="Times New Roman" w:cs="Times New Roman"/>
                <w:color w:val="222222"/>
                <w:sz w:val="24"/>
                <w:szCs w:val="24"/>
                <w:lang w:val="uk-UA"/>
              </w:rPr>
              <w:t>питань та</w:t>
            </w:r>
            <w:r w:rsidRPr="00BE1959">
              <w:rPr>
                <w:rFonts w:ascii="Times New Roman" w:hAnsi="Times New Roman" w:cs="Times New Roman"/>
                <w:color w:val="222222"/>
                <w:sz w:val="24"/>
                <w:szCs w:val="24"/>
                <w:lang w:val="uk-UA"/>
              </w:rPr>
              <w:t xml:space="preserve"> </w:t>
            </w:r>
            <w:r w:rsidRPr="00BE1959">
              <w:rPr>
                <w:rStyle w:val="hps"/>
                <w:rFonts w:ascii="Times New Roman" w:hAnsi="Times New Roman" w:cs="Times New Roman"/>
                <w:color w:val="222222"/>
                <w:sz w:val="24"/>
                <w:szCs w:val="24"/>
                <w:lang w:val="uk-UA"/>
              </w:rPr>
              <w:t>консультації</w:t>
            </w:r>
            <w:r w:rsidRPr="00BE1959">
              <w:rPr>
                <w:rFonts w:ascii="Times New Roman" w:hAnsi="Times New Roman" w:cs="Times New Roman"/>
                <w:color w:val="222222"/>
                <w:sz w:val="24"/>
                <w:szCs w:val="24"/>
                <w:lang w:val="uk-UA"/>
              </w:rPr>
              <w:t xml:space="preserve"> </w:t>
            </w:r>
            <w:r w:rsidRPr="00BE1959">
              <w:rPr>
                <w:rStyle w:val="hps"/>
                <w:rFonts w:ascii="Times New Roman" w:hAnsi="Times New Roman" w:cs="Times New Roman"/>
                <w:color w:val="222222"/>
                <w:sz w:val="24"/>
                <w:szCs w:val="24"/>
                <w:lang w:val="uk-UA"/>
              </w:rPr>
              <w:t>та</w:t>
            </w:r>
            <w:r w:rsidRPr="00BE1959">
              <w:rPr>
                <w:rFonts w:ascii="Times New Roman" w:hAnsi="Times New Roman" w:cs="Times New Roman"/>
                <w:color w:val="222222"/>
                <w:sz w:val="24"/>
                <w:szCs w:val="24"/>
                <w:lang w:val="uk-UA"/>
              </w:rPr>
              <w:t xml:space="preserve"> </w:t>
            </w:r>
            <w:r w:rsidRPr="00BE1959">
              <w:rPr>
                <w:rStyle w:val="hps"/>
                <w:rFonts w:ascii="Times New Roman" w:hAnsi="Times New Roman" w:cs="Times New Roman"/>
                <w:color w:val="222222"/>
                <w:sz w:val="24"/>
                <w:szCs w:val="24"/>
                <w:lang w:val="uk-UA"/>
              </w:rPr>
              <w:t>послуги, пов'язані</w:t>
            </w:r>
            <w:r w:rsidRPr="00BE1959">
              <w:rPr>
                <w:rFonts w:ascii="Times New Roman" w:hAnsi="Times New Roman" w:cs="Times New Roman"/>
                <w:color w:val="222222"/>
                <w:sz w:val="24"/>
                <w:szCs w:val="24"/>
                <w:lang w:val="uk-UA"/>
              </w:rPr>
              <w:t xml:space="preserve"> </w:t>
            </w:r>
            <w:r w:rsidRPr="00BE1959">
              <w:rPr>
                <w:rStyle w:val="hps"/>
                <w:rFonts w:ascii="Times New Roman" w:hAnsi="Times New Roman" w:cs="Times New Roman"/>
                <w:color w:val="222222"/>
                <w:sz w:val="24"/>
                <w:szCs w:val="24"/>
                <w:lang w:val="uk-UA"/>
              </w:rPr>
              <w:t>зі злиттями</w:t>
            </w:r>
            <w:r w:rsidRPr="00BE1959">
              <w:rPr>
                <w:rFonts w:ascii="Times New Roman" w:hAnsi="Times New Roman" w:cs="Times New Roman"/>
                <w:color w:val="222222"/>
                <w:sz w:val="24"/>
                <w:szCs w:val="24"/>
                <w:lang w:val="uk-UA"/>
              </w:rPr>
              <w:t xml:space="preserve"> </w:t>
            </w:r>
            <w:r w:rsidRPr="00BE1959">
              <w:rPr>
                <w:rStyle w:val="hps"/>
                <w:rFonts w:ascii="Times New Roman" w:hAnsi="Times New Roman" w:cs="Times New Roman"/>
                <w:color w:val="222222"/>
                <w:sz w:val="24"/>
                <w:szCs w:val="24"/>
                <w:lang w:val="uk-UA"/>
              </w:rPr>
              <w:t>та</w:t>
            </w:r>
            <w:r w:rsidRPr="00BE1959">
              <w:rPr>
                <w:rFonts w:ascii="Times New Roman" w:hAnsi="Times New Roman" w:cs="Times New Roman"/>
                <w:color w:val="222222"/>
                <w:sz w:val="24"/>
                <w:szCs w:val="24"/>
                <w:lang w:val="uk-UA"/>
              </w:rPr>
              <w:t xml:space="preserve"> </w:t>
            </w:r>
            <w:r w:rsidRPr="00BE1959">
              <w:rPr>
                <w:rStyle w:val="hps"/>
                <w:rFonts w:ascii="Times New Roman" w:hAnsi="Times New Roman" w:cs="Times New Roman"/>
                <w:color w:val="222222"/>
                <w:sz w:val="24"/>
                <w:szCs w:val="24"/>
                <w:lang w:val="uk-UA"/>
              </w:rPr>
              <w:t>купівлею підприємств</w:t>
            </w:r>
            <w:r w:rsidRPr="00BE1959">
              <w:rPr>
                <w:rFonts w:ascii="Times New Roman" w:hAnsi="Times New Roman" w:cs="Times New Roman"/>
                <w:color w:val="222222"/>
                <w:sz w:val="24"/>
                <w:szCs w:val="24"/>
                <w:lang w:val="uk-UA"/>
              </w:rPr>
              <w:t>;</w:t>
            </w:r>
          </w:p>
        </w:tc>
      </w:tr>
      <w:tr w:rsidR="00BE1959" w:rsidRPr="0043174D" w:rsidTr="0088280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E1959" w:rsidRPr="00BE1959" w:rsidRDefault="00BE1959" w:rsidP="00BE1959">
            <w:pPr>
              <w:spacing w:after="0" w:line="240" w:lineRule="auto"/>
              <w:jc w:val="both"/>
              <w:rPr>
                <w:rFonts w:ascii="Times New Roman" w:hAnsi="Times New Roman" w:cs="Times New Roman"/>
                <w:sz w:val="24"/>
                <w:szCs w:val="24"/>
                <w:lang w:val="uk-UA"/>
              </w:rPr>
            </w:pPr>
            <w:r w:rsidRPr="00BE1959">
              <w:rPr>
                <w:rFonts w:ascii="Times New Roman" w:hAnsi="Times New Roman" w:cs="Times New Roman"/>
                <w:sz w:val="24"/>
                <w:szCs w:val="24"/>
                <w:lang w:val="uk-UA"/>
              </w:rPr>
              <w:t>(4)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E1959" w:rsidRPr="00BE1959" w:rsidRDefault="00BE1959" w:rsidP="00BE1959">
            <w:pPr>
              <w:spacing w:after="0" w:line="240" w:lineRule="auto"/>
              <w:jc w:val="both"/>
              <w:rPr>
                <w:rFonts w:ascii="Times New Roman" w:hAnsi="Times New Roman" w:cs="Times New Roman"/>
                <w:sz w:val="24"/>
                <w:szCs w:val="24"/>
                <w:lang w:val="uk-UA"/>
              </w:rPr>
            </w:pPr>
            <w:r w:rsidRPr="00BE1959">
              <w:rPr>
                <w:rStyle w:val="hps"/>
                <w:rFonts w:ascii="Times New Roman" w:hAnsi="Times New Roman" w:cs="Times New Roman"/>
                <w:color w:val="222222"/>
                <w:sz w:val="24"/>
                <w:szCs w:val="24"/>
                <w:lang w:val="uk-UA"/>
              </w:rPr>
              <w:t>Послуги</w:t>
            </w:r>
            <w:r w:rsidRPr="00BE1959">
              <w:rPr>
                <w:rFonts w:ascii="Times New Roman" w:hAnsi="Times New Roman" w:cs="Times New Roman"/>
                <w:color w:val="222222"/>
                <w:sz w:val="24"/>
                <w:szCs w:val="24"/>
                <w:lang w:val="uk-UA"/>
              </w:rPr>
              <w:t xml:space="preserve"> </w:t>
            </w:r>
            <w:r w:rsidRPr="00BE1959">
              <w:rPr>
                <w:rStyle w:val="hps"/>
                <w:rFonts w:ascii="Times New Roman" w:hAnsi="Times New Roman" w:cs="Times New Roman"/>
                <w:color w:val="222222"/>
                <w:sz w:val="24"/>
                <w:szCs w:val="24"/>
                <w:lang w:val="uk-UA"/>
              </w:rPr>
              <w:t>з обміну валюти у випадках</w:t>
            </w:r>
            <w:r w:rsidRPr="00BE1959">
              <w:rPr>
                <w:rFonts w:ascii="Times New Roman" w:hAnsi="Times New Roman" w:cs="Times New Roman"/>
                <w:color w:val="222222"/>
                <w:sz w:val="24"/>
                <w:szCs w:val="24"/>
                <w:lang w:val="uk-UA"/>
              </w:rPr>
              <w:t xml:space="preserve">, коли </w:t>
            </w:r>
            <w:r w:rsidRPr="00BE1959">
              <w:rPr>
                <w:rStyle w:val="hps"/>
                <w:rFonts w:ascii="Times New Roman" w:hAnsi="Times New Roman" w:cs="Times New Roman"/>
                <w:color w:val="222222"/>
                <w:sz w:val="24"/>
                <w:szCs w:val="24"/>
                <w:lang w:val="uk-UA"/>
              </w:rPr>
              <w:t>вони пов'язані</w:t>
            </w:r>
            <w:r w:rsidRPr="00BE1959">
              <w:rPr>
                <w:rFonts w:ascii="Times New Roman" w:hAnsi="Times New Roman" w:cs="Times New Roman"/>
                <w:color w:val="222222"/>
                <w:sz w:val="24"/>
                <w:szCs w:val="24"/>
                <w:lang w:val="uk-UA"/>
              </w:rPr>
              <w:t xml:space="preserve"> </w:t>
            </w:r>
            <w:r w:rsidRPr="00BE1959">
              <w:rPr>
                <w:rStyle w:val="hps"/>
                <w:rFonts w:ascii="Times New Roman" w:hAnsi="Times New Roman" w:cs="Times New Roman"/>
                <w:color w:val="222222"/>
                <w:sz w:val="24"/>
                <w:szCs w:val="24"/>
                <w:lang w:val="uk-UA"/>
              </w:rPr>
              <w:t>з наданням</w:t>
            </w:r>
            <w:r w:rsidRPr="00BE1959">
              <w:rPr>
                <w:rFonts w:ascii="Times New Roman" w:hAnsi="Times New Roman" w:cs="Times New Roman"/>
                <w:color w:val="222222"/>
                <w:sz w:val="24"/>
                <w:szCs w:val="24"/>
                <w:lang w:val="uk-UA"/>
              </w:rPr>
              <w:t xml:space="preserve"> </w:t>
            </w:r>
            <w:r w:rsidRPr="00BE1959">
              <w:rPr>
                <w:rStyle w:val="hps"/>
                <w:rFonts w:ascii="Times New Roman" w:hAnsi="Times New Roman" w:cs="Times New Roman"/>
                <w:color w:val="222222"/>
                <w:sz w:val="24"/>
                <w:szCs w:val="24"/>
                <w:lang w:val="uk-UA"/>
              </w:rPr>
              <w:t>інвестиційних послуг</w:t>
            </w:r>
            <w:r w:rsidRPr="00BE1959">
              <w:rPr>
                <w:rFonts w:ascii="Times New Roman" w:hAnsi="Times New Roman" w:cs="Times New Roman"/>
                <w:color w:val="222222"/>
                <w:sz w:val="24"/>
                <w:szCs w:val="24"/>
                <w:lang w:val="uk-UA"/>
              </w:rPr>
              <w:t>;</w:t>
            </w:r>
          </w:p>
        </w:tc>
      </w:tr>
      <w:tr w:rsidR="00BE1959" w:rsidRPr="0043174D" w:rsidTr="0088280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E1959" w:rsidRPr="00BE1959" w:rsidRDefault="00BE1959" w:rsidP="00BE1959">
            <w:pPr>
              <w:spacing w:after="0" w:line="240" w:lineRule="auto"/>
              <w:jc w:val="both"/>
              <w:rPr>
                <w:rFonts w:ascii="Times New Roman" w:hAnsi="Times New Roman" w:cs="Times New Roman"/>
                <w:sz w:val="24"/>
                <w:szCs w:val="24"/>
                <w:lang w:val="uk-UA"/>
              </w:rPr>
            </w:pPr>
            <w:r w:rsidRPr="00BE1959">
              <w:rPr>
                <w:rFonts w:ascii="Times New Roman" w:hAnsi="Times New Roman" w:cs="Times New Roman"/>
                <w:sz w:val="24"/>
                <w:szCs w:val="24"/>
                <w:lang w:val="uk-UA"/>
              </w:rPr>
              <w:t>(5)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E1959" w:rsidRPr="00BE1959" w:rsidRDefault="00BE1959" w:rsidP="00BE1959">
            <w:pPr>
              <w:spacing w:after="0" w:line="240" w:lineRule="auto"/>
              <w:jc w:val="both"/>
              <w:rPr>
                <w:rFonts w:ascii="Times New Roman" w:hAnsi="Times New Roman" w:cs="Times New Roman"/>
                <w:sz w:val="24"/>
                <w:szCs w:val="24"/>
                <w:lang w:val="uk-UA"/>
              </w:rPr>
            </w:pPr>
            <w:r w:rsidRPr="00BE1959">
              <w:rPr>
                <w:rStyle w:val="hps"/>
                <w:rFonts w:ascii="Times New Roman" w:hAnsi="Times New Roman" w:cs="Times New Roman"/>
                <w:color w:val="222222"/>
                <w:sz w:val="24"/>
                <w:szCs w:val="24"/>
                <w:lang w:val="uk-UA"/>
              </w:rPr>
              <w:t>Інвестиційні</w:t>
            </w:r>
            <w:r w:rsidRPr="00BE1959">
              <w:rPr>
                <w:rFonts w:ascii="Times New Roman" w:hAnsi="Times New Roman" w:cs="Times New Roman"/>
                <w:color w:val="222222"/>
                <w:sz w:val="24"/>
                <w:szCs w:val="24"/>
                <w:lang w:val="uk-UA"/>
              </w:rPr>
              <w:t xml:space="preserve"> </w:t>
            </w:r>
            <w:r w:rsidRPr="00BE1959">
              <w:rPr>
                <w:rStyle w:val="hps"/>
                <w:rFonts w:ascii="Times New Roman" w:hAnsi="Times New Roman" w:cs="Times New Roman"/>
                <w:color w:val="222222"/>
                <w:sz w:val="24"/>
                <w:szCs w:val="24"/>
                <w:lang w:val="uk-UA"/>
              </w:rPr>
              <w:t>дослідження</w:t>
            </w:r>
            <w:r w:rsidRPr="00BE1959">
              <w:rPr>
                <w:rFonts w:ascii="Times New Roman" w:hAnsi="Times New Roman" w:cs="Times New Roman"/>
                <w:color w:val="222222"/>
                <w:sz w:val="24"/>
                <w:szCs w:val="24"/>
                <w:lang w:val="uk-UA"/>
              </w:rPr>
              <w:t xml:space="preserve"> </w:t>
            </w:r>
            <w:r w:rsidRPr="00BE1959">
              <w:rPr>
                <w:rStyle w:val="hps"/>
                <w:rFonts w:ascii="Times New Roman" w:hAnsi="Times New Roman" w:cs="Times New Roman"/>
                <w:color w:val="222222"/>
                <w:sz w:val="24"/>
                <w:szCs w:val="24"/>
                <w:lang w:val="uk-UA"/>
              </w:rPr>
              <w:t>та</w:t>
            </w:r>
            <w:r w:rsidRPr="00BE1959">
              <w:rPr>
                <w:rFonts w:ascii="Times New Roman" w:hAnsi="Times New Roman" w:cs="Times New Roman"/>
                <w:color w:val="222222"/>
                <w:sz w:val="24"/>
                <w:szCs w:val="24"/>
                <w:lang w:val="uk-UA"/>
              </w:rPr>
              <w:t xml:space="preserve"> </w:t>
            </w:r>
            <w:r w:rsidRPr="00BE1959">
              <w:rPr>
                <w:rStyle w:val="hps"/>
                <w:rFonts w:ascii="Times New Roman" w:hAnsi="Times New Roman" w:cs="Times New Roman"/>
                <w:color w:val="222222"/>
                <w:sz w:val="24"/>
                <w:szCs w:val="24"/>
                <w:lang w:val="uk-UA"/>
              </w:rPr>
              <w:t>фінансовий аналіз</w:t>
            </w:r>
            <w:r w:rsidRPr="00BE1959">
              <w:rPr>
                <w:rFonts w:ascii="Times New Roman" w:hAnsi="Times New Roman" w:cs="Times New Roman"/>
                <w:color w:val="222222"/>
                <w:sz w:val="24"/>
                <w:szCs w:val="24"/>
                <w:lang w:val="uk-UA"/>
              </w:rPr>
              <w:t xml:space="preserve"> </w:t>
            </w:r>
            <w:r w:rsidRPr="00BE1959">
              <w:rPr>
                <w:rStyle w:val="hps"/>
                <w:rFonts w:ascii="Times New Roman" w:hAnsi="Times New Roman" w:cs="Times New Roman"/>
                <w:color w:val="222222"/>
                <w:sz w:val="24"/>
                <w:szCs w:val="24"/>
                <w:lang w:val="uk-UA"/>
              </w:rPr>
              <w:t>або</w:t>
            </w:r>
            <w:r w:rsidRPr="00BE1959">
              <w:rPr>
                <w:rFonts w:ascii="Times New Roman" w:hAnsi="Times New Roman" w:cs="Times New Roman"/>
                <w:color w:val="222222"/>
                <w:sz w:val="24"/>
                <w:szCs w:val="24"/>
                <w:lang w:val="uk-UA"/>
              </w:rPr>
              <w:t xml:space="preserve"> </w:t>
            </w:r>
            <w:r w:rsidRPr="00BE1959">
              <w:rPr>
                <w:rStyle w:val="hps"/>
                <w:rFonts w:ascii="Times New Roman" w:hAnsi="Times New Roman" w:cs="Times New Roman"/>
                <w:color w:val="222222"/>
                <w:sz w:val="24"/>
                <w:szCs w:val="24"/>
                <w:lang w:val="uk-UA"/>
              </w:rPr>
              <w:t>інші</w:t>
            </w:r>
            <w:r w:rsidRPr="00BE1959">
              <w:rPr>
                <w:rFonts w:ascii="Times New Roman" w:hAnsi="Times New Roman" w:cs="Times New Roman"/>
                <w:color w:val="222222"/>
                <w:sz w:val="24"/>
                <w:szCs w:val="24"/>
                <w:lang w:val="uk-UA"/>
              </w:rPr>
              <w:t xml:space="preserve"> </w:t>
            </w:r>
            <w:r w:rsidRPr="00BE1959">
              <w:rPr>
                <w:rStyle w:val="hps"/>
                <w:rFonts w:ascii="Times New Roman" w:hAnsi="Times New Roman" w:cs="Times New Roman"/>
                <w:color w:val="222222"/>
                <w:sz w:val="24"/>
                <w:szCs w:val="24"/>
                <w:lang w:val="uk-UA"/>
              </w:rPr>
              <w:t>форми</w:t>
            </w:r>
            <w:r w:rsidRPr="00BE1959">
              <w:rPr>
                <w:rFonts w:ascii="Times New Roman" w:hAnsi="Times New Roman" w:cs="Times New Roman"/>
                <w:color w:val="222222"/>
                <w:sz w:val="24"/>
                <w:szCs w:val="24"/>
                <w:lang w:val="uk-UA"/>
              </w:rPr>
              <w:t xml:space="preserve"> </w:t>
            </w:r>
            <w:r w:rsidRPr="00BE1959">
              <w:rPr>
                <w:rStyle w:val="hps"/>
                <w:rFonts w:ascii="Times New Roman" w:hAnsi="Times New Roman" w:cs="Times New Roman"/>
                <w:color w:val="222222"/>
                <w:sz w:val="24"/>
                <w:szCs w:val="24"/>
                <w:lang w:val="uk-UA"/>
              </w:rPr>
              <w:t>загальної</w:t>
            </w:r>
            <w:r w:rsidRPr="00BE1959">
              <w:rPr>
                <w:rFonts w:ascii="Times New Roman" w:hAnsi="Times New Roman" w:cs="Times New Roman"/>
                <w:color w:val="222222"/>
                <w:sz w:val="24"/>
                <w:szCs w:val="24"/>
                <w:lang w:val="uk-UA"/>
              </w:rPr>
              <w:t xml:space="preserve"> </w:t>
            </w:r>
            <w:r w:rsidRPr="00BE1959">
              <w:rPr>
                <w:rStyle w:val="hps"/>
                <w:rFonts w:ascii="Times New Roman" w:hAnsi="Times New Roman" w:cs="Times New Roman"/>
                <w:color w:val="222222"/>
                <w:sz w:val="24"/>
                <w:szCs w:val="24"/>
                <w:lang w:val="uk-UA"/>
              </w:rPr>
              <w:t>рекомендації, що стосуються</w:t>
            </w:r>
            <w:r w:rsidRPr="00BE1959">
              <w:rPr>
                <w:rFonts w:ascii="Times New Roman" w:hAnsi="Times New Roman" w:cs="Times New Roman"/>
                <w:color w:val="222222"/>
                <w:sz w:val="24"/>
                <w:szCs w:val="24"/>
                <w:lang w:val="uk-UA"/>
              </w:rPr>
              <w:t xml:space="preserve"> </w:t>
            </w:r>
            <w:r w:rsidRPr="00BE1959">
              <w:rPr>
                <w:rStyle w:val="hps"/>
                <w:rFonts w:ascii="Times New Roman" w:hAnsi="Times New Roman" w:cs="Times New Roman"/>
                <w:color w:val="222222"/>
                <w:sz w:val="24"/>
                <w:szCs w:val="24"/>
                <w:lang w:val="uk-UA"/>
              </w:rPr>
              <w:t>операцій з фінансовими інструментами</w:t>
            </w:r>
            <w:r w:rsidRPr="00BE1959">
              <w:rPr>
                <w:rFonts w:ascii="Times New Roman" w:hAnsi="Times New Roman" w:cs="Times New Roman"/>
                <w:color w:val="222222"/>
                <w:sz w:val="24"/>
                <w:szCs w:val="24"/>
                <w:lang w:val="uk-UA"/>
              </w:rPr>
              <w:t>;</w:t>
            </w:r>
          </w:p>
        </w:tc>
      </w:tr>
    </w:tbl>
    <w:p w:rsidR="00BE1959" w:rsidRPr="00BE1959" w:rsidRDefault="00BE1959" w:rsidP="00BE1959">
      <w:pPr>
        <w:spacing w:after="0" w:line="240" w:lineRule="auto"/>
        <w:jc w:val="both"/>
        <w:rPr>
          <w:rFonts w:ascii="Times New Roman" w:hAnsi="Times New Roman" w:cs="Times New Roman"/>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41"/>
        <w:gridCol w:w="8624"/>
      </w:tblGrid>
      <w:tr w:rsidR="00BE1959" w:rsidRPr="00BE1959" w:rsidTr="0088280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E1959" w:rsidRPr="00BE1959" w:rsidRDefault="00BE1959" w:rsidP="00BE1959">
            <w:pPr>
              <w:spacing w:after="0" w:line="240" w:lineRule="auto"/>
              <w:jc w:val="both"/>
              <w:rPr>
                <w:rFonts w:ascii="Times New Roman" w:hAnsi="Times New Roman" w:cs="Times New Roman"/>
                <w:sz w:val="24"/>
                <w:szCs w:val="24"/>
                <w:lang w:val="uk-UA"/>
              </w:rPr>
            </w:pPr>
            <w:r w:rsidRPr="00BE1959">
              <w:rPr>
                <w:rFonts w:ascii="Times New Roman" w:hAnsi="Times New Roman" w:cs="Times New Roman"/>
                <w:sz w:val="24"/>
                <w:szCs w:val="24"/>
                <w:lang w:val="uk-UA"/>
              </w:rPr>
              <w:t>(6)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E1959" w:rsidRPr="00BE1959" w:rsidRDefault="00BE1959" w:rsidP="00BE1959">
            <w:pPr>
              <w:spacing w:after="0" w:line="240" w:lineRule="auto"/>
              <w:jc w:val="both"/>
              <w:rPr>
                <w:rFonts w:ascii="Times New Roman" w:hAnsi="Times New Roman" w:cs="Times New Roman"/>
                <w:sz w:val="24"/>
                <w:szCs w:val="24"/>
                <w:lang w:val="uk-UA"/>
              </w:rPr>
            </w:pPr>
            <w:r w:rsidRPr="00BE1959">
              <w:rPr>
                <w:rStyle w:val="hps"/>
                <w:rFonts w:ascii="Times New Roman" w:hAnsi="Times New Roman" w:cs="Times New Roman"/>
                <w:color w:val="222222"/>
                <w:sz w:val="24"/>
                <w:szCs w:val="24"/>
                <w:lang w:val="uk-UA"/>
              </w:rPr>
              <w:t>Послуги, пов'язані з</w:t>
            </w:r>
            <w:r w:rsidRPr="00BE1959">
              <w:rPr>
                <w:rFonts w:ascii="Times New Roman" w:hAnsi="Times New Roman" w:cs="Times New Roman"/>
                <w:color w:val="222222"/>
                <w:sz w:val="24"/>
                <w:szCs w:val="24"/>
                <w:lang w:val="uk-UA"/>
              </w:rPr>
              <w:t xml:space="preserve"> </w:t>
            </w:r>
            <w:r w:rsidRPr="00BE1959">
              <w:rPr>
                <w:rStyle w:val="hps"/>
                <w:rFonts w:ascii="Times New Roman" w:hAnsi="Times New Roman" w:cs="Times New Roman"/>
                <w:color w:val="222222"/>
                <w:sz w:val="24"/>
                <w:szCs w:val="24"/>
                <w:lang w:val="uk-UA"/>
              </w:rPr>
              <w:t>андеррайтингом</w:t>
            </w:r>
            <w:r w:rsidRPr="00BE1959">
              <w:rPr>
                <w:rFonts w:ascii="Times New Roman" w:hAnsi="Times New Roman" w:cs="Times New Roman"/>
                <w:color w:val="222222"/>
                <w:sz w:val="24"/>
                <w:szCs w:val="24"/>
                <w:lang w:val="uk-UA"/>
              </w:rPr>
              <w:t>.</w:t>
            </w:r>
          </w:p>
        </w:tc>
      </w:tr>
    </w:tbl>
    <w:p w:rsidR="00BE1959" w:rsidRPr="00BE1959" w:rsidRDefault="00BE1959" w:rsidP="00BE1959">
      <w:pPr>
        <w:spacing w:after="0" w:line="240" w:lineRule="auto"/>
        <w:jc w:val="both"/>
        <w:rPr>
          <w:rFonts w:ascii="Times New Roman" w:hAnsi="Times New Roman" w:cs="Times New Roman"/>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BE1959" w:rsidRPr="0043174D" w:rsidTr="0088280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E1959" w:rsidRPr="00BE1959" w:rsidRDefault="00BE1959" w:rsidP="00BE1959">
            <w:pPr>
              <w:spacing w:after="0" w:line="240" w:lineRule="auto"/>
              <w:jc w:val="both"/>
              <w:rPr>
                <w:rFonts w:ascii="Times New Roman" w:hAnsi="Times New Roman" w:cs="Times New Roman"/>
                <w:sz w:val="24"/>
                <w:szCs w:val="24"/>
                <w:lang w:val="uk-UA"/>
              </w:rPr>
            </w:pPr>
            <w:r w:rsidRPr="00BE1959">
              <w:rPr>
                <w:rFonts w:ascii="Times New Roman" w:hAnsi="Times New Roman" w:cs="Times New Roman"/>
                <w:sz w:val="24"/>
                <w:szCs w:val="24"/>
                <w:lang w:val="uk-UA"/>
              </w:rPr>
              <w:t>(7)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E1959" w:rsidRPr="00BE1959" w:rsidRDefault="00BE1959" w:rsidP="00BE1959">
            <w:pPr>
              <w:spacing w:after="0" w:line="240" w:lineRule="auto"/>
              <w:jc w:val="both"/>
              <w:rPr>
                <w:rFonts w:ascii="Times New Roman" w:hAnsi="Times New Roman" w:cs="Times New Roman"/>
                <w:sz w:val="24"/>
                <w:szCs w:val="24"/>
                <w:lang w:val="uk-UA"/>
              </w:rPr>
            </w:pPr>
            <w:r w:rsidRPr="00BE1959">
              <w:rPr>
                <w:rFonts w:ascii="Times New Roman" w:hAnsi="Times New Roman" w:cs="Times New Roman"/>
                <w:sz w:val="24"/>
                <w:szCs w:val="24"/>
                <w:lang w:val="uk-UA"/>
              </w:rPr>
              <w:t xml:space="preserve">Інвестиційні послуги та діяльність, а також </w:t>
            </w:r>
            <w:r w:rsidRPr="00BE1959">
              <w:rPr>
                <w:rStyle w:val="hps"/>
                <w:rFonts w:ascii="Times New Roman" w:hAnsi="Times New Roman" w:cs="Times New Roman"/>
                <w:color w:val="222222"/>
                <w:sz w:val="24"/>
                <w:szCs w:val="24"/>
                <w:lang w:val="uk-UA"/>
              </w:rPr>
              <w:t>додаткові послуги</w:t>
            </w:r>
            <w:r w:rsidRPr="00BE1959">
              <w:rPr>
                <w:rFonts w:ascii="Times New Roman" w:hAnsi="Times New Roman" w:cs="Times New Roman"/>
                <w:color w:val="222222"/>
                <w:sz w:val="24"/>
                <w:szCs w:val="24"/>
                <w:lang w:val="uk-UA"/>
              </w:rPr>
              <w:t xml:space="preserve"> </w:t>
            </w:r>
            <w:r w:rsidRPr="00BE1959">
              <w:rPr>
                <w:rStyle w:val="hps"/>
                <w:rFonts w:ascii="Times New Roman" w:hAnsi="Times New Roman" w:cs="Times New Roman"/>
                <w:color w:val="222222"/>
                <w:sz w:val="24"/>
                <w:szCs w:val="24"/>
                <w:lang w:val="uk-UA"/>
              </w:rPr>
              <w:t>типу</w:t>
            </w:r>
            <w:r w:rsidRPr="00BE1959">
              <w:rPr>
                <w:rFonts w:ascii="Times New Roman" w:hAnsi="Times New Roman" w:cs="Times New Roman"/>
                <w:color w:val="222222"/>
                <w:sz w:val="24"/>
                <w:szCs w:val="24"/>
                <w:lang w:val="uk-UA"/>
              </w:rPr>
              <w:t xml:space="preserve"> послуг, що </w:t>
            </w:r>
            <w:r w:rsidRPr="00BE1959">
              <w:rPr>
                <w:rStyle w:val="hps"/>
                <w:rFonts w:ascii="Times New Roman" w:hAnsi="Times New Roman" w:cs="Times New Roman"/>
                <w:color w:val="222222"/>
                <w:sz w:val="24"/>
                <w:szCs w:val="24"/>
                <w:lang w:val="uk-UA"/>
              </w:rPr>
              <w:t>включені</w:t>
            </w:r>
            <w:r w:rsidRPr="00BE1959">
              <w:rPr>
                <w:rFonts w:ascii="Times New Roman" w:hAnsi="Times New Roman" w:cs="Times New Roman"/>
                <w:color w:val="222222"/>
                <w:sz w:val="24"/>
                <w:szCs w:val="24"/>
                <w:lang w:val="uk-UA"/>
              </w:rPr>
              <w:t xml:space="preserve"> </w:t>
            </w:r>
            <w:r w:rsidRPr="00BE1959">
              <w:rPr>
                <w:rStyle w:val="hps"/>
                <w:rFonts w:ascii="Times New Roman" w:hAnsi="Times New Roman" w:cs="Times New Roman"/>
                <w:color w:val="222222"/>
                <w:sz w:val="24"/>
                <w:szCs w:val="24"/>
                <w:lang w:val="uk-UA"/>
              </w:rPr>
              <w:t>в Розділ</w:t>
            </w:r>
            <w:r w:rsidRPr="00BE1959">
              <w:rPr>
                <w:rFonts w:ascii="Times New Roman" w:hAnsi="Times New Roman" w:cs="Times New Roman"/>
                <w:color w:val="222222"/>
                <w:sz w:val="24"/>
                <w:szCs w:val="24"/>
                <w:lang w:val="uk-UA"/>
              </w:rPr>
              <w:t xml:space="preserve"> </w:t>
            </w:r>
            <w:r w:rsidRPr="00BE1959">
              <w:rPr>
                <w:rStyle w:val="hps"/>
                <w:rFonts w:ascii="Times New Roman" w:hAnsi="Times New Roman" w:cs="Times New Roman"/>
                <w:color w:val="222222"/>
                <w:sz w:val="24"/>
                <w:szCs w:val="24"/>
                <w:lang w:val="uk-UA"/>
              </w:rPr>
              <w:t>А або В</w:t>
            </w:r>
            <w:r w:rsidRPr="00BE1959">
              <w:rPr>
                <w:rFonts w:ascii="Times New Roman" w:hAnsi="Times New Roman" w:cs="Times New Roman"/>
                <w:color w:val="222222"/>
                <w:sz w:val="24"/>
                <w:szCs w:val="24"/>
                <w:lang w:val="uk-UA"/>
              </w:rPr>
              <w:t xml:space="preserve"> </w:t>
            </w:r>
            <w:r w:rsidRPr="00BE1959">
              <w:rPr>
                <w:rStyle w:val="hps"/>
                <w:rFonts w:ascii="Times New Roman" w:hAnsi="Times New Roman" w:cs="Times New Roman"/>
                <w:color w:val="222222"/>
                <w:sz w:val="24"/>
                <w:szCs w:val="24"/>
                <w:lang w:val="uk-UA"/>
              </w:rPr>
              <w:t>Додатку</w:t>
            </w:r>
            <w:r w:rsidRPr="00BE1959">
              <w:rPr>
                <w:rFonts w:ascii="Times New Roman" w:hAnsi="Times New Roman" w:cs="Times New Roman"/>
                <w:color w:val="222222"/>
                <w:sz w:val="24"/>
                <w:szCs w:val="24"/>
                <w:lang w:val="uk-UA"/>
              </w:rPr>
              <w:t xml:space="preserve"> </w:t>
            </w:r>
            <w:r w:rsidRPr="00BE1959">
              <w:rPr>
                <w:rStyle w:val="hps"/>
                <w:rFonts w:ascii="Times New Roman" w:hAnsi="Times New Roman" w:cs="Times New Roman"/>
                <w:color w:val="222222"/>
                <w:sz w:val="24"/>
                <w:szCs w:val="24"/>
                <w:lang w:val="uk-UA"/>
              </w:rPr>
              <w:t>1,</w:t>
            </w:r>
            <w:r w:rsidRPr="00BE1959">
              <w:rPr>
                <w:rFonts w:ascii="Times New Roman" w:hAnsi="Times New Roman" w:cs="Times New Roman"/>
                <w:color w:val="222222"/>
                <w:sz w:val="24"/>
                <w:szCs w:val="24"/>
                <w:lang w:val="uk-UA"/>
              </w:rPr>
              <w:t xml:space="preserve"> </w:t>
            </w:r>
            <w:r w:rsidRPr="00BE1959">
              <w:rPr>
                <w:rStyle w:val="hps"/>
                <w:rFonts w:ascii="Times New Roman" w:hAnsi="Times New Roman" w:cs="Times New Roman"/>
                <w:color w:val="222222"/>
                <w:sz w:val="24"/>
                <w:szCs w:val="24"/>
                <w:lang w:val="uk-UA"/>
              </w:rPr>
              <w:t>пов'язані з основними</w:t>
            </w:r>
            <w:r w:rsidRPr="00BE1959">
              <w:rPr>
                <w:rFonts w:ascii="Times New Roman" w:hAnsi="Times New Roman" w:cs="Times New Roman"/>
                <w:color w:val="222222"/>
                <w:sz w:val="24"/>
                <w:szCs w:val="24"/>
                <w:lang w:val="uk-UA"/>
              </w:rPr>
              <w:t xml:space="preserve"> деривативами, які </w:t>
            </w:r>
            <w:r w:rsidRPr="00BE1959">
              <w:rPr>
                <w:rStyle w:val="hps"/>
                <w:rFonts w:ascii="Times New Roman" w:hAnsi="Times New Roman" w:cs="Times New Roman"/>
                <w:color w:val="222222"/>
                <w:sz w:val="24"/>
                <w:szCs w:val="24"/>
                <w:lang w:val="uk-UA"/>
              </w:rPr>
              <w:t>включені</w:t>
            </w:r>
            <w:r w:rsidRPr="00BE1959">
              <w:rPr>
                <w:rFonts w:ascii="Times New Roman" w:hAnsi="Times New Roman" w:cs="Times New Roman"/>
                <w:color w:val="222222"/>
                <w:sz w:val="24"/>
                <w:szCs w:val="24"/>
                <w:lang w:val="uk-UA"/>
              </w:rPr>
              <w:t xml:space="preserve"> </w:t>
            </w:r>
            <w:r w:rsidRPr="00BE1959">
              <w:rPr>
                <w:rStyle w:val="hps"/>
                <w:rFonts w:ascii="Times New Roman" w:hAnsi="Times New Roman" w:cs="Times New Roman"/>
                <w:color w:val="222222"/>
                <w:sz w:val="24"/>
                <w:szCs w:val="24"/>
                <w:lang w:val="uk-UA"/>
              </w:rPr>
              <w:t>в пунктах</w:t>
            </w:r>
            <w:r w:rsidRPr="00BE1959">
              <w:rPr>
                <w:rFonts w:ascii="Times New Roman" w:hAnsi="Times New Roman" w:cs="Times New Roman"/>
                <w:color w:val="222222"/>
                <w:sz w:val="24"/>
                <w:szCs w:val="24"/>
                <w:lang w:val="uk-UA"/>
              </w:rPr>
              <w:t xml:space="preserve"> </w:t>
            </w:r>
            <w:r w:rsidRPr="00BE1959">
              <w:rPr>
                <w:rStyle w:val="hps"/>
                <w:rFonts w:ascii="Times New Roman" w:hAnsi="Times New Roman" w:cs="Times New Roman"/>
                <w:color w:val="222222"/>
                <w:sz w:val="24"/>
                <w:szCs w:val="24"/>
                <w:lang w:val="uk-UA"/>
              </w:rPr>
              <w:t>(5),</w:t>
            </w:r>
            <w:r w:rsidRPr="00BE1959">
              <w:rPr>
                <w:rFonts w:ascii="Times New Roman" w:hAnsi="Times New Roman" w:cs="Times New Roman"/>
                <w:color w:val="222222"/>
                <w:sz w:val="24"/>
                <w:szCs w:val="24"/>
                <w:lang w:val="uk-UA"/>
              </w:rPr>
              <w:t xml:space="preserve"> </w:t>
            </w:r>
            <w:r w:rsidRPr="00BE1959">
              <w:rPr>
                <w:rStyle w:val="hps"/>
                <w:rFonts w:ascii="Times New Roman" w:hAnsi="Times New Roman" w:cs="Times New Roman"/>
                <w:color w:val="222222"/>
                <w:sz w:val="24"/>
                <w:szCs w:val="24"/>
                <w:lang w:val="uk-UA"/>
              </w:rPr>
              <w:t>(6),</w:t>
            </w:r>
            <w:r w:rsidRPr="00BE1959">
              <w:rPr>
                <w:rFonts w:ascii="Times New Roman" w:hAnsi="Times New Roman" w:cs="Times New Roman"/>
                <w:color w:val="222222"/>
                <w:sz w:val="24"/>
                <w:szCs w:val="24"/>
                <w:lang w:val="uk-UA"/>
              </w:rPr>
              <w:t xml:space="preserve"> </w:t>
            </w:r>
            <w:r w:rsidRPr="00BE1959">
              <w:rPr>
                <w:rStyle w:val="hps"/>
                <w:rFonts w:ascii="Times New Roman" w:hAnsi="Times New Roman" w:cs="Times New Roman"/>
                <w:color w:val="222222"/>
                <w:sz w:val="24"/>
                <w:szCs w:val="24"/>
                <w:lang w:val="uk-UA"/>
              </w:rPr>
              <w:t>(</w:t>
            </w:r>
            <w:r w:rsidRPr="00BE1959">
              <w:rPr>
                <w:rFonts w:ascii="Times New Roman" w:hAnsi="Times New Roman" w:cs="Times New Roman"/>
                <w:color w:val="222222"/>
                <w:sz w:val="24"/>
                <w:szCs w:val="24"/>
                <w:lang w:val="uk-UA"/>
              </w:rPr>
              <w:t xml:space="preserve">7) </w:t>
            </w:r>
            <w:r w:rsidRPr="00BE1959">
              <w:rPr>
                <w:rStyle w:val="hps"/>
                <w:rFonts w:ascii="Times New Roman" w:hAnsi="Times New Roman" w:cs="Times New Roman"/>
                <w:color w:val="222222"/>
                <w:sz w:val="24"/>
                <w:szCs w:val="24"/>
                <w:lang w:val="uk-UA"/>
              </w:rPr>
              <w:t>та</w:t>
            </w:r>
            <w:r w:rsidRPr="00BE1959">
              <w:rPr>
                <w:rFonts w:ascii="Times New Roman" w:hAnsi="Times New Roman" w:cs="Times New Roman"/>
                <w:color w:val="222222"/>
                <w:sz w:val="24"/>
                <w:szCs w:val="24"/>
                <w:lang w:val="uk-UA"/>
              </w:rPr>
              <w:t xml:space="preserve"> </w:t>
            </w:r>
            <w:r w:rsidRPr="00BE1959">
              <w:rPr>
                <w:rStyle w:val="hps"/>
                <w:rFonts w:ascii="Times New Roman" w:hAnsi="Times New Roman" w:cs="Times New Roman"/>
                <w:color w:val="222222"/>
                <w:sz w:val="24"/>
                <w:szCs w:val="24"/>
                <w:lang w:val="uk-UA"/>
              </w:rPr>
              <w:t>(</w:t>
            </w:r>
            <w:r w:rsidRPr="00BE1959">
              <w:rPr>
                <w:rFonts w:ascii="Times New Roman" w:hAnsi="Times New Roman" w:cs="Times New Roman"/>
                <w:color w:val="222222"/>
                <w:sz w:val="24"/>
                <w:szCs w:val="24"/>
                <w:lang w:val="uk-UA"/>
              </w:rPr>
              <w:t xml:space="preserve">10) </w:t>
            </w:r>
            <w:r w:rsidRPr="00BE1959">
              <w:rPr>
                <w:rStyle w:val="hps"/>
                <w:rFonts w:ascii="Times New Roman" w:hAnsi="Times New Roman" w:cs="Times New Roman"/>
                <w:color w:val="222222"/>
                <w:sz w:val="24"/>
                <w:szCs w:val="24"/>
                <w:lang w:val="uk-UA"/>
              </w:rPr>
              <w:t>Розділу</w:t>
            </w:r>
            <w:r w:rsidRPr="00BE1959">
              <w:rPr>
                <w:rFonts w:ascii="Times New Roman" w:hAnsi="Times New Roman" w:cs="Times New Roman"/>
                <w:color w:val="222222"/>
                <w:sz w:val="24"/>
                <w:szCs w:val="24"/>
                <w:lang w:val="uk-UA"/>
              </w:rPr>
              <w:t xml:space="preserve"> </w:t>
            </w:r>
            <w:r w:rsidRPr="00BE1959">
              <w:rPr>
                <w:rStyle w:val="hps"/>
                <w:rFonts w:ascii="Times New Roman" w:hAnsi="Times New Roman" w:cs="Times New Roman"/>
                <w:color w:val="222222"/>
                <w:sz w:val="24"/>
                <w:szCs w:val="24"/>
                <w:lang w:val="uk-UA"/>
              </w:rPr>
              <w:t>C у випадках</w:t>
            </w:r>
            <w:r w:rsidRPr="00BE1959">
              <w:rPr>
                <w:rFonts w:ascii="Times New Roman" w:hAnsi="Times New Roman" w:cs="Times New Roman"/>
                <w:color w:val="222222"/>
                <w:sz w:val="24"/>
                <w:szCs w:val="24"/>
                <w:lang w:val="uk-UA"/>
              </w:rPr>
              <w:t xml:space="preserve">, коли </w:t>
            </w:r>
            <w:r w:rsidRPr="00BE1959">
              <w:rPr>
                <w:rStyle w:val="hps"/>
                <w:rFonts w:ascii="Times New Roman" w:hAnsi="Times New Roman" w:cs="Times New Roman"/>
                <w:color w:val="222222"/>
                <w:sz w:val="24"/>
                <w:szCs w:val="24"/>
                <w:lang w:val="uk-UA"/>
              </w:rPr>
              <w:t>вони пов'язані</w:t>
            </w:r>
            <w:r w:rsidRPr="00BE1959">
              <w:rPr>
                <w:rFonts w:ascii="Times New Roman" w:hAnsi="Times New Roman" w:cs="Times New Roman"/>
                <w:color w:val="222222"/>
                <w:sz w:val="24"/>
                <w:szCs w:val="24"/>
                <w:lang w:val="uk-UA"/>
              </w:rPr>
              <w:t xml:space="preserve"> </w:t>
            </w:r>
            <w:r w:rsidRPr="00BE1959">
              <w:rPr>
                <w:rStyle w:val="hps"/>
                <w:rFonts w:ascii="Times New Roman" w:hAnsi="Times New Roman" w:cs="Times New Roman"/>
                <w:color w:val="222222"/>
                <w:sz w:val="24"/>
                <w:szCs w:val="24"/>
                <w:lang w:val="uk-UA"/>
              </w:rPr>
              <w:t>з наданням</w:t>
            </w:r>
            <w:r w:rsidRPr="00BE1959">
              <w:rPr>
                <w:rFonts w:ascii="Times New Roman" w:hAnsi="Times New Roman" w:cs="Times New Roman"/>
                <w:color w:val="222222"/>
                <w:sz w:val="24"/>
                <w:szCs w:val="24"/>
                <w:lang w:val="uk-UA"/>
              </w:rPr>
              <w:t xml:space="preserve"> </w:t>
            </w:r>
            <w:r w:rsidRPr="00BE1959">
              <w:rPr>
                <w:rStyle w:val="hps"/>
                <w:rFonts w:ascii="Times New Roman" w:hAnsi="Times New Roman" w:cs="Times New Roman"/>
                <w:color w:val="222222"/>
                <w:sz w:val="24"/>
                <w:szCs w:val="24"/>
                <w:lang w:val="uk-UA"/>
              </w:rPr>
              <w:t>інвестиційних</w:t>
            </w:r>
            <w:r w:rsidRPr="00BE1959">
              <w:rPr>
                <w:rFonts w:ascii="Times New Roman" w:hAnsi="Times New Roman" w:cs="Times New Roman"/>
                <w:color w:val="222222"/>
                <w:sz w:val="24"/>
                <w:szCs w:val="24"/>
                <w:lang w:val="uk-UA"/>
              </w:rPr>
              <w:t xml:space="preserve"> </w:t>
            </w:r>
            <w:r w:rsidRPr="00BE1959">
              <w:rPr>
                <w:rStyle w:val="hps"/>
                <w:rFonts w:ascii="Times New Roman" w:hAnsi="Times New Roman" w:cs="Times New Roman"/>
                <w:color w:val="222222"/>
                <w:sz w:val="24"/>
                <w:szCs w:val="24"/>
                <w:lang w:val="uk-UA"/>
              </w:rPr>
              <w:t>або</w:t>
            </w:r>
            <w:r w:rsidRPr="00BE1959">
              <w:rPr>
                <w:rFonts w:ascii="Times New Roman" w:hAnsi="Times New Roman" w:cs="Times New Roman"/>
                <w:color w:val="222222"/>
                <w:sz w:val="24"/>
                <w:szCs w:val="24"/>
                <w:lang w:val="uk-UA"/>
              </w:rPr>
              <w:t xml:space="preserve"> </w:t>
            </w:r>
            <w:r w:rsidRPr="00BE1959">
              <w:rPr>
                <w:rStyle w:val="hps"/>
                <w:rFonts w:ascii="Times New Roman" w:hAnsi="Times New Roman" w:cs="Times New Roman"/>
                <w:color w:val="222222"/>
                <w:sz w:val="24"/>
                <w:szCs w:val="24"/>
                <w:lang w:val="uk-UA"/>
              </w:rPr>
              <w:t>допоміжних</w:t>
            </w:r>
            <w:r w:rsidRPr="00BE1959">
              <w:rPr>
                <w:rFonts w:ascii="Times New Roman" w:hAnsi="Times New Roman" w:cs="Times New Roman"/>
                <w:color w:val="222222"/>
                <w:sz w:val="24"/>
                <w:szCs w:val="24"/>
                <w:lang w:val="uk-UA"/>
              </w:rPr>
              <w:t xml:space="preserve"> </w:t>
            </w:r>
            <w:r w:rsidRPr="00BE1959">
              <w:rPr>
                <w:rStyle w:val="hps"/>
                <w:rFonts w:ascii="Times New Roman" w:hAnsi="Times New Roman" w:cs="Times New Roman"/>
                <w:color w:val="222222"/>
                <w:sz w:val="24"/>
                <w:szCs w:val="24"/>
                <w:lang w:val="uk-UA"/>
              </w:rPr>
              <w:t>послуг.</w:t>
            </w:r>
            <w:r w:rsidRPr="00BE1959">
              <w:rPr>
                <w:rFonts w:ascii="Times New Roman" w:hAnsi="Times New Roman" w:cs="Times New Roman"/>
                <w:sz w:val="24"/>
                <w:szCs w:val="24"/>
                <w:lang w:val="uk-UA"/>
              </w:rPr>
              <w:t xml:space="preserve"> </w:t>
            </w:r>
          </w:p>
        </w:tc>
      </w:tr>
    </w:tbl>
    <w:p w:rsidR="00BE1959" w:rsidRPr="00BE1959" w:rsidRDefault="00BE1959" w:rsidP="00BE1959">
      <w:pPr>
        <w:spacing w:after="0" w:line="240" w:lineRule="auto"/>
        <w:jc w:val="both"/>
        <w:rPr>
          <w:rFonts w:ascii="Times New Roman" w:hAnsi="Times New Roman" w:cs="Times New Roman"/>
          <w:sz w:val="24"/>
          <w:szCs w:val="24"/>
          <w:lang w:val="uk-UA"/>
        </w:rPr>
      </w:pPr>
    </w:p>
    <w:p w:rsidR="00BE1959" w:rsidRPr="00BE1959" w:rsidRDefault="00BE1959" w:rsidP="00BE1959">
      <w:pPr>
        <w:spacing w:after="0" w:line="240" w:lineRule="auto"/>
        <w:jc w:val="both"/>
        <w:rPr>
          <w:rFonts w:ascii="Times New Roman" w:hAnsi="Times New Roman" w:cs="Times New Roman"/>
          <w:sz w:val="24"/>
          <w:szCs w:val="24"/>
          <w:lang w:val="uk-UA"/>
        </w:rPr>
      </w:pPr>
      <w:r w:rsidRPr="00BE1959">
        <w:rPr>
          <w:rFonts w:ascii="Times New Roman" w:hAnsi="Times New Roman" w:cs="Times New Roman"/>
          <w:sz w:val="24"/>
          <w:szCs w:val="24"/>
          <w:lang w:val="uk-UA"/>
        </w:rPr>
        <w:t>РОЗДІЛ C</w:t>
      </w:r>
    </w:p>
    <w:p w:rsidR="00BE1959" w:rsidRPr="00BE1959" w:rsidRDefault="00BE1959" w:rsidP="00BE1959">
      <w:pPr>
        <w:spacing w:after="0" w:line="240" w:lineRule="auto"/>
        <w:jc w:val="both"/>
        <w:rPr>
          <w:rFonts w:ascii="Times New Roman" w:hAnsi="Times New Roman" w:cs="Times New Roman"/>
          <w:sz w:val="24"/>
          <w:szCs w:val="24"/>
          <w:lang w:val="uk-UA"/>
        </w:rPr>
      </w:pPr>
      <w:r w:rsidRPr="00BE1959">
        <w:rPr>
          <w:rFonts w:ascii="Times New Roman" w:hAnsi="Times New Roman" w:cs="Times New Roman"/>
          <w:sz w:val="24"/>
          <w:szCs w:val="24"/>
          <w:lang w:val="uk-UA"/>
        </w:rPr>
        <w:t>Фінансові інструменти</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270"/>
        <w:gridCol w:w="8195"/>
      </w:tblGrid>
      <w:tr w:rsidR="00BE1959" w:rsidRPr="00BE1959" w:rsidTr="0088280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E1959" w:rsidRPr="00BE1959" w:rsidRDefault="00BE1959" w:rsidP="00BE1959">
            <w:pPr>
              <w:spacing w:after="0" w:line="240" w:lineRule="auto"/>
              <w:jc w:val="both"/>
              <w:rPr>
                <w:rFonts w:ascii="Times New Roman" w:hAnsi="Times New Roman" w:cs="Times New Roman"/>
                <w:sz w:val="24"/>
                <w:szCs w:val="24"/>
                <w:lang w:val="uk-UA"/>
              </w:rPr>
            </w:pPr>
            <w:r w:rsidRPr="00BE1959">
              <w:rPr>
                <w:rFonts w:ascii="Times New Roman" w:hAnsi="Times New Roman" w:cs="Times New Roman"/>
                <w:sz w:val="24"/>
                <w:szCs w:val="24"/>
                <w:lang w:val="uk-UA"/>
              </w:rPr>
              <w:t>(1)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E1959" w:rsidRPr="00BE1959" w:rsidRDefault="00BE1959" w:rsidP="00BE1959">
            <w:pPr>
              <w:spacing w:after="0" w:line="240" w:lineRule="auto"/>
              <w:jc w:val="both"/>
              <w:rPr>
                <w:rFonts w:ascii="Times New Roman" w:hAnsi="Times New Roman" w:cs="Times New Roman"/>
                <w:sz w:val="24"/>
                <w:szCs w:val="24"/>
                <w:lang w:val="uk-UA"/>
              </w:rPr>
            </w:pPr>
            <w:r w:rsidRPr="00BE1959">
              <w:rPr>
                <w:rFonts w:ascii="Times New Roman" w:eastAsia="Times New Roman" w:hAnsi="Times New Roman" w:cs="Times New Roman"/>
                <w:sz w:val="24"/>
                <w:szCs w:val="24"/>
                <w:lang w:val="uk-UA"/>
              </w:rPr>
              <w:t>Оборотні цінні папери</w:t>
            </w:r>
            <w:r w:rsidRPr="00BE1959">
              <w:rPr>
                <w:rFonts w:ascii="Times New Roman" w:hAnsi="Times New Roman" w:cs="Times New Roman"/>
                <w:sz w:val="24"/>
                <w:szCs w:val="24"/>
                <w:lang w:val="uk-UA"/>
              </w:rPr>
              <w:t>;</w:t>
            </w:r>
          </w:p>
        </w:tc>
      </w:tr>
    </w:tbl>
    <w:p w:rsidR="00BE1959" w:rsidRPr="00BE1959" w:rsidRDefault="00BE1959" w:rsidP="00BE1959">
      <w:pPr>
        <w:spacing w:after="0" w:line="240" w:lineRule="auto"/>
        <w:jc w:val="both"/>
        <w:rPr>
          <w:rFonts w:ascii="Times New Roman" w:hAnsi="Times New Roman" w:cs="Times New Roman"/>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94"/>
        <w:gridCol w:w="8471"/>
      </w:tblGrid>
      <w:tr w:rsidR="00BE1959" w:rsidRPr="00BE1959" w:rsidTr="0088280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E1959" w:rsidRPr="00BE1959" w:rsidRDefault="00BE1959" w:rsidP="00BE1959">
            <w:pPr>
              <w:spacing w:after="0" w:line="240" w:lineRule="auto"/>
              <w:jc w:val="both"/>
              <w:rPr>
                <w:rFonts w:ascii="Times New Roman" w:hAnsi="Times New Roman" w:cs="Times New Roman"/>
                <w:sz w:val="24"/>
                <w:szCs w:val="24"/>
                <w:lang w:val="uk-UA"/>
              </w:rPr>
            </w:pPr>
            <w:r w:rsidRPr="00BE1959">
              <w:rPr>
                <w:rFonts w:ascii="Times New Roman" w:hAnsi="Times New Roman" w:cs="Times New Roman"/>
                <w:sz w:val="24"/>
                <w:szCs w:val="24"/>
                <w:lang w:val="uk-UA"/>
              </w:rPr>
              <w:t>(2)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E1959" w:rsidRPr="00BE1959" w:rsidRDefault="00BE1959" w:rsidP="00BE1959">
            <w:pPr>
              <w:spacing w:after="0" w:line="240" w:lineRule="auto"/>
              <w:jc w:val="both"/>
              <w:rPr>
                <w:rFonts w:ascii="Times New Roman" w:hAnsi="Times New Roman" w:cs="Times New Roman"/>
                <w:sz w:val="24"/>
                <w:szCs w:val="24"/>
                <w:lang w:val="uk-UA"/>
              </w:rPr>
            </w:pPr>
            <w:r w:rsidRPr="00BE1959">
              <w:rPr>
                <w:rFonts w:ascii="Times New Roman" w:eastAsia="Times New Roman" w:hAnsi="Times New Roman" w:cs="Times New Roman"/>
                <w:sz w:val="24"/>
                <w:szCs w:val="24"/>
                <w:lang w:val="uk-UA"/>
              </w:rPr>
              <w:t>Інструменти грошового ринку</w:t>
            </w:r>
            <w:r w:rsidRPr="00BE1959">
              <w:rPr>
                <w:rFonts w:ascii="Times New Roman" w:hAnsi="Times New Roman" w:cs="Times New Roman"/>
                <w:sz w:val="24"/>
                <w:szCs w:val="24"/>
                <w:lang w:val="uk-UA"/>
              </w:rPr>
              <w:t>;</w:t>
            </w:r>
          </w:p>
        </w:tc>
      </w:tr>
    </w:tbl>
    <w:p w:rsidR="00BE1959" w:rsidRPr="00BE1959" w:rsidRDefault="00BE1959" w:rsidP="00BE1959">
      <w:pPr>
        <w:spacing w:after="0" w:line="240" w:lineRule="auto"/>
        <w:jc w:val="both"/>
        <w:rPr>
          <w:rFonts w:ascii="Times New Roman" w:hAnsi="Times New Roman" w:cs="Times New Roman"/>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732"/>
        <w:gridCol w:w="8733"/>
      </w:tblGrid>
      <w:tr w:rsidR="00BE1959" w:rsidRPr="00BE1959" w:rsidTr="0088280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E1959" w:rsidRPr="00BE1959" w:rsidRDefault="00BE1959" w:rsidP="00BE1959">
            <w:pPr>
              <w:spacing w:after="0" w:line="240" w:lineRule="auto"/>
              <w:jc w:val="both"/>
              <w:rPr>
                <w:rFonts w:ascii="Times New Roman" w:hAnsi="Times New Roman" w:cs="Times New Roman"/>
                <w:sz w:val="24"/>
                <w:szCs w:val="24"/>
                <w:lang w:val="uk-UA"/>
              </w:rPr>
            </w:pPr>
            <w:r w:rsidRPr="00BE1959">
              <w:rPr>
                <w:rFonts w:ascii="Times New Roman" w:hAnsi="Times New Roman" w:cs="Times New Roman"/>
                <w:sz w:val="24"/>
                <w:szCs w:val="24"/>
                <w:lang w:val="uk-UA"/>
              </w:rPr>
              <w:t>(3)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E1959" w:rsidRPr="00BE1959" w:rsidRDefault="00BE1959" w:rsidP="00BE1959">
            <w:pPr>
              <w:spacing w:after="0" w:line="240" w:lineRule="auto"/>
              <w:jc w:val="both"/>
              <w:rPr>
                <w:rFonts w:ascii="Times New Roman" w:hAnsi="Times New Roman" w:cs="Times New Roman"/>
                <w:sz w:val="24"/>
                <w:szCs w:val="24"/>
                <w:lang w:val="uk-UA"/>
              </w:rPr>
            </w:pPr>
            <w:r w:rsidRPr="00BE1959">
              <w:rPr>
                <w:rFonts w:ascii="Times New Roman" w:eastAsia="Times New Roman" w:hAnsi="Times New Roman" w:cs="Times New Roman"/>
                <w:sz w:val="24"/>
                <w:szCs w:val="24"/>
                <w:lang w:val="uk-UA"/>
              </w:rPr>
              <w:t>Паї організацій колективного інвестування</w:t>
            </w:r>
            <w:r w:rsidRPr="00BE1959">
              <w:rPr>
                <w:rFonts w:ascii="Times New Roman" w:hAnsi="Times New Roman" w:cs="Times New Roman"/>
                <w:sz w:val="24"/>
                <w:szCs w:val="24"/>
                <w:lang w:val="uk-UA"/>
              </w:rPr>
              <w:t>;</w:t>
            </w:r>
          </w:p>
        </w:tc>
      </w:tr>
    </w:tbl>
    <w:p w:rsidR="00BE1959" w:rsidRPr="00BE1959" w:rsidRDefault="00BE1959" w:rsidP="00BE1959">
      <w:pPr>
        <w:spacing w:after="0" w:line="240" w:lineRule="auto"/>
        <w:jc w:val="both"/>
        <w:rPr>
          <w:rFonts w:ascii="Times New Roman" w:hAnsi="Times New Roman" w:cs="Times New Roman"/>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BE1959" w:rsidRPr="0043174D" w:rsidTr="0088280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E1959" w:rsidRPr="00BE1959" w:rsidRDefault="00BE1959" w:rsidP="00BE1959">
            <w:pPr>
              <w:spacing w:after="0" w:line="240" w:lineRule="auto"/>
              <w:jc w:val="both"/>
              <w:rPr>
                <w:rFonts w:ascii="Times New Roman" w:hAnsi="Times New Roman" w:cs="Times New Roman"/>
                <w:sz w:val="24"/>
                <w:szCs w:val="24"/>
                <w:lang w:val="uk-UA"/>
              </w:rPr>
            </w:pPr>
            <w:r w:rsidRPr="00BE1959">
              <w:rPr>
                <w:rFonts w:ascii="Times New Roman" w:hAnsi="Times New Roman" w:cs="Times New Roman"/>
                <w:sz w:val="24"/>
                <w:szCs w:val="24"/>
                <w:lang w:val="uk-UA"/>
              </w:rPr>
              <w:t>(4)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E1959" w:rsidRPr="00BE1959" w:rsidRDefault="00BE1959" w:rsidP="00BE1959">
            <w:pPr>
              <w:spacing w:after="0" w:line="240" w:lineRule="auto"/>
              <w:jc w:val="both"/>
              <w:rPr>
                <w:rFonts w:ascii="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Опціони, ф’ючерси, свопи, угоди за форвардними процентними ставками та будь-які </w:t>
            </w:r>
            <w:r w:rsidRPr="00BE1959">
              <w:rPr>
                <w:rFonts w:ascii="Times New Roman" w:eastAsia="Times New Roman" w:hAnsi="Times New Roman" w:cs="Times New Roman"/>
                <w:sz w:val="24"/>
                <w:szCs w:val="24"/>
                <w:lang w:val="uk-UA"/>
              </w:rPr>
              <w:lastRenderedPageBreak/>
              <w:t xml:space="preserve">інші контракти на деривативи, що пов’язані з цінними паперами, валютою, </w:t>
            </w:r>
            <w:r w:rsidRPr="00BE1959">
              <w:rPr>
                <w:rFonts w:ascii="Times New Roman" w:eastAsia="Times New Roman" w:hAnsi="Times New Roman" w:cs="Times New Roman"/>
                <w:iCs/>
                <w:color w:val="000000"/>
                <w:sz w:val="24"/>
                <w:szCs w:val="24"/>
                <w:bdr w:val="none" w:sz="0" w:space="0" w:color="auto" w:frame="1"/>
                <w:lang w:val="uk-UA" w:eastAsia="ru-RU"/>
              </w:rPr>
              <w:t xml:space="preserve">ставками процента або доходністю, квотами на викиди або іншими деривативними інструментами, фінансовими показниками або фінансовими заходами, за якими здійснюються </w:t>
            </w:r>
            <w:r w:rsidRPr="00BE1959">
              <w:rPr>
                <w:rFonts w:ascii="Times New Roman" w:eastAsia="Times New Roman" w:hAnsi="Times New Roman" w:cs="Times New Roman"/>
                <w:sz w:val="24"/>
                <w:szCs w:val="24"/>
                <w:lang w:val="uk-UA"/>
              </w:rPr>
              <w:t>фізичні та готівкові розрахунки;</w:t>
            </w:r>
          </w:p>
        </w:tc>
      </w:tr>
    </w:tbl>
    <w:p w:rsidR="00BE1959" w:rsidRPr="00BE1959" w:rsidRDefault="00BE1959" w:rsidP="00BE1959">
      <w:pPr>
        <w:spacing w:after="0" w:line="240" w:lineRule="auto"/>
        <w:jc w:val="both"/>
        <w:rPr>
          <w:rFonts w:ascii="Times New Roman" w:hAnsi="Times New Roman" w:cs="Times New Roman"/>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BE1959" w:rsidRPr="0043174D" w:rsidTr="0088280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Опціони, ф’ючерси, свопи, угоди за форвардними процентними ставками та будь-які інші контракти на деривативи, що пов’язані з товарами, розрахунки за якими повинні бути здійснені готівкою або можуть бути здійснені готівкою </w:t>
            </w:r>
            <w:r w:rsidRPr="00BE1959">
              <w:rPr>
                <w:rStyle w:val="hps"/>
                <w:rFonts w:ascii="Times New Roman" w:hAnsi="Times New Roman" w:cs="Times New Roman"/>
                <w:color w:val="222222"/>
                <w:sz w:val="24"/>
                <w:szCs w:val="24"/>
                <w:lang w:val="uk-UA"/>
              </w:rPr>
              <w:t>за вибором</w:t>
            </w:r>
            <w:r w:rsidRPr="00BE1959">
              <w:rPr>
                <w:rFonts w:ascii="Times New Roman" w:hAnsi="Times New Roman" w:cs="Times New Roman"/>
                <w:color w:val="222222"/>
                <w:sz w:val="24"/>
                <w:szCs w:val="24"/>
                <w:lang w:val="uk-UA"/>
              </w:rPr>
              <w:t xml:space="preserve"> </w:t>
            </w:r>
            <w:r w:rsidRPr="00BE1959">
              <w:rPr>
                <w:rStyle w:val="hps"/>
                <w:rFonts w:ascii="Times New Roman" w:hAnsi="Times New Roman" w:cs="Times New Roman"/>
                <w:color w:val="222222"/>
                <w:sz w:val="24"/>
                <w:szCs w:val="24"/>
                <w:lang w:val="uk-UA"/>
              </w:rPr>
              <w:t>однієї</w:t>
            </w:r>
            <w:r w:rsidRPr="00BE1959">
              <w:rPr>
                <w:rFonts w:ascii="Times New Roman" w:hAnsi="Times New Roman" w:cs="Times New Roman"/>
                <w:color w:val="222222"/>
                <w:sz w:val="24"/>
                <w:szCs w:val="24"/>
                <w:lang w:val="uk-UA"/>
              </w:rPr>
              <w:t xml:space="preserve"> </w:t>
            </w:r>
            <w:r w:rsidRPr="00BE1959">
              <w:rPr>
                <w:rStyle w:val="hps"/>
                <w:rFonts w:ascii="Times New Roman" w:hAnsi="Times New Roman" w:cs="Times New Roman"/>
                <w:color w:val="222222"/>
                <w:sz w:val="24"/>
                <w:szCs w:val="24"/>
                <w:lang w:val="uk-UA"/>
              </w:rPr>
              <w:t>з зі сторін</w:t>
            </w:r>
            <w:r w:rsidRPr="00BE1959">
              <w:rPr>
                <w:rFonts w:ascii="Times New Roman" w:hAnsi="Times New Roman" w:cs="Times New Roman"/>
                <w:color w:val="222222"/>
                <w:sz w:val="24"/>
                <w:szCs w:val="24"/>
                <w:lang w:val="uk-UA"/>
              </w:rPr>
              <w:t xml:space="preserve">, крім </w:t>
            </w:r>
            <w:r w:rsidRPr="00BE1959">
              <w:rPr>
                <w:rStyle w:val="hps"/>
                <w:rFonts w:ascii="Times New Roman" w:hAnsi="Times New Roman" w:cs="Times New Roman"/>
                <w:color w:val="222222"/>
                <w:sz w:val="24"/>
                <w:szCs w:val="24"/>
                <w:lang w:val="uk-UA"/>
              </w:rPr>
              <w:t>через невиконання</w:t>
            </w:r>
            <w:r w:rsidRPr="00BE1959">
              <w:rPr>
                <w:rFonts w:ascii="Times New Roman" w:hAnsi="Times New Roman" w:cs="Times New Roman"/>
                <w:color w:val="222222"/>
                <w:sz w:val="24"/>
                <w:szCs w:val="24"/>
                <w:lang w:val="uk-UA"/>
              </w:rPr>
              <w:t xml:space="preserve"> зобов’язань </w:t>
            </w:r>
            <w:r w:rsidRPr="00BE1959">
              <w:rPr>
                <w:rStyle w:val="hps"/>
                <w:rFonts w:ascii="Times New Roman" w:hAnsi="Times New Roman" w:cs="Times New Roman"/>
                <w:color w:val="222222"/>
                <w:sz w:val="24"/>
                <w:szCs w:val="24"/>
                <w:lang w:val="uk-UA"/>
              </w:rPr>
              <w:t>чи іншого припинення</w:t>
            </w:r>
            <w:r w:rsidRPr="00BE1959">
              <w:rPr>
                <w:rFonts w:ascii="Times New Roman" w:hAnsi="Times New Roman" w:cs="Times New Roman"/>
                <w:color w:val="222222"/>
                <w:sz w:val="24"/>
                <w:szCs w:val="24"/>
                <w:lang w:val="uk-UA"/>
              </w:rPr>
              <w:t xml:space="preserve"> </w:t>
            </w:r>
            <w:r w:rsidRPr="00BE1959">
              <w:rPr>
                <w:rStyle w:val="hps"/>
                <w:rFonts w:ascii="Times New Roman" w:hAnsi="Times New Roman" w:cs="Times New Roman"/>
                <w:color w:val="222222"/>
                <w:sz w:val="24"/>
                <w:szCs w:val="24"/>
                <w:lang w:val="uk-UA"/>
              </w:rPr>
              <w:t>події;</w:t>
            </w:r>
          </w:p>
        </w:tc>
      </w:tr>
    </w:tbl>
    <w:p w:rsidR="00BE1959" w:rsidRPr="00BE1959" w:rsidRDefault="00BE1959" w:rsidP="00BE1959">
      <w:pPr>
        <w:spacing w:after="0" w:line="240" w:lineRule="auto"/>
        <w:rPr>
          <w:rFonts w:ascii="Times New Roman" w:hAnsi="Times New Roman" w:cs="Times New Roman"/>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BE1959" w:rsidRPr="0043174D" w:rsidTr="0088280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Опціони, ф’ючерси, свопи, угоди за форвардними процентними ставками та будь-які інші контракти на деривативи, що пов’язані з товарами, </w:t>
            </w:r>
            <w:r w:rsidRPr="00BE1959">
              <w:rPr>
                <w:rFonts w:ascii="Times New Roman" w:eastAsia="Times New Roman" w:hAnsi="Times New Roman" w:cs="Times New Roman"/>
                <w:iCs/>
                <w:color w:val="000000"/>
                <w:sz w:val="24"/>
                <w:szCs w:val="24"/>
                <w:bdr w:val="none" w:sz="0" w:space="0" w:color="auto" w:frame="1"/>
                <w:lang w:val="uk-UA" w:eastAsia="ru-RU"/>
              </w:rPr>
              <w:t xml:space="preserve">за якими можуть здійснюватися </w:t>
            </w:r>
            <w:r w:rsidRPr="00BE1959">
              <w:rPr>
                <w:rFonts w:ascii="Times New Roman" w:eastAsia="Times New Roman" w:hAnsi="Times New Roman" w:cs="Times New Roman"/>
                <w:sz w:val="24"/>
                <w:szCs w:val="24"/>
                <w:lang w:val="uk-UA"/>
              </w:rPr>
              <w:t>фізичні розрахунки за умови, що торгівля ними здійснюється на регульованому ринку, БТМ або ОТМ,</w:t>
            </w:r>
            <w:r w:rsidRPr="00BE1959">
              <w:rPr>
                <w:rFonts w:ascii="Times New Roman" w:hAnsi="Times New Roman" w:cs="Times New Roman"/>
                <w:color w:val="222222"/>
                <w:sz w:val="24"/>
                <w:szCs w:val="24"/>
                <w:lang w:val="uk-UA"/>
              </w:rPr>
              <w:t xml:space="preserve"> крім </w:t>
            </w:r>
            <w:r w:rsidRPr="00BE1959">
              <w:rPr>
                <w:rFonts w:ascii="Times New Roman" w:eastAsia="Times New Roman" w:hAnsi="Times New Roman" w:cs="Times New Roman"/>
                <w:sz w:val="24"/>
                <w:szCs w:val="24"/>
                <w:lang w:val="uk-UA"/>
              </w:rPr>
              <w:t>оптових енергетичних товарів</w:t>
            </w:r>
            <w:r w:rsidRPr="00BE1959">
              <w:rPr>
                <w:rStyle w:val="hps"/>
                <w:rFonts w:ascii="Times New Roman" w:hAnsi="Times New Roman" w:cs="Times New Roman"/>
                <w:color w:val="222222"/>
                <w:sz w:val="24"/>
                <w:szCs w:val="24"/>
                <w:lang w:val="uk-UA"/>
              </w:rPr>
              <w:t xml:space="preserve">, торгівля якими здійснюється на ОТМ, </w:t>
            </w:r>
            <w:r w:rsidRPr="00BE1959">
              <w:rPr>
                <w:rFonts w:ascii="Times New Roman" w:eastAsia="Times New Roman" w:hAnsi="Times New Roman" w:cs="Times New Roman"/>
                <w:iCs/>
                <w:color w:val="000000"/>
                <w:sz w:val="24"/>
                <w:szCs w:val="24"/>
                <w:bdr w:val="none" w:sz="0" w:space="0" w:color="auto" w:frame="1"/>
                <w:lang w:val="uk-UA" w:eastAsia="ru-RU"/>
              </w:rPr>
              <w:t xml:space="preserve">за якими повинні здійснюватися </w:t>
            </w:r>
            <w:r w:rsidRPr="00BE1959">
              <w:rPr>
                <w:rFonts w:ascii="Times New Roman" w:eastAsia="Times New Roman" w:hAnsi="Times New Roman" w:cs="Times New Roman"/>
                <w:sz w:val="24"/>
                <w:szCs w:val="24"/>
                <w:lang w:val="uk-UA"/>
              </w:rPr>
              <w:t>фізичні розрахунки</w:t>
            </w:r>
            <w:r w:rsidRPr="00BE1959">
              <w:rPr>
                <w:rStyle w:val="hps"/>
                <w:rFonts w:ascii="Times New Roman" w:hAnsi="Times New Roman" w:cs="Times New Roman"/>
                <w:color w:val="222222"/>
                <w:sz w:val="24"/>
                <w:szCs w:val="24"/>
                <w:lang w:val="uk-UA"/>
              </w:rPr>
              <w:t>;</w:t>
            </w:r>
          </w:p>
        </w:tc>
      </w:tr>
    </w:tbl>
    <w:p w:rsidR="00BE1959" w:rsidRPr="00BE1959" w:rsidRDefault="00BE1959" w:rsidP="00BE1959">
      <w:pPr>
        <w:spacing w:after="0" w:line="240" w:lineRule="auto"/>
        <w:rPr>
          <w:rFonts w:ascii="Times New Roman" w:hAnsi="Times New Roman" w:cs="Times New Roman"/>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BE1959" w:rsidRPr="0043174D" w:rsidTr="0088280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color w:val="222222"/>
                <w:sz w:val="24"/>
                <w:szCs w:val="24"/>
                <w:lang w:val="uk-UA"/>
              </w:rPr>
            </w:pPr>
            <w:r w:rsidRPr="00BE1959">
              <w:rPr>
                <w:rFonts w:ascii="Times New Roman" w:eastAsia="Times New Roman" w:hAnsi="Times New Roman" w:cs="Times New Roman"/>
                <w:sz w:val="24"/>
                <w:szCs w:val="24"/>
                <w:lang w:val="uk-UA"/>
              </w:rPr>
              <w:t xml:space="preserve">Опціони, ф’ючерси, свопи, угоди за форвардними процентними ставками та будь-які інші контракти на деривативи, що пов’язані з товарами, </w:t>
            </w:r>
            <w:r w:rsidRPr="00BE1959">
              <w:rPr>
                <w:rFonts w:ascii="Times New Roman" w:eastAsia="Times New Roman" w:hAnsi="Times New Roman" w:cs="Times New Roman"/>
                <w:iCs/>
                <w:color w:val="000000"/>
                <w:sz w:val="24"/>
                <w:szCs w:val="24"/>
                <w:bdr w:val="none" w:sz="0" w:space="0" w:color="auto" w:frame="1"/>
                <w:lang w:val="uk-UA" w:eastAsia="ru-RU"/>
              </w:rPr>
              <w:t xml:space="preserve">за якими можуть здійснюватися </w:t>
            </w:r>
            <w:r w:rsidRPr="00BE1959">
              <w:rPr>
                <w:rFonts w:ascii="Times New Roman" w:eastAsia="Times New Roman" w:hAnsi="Times New Roman" w:cs="Times New Roman"/>
                <w:sz w:val="24"/>
                <w:szCs w:val="24"/>
                <w:lang w:val="uk-UA"/>
              </w:rPr>
              <w:t>фізичні розрахунки</w:t>
            </w:r>
            <w:r w:rsidRPr="00BE1959">
              <w:rPr>
                <w:rStyle w:val="hps"/>
                <w:rFonts w:ascii="Times New Roman" w:hAnsi="Times New Roman" w:cs="Times New Roman"/>
                <w:color w:val="222222"/>
                <w:sz w:val="24"/>
                <w:szCs w:val="24"/>
                <w:lang w:val="uk-UA"/>
              </w:rPr>
              <w:t xml:space="preserve">, не зазначені у пункті 6 даного Розділу та не призначені для використання в комерційних цілях, які володіють </w:t>
            </w:r>
            <w:r>
              <w:rPr>
                <w:rStyle w:val="hps"/>
                <w:rFonts w:ascii="Times New Roman" w:hAnsi="Times New Roman" w:cs="Times New Roman"/>
                <w:color w:val="222222"/>
                <w:sz w:val="24"/>
                <w:szCs w:val="24"/>
                <w:lang w:val="uk-UA"/>
              </w:rPr>
              <w:t>характеристиками інших дериватив</w:t>
            </w:r>
            <w:r w:rsidRPr="00BE1959">
              <w:rPr>
                <w:rStyle w:val="hps"/>
                <w:rFonts w:ascii="Times New Roman" w:hAnsi="Times New Roman" w:cs="Times New Roman"/>
                <w:color w:val="222222"/>
                <w:sz w:val="24"/>
                <w:szCs w:val="24"/>
                <w:lang w:val="uk-UA"/>
              </w:rPr>
              <w:t>них фінансових інструментів;</w:t>
            </w:r>
          </w:p>
        </w:tc>
      </w:tr>
    </w:tbl>
    <w:p w:rsidR="00BE1959" w:rsidRPr="00BE1959" w:rsidRDefault="00BE1959" w:rsidP="00BE1959">
      <w:pPr>
        <w:spacing w:after="0" w:line="240" w:lineRule="auto"/>
        <w:rPr>
          <w:rFonts w:ascii="Times New Roman" w:hAnsi="Times New Roman" w:cs="Times New Roman"/>
          <w:sz w:val="24"/>
          <w:szCs w:val="24"/>
          <w:lang w:val="uk-UA"/>
        </w:rPr>
      </w:pPr>
    </w:p>
    <w:tbl>
      <w:tblPr>
        <w:tblW w:w="4937"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36"/>
        <w:gridCol w:w="8910"/>
      </w:tblGrid>
      <w:tr w:rsidR="00BE1959" w:rsidRPr="0043174D" w:rsidTr="00882802">
        <w:tc>
          <w:tcPr>
            <w:tcW w:w="233" w:type="pct"/>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Деривативні інструменти для передачі кредитного ризику;</w:t>
            </w:r>
          </w:p>
        </w:tc>
      </w:tr>
    </w:tbl>
    <w:p w:rsidR="00BE1959" w:rsidRPr="00BE1959" w:rsidRDefault="00BE1959" w:rsidP="00BE1959">
      <w:pPr>
        <w:spacing w:after="0" w:line="240" w:lineRule="auto"/>
        <w:rPr>
          <w:rFonts w:ascii="Times New Roman" w:hAnsi="Times New Roman" w:cs="Times New Roman"/>
          <w:sz w:val="24"/>
          <w:szCs w:val="24"/>
          <w:lang w:val="uk-UA"/>
        </w:rPr>
      </w:pPr>
    </w:p>
    <w:tbl>
      <w:tblPr>
        <w:tblW w:w="4733"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35"/>
        <w:gridCol w:w="8525"/>
      </w:tblGrid>
      <w:tr w:rsidR="00BE1959" w:rsidRPr="00BE1959" w:rsidTr="00882802">
        <w:tc>
          <w:tcPr>
            <w:tcW w:w="243" w:type="pct"/>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Фінансові контракти на різницю;</w:t>
            </w:r>
          </w:p>
        </w:tc>
      </w:tr>
    </w:tbl>
    <w:p w:rsidR="00BE1959" w:rsidRPr="00BE1959" w:rsidRDefault="00BE1959" w:rsidP="00BE1959">
      <w:pPr>
        <w:spacing w:after="0" w:line="240" w:lineRule="auto"/>
        <w:rPr>
          <w:rFonts w:ascii="Times New Roman" w:hAnsi="Times New Roman" w:cs="Times New Roman"/>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960"/>
      </w:tblGrid>
      <w:tr w:rsidR="00BE1959" w:rsidRPr="0043174D" w:rsidTr="0088280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(10)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eastAsia="Times New Roman" w:hAnsi="Times New Roman" w:cs="Times New Roman"/>
                <w:sz w:val="24"/>
                <w:szCs w:val="24"/>
                <w:lang w:val="uk-UA"/>
              </w:rPr>
            </w:pPr>
            <w:r w:rsidRPr="00BE1959">
              <w:rPr>
                <w:rFonts w:ascii="Times New Roman" w:eastAsia="Times New Roman" w:hAnsi="Times New Roman" w:cs="Times New Roman"/>
                <w:sz w:val="24"/>
                <w:szCs w:val="24"/>
                <w:lang w:val="uk-UA"/>
              </w:rPr>
              <w:t xml:space="preserve">Опціони, ф’ючерси, свопи, угоди за форвардними процентними ставками та будь-які інші контракти на деривативи, що пов’язані з кліматичними змінними, фрахтовими ставками або ставками інфляції або іншими офіційними економічними статистичними даними, розрахунки за якими повинні бути здійснені готівкою або можуть бути здійснені готівкою </w:t>
            </w:r>
            <w:r w:rsidRPr="00BE1959">
              <w:rPr>
                <w:rStyle w:val="hps"/>
                <w:rFonts w:ascii="Times New Roman" w:hAnsi="Times New Roman" w:cs="Times New Roman"/>
                <w:color w:val="222222"/>
                <w:sz w:val="24"/>
                <w:szCs w:val="24"/>
                <w:lang w:val="uk-UA"/>
              </w:rPr>
              <w:t>за вибором</w:t>
            </w:r>
            <w:r w:rsidRPr="00BE1959">
              <w:rPr>
                <w:rFonts w:ascii="Times New Roman" w:hAnsi="Times New Roman" w:cs="Times New Roman"/>
                <w:color w:val="222222"/>
                <w:sz w:val="24"/>
                <w:szCs w:val="24"/>
                <w:lang w:val="uk-UA"/>
              </w:rPr>
              <w:t xml:space="preserve"> </w:t>
            </w:r>
            <w:r w:rsidRPr="00BE1959">
              <w:rPr>
                <w:rStyle w:val="hps"/>
                <w:rFonts w:ascii="Times New Roman" w:hAnsi="Times New Roman" w:cs="Times New Roman"/>
                <w:color w:val="222222"/>
                <w:sz w:val="24"/>
                <w:szCs w:val="24"/>
                <w:lang w:val="uk-UA"/>
              </w:rPr>
              <w:t>однієї</w:t>
            </w:r>
            <w:r w:rsidRPr="00BE1959">
              <w:rPr>
                <w:rFonts w:ascii="Times New Roman" w:hAnsi="Times New Roman" w:cs="Times New Roman"/>
                <w:color w:val="222222"/>
                <w:sz w:val="24"/>
                <w:szCs w:val="24"/>
                <w:lang w:val="uk-UA"/>
              </w:rPr>
              <w:t xml:space="preserve"> </w:t>
            </w:r>
            <w:r w:rsidRPr="00BE1959">
              <w:rPr>
                <w:rStyle w:val="hps"/>
                <w:rFonts w:ascii="Times New Roman" w:hAnsi="Times New Roman" w:cs="Times New Roman"/>
                <w:color w:val="222222"/>
                <w:sz w:val="24"/>
                <w:szCs w:val="24"/>
                <w:lang w:val="uk-UA"/>
              </w:rPr>
              <w:t>з зі сторін</w:t>
            </w:r>
            <w:r w:rsidRPr="00BE1959">
              <w:rPr>
                <w:rFonts w:ascii="Times New Roman" w:hAnsi="Times New Roman" w:cs="Times New Roman"/>
                <w:color w:val="222222"/>
                <w:sz w:val="24"/>
                <w:szCs w:val="24"/>
                <w:lang w:val="uk-UA"/>
              </w:rPr>
              <w:t xml:space="preserve">, крім </w:t>
            </w:r>
            <w:r w:rsidRPr="00BE1959">
              <w:rPr>
                <w:rStyle w:val="hps"/>
                <w:rFonts w:ascii="Times New Roman" w:hAnsi="Times New Roman" w:cs="Times New Roman"/>
                <w:color w:val="222222"/>
                <w:sz w:val="24"/>
                <w:szCs w:val="24"/>
                <w:lang w:val="uk-UA"/>
              </w:rPr>
              <w:t>через невиконання</w:t>
            </w:r>
            <w:r w:rsidRPr="00BE1959">
              <w:rPr>
                <w:rFonts w:ascii="Times New Roman" w:hAnsi="Times New Roman" w:cs="Times New Roman"/>
                <w:color w:val="222222"/>
                <w:sz w:val="24"/>
                <w:szCs w:val="24"/>
                <w:lang w:val="uk-UA"/>
              </w:rPr>
              <w:t xml:space="preserve"> зобов’язань </w:t>
            </w:r>
            <w:r w:rsidRPr="00BE1959">
              <w:rPr>
                <w:rStyle w:val="hps"/>
                <w:rFonts w:ascii="Times New Roman" w:hAnsi="Times New Roman" w:cs="Times New Roman"/>
                <w:color w:val="222222"/>
                <w:sz w:val="24"/>
                <w:szCs w:val="24"/>
                <w:lang w:val="uk-UA"/>
              </w:rPr>
              <w:t>чи іншого припинення</w:t>
            </w:r>
            <w:r w:rsidRPr="00BE1959">
              <w:rPr>
                <w:rFonts w:ascii="Times New Roman" w:hAnsi="Times New Roman" w:cs="Times New Roman"/>
                <w:color w:val="222222"/>
                <w:sz w:val="24"/>
                <w:szCs w:val="24"/>
                <w:lang w:val="uk-UA"/>
              </w:rPr>
              <w:t xml:space="preserve"> </w:t>
            </w:r>
            <w:r w:rsidRPr="00BE1959">
              <w:rPr>
                <w:rStyle w:val="hps"/>
                <w:rFonts w:ascii="Times New Roman" w:hAnsi="Times New Roman" w:cs="Times New Roman"/>
                <w:color w:val="222222"/>
                <w:sz w:val="24"/>
                <w:szCs w:val="24"/>
                <w:lang w:val="uk-UA"/>
              </w:rPr>
              <w:t>події</w:t>
            </w:r>
            <w:r w:rsidRPr="00BE1959">
              <w:rPr>
                <w:rFonts w:ascii="Times New Roman" w:eastAsia="Times New Roman" w:hAnsi="Times New Roman" w:cs="Times New Roman"/>
                <w:sz w:val="24"/>
                <w:szCs w:val="24"/>
                <w:lang w:val="uk-UA"/>
              </w:rPr>
              <w:t>, а також будь-які інші контракти на деривативи, що пов’язані з активами, правами, обов'язками, індексами та заходами, які не зазначаються в даному Розділі, які мають характеристики інших дериватив них фінансових інструментів, з урахуванням того, зокрема, що вони обертаються на регульованому ринку, ОТМ, або БТМ;</w:t>
            </w:r>
          </w:p>
        </w:tc>
      </w:tr>
    </w:tbl>
    <w:p w:rsidR="00BE1959" w:rsidRPr="00BE1959" w:rsidRDefault="00BE1959" w:rsidP="00BE1959">
      <w:pPr>
        <w:spacing w:after="0" w:line="240" w:lineRule="auto"/>
        <w:rPr>
          <w:rFonts w:ascii="Times New Roman" w:hAnsi="Times New Roman" w:cs="Times New Roman"/>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960"/>
      </w:tblGrid>
      <w:tr w:rsidR="00BE1959" w:rsidRPr="0043174D" w:rsidTr="0088280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(11)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Емісії на викиди, що складаються з будь-яких одиниць, визнаних відповідно до вимог Директиви 2003/87/EC (Схема торгівлі викидами).</w:t>
            </w:r>
          </w:p>
        </w:tc>
      </w:tr>
    </w:tbl>
    <w:p w:rsidR="00BE1959" w:rsidRPr="00BE1959" w:rsidRDefault="00BE1959" w:rsidP="00BE1959">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РОЗДІЛ D</w:t>
      </w:r>
    </w:p>
    <w:p w:rsidR="00BE1959" w:rsidRPr="00BE1959" w:rsidRDefault="00BE1959" w:rsidP="00BE1959">
      <w:pPr>
        <w:spacing w:after="0" w:line="240" w:lineRule="auto"/>
        <w:rPr>
          <w:rFonts w:ascii="Times New Roman" w:hAnsi="Times New Roman" w:cs="Times New Roman"/>
          <w:sz w:val="24"/>
          <w:szCs w:val="24"/>
          <w:lang w:val="uk-UA"/>
        </w:rPr>
      </w:pPr>
      <w:r w:rsidRPr="00BE1959">
        <w:rPr>
          <w:rFonts w:ascii="Times New Roman" w:eastAsia="Times New Roman" w:hAnsi="Times New Roman" w:cs="Times New Roman"/>
          <w:sz w:val="24"/>
          <w:szCs w:val="24"/>
          <w:lang w:val="uk-UA"/>
        </w:rPr>
        <w:t>Послуги із повідомлення даних</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573"/>
        <w:gridCol w:w="7892"/>
      </w:tblGrid>
      <w:tr w:rsidR="00BE1959" w:rsidRPr="00BE1959" w:rsidTr="0088280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xml:space="preserve">Управління </w:t>
            </w:r>
            <w:r w:rsidRPr="00BE1959">
              <w:rPr>
                <w:rFonts w:ascii="Times New Roman" w:eastAsia="Times New Roman" w:hAnsi="Times New Roman" w:cs="Times New Roman"/>
                <w:sz w:val="24"/>
                <w:szCs w:val="24"/>
                <w:lang w:val="uk-UA"/>
              </w:rPr>
              <w:t>ЗМП</w:t>
            </w:r>
            <w:r w:rsidRPr="00BE1959">
              <w:rPr>
                <w:rFonts w:ascii="Times New Roman" w:hAnsi="Times New Roman" w:cs="Times New Roman"/>
                <w:sz w:val="24"/>
                <w:szCs w:val="24"/>
                <w:lang w:val="uk-UA"/>
              </w:rPr>
              <w:t>;</w:t>
            </w:r>
          </w:p>
        </w:tc>
      </w:tr>
    </w:tbl>
    <w:p w:rsidR="00BE1959" w:rsidRPr="00BE1959" w:rsidRDefault="00BE1959" w:rsidP="00BE1959">
      <w:pPr>
        <w:spacing w:after="0" w:line="240" w:lineRule="auto"/>
        <w:rPr>
          <w:rFonts w:ascii="Times New Roman" w:hAnsi="Times New Roman" w:cs="Times New Roman"/>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608"/>
        <w:gridCol w:w="7857"/>
      </w:tblGrid>
      <w:tr w:rsidR="00BE1959" w:rsidRPr="00BE1959" w:rsidTr="0088280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lastRenderedPageBreak/>
              <w:t>(2)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xml:space="preserve">Управління </w:t>
            </w:r>
            <w:r w:rsidRPr="00BE1959">
              <w:rPr>
                <w:rFonts w:ascii="Times New Roman" w:eastAsia="Times New Roman" w:hAnsi="Times New Roman" w:cs="Times New Roman"/>
                <w:sz w:val="24"/>
                <w:szCs w:val="24"/>
                <w:lang w:val="uk-UA"/>
              </w:rPr>
              <w:t>НЗД</w:t>
            </w:r>
            <w:r w:rsidRPr="00BE1959">
              <w:rPr>
                <w:rFonts w:ascii="Times New Roman" w:hAnsi="Times New Roman" w:cs="Times New Roman"/>
                <w:sz w:val="24"/>
                <w:szCs w:val="24"/>
                <w:lang w:val="uk-UA"/>
              </w:rPr>
              <w:t>;</w:t>
            </w:r>
          </w:p>
        </w:tc>
      </w:tr>
    </w:tbl>
    <w:p w:rsidR="00BE1959" w:rsidRPr="00BE1959" w:rsidRDefault="00BE1959" w:rsidP="00BE1959">
      <w:pPr>
        <w:spacing w:after="0" w:line="240" w:lineRule="auto"/>
        <w:rPr>
          <w:rFonts w:ascii="Times New Roman" w:hAnsi="Times New Roman" w:cs="Times New Roman"/>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615"/>
        <w:gridCol w:w="7850"/>
      </w:tblGrid>
      <w:tr w:rsidR="00BE1959" w:rsidRPr="00BE1959" w:rsidTr="0088280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xml:space="preserve">Управління </w:t>
            </w:r>
            <w:r w:rsidRPr="00BE1959">
              <w:rPr>
                <w:rFonts w:ascii="Times New Roman" w:eastAsia="Times New Roman" w:hAnsi="Times New Roman" w:cs="Times New Roman"/>
                <w:sz w:val="24"/>
                <w:szCs w:val="24"/>
                <w:lang w:val="uk-UA"/>
              </w:rPr>
              <w:t>ЗМЗ</w:t>
            </w:r>
            <w:r w:rsidRPr="00BE1959">
              <w:rPr>
                <w:rFonts w:ascii="Times New Roman" w:hAnsi="Times New Roman" w:cs="Times New Roman"/>
                <w:sz w:val="24"/>
                <w:szCs w:val="24"/>
                <w:lang w:val="uk-UA"/>
              </w:rPr>
              <w:t>.</w:t>
            </w:r>
          </w:p>
        </w:tc>
      </w:tr>
    </w:tbl>
    <w:p w:rsidR="00BE1959" w:rsidRPr="00BE1959" w:rsidRDefault="0043174D" w:rsidP="00BE1959">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pict>
          <v:rect id="_x0000_i1027" style="width:46.8pt;height:.75pt" o:hrpct="100" o:hralign="center" o:hrstd="t" o:hrnoshade="t" o:hr="t" fillcolor="black" stroked="f"/>
        </w:pict>
      </w:r>
    </w:p>
    <w:p w:rsidR="00BE1959" w:rsidRPr="00BE1959" w:rsidRDefault="00BE1959" w:rsidP="00BE1959">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ДОДАТОК  II</w:t>
      </w:r>
    </w:p>
    <w:p w:rsidR="00BE1959" w:rsidRPr="00BE1959" w:rsidRDefault="00BE1959" w:rsidP="00BE1959">
      <w:pPr>
        <w:spacing w:after="0" w:line="240" w:lineRule="auto"/>
        <w:jc w:val="both"/>
        <w:rPr>
          <w:rFonts w:ascii="Times New Roman" w:hAnsi="Times New Roman" w:cs="Times New Roman"/>
          <w:sz w:val="24"/>
          <w:szCs w:val="24"/>
          <w:lang w:val="uk-UA"/>
        </w:rPr>
      </w:pPr>
      <w:r w:rsidRPr="00BE1959">
        <w:rPr>
          <w:rFonts w:ascii="Times New Roman" w:hAnsi="Times New Roman" w:cs="Times New Roman"/>
          <w:sz w:val="24"/>
          <w:szCs w:val="24"/>
          <w:lang w:val="uk-UA"/>
        </w:rPr>
        <w:t>ПРОФЕСІЙНІ КЛІЄНТИ ДЛЯ ЦІЛЕЙ ДАНОЇ ДИРЕКТИВИ</w:t>
      </w:r>
    </w:p>
    <w:p w:rsidR="00BE1959" w:rsidRPr="00BE1959" w:rsidRDefault="00BE1959" w:rsidP="00BE1959">
      <w:pPr>
        <w:spacing w:after="0" w:line="240" w:lineRule="auto"/>
        <w:jc w:val="both"/>
        <w:rPr>
          <w:rFonts w:ascii="Times New Roman" w:hAnsi="Times New Roman" w:cs="Times New Roman"/>
          <w:sz w:val="24"/>
          <w:szCs w:val="24"/>
          <w:lang w:val="uk-UA"/>
        </w:rPr>
      </w:pPr>
      <w:r w:rsidRPr="00BE1959">
        <w:rPr>
          <w:rFonts w:ascii="Times New Roman" w:hAnsi="Times New Roman" w:cs="Times New Roman"/>
          <w:sz w:val="24"/>
          <w:szCs w:val="24"/>
          <w:lang w:val="uk-UA"/>
        </w:rPr>
        <w:t>Професійним клієнтом є клієнт, який володіє досвідом, знанням та експертизою, щоб прийняти свої власні інвестиційні рішення та правильно оцінити ризики, які він несе. Для того, щоб вважатися професійним клієнтом, клієнт повинен відповідати наступним критеріям:</w:t>
      </w:r>
    </w:p>
    <w:p w:rsidR="00BE1959" w:rsidRPr="00BE1959" w:rsidRDefault="00BE1959" w:rsidP="00BE1959">
      <w:pPr>
        <w:spacing w:after="0" w:line="240" w:lineRule="auto"/>
        <w:jc w:val="both"/>
        <w:rPr>
          <w:rFonts w:ascii="Times New Roman" w:hAnsi="Times New Roman" w:cs="Times New Roman"/>
          <w:sz w:val="24"/>
          <w:szCs w:val="24"/>
          <w:lang w:val="uk-UA"/>
        </w:rPr>
      </w:pPr>
      <w:r w:rsidRPr="00BE1959">
        <w:rPr>
          <w:rFonts w:ascii="Times New Roman" w:hAnsi="Times New Roman" w:cs="Times New Roman"/>
          <w:sz w:val="24"/>
          <w:szCs w:val="24"/>
          <w:lang w:val="uk-UA"/>
        </w:rPr>
        <w:t>I.   КАТЕГОРІЇ КЛІЄНТІВ, ЯКІ ВВАЖАЮТЬСЯ ПРОФЕСІОНАЛАМИ</w:t>
      </w:r>
    </w:p>
    <w:p w:rsidR="00BE1959" w:rsidRPr="00BE1959" w:rsidRDefault="00BE1959" w:rsidP="00BE1959">
      <w:pPr>
        <w:spacing w:after="0" w:line="240" w:lineRule="auto"/>
        <w:jc w:val="both"/>
        <w:rPr>
          <w:rFonts w:ascii="Times New Roman" w:hAnsi="Times New Roman" w:cs="Times New Roman"/>
          <w:sz w:val="24"/>
          <w:szCs w:val="24"/>
          <w:lang w:val="uk-UA"/>
        </w:rPr>
      </w:pPr>
      <w:r w:rsidRPr="00BE1959">
        <w:rPr>
          <w:rFonts w:ascii="Times New Roman" w:hAnsi="Times New Roman" w:cs="Times New Roman"/>
          <w:sz w:val="24"/>
          <w:szCs w:val="24"/>
          <w:lang w:val="uk-UA"/>
        </w:rPr>
        <w:t>Наступні категорії будуть всі розглядатись в якості фахівців у всіх інвестиційних послугах та діяльності та фінансових інструментах для цілей Директиви.</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BE1959" w:rsidRPr="00BE1959" w:rsidTr="0088280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E1959" w:rsidRPr="00BE1959" w:rsidRDefault="00BE1959" w:rsidP="00BE1959">
            <w:pPr>
              <w:spacing w:after="0" w:line="240" w:lineRule="auto"/>
              <w:jc w:val="both"/>
              <w:rPr>
                <w:rFonts w:ascii="Times New Roman" w:hAnsi="Times New Roman" w:cs="Times New Roman"/>
                <w:sz w:val="24"/>
                <w:szCs w:val="24"/>
                <w:lang w:val="uk-UA"/>
              </w:rPr>
            </w:pPr>
            <w:r w:rsidRPr="00BE1959">
              <w:rPr>
                <w:rFonts w:ascii="Times New Roman" w:hAnsi="Times New Roman" w:cs="Times New Roman"/>
                <w:sz w:val="24"/>
                <w:szCs w:val="24"/>
                <w:lang w:val="uk-UA"/>
              </w:rPr>
              <w:t>(1)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E1959" w:rsidRPr="00BE1959" w:rsidRDefault="00BE1959" w:rsidP="00BE1959">
            <w:pPr>
              <w:spacing w:after="0" w:line="240" w:lineRule="auto"/>
              <w:jc w:val="both"/>
              <w:rPr>
                <w:rFonts w:ascii="Times New Roman" w:hAnsi="Times New Roman" w:cs="Times New Roman"/>
                <w:sz w:val="24"/>
                <w:szCs w:val="24"/>
                <w:lang w:val="uk-UA"/>
              </w:rPr>
            </w:pPr>
            <w:r w:rsidRPr="00BE1959">
              <w:rPr>
                <w:rFonts w:ascii="Times New Roman" w:hAnsi="Times New Roman" w:cs="Times New Roman"/>
                <w:sz w:val="24"/>
                <w:szCs w:val="24"/>
                <w:lang w:val="uk-UA"/>
              </w:rPr>
              <w:t>Об'єкти, від яких вимагається наявність дозволу або функціонування яких регулюються на фінансових ринках. Наведений нижче список слід розуміти як список, що включає всіх уповноважених осіб, які виконують характерну діяльність зазначених суб'єктів: особи, уповноважені Державою-членом відповідно до Директиви, особи, уповноважені або регульовані Державою-членом без посилання на Директиву, та особи права або регулюються третьою країною:</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350"/>
              <w:gridCol w:w="7609"/>
            </w:tblGrid>
            <w:tr w:rsidR="00BE1959" w:rsidRPr="00BE1959" w:rsidTr="0088280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E1959" w:rsidRPr="00BE1959" w:rsidRDefault="00BE1959" w:rsidP="00BE1959">
                  <w:pPr>
                    <w:spacing w:after="0" w:line="240" w:lineRule="auto"/>
                    <w:jc w:val="both"/>
                    <w:rPr>
                      <w:rFonts w:ascii="Times New Roman" w:hAnsi="Times New Roman" w:cs="Times New Roman"/>
                      <w:sz w:val="24"/>
                      <w:szCs w:val="24"/>
                      <w:lang w:val="uk-UA"/>
                    </w:rPr>
                  </w:pPr>
                  <w:r w:rsidRPr="00BE1959">
                    <w:rPr>
                      <w:rFonts w:ascii="Times New Roman" w:hAnsi="Times New Roman" w:cs="Times New Roman"/>
                      <w:sz w:val="24"/>
                      <w:szCs w:val="24"/>
                      <w:lang w:val="uk-UA"/>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E1959" w:rsidRPr="00BE1959" w:rsidRDefault="00BE1959" w:rsidP="00BE1959">
                  <w:pPr>
                    <w:spacing w:after="0" w:line="240" w:lineRule="auto"/>
                    <w:jc w:val="both"/>
                    <w:rPr>
                      <w:rFonts w:ascii="Times New Roman" w:hAnsi="Times New Roman" w:cs="Times New Roman"/>
                      <w:sz w:val="24"/>
                      <w:szCs w:val="24"/>
                      <w:lang w:val="uk-UA"/>
                    </w:rPr>
                  </w:pPr>
                  <w:r w:rsidRPr="00BE1959">
                    <w:rPr>
                      <w:rFonts w:ascii="Times New Roman" w:hAnsi="Times New Roman" w:cs="Times New Roman"/>
                      <w:sz w:val="24"/>
                      <w:szCs w:val="24"/>
                      <w:lang w:val="uk-UA"/>
                    </w:rPr>
                    <w:t>Кредитні установи;</w:t>
                  </w:r>
                </w:p>
              </w:tc>
            </w:tr>
          </w:tbl>
          <w:p w:rsidR="00BE1959" w:rsidRPr="00BE1959" w:rsidRDefault="00BE1959" w:rsidP="00BE1959">
            <w:pPr>
              <w:spacing w:after="0" w:line="240" w:lineRule="auto"/>
              <w:jc w:val="both"/>
              <w:rPr>
                <w:rFonts w:ascii="Times New Roman" w:hAnsi="Times New Roman" w:cs="Times New Roman"/>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237"/>
              <w:gridCol w:w="7722"/>
            </w:tblGrid>
            <w:tr w:rsidR="00BE1959" w:rsidRPr="00BE1959" w:rsidTr="0088280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E1959" w:rsidRPr="00BE1959" w:rsidRDefault="00BE1959" w:rsidP="00BE1959">
                  <w:pPr>
                    <w:spacing w:after="0" w:line="240" w:lineRule="auto"/>
                    <w:jc w:val="both"/>
                    <w:rPr>
                      <w:rFonts w:ascii="Times New Roman" w:hAnsi="Times New Roman" w:cs="Times New Roman"/>
                      <w:sz w:val="24"/>
                      <w:szCs w:val="24"/>
                      <w:lang w:val="uk-UA"/>
                    </w:rPr>
                  </w:pPr>
                  <w:r w:rsidRPr="00BE1959">
                    <w:rPr>
                      <w:rFonts w:ascii="Times New Roman" w:hAnsi="Times New Roman" w:cs="Times New Roman"/>
                      <w:sz w:val="24"/>
                      <w:szCs w:val="24"/>
                      <w:lang w:val="uk-UA"/>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E1959" w:rsidRPr="00BE1959" w:rsidRDefault="00BE1959" w:rsidP="00BE1959">
                  <w:pPr>
                    <w:spacing w:after="0" w:line="240" w:lineRule="auto"/>
                    <w:jc w:val="both"/>
                    <w:rPr>
                      <w:rFonts w:ascii="Times New Roman" w:hAnsi="Times New Roman" w:cs="Times New Roman"/>
                      <w:sz w:val="24"/>
                      <w:szCs w:val="24"/>
                      <w:lang w:val="uk-UA"/>
                    </w:rPr>
                  </w:pPr>
                  <w:r w:rsidRPr="00BE1959">
                    <w:rPr>
                      <w:rFonts w:ascii="Times New Roman" w:hAnsi="Times New Roman" w:cs="Times New Roman"/>
                      <w:sz w:val="24"/>
                      <w:szCs w:val="24"/>
                      <w:lang w:val="uk-UA"/>
                    </w:rPr>
                    <w:t>Інвестиційні компанії;</w:t>
                  </w:r>
                </w:p>
              </w:tc>
            </w:tr>
          </w:tbl>
          <w:p w:rsidR="00BE1959" w:rsidRPr="00BE1959" w:rsidRDefault="00BE1959" w:rsidP="00BE1959">
            <w:pPr>
              <w:spacing w:after="0" w:line="240" w:lineRule="auto"/>
              <w:jc w:val="both"/>
              <w:rPr>
                <w:rFonts w:ascii="Times New Roman" w:hAnsi="Times New Roman" w:cs="Times New Roman"/>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38"/>
              <w:gridCol w:w="8421"/>
            </w:tblGrid>
            <w:tr w:rsidR="00BE1959" w:rsidRPr="0043174D" w:rsidTr="0088280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E1959" w:rsidRPr="00BE1959" w:rsidRDefault="00BE1959" w:rsidP="00BE1959">
                  <w:pPr>
                    <w:spacing w:after="0" w:line="240" w:lineRule="auto"/>
                    <w:jc w:val="both"/>
                    <w:rPr>
                      <w:rFonts w:ascii="Times New Roman" w:hAnsi="Times New Roman" w:cs="Times New Roman"/>
                      <w:sz w:val="24"/>
                      <w:szCs w:val="24"/>
                      <w:lang w:val="uk-UA"/>
                    </w:rPr>
                  </w:pPr>
                  <w:r w:rsidRPr="00BE1959">
                    <w:rPr>
                      <w:rFonts w:ascii="Times New Roman" w:hAnsi="Times New Roman" w:cs="Times New Roman"/>
                      <w:sz w:val="24"/>
                      <w:szCs w:val="24"/>
                      <w:lang w:val="uk-UA"/>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E1959" w:rsidRPr="00BE1959" w:rsidRDefault="00BE1959" w:rsidP="00BE1959">
                  <w:pPr>
                    <w:spacing w:after="0" w:line="240" w:lineRule="auto"/>
                    <w:jc w:val="both"/>
                    <w:rPr>
                      <w:rFonts w:ascii="Times New Roman" w:hAnsi="Times New Roman" w:cs="Times New Roman"/>
                      <w:sz w:val="24"/>
                      <w:szCs w:val="24"/>
                      <w:lang w:val="uk-UA"/>
                    </w:rPr>
                  </w:pPr>
                  <w:r w:rsidRPr="00BE1959">
                    <w:rPr>
                      <w:rFonts w:ascii="Times New Roman" w:hAnsi="Times New Roman" w:cs="Times New Roman"/>
                      <w:sz w:val="24"/>
                      <w:szCs w:val="24"/>
                      <w:lang w:val="uk-UA"/>
                    </w:rPr>
                    <w:t>Інші уповноважені або регульовані фінансові установи;</w:t>
                  </w:r>
                </w:p>
              </w:tc>
            </w:tr>
          </w:tbl>
          <w:p w:rsidR="00BE1959" w:rsidRPr="00BE1959" w:rsidRDefault="00BE1959" w:rsidP="00BE1959">
            <w:pPr>
              <w:spacing w:after="0" w:line="240" w:lineRule="auto"/>
              <w:jc w:val="both"/>
              <w:rPr>
                <w:rFonts w:ascii="Times New Roman" w:hAnsi="Times New Roman" w:cs="Times New Roman"/>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429"/>
              <w:gridCol w:w="7530"/>
            </w:tblGrid>
            <w:tr w:rsidR="00BE1959" w:rsidRPr="00BE1959" w:rsidTr="0088280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E1959" w:rsidRPr="00BE1959" w:rsidRDefault="00BE1959" w:rsidP="00BE1959">
                  <w:pPr>
                    <w:spacing w:after="0" w:line="240" w:lineRule="auto"/>
                    <w:jc w:val="both"/>
                    <w:rPr>
                      <w:rFonts w:ascii="Times New Roman" w:hAnsi="Times New Roman" w:cs="Times New Roman"/>
                      <w:sz w:val="24"/>
                      <w:szCs w:val="24"/>
                      <w:lang w:val="uk-UA"/>
                    </w:rPr>
                  </w:pPr>
                  <w:r w:rsidRPr="00BE1959">
                    <w:rPr>
                      <w:rFonts w:ascii="Times New Roman" w:hAnsi="Times New Roman" w:cs="Times New Roman"/>
                      <w:sz w:val="24"/>
                      <w:szCs w:val="24"/>
                      <w:lang w:val="uk-UA"/>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E1959" w:rsidRPr="00BE1959" w:rsidRDefault="00BE1959" w:rsidP="00BE1959">
                  <w:pPr>
                    <w:spacing w:after="0" w:line="240" w:lineRule="auto"/>
                    <w:jc w:val="both"/>
                    <w:rPr>
                      <w:rFonts w:ascii="Times New Roman" w:hAnsi="Times New Roman" w:cs="Times New Roman"/>
                      <w:sz w:val="24"/>
                      <w:szCs w:val="24"/>
                      <w:lang w:val="uk-UA"/>
                    </w:rPr>
                  </w:pPr>
                  <w:r w:rsidRPr="00BE1959">
                    <w:rPr>
                      <w:rFonts w:ascii="Times New Roman" w:hAnsi="Times New Roman" w:cs="Times New Roman"/>
                      <w:sz w:val="24"/>
                      <w:szCs w:val="24"/>
                      <w:lang w:val="uk-UA"/>
                    </w:rPr>
                    <w:t>Страхові компанії;</w:t>
                  </w:r>
                </w:p>
              </w:tc>
            </w:tr>
          </w:tbl>
          <w:p w:rsidR="00BE1959" w:rsidRPr="00BE1959" w:rsidRDefault="00BE1959" w:rsidP="00BE1959">
            <w:pPr>
              <w:spacing w:after="0" w:line="240" w:lineRule="auto"/>
              <w:jc w:val="both"/>
              <w:rPr>
                <w:rFonts w:ascii="Times New Roman" w:hAnsi="Times New Roman" w:cs="Times New Roman"/>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22"/>
              <w:gridCol w:w="8537"/>
            </w:tblGrid>
            <w:tr w:rsidR="00BE1959" w:rsidRPr="0043174D" w:rsidTr="0088280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E1959" w:rsidRPr="00BE1959" w:rsidRDefault="00BE1959" w:rsidP="00BE1959">
                  <w:pPr>
                    <w:spacing w:after="0" w:line="240" w:lineRule="auto"/>
                    <w:jc w:val="both"/>
                    <w:rPr>
                      <w:rFonts w:ascii="Times New Roman" w:hAnsi="Times New Roman" w:cs="Times New Roman"/>
                      <w:sz w:val="24"/>
                      <w:szCs w:val="24"/>
                      <w:lang w:val="uk-UA"/>
                    </w:rPr>
                  </w:pPr>
                  <w:r w:rsidRPr="00BE1959">
                    <w:rPr>
                      <w:rFonts w:ascii="Times New Roman" w:hAnsi="Times New Roman" w:cs="Times New Roman"/>
                      <w:sz w:val="24"/>
                      <w:szCs w:val="24"/>
                      <w:lang w:val="uk-UA"/>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E1959" w:rsidRPr="00BE1959" w:rsidRDefault="00BE1959" w:rsidP="00BE1959">
                  <w:pPr>
                    <w:spacing w:after="0" w:line="240" w:lineRule="auto"/>
                    <w:jc w:val="both"/>
                    <w:rPr>
                      <w:rFonts w:ascii="Times New Roman" w:hAnsi="Times New Roman" w:cs="Times New Roman"/>
                      <w:sz w:val="24"/>
                      <w:szCs w:val="24"/>
                      <w:lang w:val="uk-UA"/>
                    </w:rPr>
                  </w:pPr>
                  <w:r w:rsidRPr="00BE1959">
                    <w:rPr>
                      <w:rFonts w:ascii="Times New Roman" w:hAnsi="Times New Roman" w:cs="Times New Roman"/>
                      <w:sz w:val="24"/>
                      <w:szCs w:val="24"/>
                      <w:lang w:val="uk-UA"/>
                    </w:rPr>
                    <w:t>Колективні інвестиційні схеми та управляючі компанії такими схемами;</w:t>
                  </w:r>
                </w:p>
              </w:tc>
            </w:tr>
          </w:tbl>
          <w:p w:rsidR="00BE1959" w:rsidRPr="00BE1959" w:rsidRDefault="00BE1959" w:rsidP="00BE1959">
            <w:pPr>
              <w:spacing w:after="0" w:line="240" w:lineRule="auto"/>
              <w:jc w:val="both"/>
              <w:rPr>
                <w:rFonts w:ascii="Times New Roman" w:hAnsi="Times New Roman" w:cs="Times New Roman"/>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65"/>
              <w:gridCol w:w="8494"/>
            </w:tblGrid>
            <w:tr w:rsidR="00BE1959" w:rsidRPr="0043174D" w:rsidTr="0088280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E1959" w:rsidRPr="00BE1959" w:rsidRDefault="00BE1959" w:rsidP="00BE1959">
                  <w:pPr>
                    <w:spacing w:after="0" w:line="240" w:lineRule="auto"/>
                    <w:jc w:val="both"/>
                    <w:rPr>
                      <w:rFonts w:ascii="Times New Roman" w:hAnsi="Times New Roman" w:cs="Times New Roman"/>
                      <w:sz w:val="24"/>
                      <w:szCs w:val="24"/>
                      <w:lang w:val="uk-UA"/>
                    </w:rPr>
                  </w:pPr>
                  <w:r w:rsidRPr="00BE1959">
                    <w:rPr>
                      <w:rFonts w:ascii="Times New Roman" w:hAnsi="Times New Roman" w:cs="Times New Roman"/>
                      <w:sz w:val="24"/>
                      <w:szCs w:val="24"/>
                      <w:lang w:val="uk-UA"/>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E1959" w:rsidRPr="00BE1959" w:rsidRDefault="00BE1959" w:rsidP="00BE1959">
                  <w:pPr>
                    <w:spacing w:after="0" w:line="240" w:lineRule="auto"/>
                    <w:jc w:val="both"/>
                    <w:rPr>
                      <w:rFonts w:ascii="Times New Roman" w:hAnsi="Times New Roman" w:cs="Times New Roman"/>
                      <w:sz w:val="24"/>
                      <w:szCs w:val="24"/>
                      <w:lang w:val="uk-UA"/>
                    </w:rPr>
                  </w:pPr>
                  <w:r w:rsidRPr="00BE1959">
                    <w:rPr>
                      <w:rFonts w:ascii="Times New Roman" w:hAnsi="Times New Roman" w:cs="Times New Roman"/>
                      <w:sz w:val="24"/>
                      <w:szCs w:val="24"/>
                      <w:lang w:val="uk-UA"/>
                    </w:rPr>
                    <w:t>Пенсійні фонди та та управляючі компанії такими фондами;</w:t>
                  </w:r>
                </w:p>
              </w:tc>
            </w:tr>
          </w:tbl>
          <w:p w:rsidR="00BE1959" w:rsidRPr="00BE1959" w:rsidRDefault="00BE1959" w:rsidP="00BE1959">
            <w:pPr>
              <w:spacing w:after="0" w:line="240" w:lineRule="auto"/>
              <w:jc w:val="both"/>
              <w:rPr>
                <w:rFonts w:ascii="Times New Roman" w:hAnsi="Times New Roman" w:cs="Times New Roman"/>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736"/>
              <w:gridCol w:w="8223"/>
            </w:tblGrid>
            <w:tr w:rsidR="00BE1959" w:rsidRPr="0043174D" w:rsidTr="0088280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E1959" w:rsidRPr="00BE1959" w:rsidRDefault="00BE1959" w:rsidP="00BE1959">
                  <w:pPr>
                    <w:spacing w:after="0" w:line="240" w:lineRule="auto"/>
                    <w:jc w:val="both"/>
                    <w:rPr>
                      <w:rFonts w:ascii="Times New Roman" w:hAnsi="Times New Roman" w:cs="Times New Roman"/>
                      <w:sz w:val="24"/>
                      <w:szCs w:val="24"/>
                      <w:lang w:val="uk-UA"/>
                    </w:rPr>
                  </w:pPr>
                  <w:r w:rsidRPr="00BE1959">
                    <w:rPr>
                      <w:rFonts w:ascii="Times New Roman" w:hAnsi="Times New Roman" w:cs="Times New Roman"/>
                      <w:sz w:val="24"/>
                      <w:szCs w:val="24"/>
                      <w:lang w:val="uk-UA"/>
                    </w:rPr>
                    <w:t>(g)</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E1959" w:rsidRPr="00BE1959" w:rsidRDefault="00BE1959" w:rsidP="00BE1959">
                  <w:pPr>
                    <w:spacing w:after="0" w:line="240" w:lineRule="auto"/>
                    <w:jc w:val="both"/>
                    <w:rPr>
                      <w:rFonts w:ascii="Times New Roman" w:hAnsi="Times New Roman" w:cs="Times New Roman"/>
                      <w:sz w:val="24"/>
                      <w:szCs w:val="24"/>
                      <w:lang w:val="uk-UA"/>
                    </w:rPr>
                  </w:pPr>
                  <w:r w:rsidRPr="00BE1959">
                    <w:rPr>
                      <w:rFonts w:ascii="Times New Roman" w:hAnsi="Times New Roman" w:cs="Times New Roman"/>
                      <w:sz w:val="24"/>
                      <w:szCs w:val="24"/>
                      <w:lang w:val="uk-UA"/>
                    </w:rPr>
                    <w:t>Дилери товарів та товарних деривативів;</w:t>
                  </w:r>
                </w:p>
              </w:tc>
            </w:tr>
          </w:tbl>
          <w:p w:rsidR="00BE1959" w:rsidRPr="00BE1959" w:rsidRDefault="00BE1959" w:rsidP="00BE1959">
            <w:pPr>
              <w:spacing w:after="0" w:line="240" w:lineRule="auto"/>
              <w:jc w:val="both"/>
              <w:rPr>
                <w:rFonts w:ascii="Times New Roman" w:hAnsi="Times New Roman" w:cs="Times New Roman"/>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497"/>
              <w:gridCol w:w="7462"/>
            </w:tblGrid>
            <w:tr w:rsidR="00BE1959" w:rsidRPr="00BE1959" w:rsidTr="0088280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E1959" w:rsidRPr="00BE1959" w:rsidRDefault="00BE1959" w:rsidP="00BE1959">
                  <w:pPr>
                    <w:spacing w:after="0" w:line="240" w:lineRule="auto"/>
                    <w:jc w:val="both"/>
                    <w:rPr>
                      <w:rFonts w:ascii="Times New Roman" w:hAnsi="Times New Roman" w:cs="Times New Roman"/>
                      <w:sz w:val="24"/>
                      <w:szCs w:val="24"/>
                      <w:lang w:val="uk-UA"/>
                    </w:rPr>
                  </w:pPr>
                  <w:r w:rsidRPr="00BE1959">
                    <w:rPr>
                      <w:rFonts w:ascii="Times New Roman" w:hAnsi="Times New Roman" w:cs="Times New Roman"/>
                      <w:sz w:val="24"/>
                      <w:szCs w:val="24"/>
                      <w:lang w:val="uk-UA"/>
                    </w:rPr>
                    <w:t>(h)</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E1959" w:rsidRPr="00BE1959" w:rsidRDefault="00BE1959" w:rsidP="00BE1959">
                  <w:pPr>
                    <w:spacing w:after="0" w:line="240" w:lineRule="auto"/>
                    <w:jc w:val="both"/>
                    <w:rPr>
                      <w:rFonts w:ascii="Times New Roman" w:hAnsi="Times New Roman" w:cs="Times New Roman"/>
                      <w:sz w:val="24"/>
                      <w:szCs w:val="24"/>
                      <w:lang w:val="uk-UA"/>
                    </w:rPr>
                  </w:pPr>
                  <w:r w:rsidRPr="00BE1959">
                    <w:rPr>
                      <w:rFonts w:ascii="Times New Roman" w:hAnsi="Times New Roman" w:cs="Times New Roman"/>
                      <w:sz w:val="24"/>
                      <w:szCs w:val="24"/>
                      <w:lang w:val="uk-UA"/>
                    </w:rPr>
                    <w:t>Місцеві компанії;</w:t>
                  </w:r>
                </w:p>
              </w:tc>
            </w:tr>
          </w:tbl>
          <w:p w:rsidR="00BE1959" w:rsidRPr="00BE1959" w:rsidRDefault="00BE1959" w:rsidP="00BE1959">
            <w:pPr>
              <w:spacing w:after="0" w:line="240" w:lineRule="auto"/>
              <w:jc w:val="both"/>
              <w:rPr>
                <w:rFonts w:ascii="Times New Roman" w:hAnsi="Times New Roman" w:cs="Times New Roman"/>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86"/>
              <w:gridCol w:w="8073"/>
            </w:tblGrid>
            <w:tr w:rsidR="00BE1959" w:rsidRPr="00BE1959" w:rsidTr="0088280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E1959" w:rsidRPr="00BE1959" w:rsidRDefault="00BE1959" w:rsidP="00BE1959">
                  <w:pPr>
                    <w:spacing w:after="0" w:line="240" w:lineRule="auto"/>
                    <w:jc w:val="both"/>
                    <w:rPr>
                      <w:rFonts w:ascii="Times New Roman" w:hAnsi="Times New Roman" w:cs="Times New Roman"/>
                      <w:sz w:val="24"/>
                      <w:szCs w:val="24"/>
                      <w:lang w:val="uk-UA"/>
                    </w:rPr>
                  </w:pPr>
                  <w:r w:rsidRPr="00BE1959">
                    <w:rPr>
                      <w:rFonts w:ascii="Times New Roman" w:hAnsi="Times New Roman" w:cs="Times New Roman"/>
                      <w:sz w:val="24"/>
                      <w:szCs w:val="24"/>
                      <w:lang w:val="uk-UA"/>
                    </w:rPr>
                    <w:t>(i)</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E1959" w:rsidRPr="00BE1959" w:rsidRDefault="00BE1959" w:rsidP="00BE1959">
                  <w:pPr>
                    <w:spacing w:after="0" w:line="240" w:lineRule="auto"/>
                    <w:jc w:val="both"/>
                    <w:rPr>
                      <w:rFonts w:ascii="Times New Roman" w:hAnsi="Times New Roman" w:cs="Times New Roman"/>
                      <w:sz w:val="24"/>
                      <w:szCs w:val="24"/>
                      <w:lang w:val="uk-UA"/>
                    </w:rPr>
                  </w:pPr>
                  <w:r w:rsidRPr="00BE1959">
                    <w:rPr>
                      <w:rFonts w:ascii="Times New Roman" w:hAnsi="Times New Roman" w:cs="Times New Roman"/>
                      <w:sz w:val="24"/>
                      <w:szCs w:val="24"/>
                      <w:lang w:val="uk-UA"/>
                    </w:rPr>
                    <w:t>Інші інституційні інвестори;</w:t>
                  </w:r>
                </w:p>
              </w:tc>
            </w:tr>
          </w:tbl>
          <w:p w:rsidR="00BE1959" w:rsidRPr="00BE1959" w:rsidRDefault="00BE1959" w:rsidP="00BE1959">
            <w:pPr>
              <w:spacing w:after="0" w:line="240" w:lineRule="auto"/>
              <w:jc w:val="both"/>
              <w:rPr>
                <w:rFonts w:ascii="Times New Roman" w:hAnsi="Times New Roman" w:cs="Times New Roman"/>
                <w:sz w:val="24"/>
                <w:szCs w:val="24"/>
                <w:lang w:val="uk-UA"/>
              </w:rPr>
            </w:pPr>
          </w:p>
        </w:tc>
      </w:tr>
    </w:tbl>
    <w:p w:rsidR="00BE1959" w:rsidRPr="00BE1959" w:rsidRDefault="00BE1959" w:rsidP="00BE1959">
      <w:pPr>
        <w:spacing w:after="0" w:line="240" w:lineRule="auto"/>
        <w:jc w:val="both"/>
        <w:rPr>
          <w:rFonts w:ascii="Times New Roman" w:hAnsi="Times New Roman" w:cs="Times New Roman"/>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BE1959" w:rsidRPr="00BE1959" w:rsidTr="0088280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E1959" w:rsidRPr="00BE1959" w:rsidRDefault="00BE1959" w:rsidP="00BE1959">
            <w:pPr>
              <w:spacing w:after="0" w:line="240" w:lineRule="auto"/>
              <w:jc w:val="both"/>
              <w:rPr>
                <w:rFonts w:ascii="Times New Roman" w:hAnsi="Times New Roman" w:cs="Times New Roman"/>
                <w:sz w:val="24"/>
                <w:szCs w:val="24"/>
                <w:lang w:val="uk-UA"/>
              </w:rPr>
            </w:pPr>
            <w:r w:rsidRPr="00BE1959">
              <w:rPr>
                <w:rFonts w:ascii="Times New Roman" w:hAnsi="Times New Roman" w:cs="Times New Roman"/>
                <w:sz w:val="24"/>
                <w:szCs w:val="24"/>
                <w:lang w:val="uk-UA"/>
              </w:rPr>
              <w:t>(2)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E1959" w:rsidRPr="00BE1959" w:rsidRDefault="00BE1959" w:rsidP="00BE1959">
            <w:pPr>
              <w:spacing w:after="0" w:line="240" w:lineRule="auto"/>
              <w:jc w:val="both"/>
              <w:rPr>
                <w:rFonts w:ascii="Times New Roman" w:hAnsi="Times New Roman" w:cs="Times New Roman"/>
                <w:sz w:val="24"/>
                <w:szCs w:val="24"/>
                <w:lang w:val="uk-UA"/>
              </w:rPr>
            </w:pPr>
            <w:r w:rsidRPr="00BE1959">
              <w:rPr>
                <w:rFonts w:ascii="Times New Roman" w:hAnsi="Times New Roman" w:cs="Times New Roman"/>
                <w:sz w:val="24"/>
                <w:szCs w:val="24"/>
                <w:lang w:val="uk-UA"/>
              </w:rPr>
              <w:t>Великі підприємства, які відповідають двом із наступних критеріїв по розмірам на основі компанії:</w:t>
            </w:r>
          </w:p>
          <w:p w:rsidR="00BE1959" w:rsidRPr="00BE1959" w:rsidRDefault="00BE1959" w:rsidP="00BE1959">
            <w:pPr>
              <w:spacing w:after="0" w:line="240" w:lineRule="auto"/>
              <w:jc w:val="both"/>
              <w:rPr>
                <w:rFonts w:ascii="Times New Roman" w:hAnsi="Times New Roman" w:cs="Times New Roman"/>
                <w:sz w:val="24"/>
                <w:szCs w:val="24"/>
                <w:lang w:val="uk-UA"/>
              </w:rPr>
            </w:pPr>
            <w:r w:rsidRPr="00BE1959">
              <w:rPr>
                <w:rFonts w:ascii="Times New Roman" w:hAnsi="Times New Roman" w:cs="Times New Roman"/>
                <w:sz w:val="24"/>
                <w:szCs w:val="24"/>
                <w:lang w:val="uk-UA"/>
              </w:rPr>
              <w:t>—   валюта балансу:  20 000 000 євро</w:t>
            </w:r>
          </w:p>
          <w:p w:rsidR="00BE1959" w:rsidRPr="00BE1959" w:rsidRDefault="00BE1959" w:rsidP="00BE1959">
            <w:pPr>
              <w:spacing w:after="0" w:line="240" w:lineRule="auto"/>
              <w:jc w:val="both"/>
              <w:rPr>
                <w:rFonts w:ascii="Times New Roman" w:hAnsi="Times New Roman" w:cs="Times New Roman"/>
                <w:sz w:val="24"/>
                <w:szCs w:val="24"/>
                <w:lang w:val="uk-UA"/>
              </w:rPr>
            </w:pPr>
            <w:r w:rsidRPr="00BE1959">
              <w:rPr>
                <w:rFonts w:ascii="Times New Roman" w:hAnsi="Times New Roman" w:cs="Times New Roman"/>
                <w:sz w:val="24"/>
                <w:szCs w:val="24"/>
                <w:lang w:val="uk-UA"/>
              </w:rPr>
              <w:t>—   чистий товарооборот:  40 000 000 євро</w:t>
            </w:r>
          </w:p>
          <w:p w:rsidR="00BE1959" w:rsidRPr="00BE1959" w:rsidRDefault="00BE1959" w:rsidP="00BE1959">
            <w:pPr>
              <w:spacing w:after="0" w:line="240" w:lineRule="auto"/>
              <w:jc w:val="both"/>
              <w:rPr>
                <w:rFonts w:ascii="Times New Roman" w:hAnsi="Times New Roman" w:cs="Times New Roman"/>
                <w:sz w:val="24"/>
                <w:szCs w:val="24"/>
                <w:lang w:val="uk-UA"/>
              </w:rPr>
            </w:pPr>
            <w:r w:rsidRPr="00BE1959">
              <w:rPr>
                <w:rFonts w:ascii="Times New Roman" w:hAnsi="Times New Roman" w:cs="Times New Roman"/>
                <w:sz w:val="24"/>
                <w:szCs w:val="24"/>
                <w:lang w:val="uk-UA"/>
              </w:rPr>
              <w:t>—   власні кошти: 2 000 000 євро</w:t>
            </w:r>
          </w:p>
        </w:tc>
      </w:tr>
    </w:tbl>
    <w:p w:rsidR="00BE1959" w:rsidRPr="00BE1959" w:rsidRDefault="00BE1959" w:rsidP="00BE1959">
      <w:pPr>
        <w:spacing w:after="0" w:line="240" w:lineRule="auto"/>
        <w:jc w:val="both"/>
        <w:rPr>
          <w:rFonts w:ascii="Times New Roman" w:hAnsi="Times New Roman" w:cs="Times New Roman"/>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BE1959" w:rsidRPr="0043174D" w:rsidTr="0088280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E1959" w:rsidRPr="00BE1959" w:rsidRDefault="00BE1959" w:rsidP="00BE1959">
            <w:pPr>
              <w:spacing w:after="0" w:line="240" w:lineRule="auto"/>
              <w:jc w:val="both"/>
              <w:rPr>
                <w:rFonts w:ascii="Times New Roman" w:hAnsi="Times New Roman" w:cs="Times New Roman"/>
                <w:sz w:val="24"/>
                <w:szCs w:val="24"/>
                <w:lang w:val="uk-UA"/>
              </w:rPr>
            </w:pPr>
            <w:r w:rsidRPr="00BE1959">
              <w:rPr>
                <w:rFonts w:ascii="Times New Roman" w:hAnsi="Times New Roman" w:cs="Times New Roman"/>
                <w:sz w:val="24"/>
                <w:szCs w:val="24"/>
                <w:lang w:val="uk-UA"/>
              </w:rPr>
              <w:t>(3)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E1959" w:rsidRPr="00BE1959" w:rsidRDefault="00BE1959" w:rsidP="00BE1959">
            <w:pPr>
              <w:spacing w:after="0" w:line="240" w:lineRule="auto"/>
              <w:jc w:val="both"/>
              <w:rPr>
                <w:rFonts w:ascii="Times New Roman" w:hAnsi="Times New Roman" w:cs="Times New Roman"/>
                <w:sz w:val="24"/>
                <w:szCs w:val="24"/>
                <w:lang w:val="uk-UA"/>
              </w:rPr>
            </w:pPr>
            <w:r w:rsidRPr="00BE1959">
              <w:rPr>
                <w:rFonts w:ascii="Times New Roman" w:hAnsi="Times New Roman" w:cs="Times New Roman"/>
                <w:sz w:val="24"/>
                <w:szCs w:val="24"/>
                <w:lang w:val="uk-UA"/>
              </w:rPr>
              <w:t>Національні та регіональні органи влади, включаючи державні органи влади, які управляють державним боргом на національному або регіональному рівні, центральні банки, міжнародні та наднаціональні установи, такі як Світовий банк, МВФ, ЄЦБ, ЄІБ та інші подібні міжнародні організації.</w:t>
            </w:r>
          </w:p>
        </w:tc>
      </w:tr>
      <w:tr w:rsidR="00BE1959" w:rsidRPr="0043174D" w:rsidTr="0088280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E1959" w:rsidRPr="00BE1959" w:rsidRDefault="00BE1959" w:rsidP="00BE1959">
            <w:pPr>
              <w:spacing w:after="0" w:line="240" w:lineRule="auto"/>
              <w:jc w:val="both"/>
              <w:rPr>
                <w:rFonts w:ascii="Times New Roman" w:hAnsi="Times New Roman" w:cs="Times New Roman"/>
                <w:sz w:val="24"/>
                <w:szCs w:val="24"/>
                <w:lang w:val="uk-UA"/>
              </w:rPr>
            </w:pPr>
            <w:r w:rsidRPr="00BE1959">
              <w:rPr>
                <w:rFonts w:ascii="Times New Roman" w:hAnsi="Times New Roman" w:cs="Times New Roman"/>
                <w:sz w:val="24"/>
                <w:szCs w:val="24"/>
                <w:lang w:val="uk-UA"/>
              </w:rPr>
              <w:t>(4)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E1959" w:rsidRPr="00BE1959" w:rsidRDefault="00BE1959" w:rsidP="00BE1959">
            <w:pPr>
              <w:spacing w:after="0" w:line="240" w:lineRule="auto"/>
              <w:jc w:val="both"/>
              <w:rPr>
                <w:rFonts w:ascii="Times New Roman" w:hAnsi="Times New Roman" w:cs="Times New Roman"/>
                <w:sz w:val="24"/>
                <w:szCs w:val="24"/>
                <w:lang w:val="uk-UA"/>
              </w:rPr>
            </w:pPr>
            <w:r w:rsidRPr="00BE1959">
              <w:rPr>
                <w:rStyle w:val="hps"/>
                <w:rFonts w:ascii="Times New Roman" w:hAnsi="Times New Roman" w:cs="Times New Roman"/>
                <w:color w:val="222222"/>
                <w:sz w:val="24"/>
                <w:szCs w:val="24"/>
                <w:lang w:val="uk-UA"/>
              </w:rPr>
              <w:t>Інші</w:t>
            </w:r>
            <w:r w:rsidRPr="00BE1959">
              <w:rPr>
                <w:rFonts w:ascii="Times New Roman" w:hAnsi="Times New Roman" w:cs="Times New Roman"/>
                <w:color w:val="222222"/>
                <w:sz w:val="24"/>
                <w:szCs w:val="24"/>
                <w:lang w:val="uk-UA"/>
              </w:rPr>
              <w:t xml:space="preserve"> </w:t>
            </w:r>
            <w:r w:rsidRPr="00BE1959">
              <w:rPr>
                <w:rStyle w:val="hps"/>
                <w:rFonts w:ascii="Times New Roman" w:hAnsi="Times New Roman" w:cs="Times New Roman"/>
                <w:color w:val="222222"/>
                <w:sz w:val="24"/>
                <w:szCs w:val="24"/>
                <w:lang w:val="uk-UA"/>
              </w:rPr>
              <w:t>інституційні інвестори</w:t>
            </w:r>
            <w:r w:rsidRPr="00BE1959">
              <w:rPr>
                <w:rFonts w:ascii="Times New Roman" w:hAnsi="Times New Roman" w:cs="Times New Roman"/>
                <w:color w:val="222222"/>
                <w:sz w:val="24"/>
                <w:szCs w:val="24"/>
                <w:lang w:val="uk-UA"/>
              </w:rPr>
              <w:t xml:space="preserve">, </w:t>
            </w:r>
            <w:r w:rsidRPr="00BE1959">
              <w:rPr>
                <w:rStyle w:val="hps"/>
                <w:rFonts w:ascii="Times New Roman" w:hAnsi="Times New Roman" w:cs="Times New Roman"/>
                <w:color w:val="222222"/>
                <w:sz w:val="24"/>
                <w:szCs w:val="24"/>
                <w:lang w:val="uk-UA"/>
              </w:rPr>
              <w:t>основна діяльність</w:t>
            </w:r>
            <w:r w:rsidRPr="00BE1959">
              <w:rPr>
                <w:rFonts w:ascii="Times New Roman" w:hAnsi="Times New Roman" w:cs="Times New Roman"/>
                <w:color w:val="222222"/>
                <w:sz w:val="24"/>
                <w:szCs w:val="24"/>
                <w:lang w:val="uk-UA"/>
              </w:rPr>
              <w:t xml:space="preserve"> яких </w:t>
            </w:r>
            <w:r w:rsidRPr="00BE1959">
              <w:rPr>
                <w:rStyle w:val="hps"/>
                <w:rFonts w:ascii="Times New Roman" w:hAnsi="Times New Roman" w:cs="Times New Roman"/>
                <w:color w:val="222222"/>
                <w:sz w:val="24"/>
                <w:szCs w:val="24"/>
                <w:lang w:val="uk-UA"/>
              </w:rPr>
              <w:t>полягає в інвестуванні</w:t>
            </w:r>
            <w:r w:rsidRPr="00BE1959">
              <w:rPr>
                <w:rFonts w:ascii="Times New Roman" w:hAnsi="Times New Roman" w:cs="Times New Roman"/>
                <w:color w:val="222222"/>
                <w:sz w:val="24"/>
                <w:szCs w:val="24"/>
                <w:lang w:val="uk-UA"/>
              </w:rPr>
              <w:t xml:space="preserve"> </w:t>
            </w:r>
            <w:r w:rsidRPr="00BE1959">
              <w:rPr>
                <w:rStyle w:val="hps"/>
                <w:rFonts w:ascii="Times New Roman" w:hAnsi="Times New Roman" w:cs="Times New Roman"/>
                <w:color w:val="222222"/>
                <w:sz w:val="24"/>
                <w:szCs w:val="24"/>
                <w:lang w:val="uk-UA"/>
              </w:rPr>
              <w:t>у фінансові інструменти</w:t>
            </w:r>
            <w:r w:rsidRPr="00BE1959">
              <w:rPr>
                <w:rFonts w:ascii="Times New Roman" w:hAnsi="Times New Roman" w:cs="Times New Roman"/>
                <w:color w:val="222222"/>
                <w:sz w:val="24"/>
                <w:szCs w:val="24"/>
                <w:lang w:val="uk-UA"/>
              </w:rPr>
              <w:t xml:space="preserve">, </w:t>
            </w:r>
            <w:r w:rsidRPr="00BE1959">
              <w:rPr>
                <w:rStyle w:val="hps"/>
                <w:rFonts w:ascii="Times New Roman" w:hAnsi="Times New Roman" w:cs="Times New Roman"/>
                <w:color w:val="222222"/>
                <w:sz w:val="24"/>
                <w:szCs w:val="24"/>
                <w:lang w:val="uk-UA"/>
              </w:rPr>
              <w:t>включаючи осіб</w:t>
            </w:r>
            <w:r w:rsidRPr="00BE1959">
              <w:rPr>
                <w:rFonts w:ascii="Times New Roman" w:hAnsi="Times New Roman" w:cs="Times New Roman"/>
                <w:color w:val="222222"/>
                <w:sz w:val="24"/>
                <w:szCs w:val="24"/>
                <w:lang w:val="uk-UA"/>
              </w:rPr>
              <w:t xml:space="preserve">, які здійснюють </w:t>
            </w:r>
            <w:r w:rsidRPr="00BE1959">
              <w:rPr>
                <w:rStyle w:val="hps"/>
                <w:rFonts w:ascii="Times New Roman" w:hAnsi="Times New Roman" w:cs="Times New Roman"/>
                <w:color w:val="222222"/>
                <w:sz w:val="24"/>
                <w:szCs w:val="24"/>
                <w:lang w:val="uk-UA"/>
              </w:rPr>
              <w:t>сек'юритизацію</w:t>
            </w:r>
            <w:r w:rsidRPr="00BE1959">
              <w:rPr>
                <w:rFonts w:ascii="Times New Roman" w:hAnsi="Times New Roman" w:cs="Times New Roman"/>
                <w:color w:val="222222"/>
                <w:sz w:val="24"/>
                <w:szCs w:val="24"/>
                <w:lang w:val="uk-UA"/>
              </w:rPr>
              <w:t xml:space="preserve"> </w:t>
            </w:r>
            <w:r w:rsidRPr="00BE1959">
              <w:rPr>
                <w:rStyle w:val="hps"/>
                <w:rFonts w:ascii="Times New Roman" w:hAnsi="Times New Roman" w:cs="Times New Roman"/>
                <w:color w:val="222222"/>
                <w:sz w:val="24"/>
                <w:szCs w:val="24"/>
                <w:lang w:val="uk-UA"/>
              </w:rPr>
              <w:t>активів або</w:t>
            </w:r>
            <w:r w:rsidRPr="00BE1959">
              <w:rPr>
                <w:rFonts w:ascii="Times New Roman" w:hAnsi="Times New Roman" w:cs="Times New Roman"/>
                <w:color w:val="222222"/>
                <w:sz w:val="24"/>
                <w:szCs w:val="24"/>
                <w:lang w:val="uk-UA"/>
              </w:rPr>
              <w:t xml:space="preserve"> </w:t>
            </w:r>
            <w:r w:rsidRPr="00BE1959">
              <w:rPr>
                <w:rStyle w:val="hps"/>
                <w:rFonts w:ascii="Times New Roman" w:hAnsi="Times New Roman" w:cs="Times New Roman"/>
                <w:color w:val="222222"/>
                <w:sz w:val="24"/>
                <w:szCs w:val="24"/>
                <w:lang w:val="uk-UA"/>
              </w:rPr>
              <w:t>інших</w:t>
            </w:r>
            <w:r w:rsidRPr="00BE1959">
              <w:rPr>
                <w:rFonts w:ascii="Times New Roman" w:hAnsi="Times New Roman" w:cs="Times New Roman"/>
                <w:color w:val="222222"/>
                <w:sz w:val="24"/>
                <w:szCs w:val="24"/>
                <w:lang w:val="uk-UA"/>
              </w:rPr>
              <w:t xml:space="preserve"> </w:t>
            </w:r>
            <w:r w:rsidRPr="00BE1959">
              <w:rPr>
                <w:rStyle w:val="hps"/>
                <w:rFonts w:ascii="Times New Roman" w:hAnsi="Times New Roman" w:cs="Times New Roman"/>
                <w:color w:val="222222"/>
                <w:sz w:val="24"/>
                <w:szCs w:val="24"/>
                <w:lang w:val="uk-UA"/>
              </w:rPr>
              <w:t>фінансових угод</w:t>
            </w:r>
            <w:r w:rsidRPr="00BE1959">
              <w:rPr>
                <w:rFonts w:ascii="Times New Roman" w:hAnsi="Times New Roman" w:cs="Times New Roman"/>
                <w:color w:val="222222"/>
                <w:sz w:val="24"/>
                <w:szCs w:val="24"/>
                <w:lang w:val="uk-UA"/>
              </w:rPr>
              <w:t>.</w:t>
            </w:r>
          </w:p>
        </w:tc>
      </w:tr>
    </w:tbl>
    <w:p w:rsidR="00BE1959" w:rsidRPr="00BE1959" w:rsidRDefault="00BE1959" w:rsidP="00BE1959">
      <w:pPr>
        <w:spacing w:after="0" w:line="240" w:lineRule="auto"/>
        <w:jc w:val="both"/>
        <w:rPr>
          <w:rFonts w:ascii="Times New Roman" w:hAnsi="Times New Roman" w:cs="Times New Roman"/>
          <w:sz w:val="24"/>
          <w:szCs w:val="24"/>
          <w:lang w:val="uk-UA"/>
        </w:rPr>
      </w:pPr>
      <w:r w:rsidRPr="00BE1959">
        <w:rPr>
          <w:rStyle w:val="hps"/>
          <w:rFonts w:ascii="Times New Roman" w:hAnsi="Times New Roman" w:cs="Times New Roman"/>
          <w:color w:val="222222"/>
          <w:sz w:val="24"/>
          <w:szCs w:val="24"/>
          <w:lang w:val="uk-UA"/>
        </w:rPr>
        <w:t>Об'єкти</w:t>
      </w:r>
      <w:r w:rsidRPr="00BE1959">
        <w:rPr>
          <w:rFonts w:ascii="Times New Roman" w:hAnsi="Times New Roman" w:cs="Times New Roman"/>
          <w:color w:val="222222"/>
          <w:sz w:val="24"/>
          <w:szCs w:val="24"/>
          <w:lang w:val="uk-UA"/>
        </w:rPr>
        <w:t xml:space="preserve">, зазначені </w:t>
      </w:r>
      <w:r w:rsidRPr="00BE1959">
        <w:rPr>
          <w:rStyle w:val="hps"/>
          <w:rFonts w:ascii="Times New Roman" w:hAnsi="Times New Roman" w:cs="Times New Roman"/>
          <w:color w:val="222222"/>
          <w:sz w:val="24"/>
          <w:szCs w:val="24"/>
          <w:lang w:val="uk-UA"/>
        </w:rPr>
        <w:t>вище, вважаються</w:t>
      </w:r>
      <w:r w:rsidRPr="00BE1959">
        <w:rPr>
          <w:rFonts w:ascii="Times New Roman" w:hAnsi="Times New Roman" w:cs="Times New Roman"/>
          <w:color w:val="222222"/>
          <w:sz w:val="24"/>
          <w:szCs w:val="24"/>
          <w:lang w:val="uk-UA"/>
        </w:rPr>
        <w:t xml:space="preserve"> </w:t>
      </w:r>
      <w:r w:rsidRPr="00BE1959">
        <w:rPr>
          <w:rStyle w:val="hps"/>
          <w:rFonts w:ascii="Times New Roman" w:hAnsi="Times New Roman" w:cs="Times New Roman"/>
          <w:color w:val="222222"/>
          <w:sz w:val="24"/>
          <w:szCs w:val="24"/>
          <w:lang w:val="uk-UA"/>
        </w:rPr>
        <w:t>професіоналами.</w:t>
      </w:r>
      <w:r w:rsidRPr="00BE1959">
        <w:rPr>
          <w:rFonts w:ascii="Times New Roman" w:hAnsi="Times New Roman" w:cs="Times New Roman"/>
          <w:color w:val="222222"/>
          <w:sz w:val="24"/>
          <w:szCs w:val="24"/>
          <w:lang w:val="uk-UA"/>
        </w:rPr>
        <w:t xml:space="preserve"> </w:t>
      </w:r>
      <w:r w:rsidRPr="00BE1959">
        <w:rPr>
          <w:rStyle w:val="hps"/>
          <w:rFonts w:ascii="Times New Roman" w:hAnsi="Times New Roman" w:cs="Times New Roman"/>
          <w:color w:val="222222"/>
          <w:sz w:val="24"/>
          <w:szCs w:val="24"/>
          <w:lang w:val="uk-UA"/>
        </w:rPr>
        <w:t>Проте, їм повинно бути дозволено просити не</w:t>
      </w:r>
      <w:r w:rsidRPr="00BE1959">
        <w:rPr>
          <w:rFonts w:ascii="Times New Roman" w:hAnsi="Times New Roman" w:cs="Times New Roman"/>
          <w:color w:val="222222"/>
          <w:sz w:val="24"/>
          <w:szCs w:val="24"/>
          <w:lang w:val="uk-UA"/>
        </w:rPr>
        <w:t xml:space="preserve">професійне ставлення </w:t>
      </w:r>
      <w:r w:rsidRPr="00BE1959">
        <w:rPr>
          <w:rStyle w:val="hps"/>
          <w:rFonts w:ascii="Times New Roman" w:hAnsi="Times New Roman" w:cs="Times New Roman"/>
          <w:color w:val="222222"/>
          <w:sz w:val="24"/>
          <w:szCs w:val="24"/>
          <w:lang w:val="uk-UA"/>
        </w:rPr>
        <w:t>та</w:t>
      </w:r>
      <w:r w:rsidRPr="00BE1959">
        <w:rPr>
          <w:rFonts w:ascii="Times New Roman" w:hAnsi="Times New Roman" w:cs="Times New Roman"/>
          <w:color w:val="222222"/>
          <w:sz w:val="24"/>
          <w:szCs w:val="24"/>
          <w:lang w:val="uk-UA"/>
        </w:rPr>
        <w:t xml:space="preserve"> </w:t>
      </w:r>
      <w:r w:rsidRPr="00BE1959">
        <w:rPr>
          <w:rStyle w:val="hps"/>
          <w:rFonts w:ascii="Times New Roman" w:hAnsi="Times New Roman" w:cs="Times New Roman"/>
          <w:color w:val="222222"/>
          <w:sz w:val="24"/>
          <w:szCs w:val="24"/>
          <w:lang w:val="uk-UA"/>
        </w:rPr>
        <w:t>інвестиційні</w:t>
      </w:r>
      <w:r w:rsidRPr="00BE1959">
        <w:rPr>
          <w:rFonts w:ascii="Times New Roman" w:hAnsi="Times New Roman" w:cs="Times New Roman"/>
          <w:color w:val="222222"/>
          <w:sz w:val="24"/>
          <w:szCs w:val="24"/>
          <w:lang w:val="uk-UA"/>
        </w:rPr>
        <w:t xml:space="preserve"> </w:t>
      </w:r>
      <w:r w:rsidRPr="00BE1959">
        <w:rPr>
          <w:rStyle w:val="hps"/>
          <w:rFonts w:ascii="Times New Roman" w:hAnsi="Times New Roman" w:cs="Times New Roman"/>
          <w:color w:val="222222"/>
          <w:sz w:val="24"/>
          <w:szCs w:val="24"/>
          <w:lang w:val="uk-UA"/>
        </w:rPr>
        <w:t>фірми можуть</w:t>
      </w:r>
      <w:r w:rsidRPr="00BE1959">
        <w:rPr>
          <w:rFonts w:ascii="Times New Roman" w:hAnsi="Times New Roman" w:cs="Times New Roman"/>
          <w:color w:val="222222"/>
          <w:sz w:val="24"/>
          <w:szCs w:val="24"/>
          <w:lang w:val="uk-UA"/>
        </w:rPr>
        <w:t xml:space="preserve"> </w:t>
      </w:r>
      <w:r w:rsidRPr="00BE1959">
        <w:rPr>
          <w:rStyle w:val="hps"/>
          <w:rFonts w:ascii="Times New Roman" w:hAnsi="Times New Roman" w:cs="Times New Roman"/>
          <w:color w:val="222222"/>
          <w:sz w:val="24"/>
          <w:szCs w:val="24"/>
          <w:lang w:val="uk-UA"/>
        </w:rPr>
        <w:t>погодитись</w:t>
      </w:r>
      <w:r w:rsidRPr="00BE1959">
        <w:rPr>
          <w:rFonts w:ascii="Times New Roman" w:hAnsi="Times New Roman" w:cs="Times New Roman"/>
          <w:color w:val="222222"/>
          <w:sz w:val="24"/>
          <w:szCs w:val="24"/>
          <w:lang w:val="uk-UA"/>
        </w:rPr>
        <w:t xml:space="preserve"> </w:t>
      </w:r>
      <w:r w:rsidRPr="00BE1959">
        <w:rPr>
          <w:rStyle w:val="hps"/>
          <w:rFonts w:ascii="Times New Roman" w:hAnsi="Times New Roman" w:cs="Times New Roman"/>
          <w:color w:val="222222"/>
          <w:sz w:val="24"/>
          <w:szCs w:val="24"/>
          <w:lang w:val="uk-UA"/>
        </w:rPr>
        <w:t>забезпечити більш високий</w:t>
      </w:r>
      <w:r w:rsidRPr="00BE1959">
        <w:rPr>
          <w:rFonts w:ascii="Times New Roman" w:hAnsi="Times New Roman" w:cs="Times New Roman"/>
          <w:color w:val="222222"/>
          <w:sz w:val="24"/>
          <w:szCs w:val="24"/>
          <w:lang w:val="uk-UA"/>
        </w:rPr>
        <w:t xml:space="preserve"> </w:t>
      </w:r>
      <w:r w:rsidRPr="00BE1959">
        <w:rPr>
          <w:rStyle w:val="hps"/>
          <w:rFonts w:ascii="Times New Roman" w:hAnsi="Times New Roman" w:cs="Times New Roman"/>
          <w:color w:val="222222"/>
          <w:sz w:val="24"/>
          <w:szCs w:val="24"/>
          <w:lang w:val="uk-UA"/>
        </w:rPr>
        <w:t>рівень захисту.</w:t>
      </w:r>
      <w:r w:rsidRPr="00BE1959">
        <w:rPr>
          <w:rFonts w:ascii="Times New Roman" w:hAnsi="Times New Roman" w:cs="Times New Roman"/>
          <w:color w:val="222222"/>
          <w:sz w:val="24"/>
          <w:szCs w:val="24"/>
          <w:lang w:val="uk-UA"/>
        </w:rPr>
        <w:t xml:space="preserve"> </w:t>
      </w:r>
      <w:r w:rsidRPr="00BE1959">
        <w:rPr>
          <w:rStyle w:val="hps"/>
          <w:rFonts w:ascii="Times New Roman" w:hAnsi="Times New Roman" w:cs="Times New Roman"/>
          <w:color w:val="222222"/>
          <w:sz w:val="24"/>
          <w:szCs w:val="24"/>
          <w:lang w:val="uk-UA"/>
        </w:rPr>
        <w:t>Якщо клієнтом</w:t>
      </w:r>
      <w:r w:rsidRPr="00BE1959">
        <w:rPr>
          <w:rFonts w:ascii="Times New Roman" w:hAnsi="Times New Roman" w:cs="Times New Roman"/>
          <w:color w:val="222222"/>
          <w:sz w:val="24"/>
          <w:szCs w:val="24"/>
          <w:lang w:val="uk-UA"/>
        </w:rPr>
        <w:t xml:space="preserve"> </w:t>
      </w:r>
      <w:r w:rsidRPr="00BE1959">
        <w:rPr>
          <w:rStyle w:val="hps"/>
          <w:rFonts w:ascii="Times New Roman" w:hAnsi="Times New Roman" w:cs="Times New Roman"/>
          <w:color w:val="222222"/>
          <w:sz w:val="24"/>
          <w:szCs w:val="24"/>
          <w:lang w:val="uk-UA"/>
        </w:rPr>
        <w:t>інвестиційної</w:t>
      </w:r>
      <w:r w:rsidRPr="00BE1959">
        <w:rPr>
          <w:rFonts w:ascii="Times New Roman" w:hAnsi="Times New Roman" w:cs="Times New Roman"/>
          <w:color w:val="222222"/>
          <w:sz w:val="24"/>
          <w:szCs w:val="24"/>
          <w:lang w:val="uk-UA"/>
        </w:rPr>
        <w:t xml:space="preserve"> </w:t>
      </w:r>
      <w:r w:rsidRPr="00BE1959">
        <w:rPr>
          <w:rStyle w:val="hps"/>
          <w:rFonts w:ascii="Times New Roman" w:hAnsi="Times New Roman" w:cs="Times New Roman"/>
          <w:color w:val="222222"/>
          <w:sz w:val="24"/>
          <w:szCs w:val="24"/>
          <w:lang w:val="uk-UA"/>
        </w:rPr>
        <w:t>фірми</w:t>
      </w:r>
      <w:r w:rsidRPr="00BE1959">
        <w:rPr>
          <w:rFonts w:ascii="Times New Roman" w:hAnsi="Times New Roman" w:cs="Times New Roman"/>
          <w:color w:val="222222"/>
          <w:sz w:val="24"/>
          <w:szCs w:val="24"/>
          <w:lang w:val="uk-UA"/>
        </w:rPr>
        <w:t xml:space="preserve"> є </w:t>
      </w:r>
      <w:r w:rsidRPr="00BE1959">
        <w:rPr>
          <w:rStyle w:val="hps"/>
          <w:rFonts w:ascii="Times New Roman" w:hAnsi="Times New Roman" w:cs="Times New Roman"/>
          <w:color w:val="222222"/>
          <w:sz w:val="24"/>
          <w:szCs w:val="24"/>
          <w:lang w:val="uk-UA"/>
        </w:rPr>
        <w:t>підприємство</w:t>
      </w:r>
      <w:r w:rsidRPr="00BE1959">
        <w:rPr>
          <w:rFonts w:ascii="Times New Roman" w:hAnsi="Times New Roman" w:cs="Times New Roman"/>
          <w:color w:val="222222"/>
          <w:sz w:val="24"/>
          <w:szCs w:val="24"/>
          <w:lang w:val="uk-UA"/>
        </w:rPr>
        <w:t xml:space="preserve">, зазначене вище, </w:t>
      </w:r>
      <w:r w:rsidRPr="00BE1959">
        <w:rPr>
          <w:rStyle w:val="hps"/>
          <w:rFonts w:ascii="Times New Roman" w:hAnsi="Times New Roman" w:cs="Times New Roman"/>
          <w:color w:val="222222"/>
          <w:sz w:val="24"/>
          <w:szCs w:val="24"/>
          <w:lang w:val="uk-UA"/>
        </w:rPr>
        <w:t>інвестиційна</w:t>
      </w:r>
      <w:r w:rsidRPr="00BE1959">
        <w:rPr>
          <w:rFonts w:ascii="Times New Roman" w:hAnsi="Times New Roman" w:cs="Times New Roman"/>
          <w:color w:val="222222"/>
          <w:sz w:val="24"/>
          <w:szCs w:val="24"/>
          <w:lang w:val="uk-UA"/>
        </w:rPr>
        <w:t xml:space="preserve"> </w:t>
      </w:r>
      <w:r w:rsidRPr="00BE1959">
        <w:rPr>
          <w:rStyle w:val="hps"/>
          <w:rFonts w:ascii="Times New Roman" w:hAnsi="Times New Roman" w:cs="Times New Roman"/>
          <w:color w:val="222222"/>
          <w:sz w:val="24"/>
          <w:szCs w:val="24"/>
          <w:lang w:val="uk-UA"/>
        </w:rPr>
        <w:t>фірма повинна</w:t>
      </w:r>
      <w:r w:rsidRPr="00BE1959">
        <w:rPr>
          <w:rFonts w:ascii="Times New Roman" w:hAnsi="Times New Roman" w:cs="Times New Roman"/>
          <w:color w:val="222222"/>
          <w:sz w:val="24"/>
          <w:szCs w:val="24"/>
          <w:lang w:val="uk-UA"/>
        </w:rPr>
        <w:t xml:space="preserve"> </w:t>
      </w:r>
      <w:r w:rsidRPr="00BE1959">
        <w:rPr>
          <w:rStyle w:val="hps"/>
          <w:rFonts w:ascii="Times New Roman" w:hAnsi="Times New Roman" w:cs="Times New Roman"/>
          <w:color w:val="222222"/>
          <w:sz w:val="24"/>
          <w:szCs w:val="24"/>
          <w:lang w:val="uk-UA"/>
        </w:rPr>
        <w:t>інформувати його</w:t>
      </w:r>
      <w:r w:rsidRPr="00BE1959">
        <w:rPr>
          <w:rFonts w:ascii="Times New Roman" w:hAnsi="Times New Roman" w:cs="Times New Roman"/>
          <w:color w:val="222222"/>
          <w:sz w:val="24"/>
          <w:szCs w:val="24"/>
          <w:lang w:val="uk-UA"/>
        </w:rPr>
        <w:t xml:space="preserve"> </w:t>
      </w:r>
      <w:r w:rsidRPr="00BE1959">
        <w:rPr>
          <w:rStyle w:val="hps"/>
          <w:rFonts w:ascii="Times New Roman" w:hAnsi="Times New Roman" w:cs="Times New Roman"/>
          <w:color w:val="222222"/>
          <w:sz w:val="24"/>
          <w:szCs w:val="24"/>
          <w:lang w:val="uk-UA"/>
        </w:rPr>
        <w:t>перед</w:t>
      </w:r>
      <w:r w:rsidRPr="00BE1959">
        <w:rPr>
          <w:rFonts w:ascii="Times New Roman" w:hAnsi="Times New Roman" w:cs="Times New Roman"/>
          <w:color w:val="222222"/>
          <w:sz w:val="24"/>
          <w:szCs w:val="24"/>
          <w:lang w:val="uk-UA"/>
        </w:rPr>
        <w:t xml:space="preserve"> </w:t>
      </w:r>
      <w:r w:rsidRPr="00BE1959">
        <w:rPr>
          <w:rStyle w:val="hps"/>
          <w:rFonts w:ascii="Times New Roman" w:hAnsi="Times New Roman" w:cs="Times New Roman"/>
          <w:color w:val="222222"/>
          <w:sz w:val="24"/>
          <w:szCs w:val="24"/>
          <w:lang w:val="uk-UA"/>
        </w:rPr>
        <w:t>будь-яким наданням</w:t>
      </w:r>
      <w:r w:rsidRPr="00BE1959">
        <w:rPr>
          <w:rFonts w:ascii="Times New Roman" w:hAnsi="Times New Roman" w:cs="Times New Roman"/>
          <w:color w:val="222222"/>
          <w:sz w:val="24"/>
          <w:szCs w:val="24"/>
          <w:lang w:val="uk-UA"/>
        </w:rPr>
        <w:t xml:space="preserve"> </w:t>
      </w:r>
      <w:r w:rsidRPr="00BE1959">
        <w:rPr>
          <w:rStyle w:val="hps"/>
          <w:rFonts w:ascii="Times New Roman" w:hAnsi="Times New Roman" w:cs="Times New Roman"/>
          <w:color w:val="222222"/>
          <w:sz w:val="24"/>
          <w:szCs w:val="24"/>
          <w:lang w:val="uk-UA"/>
        </w:rPr>
        <w:t>послуг</w:t>
      </w:r>
      <w:r w:rsidRPr="00BE1959">
        <w:rPr>
          <w:rFonts w:ascii="Times New Roman" w:hAnsi="Times New Roman" w:cs="Times New Roman"/>
          <w:color w:val="222222"/>
          <w:sz w:val="24"/>
          <w:szCs w:val="24"/>
          <w:lang w:val="uk-UA"/>
        </w:rPr>
        <w:t xml:space="preserve">, що, </w:t>
      </w:r>
      <w:r w:rsidRPr="00BE1959">
        <w:rPr>
          <w:rStyle w:val="hps"/>
          <w:rFonts w:ascii="Times New Roman" w:hAnsi="Times New Roman" w:cs="Times New Roman"/>
          <w:color w:val="222222"/>
          <w:sz w:val="24"/>
          <w:szCs w:val="24"/>
          <w:lang w:val="uk-UA"/>
        </w:rPr>
        <w:t>на підставі</w:t>
      </w:r>
      <w:r w:rsidRPr="00BE1959">
        <w:rPr>
          <w:rFonts w:ascii="Times New Roman" w:hAnsi="Times New Roman" w:cs="Times New Roman"/>
          <w:color w:val="222222"/>
          <w:sz w:val="24"/>
          <w:szCs w:val="24"/>
          <w:lang w:val="uk-UA"/>
        </w:rPr>
        <w:t xml:space="preserve"> </w:t>
      </w:r>
      <w:r w:rsidRPr="00BE1959">
        <w:rPr>
          <w:rStyle w:val="hps"/>
          <w:rFonts w:ascii="Times New Roman" w:hAnsi="Times New Roman" w:cs="Times New Roman"/>
          <w:color w:val="222222"/>
          <w:sz w:val="24"/>
          <w:szCs w:val="24"/>
          <w:lang w:val="uk-UA"/>
        </w:rPr>
        <w:t>інформації, наявної</w:t>
      </w:r>
      <w:r w:rsidRPr="00BE1959">
        <w:rPr>
          <w:rFonts w:ascii="Times New Roman" w:hAnsi="Times New Roman" w:cs="Times New Roman"/>
          <w:color w:val="222222"/>
          <w:sz w:val="24"/>
          <w:szCs w:val="24"/>
          <w:lang w:val="uk-UA"/>
        </w:rPr>
        <w:t xml:space="preserve"> </w:t>
      </w:r>
      <w:r w:rsidRPr="00BE1959">
        <w:rPr>
          <w:rStyle w:val="hps"/>
          <w:rFonts w:ascii="Times New Roman" w:hAnsi="Times New Roman" w:cs="Times New Roman"/>
          <w:color w:val="222222"/>
          <w:sz w:val="24"/>
          <w:szCs w:val="24"/>
          <w:lang w:val="uk-UA"/>
        </w:rPr>
        <w:t>в інвестиційної компанії</w:t>
      </w:r>
      <w:r w:rsidRPr="00BE1959">
        <w:rPr>
          <w:rFonts w:ascii="Times New Roman" w:hAnsi="Times New Roman" w:cs="Times New Roman"/>
          <w:color w:val="222222"/>
          <w:sz w:val="24"/>
          <w:szCs w:val="24"/>
          <w:lang w:val="uk-UA"/>
        </w:rPr>
        <w:t xml:space="preserve">, клієнт </w:t>
      </w:r>
      <w:r w:rsidRPr="00BE1959">
        <w:rPr>
          <w:rStyle w:val="hps"/>
          <w:rFonts w:ascii="Times New Roman" w:hAnsi="Times New Roman" w:cs="Times New Roman"/>
          <w:color w:val="222222"/>
          <w:sz w:val="24"/>
          <w:szCs w:val="24"/>
          <w:lang w:val="uk-UA"/>
        </w:rPr>
        <w:t>вважається професійним</w:t>
      </w:r>
      <w:r w:rsidRPr="00BE1959">
        <w:rPr>
          <w:rFonts w:ascii="Times New Roman" w:hAnsi="Times New Roman" w:cs="Times New Roman"/>
          <w:color w:val="222222"/>
          <w:sz w:val="24"/>
          <w:szCs w:val="24"/>
          <w:lang w:val="uk-UA"/>
        </w:rPr>
        <w:t xml:space="preserve"> </w:t>
      </w:r>
      <w:r w:rsidRPr="00BE1959">
        <w:rPr>
          <w:rStyle w:val="hps"/>
          <w:rFonts w:ascii="Times New Roman" w:hAnsi="Times New Roman" w:cs="Times New Roman"/>
          <w:color w:val="222222"/>
          <w:sz w:val="24"/>
          <w:szCs w:val="24"/>
          <w:lang w:val="uk-UA"/>
        </w:rPr>
        <w:t>клієнтом,</w:t>
      </w:r>
      <w:r w:rsidRPr="00BE1959">
        <w:rPr>
          <w:rFonts w:ascii="Times New Roman" w:hAnsi="Times New Roman" w:cs="Times New Roman"/>
          <w:color w:val="222222"/>
          <w:sz w:val="24"/>
          <w:szCs w:val="24"/>
          <w:lang w:val="uk-UA"/>
        </w:rPr>
        <w:t xml:space="preserve"> </w:t>
      </w:r>
      <w:r w:rsidRPr="00BE1959">
        <w:rPr>
          <w:rStyle w:val="hps"/>
          <w:rFonts w:ascii="Times New Roman" w:hAnsi="Times New Roman" w:cs="Times New Roman"/>
          <w:color w:val="222222"/>
          <w:sz w:val="24"/>
          <w:szCs w:val="24"/>
          <w:lang w:val="uk-UA"/>
        </w:rPr>
        <w:t>та буде</w:t>
      </w:r>
      <w:r w:rsidRPr="00BE1959">
        <w:rPr>
          <w:rFonts w:ascii="Times New Roman" w:hAnsi="Times New Roman" w:cs="Times New Roman"/>
          <w:color w:val="222222"/>
          <w:sz w:val="24"/>
          <w:szCs w:val="24"/>
          <w:lang w:val="uk-UA"/>
        </w:rPr>
        <w:t xml:space="preserve"> </w:t>
      </w:r>
      <w:r w:rsidRPr="00BE1959">
        <w:rPr>
          <w:rStyle w:val="hps"/>
          <w:rFonts w:ascii="Times New Roman" w:hAnsi="Times New Roman" w:cs="Times New Roman"/>
          <w:color w:val="222222"/>
          <w:sz w:val="24"/>
          <w:szCs w:val="24"/>
          <w:lang w:val="uk-UA"/>
        </w:rPr>
        <w:t>розглядатися як</w:t>
      </w:r>
      <w:r w:rsidRPr="00BE1959">
        <w:rPr>
          <w:rFonts w:ascii="Times New Roman" w:hAnsi="Times New Roman" w:cs="Times New Roman"/>
          <w:color w:val="222222"/>
          <w:sz w:val="24"/>
          <w:szCs w:val="24"/>
          <w:lang w:val="uk-UA"/>
        </w:rPr>
        <w:t xml:space="preserve"> </w:t>
      </w:r>
      <w:r w:rsidRPr="00BE1959">
        <w:rPr>
          <w:rStyle w:val="hps"/>
          <w:rFonts w:ascii="Times New Roman" w:hAnsi="Times New Roman" w:cs="Times New Roman"/>
          <w:color w:val="222222"/>
          <w:sz w:val="24"/>
          <w:szCs w:val="24"/>
          <w:lang w:val="uk-UA"/>
        </w:rPr>
        <w:t>такий, якщо</w:t>
      </w:r>
      <w:r w:rsidRPr="00BE1959">
        <w:rPr>
          <w:rFonts w:ascii="Times New Roman" w:hAnsi="Times New Roman" w:cs="Times New Roman"/>
          <w:color w:val="222222"/>
          <w:sz w:val="24"/>
          <w:szCs w:val="24"/>
          <w:lang w:val="uk-UA"/>
        </w:rPr>
        <w:t xml:space="preserve"> </w:t>
      </w:r>
      <w:r w:rsidRPr="00BE1959">
        <w:rPr>
          <w:rStyle w:val="hps"/>
          <w:rFonts w:ascii="Times New Roman" w:hAnsi="Times New Roman" w:cs="Times New Roman"/>
          <w:color w:val="222222"/>
          <w:sz w:val="24"/>
          <w:szCs w:val="24"/>
          <w:lang w:val="uk-UA"/>
        </w:rPr>
        <w:t>інвестиційна фірма</w:t>
      </w:r>
      <w:r w:rsidRPr="00BE1959">
        <w:rPr>
          <w:rFonts w:ascii="Times New Roman" w:hAnsi="Times New Roman" w:cs="Times New Roman"/>
          <w:color w:val="222222"/>
          <w:sz w:val="24"/>
          <w:szCs w:val="24"/>
          <w:lang w:val="uk-UA"/>
        </w:rPr>
        <w:t xml:space="preserve"> </w:t>
      </w:r>
      <w:r w:rsidRPr="00BE1959">
        <w:rPr>
          <w:rStyle w:val="hps"/>
          <w:rFonts w:ascii="Times New Roman" w:hAnsi="Times New Roman" w:cs="Times New Roman"/>
          <w:color w:val="222222"/>
          <w:sz w:val="24"/>
          <w:szCs w:val="24"/>
          <w:lang w:val="uk-UA"/>
        </w:rPr>
        <w:t>та</w:t>
      </w:r>
      <w:r w:rsidRPr="00BE1959">
        <w:rPr>
          <w:rFonts w:ascii="Times New Roman" w:hAnsi="Times New Roman" w:cs="Times New Roman"/>
          <w:color w:val="222222"/>
          <w:sz w:val="24"/>
          <w:szCs w:val="24"/>
          <w:lang w:val="uk-UA"/>
        </w:rPr>
        <w:t xml:space="preserve"> </w:t>
      </w:r>
      <w:r w:rsidRPr="00BE1959">
        <w:rPr>
          <w:rStyle w:val="hps"/>
          <w:rFonts w:ascii="Times New Roman" w:hAnsi="Times New Roman" w:cs="Times New Roman"/>
          <w:color w:val="222222"/>
          <w:sz w:val="24"/>
          <w:szCs w:val="24"/>
          <w:lang w:val="uk-UA"/>
        </w:rPr>
        <w:t>клієнт не</w:t>
      </w:r>
      <w:r w:rsidRPr="00BE1959">
        <w:rPr>
          <w:rFonts w:ascii="Times New Roman" w:hAnsi="Times New Roman" w:cs="Times New Roman"/>
          <w:color w:val="222222"/>
          <w:sz w:val="24"/>
          <w:szCs w:val="24"/>
          <w:lang w:val="uk-UA"/>
        </w:rPr>
        <w:t xml:space="preserve"> </w:t>
      </w:r>
      <w:r w:rsidRPr="00BE1959">
        <w:rPr>
          <w:rStyle w:val="hps"/>
          <w:rFonts w:ascii="Times New Roman" w:hAnsi="Times New Roman" w:cs="Times New Roman"/>
          <w:color w:val="222222"/>
          <w:sz w:val="24"/>
          <w:szCs w:val="24"/>
          <w:lang w:val="uk-UA"/>
        </w:rPr>
        <w:t>домовляться про інше.</w:t>
      </w:r>
      <w:r w:rsidRPr="00BE1959">
        <w:rPr>
          <w:rFonts w:ascii="Times New Roman" w:hAnsi="Times New Roman" w:cs="Times New Roman"/>
          <w:color w:val="222222"/>
          <w:sz w:val="24"/>
          <w:szCs w:val="24"/>
          <w:lang w:val="uk-UA"/>
        </w:rPr>
        <w:t xml:space="preserve"> </w:t>
      </w:r>
      <w:r w:rsidRPr="00BE1959">
        <w:rPr>
          <w:rStyle w:val="hps"/>
          <w:rFonts w:ascii="Times New Roman" w:hAnsi="Times New Roman" w:cs="Times New Roman"/>
          <w:color w:val="222222"/>
          <w:sz w:val="24"/>
          <w:szCs w:val="24"/>
          <w:lang w:val="uk-UA"/>
        </w:rPr>
        <w:t>Інвестиційна фірма</w:t>
      </w:r>
      <w:r w:rsidRPr="00BE1959">
        <w:rPr>
          <w:rFonts w:ascii="Times New Roman" w:hAnsi="Times New Roman" w:cs="Times New Roman"/>
          <w:color w:val="222222"/>
          <w:sz w:val="24"/>
          <w:szCs w:val="24"/>
          <w:lang w:val="uk-UA"/>
        </w:rPr>
        <w:t xml:space="preserve"> </w:t>
      </w:r>
      <w:r w:rsidRPr="00BE1959">
        <w:rPr>
          <w:rStyle w:val="hps"/>
          <w:rFonts w:ascii="Times New Roman" w:hAnsi="Times New Roman" w:cs="Times New Roman"/>
          <w:color w:val="222222"/>
          <w:sz w:val="24"/>
          <w:szCs w:val="24"/>
          <w:lang w:val="uk-UA"/>
        </w:rPr>
        <w:t>повинна</w:t>
      </w:r>
      <w:r w:rsidRPr="00BE1959">
        <w:rPr>
          <w:rFonts w:ascii="Times New Roman" w:hAnsi="Times New Roman" w:cs="Times New Roman"/>
          <w:color w:val="222222"/>
          <w:sz w:val="24"/>
          <w:szCs w:val="24"/>
          <w:lang w:val="uk-UA"/>
        </w:rPr>
        <w:t xml:space="preserve"> </w:t>
      </w:r>
      <w:r w:rsidRPr="00BE1959">
        <w:rPr>
          <w:rStyle w:val="hps"/>
          <w:rFonts w:ascii="Times New Roman" w:hAnsi="Times New Roman" w:cs="Times New Roman"/>
          <w:color w:val="222222"/>
          <w:sz w:val="24"/>
          <w:szCs w:val="24"/>
          <w:lang w:val="uk-UA"/>
        </w:rPr>
        <w:t>також</w:t>
      </w:r>
      <w:r w:rsidRPr="00BE1959">
        <w:rPr>
          <w:rFonts w:ascii="Times New Roman" w:hAnsi="Times New Roman" w:cs="Times New Roman"/>
          <w:color w:val="222222"/>
          <w:sz w:val="24"/>
          <w:szCs w:val="24"/>
          <w:lang w:val="uk-UA"/>
        </w:rPr>
        <w:t xml:space="preserve"> </w:t>
      </w:r>
      <w:r w:rsidRPr="00BE1959">
        <w:rPr>
          <w:rStyle w:val="hps"/>
          <w:rFonts w:ascii="Times New Roman" w:hAnsi="Times New Roman" w:cs="Times New Roman"/>
          <w:color w:val="222222"/>
          <w:sz w:val="24"/>
          <w:szCs w:val="24"/>
          <w:lang w:val="uk-UA"/>
        </w:rPr>
        <w:t>інформувати клієнта</w:t>
      </w:r>
      <w:r w:rsidRPr="00BE1959">
        <w:rPr>
          <w:rFonts w:ascii="Times New Roman" w:hAnsi="Times New Roman" w:cs="Times New Roman"/>
          <w:color w:val="222222"/>
          <w:sz w:val="24"/>
          <w:szCs w:val="24"/>
          <w:lang w:val="uk-UA"/>
        </w:rPr>
        <w:t xml:space="preserve">, що він </w:t>
      </w:r>
      <w:r w:rsidRPr="00BE1959">
        <w:rPr>
          <w:rStyle w:val="hps"/>
          <w:rFonts w:ascii="Times New Roman" w:hAnsi="Times New Roman" w:cs="Times New Roman"/>
          <w:color w:val="222222"/>
          <w:sz w:val="24"/>
          <w:szCs w:val="24"/>
          <w:lang w:val="uk-UA"/>
        </w:rPr>
        <w:t>може вимагати зміни</w:t>
      </w:r>
      <w:r w:rsidRPr="00BE1959">
        <w:rPr>
          <w:rFonts w:ascii="Times New Roman" w:hAnsi="Times New Roman" w:cs="Times New Roman"/>
          <w:color w:val="222222"/>
          <w:sz w:val="24"/>
          <w:szCs w:val="24"/>
          <w:lang w:val="uk-UA"/>
        </w:rPr>
        <w:t xml:space="preserve"> </w:t>
      </w:r>
      <w:r w:rsidRPr="00BE1959">
        <w:rPr>
          <w:rStyle w:val="hps"/>
          <w:rFonts w:ascii="Times New Roman" w:hAnsi="Times New Roman" w:cs="Times New Roman"/>
          <w:color w:val="222222"/>
          <w:sz w:val="24"/>
          <w:szCs w:val="24"/>
          <w:lang w:val="uk-UA"/>
        </w:rPr>
        <w:t>умов договору</w:t>
      </w:r>
      <w:r w:rsidRPr="00BE1959">
        <w:rPr>
          <w:rFonts w:ascii="Times New Roman" w:hAnsi="Times New Roman" w:cs="Times New Roman"/>
          <w:color w:val="222222"/>
          <w:sz w:val="24"/>
          <w:szCs w:val="24"/>
          <w:lang w:val="uk-UA"/>
        </w:rPr>
        <w:t xml:space="preserve"> </w:t>
      </w:r>
      <w:r w:rsidRPr="00BE1959">
        <w:rPr>
          <w:rStyle w:val="hps"/>
          <w:rFonts w:ascii="Times New Roman" w:hAnsi="Times New Roman" w:cs="Times New Roman"/>
          <w:color w:val="222222"/>
          <w:sz w:val="24"/>
          <w:szCs w:val="24"/>
          <w:lang w:val="uk-UA"/>
        </w:rPr>
        <w:t>з метою забезпечення більш</w:t>
      </w:r>
      <w:r w:rsidRPr="00BE1959">
        <w:rPr>
          <w:rFonts w:ascii="Times New Roman" w:hAnsi="Times New Roman" w:cs="Times New Roman"/>
          <w:color w:val="222222"/>
          <w:sz w:val="24"/>
          <w:szCs w:val="24"/>
          <w:lang w:val="uk-UA"/>
        </w:rPr>
        <w:t xml:space="preserve"> </w:t>
      </w:r>
      <w:r w:rsidRPr="00BE1959">
        <w:rPr>
          <w:rStyle w:val="hps"/>
          <w:rFonts w:ascii="Times New Roman" w:hAnsi="Times New Roman" w:cs="Times New Roman"/>
          <w:color w:val="222222"/>
          <w:sz w:val="24"/>
          <w:szCs w:val="24"/>
          <w:lang w:val="uk-UA"/>
        </w:rPr>
        <w:t>високого ступеня захисту</w:t>
      </w:r>
      <w:r w:rsidRPr="00BE1959">
        <w:rPr>
          <w:rFonts w:ascii="Times New Roman" w:hAnsi="Times New Roman" w:cs="Times New Roman"/>
          <w:color w:val="222222"/>
          <w:sz w:val="24"/>
          <w:szCs w:val="24"/>
          <w:lang w:val="uk-UA"/>
        </w:rPr>
        <w:t>.</w:t>
      </w:r>
    </w:p>
    <w:p w:rsidR="00BE1959" w:rsidRPr="00BE1959" w:rsidRDefault="00BE1959" w:rsidP="00BE1959">
      <w:pPr>
        <w:spacing w:after="0" w:line="240" w:lineRule="auto"/>
        <w:jc w:val="both"/>
        <w:rPr>
          <w:rFonts w:ascii="Times New Roman" w:hAnsi="Times New Roman" w:cs="Times New Roman"/>
          <w:sz w:val="24"/>
          <w:szCs w:val="24"/>
          <w:lang w:val="uk-UA"/>
        </w:rPr>
      </w:pPr>
      <w:r w:rsidRPr="00BE1959">
        <w:rPr>
          <w:rStyle w:val="hps"/>
          <w:rFonts w:ascii="Times New Roman" w:hAnsi="Times New Roman" w:cs="Times New Roman"/>
          <w:color w:val="222222"/>
          <w:sz w:val="24"/>
          <w:szCs w:val="24"/>
          <w:lang w:val="uk-UA"/>
        </w:rPr>
        <w:t>Відповідальністю</w:t>
      </w:r>
      <w:r w:rsidRPr="00BE1959">
        <w:rPr>
          <w:rFonts w:ascii="Times New Roman" w:hAnsi="Times New Roman" w:cs="Times New Roman"/>
          <w:color w:val="222222"/>
          <w:sz w:val="24"/>
          <w:szCs w:val="24"/>
          <w:lang w:val="uk-UA"/>
        </w:rPr>
        <w:t xml:space="preserve"> </w:t>
      </w:r>
      <w:r w:rsidRPr="00BE1959">
        <w:rPr>
          <w:rStyle w:val="hps"/>
          <w:rFonts w:ascii="Times New Roman" w:hAnsi="Times New Roman" w:cs="Times New Roman"/>
          <w:color w:val="222222"/>
          <w:sz w:val="24"/>
          <w:szCs w:val="24"/>
          <w:lang w:val="uk-UA"/>
        </w:rPr>
        <w:t>клієнта, який вважається професійним</w:t>
      </w:r>
      <w:r w:rsidRPr="00BE1959">
        <w:rPr>
          <w:rFonts w:ascii="Times New Roman" w:hAnsi="Times New Roman" w:cs="Times New Roman"/>
          <w:color w:val="222222"/>
          <w:sz w:val="24"/>
          <w:szCs w:val="24"/>
          <w:lang w:val="uk-UA"/>
        </w:rPr>
        <w:t xml:space="preserve"> </w:t>
      </w:r>
      <w:r w:rsidRPr="00BE1959">
        <w:rPr>
          <w:rStyle w:val="hps"/>
          <w:rFonts w:ascii="Times New Roman" w:hAnsi="Times New Roman" w:cs="Times New Roman"/>
          <w:color w:val="222222"/>
          <w:sz w:val="24"/>
          <w:szCs w:val="24"/>
          <w:lang w:val="uk-UA"/>
        </w:rPr>
        <w:t>клієнтом, вважається</w:t>
      </w:r>
      <w:r w:rsidRPr="00BE1959">
        <w:rPr>
          <w:rFonts w:ascii="Times New Roman" w:hAnsi="Times New Roman" w:cs="Times New Roman"/>
          <w:color w:val="222222"/>
          <w:sz w:val="24"/>
          <w:szCs w:val="24"/>
          <w:lang w:val="uk-UA"/>
        </w:rPr>
        <w:t xml:space="preserve"> </w:t>
      </w:r>
      <w:r w:rsidRPr="00BE1959">
        <w:rPr>
          <w:rStyle w:val="hps"/>
          <w:rFonts w:ascii="Times New Roman" w:hAnsi="Times New Roman" w:cs="Times New Roman"/>
          <w:color w:val="222222"/>
          <w:sz w:val="24"/>
          <w:szCs w:val="24"/>
          <w:lang w:val="uk-UA"/>
        </w:rPr>
        <w:t>попросити про більш</w:t>
      </w:r>
      <w:r w:rsidRPr="00BE1959">
        <w:rPr>
          <w:rFonts w:ascii="Times New Roman" w:hAnsi="Times New Roman" w:cs="Times New Roman"/>
          <w:color w:val="222222"/>
          <w:sz w:val="24"/>
          <w:szCs w:val="24"/>
          <w:lang w:val="uk-UA"/>
        </w:rPr>
        <w:t xml:space="preserve"> </w:t>
      </w:r>
      <w:r w:rsidRPr="00BE1959">
        <w:rPr>
          <w:rStyle w:val="hps"/>
          <w:rFonts w:ascii="Times New Roman" w:hAnsi="Times New Roman" w:cs="Times New Roman"/>
          <w:color w:val="222222"/>
          <w:sz w:val="24"/>
          <w:szCs w:val="24"/>
          <w:lang w:val="uk-UA"/>
        </w:rPr>
        <w:t>високий рівень захисту</w:t>
      </w:r>
      <w:r w:rsidRPr="00BE1959">
        <w:rPr>
          <w:rFonts w:ascii="Times New Roman" w:hAnsi="Times New Roman" w:cs="Times New Roman"/>
          <w:color w:val="222222"/>
          <w:sz w:val="24"/>
          <w:szCs w:val="24"/>
          <w:lang w:val="uk-UA"/>
        </w:rPr>
        <w:t xml:space="preserve">, коли він </w:t>
      </w:r>
      <w:r w:rsidRPr="00BE1959">
        <w:rPr>
          <w:rStyle w:val="hps"/>
          <w:rFonts w:ascii="Times New Roman" w:hAnsi="Times New Roman" w:cs="Times New Roman"/>
          <w:color w:val="222222"/>
          <w:sz w:val="24"/>
          <w:szCs w:val="24"/>
          <w:lang w:val="uk-UA"/>
        </w:rPr>
        <w:t>вважає, що він не в змозі</w:t>
      </w:r>
      <w:r w:rsidRPr="00BE1959">
        <w:rPr>
          <w:rFonts w:ascii="Times New Roman" w:hAnsi="Times New Roman" w:cs="Times New Roman"/>
          <w:color w:val="222222"/>
          <w:sz w:val="24"/>
          <w:szCs w:val="24"/>
          <w:lang w:val="uk-UA"/>
        </w:rPr>
        <w:t xml:space="preserve"> </w:t>
      </w:r>
      <w:r w:rsidRPr="00BE1959">
        <w:rPr>
          <w:rStyle w:val="hps"/>
          <w:rFonts w:ascii="Times New Roman" w:hAnsi="Times New Roman" w:cs="Times New Roman"/>
          <w:color w:val="222222"/>
          <w:sz w:val="24"/>
          <w:szCs w:val="24"/>
          <w:lang w:val="uk-UA"/>
        </w:rPr>
        <w:t>правильно оцінити</w:t>
      </w:r>
      <w:r w:rsidRPr="00BE1959">
        <w:rPr>
          <w:rFonts w:ascii="Times New Roman" w:hAnsi="Times New Roman" w:cs="Times New Roman"/>
          <w:color w:val="222222"/>
          <w:sz w:val="24"/>
          <w:szCs w:val="24"/>
          <w:lang w:val="uk-UA"/>
        </w:rPr>
        <w:t xml:space="preserve"> </w:t>
      </w:r>
      <w:r w:rsidRPr="00BE1959">
        <w:rPr>
          <w:rStyle w:val="hps"/>
          <w:rFonts w:ascii="Times New Roman" w:hAnsi="Times New Roman" w:cs="Times New Roman"/>
          <w:color w:val="222222"/>
          <w:sz w:val="24"/>
          <w:szCs w:val="24"/>
          <w:lang w:val="uk-UA"/>
        </w:rPr>
        <w:t>або управляти існуючими</w:t>
      </w:r>
      <w:r w:rsidRPr="00BE1959">
        <w:rPr>
          <w:rFonts w:ascii="Times New Roman" w:hAnsi="Times New Roman" w:cs="Times New Roman"/>
          <w:color w:val="222222"/>
          <w:sz w:val="24"/>
          <w:szCs w:val="24"/>
          <w:lang w:val="uk-UA"/>
        </w:rPr>
        <w:t xml:space="preserve"> </w:t>
      </w:r>
      <w:r w:rsidRPr="00BE1959">
        <w:rPr>
          <w:rStyle w:val="hps"/>
          <w:rFonts w:ascii="Times New Roman" w:hAnsi="Times New Roman" w:cs="Times New Roman"/>
          <w:color w:val="222222"/>
          <w:sz w:val="24"/>
          <w:szCs w:val="24"/>
          <w:lang w:val="uk-UA"/>
        </w:rPr>
        <w:t>ризиками</w:t>
      </w:r>
      <w:r w:rsidRPr="00BE1959">
        <w:rPr>
          <w:rFonts w:ascii="Times New Roman" w:hAnsi="Times New Roman" w:cs="Times New Roman"/>
          <w:color w:val="222222"/>
          <w:sz w:val="24"/>
          <w:szCs w:val="24"/>
          <w:lang w:val="uk-UA"/>
        </w:rPr>
        <w:t>.</w:t>
      </w:r>
      <w:r w:rsidRPr="00BE1959">
        <w:rPr>
          <w:rFonts w:ascii="Times New Roman" w:hAnsi="Times New Roman" w:cs="Times New Roman"/>
          <w:color w:val="222222"/>
          <w:sz w:val="24"/>
          <w:szCs w:val="24"/>
          <w:lang w:val="uk-UA"/>
        </w:rPr>
        <w:br/>
      </w:r>
      <w:r w:rsidRPr="00BE1959">
        <w:rPr>
          <w:rStyle w:val="hps"/>
          <w:rFonts w:ascii="Times New Roman" w:hAnsi="Times New Roman" w:cs="Times New Roman"/>
          <w:color w:val="222222"/>
          <w:sz w:val="24"/>
          <w:szCs w:val="24"/>
          <w:lang w:val="uk-UA"/>
        </w:rPr>
        <w:t>Буде надаватись</w:t>
      </w:r>
      <w:r w:rsidRPr="00BE1959">
        <w:rPr>
          <w:rFonts w:ascii="Times New Roman" w:hAnsi="Times New Roman" w:cs="Times New Roman"/>
          <w:color w:val="222222"/>
          <w:sz w:val="24"/>
          <w:szCs w:val="24"/>
          <w:lang w:val="uk-UA"/>
        </w:rPr>
        <w:t xml:space="preserve"> </w:t>
      </w:r>
      <w:r w:rsidRPr="00BE1959">
        <w:rPr>
          <w:rStyle w:val="hps"/>
          <w:rFonts w:ascii="Times New Roman" w:hAnsi="Times New Roman" w:cs="Times New Roman"/>
          <w:color w:val="222222"/>
          <w:sz w:val="24"/>
          <w:szCs w:val="24"/>
          <w:lang w:val="uk-UA"/>
        </w:rPr>
        <w:t>більш високий рівень захисту</w:t>
      </w:r>
      <w:r w:rsidRPr="00BE1959">
        <w:rPr>
          <w:rFonts w:ascii="Times New Roman" w:hAnsi="Times New Roman" w:cs="Times New Roman"/>
          <w:color w:val="222222"/>
          <w:sz w:val="24"/>
          <w:szCs w:val="24"/>
          <w:lang w:val="uk-UA"/>
        </w:rPr>
        <w:t xml:space="preserve">, коли клієнт, який вважається </w:t>
      </w:r>
      <w:r w:rsidRPr="00BE1959">
        <w:rPr>
          <w:rStyle w:val="hps"/>
          <w:rFonts w:ascii="Times New Roman" w:hAnsi="Times New Roman" w:cs="Times New Roman"/>
          <w:color w:val="222222"/>
          <w:sz w:val="24"/>
          <w:szCs w:val="24"/>
          <w:lang w:val="uk-UA"/>
        </w:rPr>
        <w:t>професіоналом вступає</w:t>
      </w:r>
      <w:r w:rsidRPr="00BE1959">
        <w:rPr>
          <w:rFonts w:ascii="Times New Roman" w:hAnsi="Times New Roman" w:cs="Times New Roman"/>
          <w:color w:val="222222"/>
          <w:sz w:val="24"/>
          <w:szCs w:val="24"/>
          <w:lang w:val="uk-UA"/>
        </w:rPr>
        <w:t xml:space="preserve"> </w:t>
      </w:r>
      <w:r w:rsidRPr="00BE1959">
        <w:rPr>
          <w:rStyle w:val="hps"/>
          <w:rFonts w:ascii="Times New Roman" w:hAnsi="Times New Roman" w:cs="Times New Roman"/>
          <w:color w:val="222222"/>
          <w:sz w:val="24"/>
          <w:szCs w:val="24"/>
          <w:lang w:val="uk-UA"/>
        </w:rPr>
        <w:t>в</w:t>
      </w:r>
      <w:r w:rsidRPr="00BE1959">
        <w:rPr>
          <w:rFonts w:ascii="Times New Roman" w:hAnsi="Times New Roman" w:cs="Times New Roman"/>
          <w:color w:val="222222"/>
          <w:sz w:val="24"/>
          <w:szCs w:val="24"/>
          <w:lang w:val="uk-UA"/>
        </w:rPr>
        <w:t xml:space="preserve"> </w:t>
      </w:r>
      <w:r w:rsidRPr="00BE1959">
        <w:rPr>
          <w:rStyle w:val="hps"/>
          <w:rFonts w:ascii="Times New Roman" w:hAnsi="Times New Roman" w:cs="Times New Roman"/>
          <w:color w:val="222222"/>
          <w:sz w:val="24"/>
          <w:szCs w:val="24"/>
          <w:lang w:val="uk-UA"/>
        </w:rPr>
        <w:t>письмову угоду</w:t>
      </w:r>
      <w:r w:rsidRPr="00BE1959">
        <w:rPr>
          <w:rFonts w:ascii="Times New Roman" w:hAnsi="Times New Roman" w:cs="Times New Roman"/>
          <w:color w:val="222222"/>
          <w:sz w:val="24"/>
          <w:szCs w:val="24"/>
          <w:lang w:val="uk-UA"/>
        </w:rPr>
        <w:t xml:space="preserve"> </w:t>
      </w:r>
      <w:r w:rsidRPr="00BE1959">
        <w:rPr>
          <w:rStyle w:val="hps"/>
          <w:rFonts w:ascii="Times New Roman" w:hAnsi="Times New Roman" w:cs="Times New Roman"/>
          <w:color w:val="222222"/>
          <w:sz w:val="24"/>
          <w:szCs w:val="24"/>
          <w:lang w:val="uk-UA"/>
        </w:rPr>
        <w:t>з</w:t>
      </w:r>
      <w:r w:rsidRPr="00BE1959">
        <w:rPr>
          <w:rFonts w:ascii="Times New Roman" w:hAnsi="Times New Roman" w:cs="Times New Roman"/>
          <w:color w:val="222222"/>
          <w:sz w:val="24"/>
          <w:szCs w:val="24"/>
          <w:lang w:val="uk-UA"/>
        </w:rPr>
        <w:t xml:space="preserve"> </w:t>
      </w:r>
      <w:r w:rsidRPr="00BE1959">
        <w:rPr>
          <w:rStyle w:val="hps"/>
          <w:rFonts w:ascii="Times New Roman" w:hAnsi="Times New Roman" w:cs="Times New Roman"/>
          <w:color w:val="222222"/>
          <w:sz w:val="24"/>
          <w:szCs w:val="24"/>
          <w:lang w:val="uk-UA"/>
        </w:rPr>
        <w:t>інвестиційною фірмою</w:t>
      </w:r>
      <w:r w:rsidRPr="00BE1959">
        <w:rPr>
          <w:rFonts w:ascii="Times New Roman" w:hAnsi="Times New Roman" w:cs="Times New Roman"/>
          <w:color w:val="222222"/>
          <w:sz w:val="24"/>
          <w:szCs w:val="24"/>
          <w:lang w:val="uk-UA"/>
        </w:rPr>
        <w:t xml:space="preserve"> </w:t>
      </w:r>
      <w:r w:rsidRPr="00BE1959">
        <w:rPr>
          <w:rStyle w:val="hps"/>
          <w:rFonts w:ascii="Times New Roman" w:hAnsi="Times New Roman" w:cs="Times New Roman"/>
          <w:color w:val="222222"/>
          <w:sz w:val="24"/>
          <w:szCs w:val="24"/>
          <w:lang w:val="uk-UA"/>
        </w:rPr>
        <w:t>про те,</w:t>
      </w:r>
      <w:r w:rsidRPr="00BE1959">
        <w:rPr>
          <w:rFonts w:ascii="Times New Roman" w:hAnsi="Times New Roman" w:cs="Times New Roman"/>
          <w:color w:val="222222"/>
          <w:sz w:val="24"/>
          <w:szCs w:val="24"/>
          <w:lang w:val="uk-UA"/>
        </w:rPr>
        <w:t xml:space="preserve"> </w:t>
      </w:r>
      <w:r w:rsidRPr="00BE1959">
        <w:rPr>
          <w:rStyle w:val="hps"/>
          <w:rFonts w:ascii="Times New Roman" w:hAnsi="Times New Roman" w:cs="Times New Roman"/>
          <w:color w:val="222222"/>
          <w:sz w:val="24"/>
          <w:szCs w:val="24"/>
          <w:lang w:val="uk-UA"/>
        </w:rPr>
        <w:t>що він не буде</w:t>
      </w:r>
      <w:r w:rsidRPr="00BE1959">
        <w:rPr>
          <w:rFonts w:ascii="Times New Roman" w:hAnsi="Times New Roman" w:cs="Times New Roman"/>
          <w:color w:val="222222"/>
          <w:sz w:val="24"/>
          <w:szCs w:val="24"/>
          <w:lang w:val="uk-UA"/>
        </w:rPr>
        <w:t xml:space="preserve"> </w:t>
      </w:r>
      <w:r w:rsidRPr="00BE1959">
        <w:rPr>
          <w:rStyle w:val="hps"/>
          <w:rFonts w:ascii="Times New Roman" w:hAnsi="Times New Roman" w:cs="Times New Roman"/>
          <w:color w:val="222222"/>
          <w:sz w:val="24"/>
          <w:szCs w:val="24"/>
          <w:lang w:val="uk-UA"/>
        </w:rPr>
        <w:t>розглядатись як</w:t>
      </w:r>
      <w:r w:rsidRPr="00BE1959">
        <w:rPr>
          <w:rFonts w:ascii="Times New Roman" w:hAnsi="Times New Roman" w:cs="Times New Roman"/>
          <w:color w:val="222222"/>
          <w:sz w:val="24"/>
          <w:szCs w:val="24"/>
          <w:lang w:val="uk-UA"/>
        </w:rPr>
        <w:t xml:space="preserve"> </w:t>
      </w:r>
      <w:r w:rsidRPr="00BE1959">
        <w:rPr>
          <w:rStyle w:val="hps"/>
          <w:rFonts w:ascii="Times New Roman" w:hAnsi="Times New Roman" w:cs="Times New Roman"/>
          <w:color w:val="222222"/>
          <w:sz w:val="24"/>
          <w:szCs w:val="24"/>
          <w:lang w:val="uk-UA"/>
        </w:rPr>
        <w:t>професіонал для</w:t>
      </w:r>
      <w:r w:rsidRPr="00BE1959">
        <w:rPr>
          <w:rFonts w:ascii="Times New Roman" w:hAnsi="Times New Roman" w:cs="Times New Roman"/>
          <w:color w:val="222222"/>
          <w:sz w:val="24"/>
          <w:szCs w:val="24"/>
          <w:lang w:val="uk-UA"/>
        </w:rPr>
        <w:t xml:space="preserve"> </w:t>
      </w:r>
      <w:r w:rsidRPr="00BE1959">
        <w:rPr>
          <w:rStyle w:val="hps"/>
          <w:rFonts w:ascii="Times New Roman" w:hAnsi="Times New Roman" w:cs="Times New Roman"/>
          <w:color w:val="222222"/>
          <w:sz w:val="24"/>
          <w:szCs w:val="24"/>
          <w:lang w:val="uk-UA"/>
        </w:rPr>
        <w:t>цілей</w:t>
      </w:r>
      <w:r w:rsidRPr="00BE1959">
        <w:rPr>
          <w:rFonts w:ascii="Times New Roman" w:hAnsi="Times New Roman" w:cs="Times New Roman"/>
          <w:color w:val="222222"/>
          <w:sz w:val="24"/>
          <w:szCs w:val="24"/>
          <w:lang w:val="uk-UA"/>
        </w:rPr>
        <w:t xml:space="preserve"> </w:t>
      </w:r>
      <w:r w:rsidRPr="00BE1959">
        <w:rPr>
          <w:rStyle w:val="hps"/>
          <w:rFonts w:ascii="Times New Roman" w:hAnsi="Times New Roman" w:cs="Times New Roman"/>
          <w:color w:val="222222"/>
          <w:sz w:val="24"/>
          <w:szCs w:val="24"/>
          <w:lang w:val="uk-UA"/>
        </w:rPr>
        <w:t>відповідного</w:t>
      </w:r>
      <w:r w:rsidRPr="00BE1959">
        <w:rPr>
          <w:rFonts w:ascii="Times New Roman" w:hAnsi="Times New Roman" w:cs="Times New Roman"/>
          <w:color w:val="222222"/>
          <w:sz w:val="24"/>
          <w:szCs w:val="24"/>
          <w:lang w:val="uk-UA"/>
        </w:rPr>
        <w:t xml:space="preserve"> режиму ділової </w:t>
      </w:r>
      <w:r w:rsidRPr="00BE1959">
        <w:rPr>
          <w:rStyle w:val="hps"/>
          <w:rFonts w:ascii="Times New Roman" w:hAnsi="Times New Roman" w:cs="Times New Roman"/>
          <w:color w:val="222222"/>
          <w:sz w:val="24"/>
          <w:szCs w:val="24"/>
          <w:lang w:val="uk-UA"/>
        </w:rPr>
        <w:t>поведінки.</w:t>
      </w:r>
      <w:r w:rsidRPr="00BE1959">
        <w:rPr>
          <w:rFonts w:ascii="Times New Roman" w:hAnsi="Times New Roman" w:cs="Times New Roman"/>
          <w:color w:val="222222"/>
          <w:sz w:val="24"/>
          <w:szCs w:val="24"/>
          <w:lang w:val="uk-UA"/>
        </w:rPr>
        <w:t xml:space="preserve"> У т</w:t>
      </w:r>
      <w:r w:rsidRPr="00BE1959">
        <w:rPr>
          <w:rStyle w:val="hps"/>
          <w:rFonts w:ascii="Times New Roman" w:hAnsi="Times New Roman" w:cs="Times New Roman"/>
          <w:color w:val="222222"/>
          <w:sz w:val="24"/>
          <w:szCs w:val="24"/>
          <w:lang w:val="uk-UA"/>
        </w:rPr>
        <w:t>акій угоді необхідно</w:t>
      </w:r>
      <w:r w:rsidRPr="00BE1959">
        <w:rPr>
          <w:rFonts w:ascii="Times New Roman" w:hAnsi="Times New Roman" w:cs="Times New Roman"/>
          <w:color w:val="222222"/>
          <w:sz w:val="24"/>
          <w:szCs w:val="24"/>
          <w:lang w:val="uk-UA"/>
        </w:rPr>
        <w:t xml:space="preserve"> </w:t>
      </w:r>
      <w:r w:rsidRPr="00BE1959">
        <w:rPr>
          <w:rStyle w:val="hps"/>
          <w:rFonts w:ascii="Times New Roman" w:hAnsi="Times New Roman" w:cs="Times New Roman"/>
          <w:color w:val="222222"/>
          <w:sz w:val="24"/>
          <w:szCs w:val="24"/>
          <w:lang w:val="uk-UA"/>
        </w:rPr>
        <w:t>зазначити це</w:t>
      </w:r>
      <w:r w:rsidRPr="00BE1959">
        <w:rPr>
          <w:rFonts w:ascii="Times New Roman" w:hAnsi="Times New Roman" w:cs="Times New Roman"/>
          <w:color w:val="222222"/>
          <w:sz w:val="24"/>
          <w:szCs w:val="24"/>
          <w:lang w:val="uk-UA"/>
        </w:rPr>
        <w:t xml:space="preserve"> </w:t>
      </w:r>
      <w:r w:rsidRPr="00BE1959">
        <w:rPr>
          <w:rStyle w:val="hps"/>
          <w:rFonts w:ascii="Times New Roman" w:hAnsi="Times New Roman" w:cs="Times New Roman"/>
          <w:color w:val="222222"/>
          <w:sz w:val="24"/>
          <w:szCs w:val="24"/>
          <w:lang w:val="uk-UA"/>
        </w:rPr>
        <w:t>чи відноситься</w:t>
      </w:r>
      <w:r w:rsidRPr="00BE1959">
        <w:rPr>
          <w:rFonts w:ascii="Times New Roman" w:hAnsi="Times New Roman" w:cs="Times New Roman"/>
          <w:color w:val="222222"/>
          <w:sz w:val="24"/>
          <w:szCs w:val="24"/>
          <w:lang w:val="uk-UA"/>
        </w:rPr>
        <w:t xml:space="preserve"> до </w:t>
      </w:r>
      <w:r w:rsidRPr="00BE1959">
        <w:rPr>
          <w:rStyle w:val="hps"/>
          <w:rFonts w:ascii="Times New Roman" w:hAnsi="Times New Roman" w:cs="Times New Roman"/>
          <w:color w:val="222222"/>
          <w:sz w:val="24"/>
          <w:szCs w:val="24"/>
          <w:lang w:val="uk-UA"/>
        </w:rPr>
        <w:t>однієї або більше</w:t>
      </w:r>
      <w:r w:rsidRPr="00BE1959">
        <w:rPr>
          <w:rFonts w:ascii="Times New Roman" w:hAnsi="Times New Roman" w:cs="Times New Roman"/>
          <w:color w:val="222222"/>
          <w:sz w:val="24"/>
          <w:szCs w:val="24"/>
          <w:lang w:val="uk-UA"/>
        </w:rPr>
        <w:t xml:space="preserve"> </w:t>
      </w:r>
      <w:r w:rsidRPr="00BE1959">
        <w:rPr>
          <w:rStyle w:val="hps"/>
          <w:rFonts w:ascii="Times New Roman" w:hAnsi="Times New Roman" w:cs="Times New Roman"/>
          <w:color w:val="222222"/>
          <w:sz w:val="24"/>
          <w:szCs w:val="24"/>
          <w:lang w:val="uk-UA"/>
        </w:rPr>
        <w:t>конкретних послуг</w:t>
      </w:r>
      <w:r w:rsidRPr="00BE1959">
        <w:rPr>
          <w:rFonts w:ascii="Times New Roman" w:hAnsi="Times New Roman" w:cs="Times New Roman"/>
          <w:color w:val="222222"/>
          <w:sz w:val="24"/>
          <w:szCs w:val="24"/>
          <w:lang w:val="uk-UA"/>
        </w:rPr>
        <w:t xml:space="preserve"> </w:t>
      </w:r>
      <w:r w:rsidRPr="00BE1959">
        <w:rPr>
          <w:rStyle w:val="hps"/>
          <w:rFonts w:ascii="Times New Roman" w:hAnsi="Times New Roman" w:cs="Times New Roman"/>
          <w:color w:val="222222"/>
          <w:sz w:val="24"/>
          <w:szCs w:val="24"/>
          <w:lang w:val="uk-UA"/>
        </w:rPr>
        <w:t>або транзакцій</w:t>
      </w:r>
      <w:r w:rsidRPr="00BE1959">
        <w:rPr>
          <w:rFonts w:ascii="Times New Roman" w:hAnsi="Times New Roman" w:cs="Times New Roman"/>
          <w:color w:val="222222"/>
          <w:sz w:val="24"/>
          <w:szCs w:val="24"/>
          <w:lang w:val="uk-UA"/>
        </w:rPr>
        <w:t xml:space="preserve">, </w:t>
      </w:r>
      <w:r w:rsidRPr="00BE1959">
        <w:rPr>
          <w:rStyle w:val="hps"/>
          <w:rFonts w:ascii="Times New Roman" w:hAnsi="Times New Roman" w:cs="Times New Roman"/>
          <w:color w:val="222222"/>
          <w:sz w:val="24"/>
          <w:szCs w:val="24"/>
          <w:lang w:val="uk-UA"/>
        </w:rPr>
        <w:t>або одного</w:t>
      </w:r>
      <w:r w:rsidRPr="00BE1959">
        <w:rPr>
          <w:rFonts w:ascii="Times New Roman" w:hAnsi="Times New Roman" w:cs="Times New Roman"/>
          <w:color w:val="222222"/>
          <w:sz w:val="24"/>
          <w:szCs w:val="24"/>
          <w:lang w:val="uk-UA"/>
        </w:rPr>
        <w:t xml:space="preserve"> </w:t>
      </w:r>
      <w:r w:rsidRPr="00BE1959">
        <w:rPr>
          <w:rStyle w:val="hps"/>
          <w:rFonts w:ascii="Times New Roman" w:hAnsi="Times New Roman" w:cs="Times New Roman"/>
          <w:color w:val="222222"/>
          <w:sz w:val="24"/>
          <w:szCs w:val="24"/>
          <w:lang w:val="uk-UA"/>
        </w:rPr>
        <w:t>або більше типів</w:t>
      </w:r>
      <w:r w:rsidRPr="00BE1959">
        <w:rPr>
          <w:rFonts w:ascii="Times New Roman" w:hAnsi="Times New Roman" w:cs="Times New Roman"/>
          <w:color w:val="222222"/>
          <w:sz w:val="24"/>
          <w:szCs w:val="24"/>
          <w:lang w:val="uk-UA"/>
        </w:rPr>
        <w:t xml:space="preserve"> </w:t>
      </w:r>
      <w:r w:rsidRPr="00BE1959">
        <w:rPr>
          <w:rStyle w:val="hps"/>
          <w:rFonts w:ascii="Times New Roman" w:hAnsi="Times New Roman" w:cs="Times New Roman"/>
          <w:color w:val="222222"/>
          <w:sz w:val="24"/>
          <w:szCs w:val="24"/>
          <w:lang w:val="uk-UA"/>
        </w:rPr>
        <w:t>продукту або</w:t>
      </w:r>
      <w:r w:rsidRPr="00BE1959">
        <w:rPr>
          <w:rFonts w:ascii="Times New Roman" w:hAnsi="Times New Roman" w:cs="Times New Roman"/>
          <w:color w:val="222222"/>
          <w:sz w:val="24"/>
          <w:szCs w:val="24"/>
          <w:lang w:val="uk-UA"/>
        </w:rPr>
        <w:t xml:space="preserve"> </w:t>
      </w:r>
      <w:r w:rsidRPr="00BE1959">
        <w:rPr>
          <w:rStyle w:val="hps"/>
          <w:rFonts w:ascii="Times New Roman" w:hAnsi="Times New Roman" w:cs="Times New Roman"/>
          <w:color w:val="222222"/>
          <w:sz w:val="24"/>
          <w:szCs w:val="24"/>
          <w:lang w:val="uk-UA"/>
        </w:rPr>
        <w:t>транзакцій.</w:t>
      </w:r>
    </w:p>
    <w:p w:rsidR="00BE1959" w:rsidRPr="00BE1959" w:rsidRDefault="00BE1959" w:rsidP="00BE1959">
      <w:pPr>
        <w:spacing w:after="0" w:line="240" w:lineRule="auto"/>
        <w:jc w:val="both"/>
        <w:rPr>
          <w:rFonts w:ascii="Times New Roman" w:hAnsi="Times New Roman" w:cs="Times New Roman"/>
          <w:sz w:val="24"/>
          <w:szCs w:val="24"/>
          <w:lang w:val="uk-UA"/>
        </w:rPr>
      </w:pPr>
      <w:r w:rsidRPr="00BE1959">
        <w:rPr>
          <w:rFonts w:ascii="Times New Roman" w:hAnsi="Times New Roman" w:cs="Times New Roman"/>
          <w:sz w:val="24"/>
          <w:szCs w:val="24"/>
          <w:lang w:val="uk-UA"/>
        </w:rPr>
        <w:t>II.    КЛІЄНТИ, ЯКІ МОЖУТЬ ВВАЖАТИСЬ ПРОФЕСІОНАЛАМИ ЗА ЗАПИТОМ</w:t>
      </w:r>
    </w:p>
    <w:p w:rsidR="00BE1959" w:rsidRPr="00BE1959" w:rsidRDefault="00BE1959" w:rsidP="00BE1959">
      <w:pPr>
        <w:spacing w:after="0" w:line="240" w:lineRule="auto"/>
        <w:jc w:val="both"/>
        <w:rPr>
          <w:rFonts w:ascii="Times New Roman" w:hAnsi="Times New Roman" w:cs="Times New Roman"/>
          <w:sz w:val="24"/>
          <w:szCs w:val="24"/>
          <w:lang w:val="uk-UA"/>
        </w:rPr>
      </w:pPr>
      <w:r w:rsidRPr="00BE1959">
        <w:rPr>
          <w:rFonts w:ascii="Times New Roman" w:hAnsi="Times New Roman" w:cs="Times New Roman"/>
          <w:sz w:val="24"/>
          <w:szCs w:val="24"/>
          <w:lang w:val="uk-UA"/>
        </w:rPr>
        <w:t>II.1.   Критерії ідентифікації</w:t>
      </w:r>
    </w:p>
    <w:p w:rsidR="00BE1959" w:rsidRPr="00BE1959" w:rsidRDefault="00BE1959" w:rsidP="00BE1959">
      <w:pPr>
        <w:spacing w:after="0" w:line="240" w:lineRule="auto"/>
        <w:jc w:val="both"/>
        <w:rPr>
          <w:rFonts w:ascii="Times New Roman" w:hAnsi="Times New Roman" w:cs="Times New Roman"/>
          <w:sz w:val="24"/>
          <w:szCs w:val="24"/>
          <w:lang w:val="uk-UA"/>
        </w:rPr>
      </w:pPr>
      <w:r w:rsidRPr="00BE1959">
        <w:rPr>
          <w:rStyle w:val="hps"/>
          <w:rFonts w:ascii="Times New Roman" w:hAnsi="Times New Roman" w:cs="Times New Roman"/>
          <w:color w:val="222222"/>
          <w:sz w:val="24"/>
          <w:szCs w:val="24"/>
          <w:lang w:val="uk-UA"/>
        </w:rPr>
        <w:t>Клієнтам крім</w:t>
      </w:r>
      <w:r w:rsidRPr="00BE1959">
        <w:rPr>
          <w:rFonts w:ascii="Times New Roman" w:hAnsi="Times New Roman" w:cs="Times New Roman"/>
          <w:color w:val="222222"/>
          <w:sz w:val="24"/>
          <w:szCs w:val="24"/>
          <w:lang w:val="uk-UA"/>
        </w:rPr>
        <w:t xml:space="preserve"> </w:t>
      </w:r>
      <w:r w:rsidRPr="00BE1959">
        <w:rPr>
          <w:rStyle w:val="hps"/>
          <w:rFonts w:ascii="Times New Roman" w:hAnsi="Times New Roman" w:cs="Times New Roman"/>
          <w:color w:val="222222"/>
          <w:sz w:val="24"/>
          <w:szCs w:val="24"/>
          <w:lang w:val="uk-UA"/>
        </w:rPr>
        <w:t>тих,</w:t>
      </w:r>
      <w:r w:rsidRPr="00BE1959">
        <w:rPr>
          <w:rFonts w:ascii="Times New Roman" w:hAnsi="Times New Roman" w:cs="Times New Roman"/>
          <w:color w:val="222222"/>
          <w:sz w:val="24"/>
          <w:szCs w:val="24"/>
          <w:lang w:val="uk-UA"/>
        </w:rPr>
        <w:t xml:space="preserve"> </w:t>
      </w:r>
      <w:r w:rsidRPr="00BE1959">
        <w:rPr>
          <w:rStyle w:val="hps"/>
          <w:rFonts w:ascii="Times New Roman" w:hAnsi="Times New Roman" w:cs="Times New Roman"/>
          <w:color w:val="222222"/>
          <w:sz w:val="24"/>
          <w:szCs w:val="24"/>
          <w:lang w:val="uk-UA"/>
        </w:rPr>
        <w:t>які зазначені в</w:t>
      </w:r>
      <w:r w:rsidRPr="00BE1959">
        <w:rPr>
          <w:rFonts w:ascii="Times New Roman" w:hAnsi="Times New Roman" w:cs="Times New Roman"/>
          <w:color w:val="222222"/>
          <w:sz w:val="24"/>
          <w:szCs w:val="24"/>
          <w:lang w:val="uk-UA"/>
        </w:rPr>
        <w:t xml:space="preserve"> </w:t>
      </w:r>
      <w:r w:rsidRPr="00BE1959">
        <w:rPr>
          <w:rStyle w:val="hps"/>
          <w:rFonts w:ascii="Times New Roman" w:hAnsi="Times New Roman" w:cs="Times New Roman"/>
          <w:color w:val="222222"/>
          <w:sz w:val="24"/>
          <w:szCs w:val="24"/>
          <w:lang w:val="uk-UA"/>
        </w:rPr>
        <w:t>розділі</w:t>
      </w:r>
      <w:r w:rsidRPr="00BE1959">
        <w:rPr>
          <w:rFonts w:ascii="Times New Roman" w:hAnsi="Times New Roman" w:cs="Times New Roman"/>
          <w:color w:val="222222"/>
          <w:sz w:val="24"/>
          <w:szCs w:val="24"/>
          <w:lang w:val="uk-UA"/>
        </w:rPr>
        <w:t xml:space="preserve"> </w:t>
      </w:r>
      <w:r w:rsidRPr="00BE1959">
        <w:rPr>
          <w:rStyle w:val="hps"/>
          <w:rFonts w:ascii="Times New Roman" w:hAnsi="Times New Roman" w:cs="Times New Roman"/>
          <w:color w:val="222222"/>
          <w:sz w:val="24"/>
          <w:szCs w:val="24"/>
          <w:lang w:val="uk-UA"/>
        </w:rPr>
        <w:t>I</w:t>
      </w:r>
      <w:r w:rsidRPr="00BE1959">
        <w:rPr>
          <w:rFonts w:ascii="Times New Roman" w:hAnsi="Times New Roman" w:cs="Times New Roman"/>
          <w:color w:val="222222"/>
          <w:sz w:val="24"/>
          <w:szCs w:val="24"/>
          <w:lang w:val="uk-UA"/>
        </w:rPr>
        <w:t xml:space="preserve">, включаючи органи </w:t>
      </w:r>
      <w:r w:rsidRPr="00BE1959">
        <w:rPr>
          <w:rStyle w:val="hps"/>
          <w:rFonts w:ascii="Times New Roman" w:hAnsi="Times New Roman" w:cs="Times New Roman"/>
          <w:color w:val="222222"/>
          <w:sz w:val="24"/>
          <w:szCs w:val="24"/>
          <w:lang w:val="uk-UA"/>
        </w:rPr>
        <w:t>державного сектора,</w:t>
      </w:r>
      <w:r w:rsidRPr="00BE1959">
        <w:rPr>
          <w:rFonts w:ascii="Times New Roman" w:hAnsi="Times New Roman" w:cs="Times New Roman"/>
          <w:color w:val="222222"/>
          <w:sz w:val="24"/>
          <w:szCs w:val="24"/>
          <w:lang w:val="uk-UA"/>
        </w:rPr>
        <w:t xml:space="preserve"> </w:t>
      </w:r>
      <w:r w:rsidRPr="00BE1959">
        <w:rPr>
          <w:rStyle w:val="hps"/>
          <w:rFonts w:ascii="Times New Roman" w:hAnsi="Times New Roman" w:cs="Times New Roman"/>
          <w:color w:val="222222"/>
          <w:sz w:val="24"/>
          <w:szCs w:val="24"/>
          <w:lang w:val="uk-UA"/>
        </w:rPr>
        <w:t>місцеві органи державної влади</w:t>
      </w:r>
      <w:r w:rsidRPr="00BE1959">
        <w:rPr>
          <w:rFonts w:ascii="Times New Roman" w:hAnsi="Times New Roman" w:cs="Times New Roman"/>
          <w:color w:val="222222"/>
          <w:sz w:val="24"/>
          <w:szCs w:val="24"/>
          <w:lang w:val="uk-UA"/>
        </w:rPr>
        <w:t xml:space="preserve">, </w:t>
      </w:r>
      <w:r w:rsidRPr="00BE1959">
        <w:rPr>
          <w:rStyle w:val="hps"/>
          <w:rFonts w:ascii="Times New Roman" w:hAnsi="Times New Roman" w:cs="Times New Roman"/>
          <w:color w:val="222222"/>
          <w:sz w:val="24"/>
          <w:szCs w:val="24"/>
          <w:lang w:val="uk-UA"/>
        </w:rPr>
        <w:t>муніципалітети</w:t>
      </w:r>
      <w:r w:rsidRPr="00BE1959">
        <w:rPr>
          <w:rFonts w:ascii="Times New Roman" w:hAnsi="Times New Roman" w:cs="Times New Roman"/>
          <w:color w:val="222222"/>
          <w:sz w:val="24"/>
          <w:szCs w:val="24"/>
          <w:lang w:val="uk-UA"/>
        </w:rPr>
        <w:t xml:space="preserve"> т</w:t>
      </w:r>
      <w:r w:rsidRPr="00BE1959">
        <w:rPr>
          <w:rStyle w:val="hps"/>
          <w:rFonts w:ascii="Times New Roman" w:hAnsi="Times New Roman" w:cs="Times New Roman"/>
          <w:color w:val="222222"/>
          <w:sz w:val="24"/>
          <w:szCs w:val="24"/>
          <w:lang w:val="uk-UA"/>
        </w:rPr>
        <w:t>а</w:t>
      </w:r>
      <w:r w:rsidRPr="00BE1959">
        <w:rPr>
          <w:rFonts w:ascii="Times New Roman" w:hAnsi="Times New Roman" w:cs="Times New Roman"/>
          <w:color w:val="222222"/>
          <w:sz w:val="24"/>
          <w:szCs w:val="24"/>
          <w:lang w:val="uk-UA"/>
        </w:rPr>
        <w:t xml:space="preserve"> </w:t>
      </w:r>
      <w:r w:rsidRPr="00BE1959">
        <w:rPr>
          <w:rStyle w:val="hps"/>
          <w:rFonts w:ascii="Times New Roman" w:hAnsi="Times New Roman" w:cs="Times New Roman"/>
          <w:color w:val="222222"/>
          <w:sz w:val="24"/>
          <w:szCs w:val="24"/>
          <w:lang w:val="uk-UA"/>
        </w:rPr>
        <w:t>приватних</w:t>
      </w:r>
      <w:r w:rsidRPr="00BE1959">
        <w:rPr>
          <w:rFonts w:ascii="Times New Roman" w:hAnsi="Times New Roman" w:cs="Times New Roman"/>
          <w:color w:val="222222"/>
          <w:sz w:val="24"/>
          <w:szCs w:val="24"/>
          <w:lang w:val="uk-UA"/>
        </w:rPr>
        <w:t xml:space="preserve"> </w:t>
      </w:r>
      <w:r w:rsidRPr="00BE1959">
        <w:rPr>
          <w:rStyle w:val="hps"/>
          <w:rFonts w:ascii="Times New Roman" w:hAnsi="Times New Roman" w:cs="Times New Roman"/>
          <w:color w:val="222222"/>
          <w:sz w:val="24"/>
          <w:szCs w:val="24"/>
          <w:lang w:val="uk-UA"/>
        </w:rPr>
        <w:t>індивідуальних інвесторів, може</w:t>
      </w:r>
      <w:r w:rsidRPr="00BE1959">
        <w:rPr>
          <w:rFonts w:ascii="Times New Roman" w:hAnsi="Times New Roman" w:cs="Times New Roman"/>
          <w:color w:val="222222"/>
          <w:sz w:val="24"/>
          <w:szCs w:val="24"/>
          <w:lang w:val="uk-UA"/>
        </w:rPr>
        <w:t xml:space="preserve"> </w:t>
      </w:r>
      <w:r w:rsidRPr="00BE1959">
        <w:rPr>
          <w:rStyle w:val="hps"/>
          <w:rFonts w:ascii="Times New Roman" w:hAnsi="Times New Roman" w:cs="Times New Roman"/>
          <w:color w:val="222222"/>
          <w:sz w:val="24"/>
          <w:szCs w:val="24"/>
          <w:lang w:val="uk-UA"/>
        </w:rPr>
        <w:t>також</w:t>
      </w:r>
      <w:r w:rsidRPr="00BE1959">
        <w:rPr>
          <w:rFonts w:ascii="Times New Roman" w:hAnsi="Times New Roman" w:cs="Times New Roman"/>
          <w:color w:val="222222"/>
          <w:sz w:val="24"/>
          <w:szCs w:val="24"/>
          <w:lang w:val="uk-UA"/>
        </w:rPr>
        <w:t xml:space="preserve"> </w:t>
      </w:r>
      <w:r w:rsidRPr="00BE1959">
        <w:rPr>
          <w:rStyle w:val="hps"/>
          <w:rFonts w:ascii="Times New Roman" w:hAnsi="Times New Roman" w:cs="Times New Roman"/>
          <w:color w:val="222222"/>
          <w:sz w:val="24"/>
          <w:szCs w:val="24"/>
          <w:lang w:val="uk-UA"/>
        </w:rPr>
        <w:t>бути</w:t>
      </w:r>
      <w:r w:rsidRPr="00BE1959">
        <w:rPr>
          <w:rFonts w:ascii="Times New Roman" w:hAnsi="Times New Roman" w:cs="Times New Roman"/>
          <w:color w:val="222222"/>
          <w:sz w:val="24"/>
          <w:szCs w:val="24"/>
          <w:lang w:val="uk-UA"/>
        </w:rPr>
        <w:t xml:space="preserve"> </w:t>
      </w:r>
      <w:r w:rsidRPr="00BE1959">
        <w:rPr>
          <w:rStyle w:val="hps"/>
          <w:rFonts w:ascii="Times New Roman" w:hAnsi="Times New Roman" w:cs="Times New Roman"/>
          <w:color w:val="222222"/>
          <w:sz w:val="24"/>
          <w:szCs w:val="24"/>
          <w:lang w:val="uk-UA"/>
        </w:rPr>
        <w:t>дозволено</w:t>
      </w:r>
      <w:r w:rsidRPr="00BE1959">
        <w:rPr>
          <w:rFonts w:ascii="Times New Roman" w:hAnsi="Times New Roman" w:cs="Times New Roman"/>
          <w:color w:val="222222"/>
          <w:sz w:val="24"/>
          <w:szCs w:val="24"/>
          <w:lang w:val="uk-UA"/>
        </w:rPr>
        <w:t xml:space="preserve"> </w:t>
      </w:r>
      <w:r w:rsidRPr="00BE1959">
        <w:rPr>
          <w:rStyle w:val="hps"/>
          <w:rFonts w:ascii="Times New Roman" w:hAnsi="Times New Roman" w:cs="Times New Roman"/>
          <w:color w:val="222222"/>
          <w:sz w:val="24"/>
          <w:szCs w:val="24"/>
          <w:lang w:val="uk-UA"/>
        </w:rPr>
        <w:t>відмовитися</w:t>
      </w:r>
      <w:r w:rsidRPr="00BE1959">
        <w:rPr>
          <w:rFonts w:ascii="Times New Roman" w:hAnsi="Times New Roman" w:cs="Times New Roman"/>
          <w:color w:val="222222"/>
          <w:sz w:val="24"/>
          <w:szCs w:val="24"/>
          <w:lang w:val="uk-UA"/>
        </w:rPr>
        <w:t xml:space="preserve"> </w:t>
      </w:r>
      <w:r w:rsidRPr="00BE1959">
        <w:rPr>
          <w:rStyle w:val="hps"/>
          <w:rFonts w:ascii="Times New Roman" w:hAnsi="Times New Roman" w:cs="Times New Roman"/>
          <w:color w:val="222222"/>
          <w:sz w:val="24"/>
          <w:szCs w:val="24"/>
          <w:lang w:val="uk-UA"/>
        </w:rPr>
        <w:t>від деяких з</w:t>
      </w:r>
      <w:r w:rsidRPr="00BE1959">
        <w:rPr>
          <w:rFonts w:ascii="Times New Roman" w:hAnsi="Times New Roman" w:cs="Times New Roman"/>
          <w:color w:val="222222"/>
          <w:sz w:val="24"/>
          <w:szCs w:val="24"/>
          <w:lang w:val="uk-UA"/>
        </w:rPr>
        <w:t xml:space="preserve"> форм </w:t>
      </w:r>
      <w:r w:rsidRPr="00BE1959">
        <w:rPr>
          <w:rStyle w:val="hps"/>
          <w:rFonts w:ascii="Times New Roman" w:hAnsi="Times New Roman" w:cs="Times New Roman"/>
          <w:color w:val="222222"/>
          <w:sz w:val="24"/>
          <w:szCs w:val="24"/>
          <w:lang w:val="uk-UA"/>
        </w:rPr>
        <w:t>захисту, що надається</w:t>
      </w:r>
      <w:r w:rsidRPr="00BE1959">
        <w:rPr>
          <w:rFonts w:ascii="Times New Roman" w:hAnsi="Times New Roman" w:cs="Times New Roman"/>
          <w:color w:val="222222"/>
          <w:sz w:val="24"/>
          <w:szCs w:val="24"/>
          <w:lang w:val="uk-UA"/>
        </w:rPr>
        <w:t xml:space="preserve"> правилами </w:t>
      </w:r>
      <w:r w:rsidRPr="00BE1959">
        <w:rPr>
          <w:rFonts w:ascii="Times New Roman" w:eastAsia="Times New Roman" w:hAnsi="Times New Roman" w:cs="Times New Roman"/>
          <w:sz w:val="24"/>
          <w:szCs w:val="24"/>
          <w:lang w:val="uk-UA"/>
        </w:rPr>
        <w:t>ведення діяльності</w:t>
      </w:r>
      <w:r w:rsidRPr="00BE1959">
        <w:rPr>
          <w:rFonts w:ascii="Times New Roman" w:hAnsi="Times New Roman" w:cs="Times New Roman"/>
          <w:color w:val="222222"/>
          <w:sz w:val="24"/>
          <w:szCs w:val="24"/>
          <w:lang w:val="uk-UA"/>
        </w:rPr>
        <w:t>.</w:t>
      </w:r>
    </w:p>
    <w:p w:rsidR="00BE1959" w:rsidRPr="00BE1959" w:rsidRDefault="00BE1959" w:rsidP="00BE1959">
      <w:pPr>
        <w:spacing w:after="0" w:line="240" w:lineRule="auto"/>
        <w:jc w:val="both"/>
        <w:rPr>
          <w:rFonts w:ascii="Times New Roman" w:hAnsi="Times New Roman" w:cs="Times New Roman"/>
          <w:sz w:val="24"/>
          <w:szCs w:val="24"/>
          <w:lang w:val="uk-UA"/>
        </w:rPr>
      </w:pPr>
      <w:r w:rsidRPr="00BE1959">
        <w:rPr>
          <w:rFonts w:ascii="Times New Roman" w:hAnsi="Times New Roman" w:cs="Times New Roman"/>
          <w:sz w:val="24"/>
          <w:szCs w:val="24"/>
          <w:lang w:val="uk-UA"/>
        </w:rPr>
        <w:t>Таким чином інвестиційним фірмам повинно дозволятись ставитись до будь-якого з цих клієнтів, як до професіоналів, за умови виконання відповідних критеріїв та наведеної нижче процедури. Проте, не повинно припускатись, що зазначені клієнти володіють знанням ринку та досвідом у порівнянні з категоріями, переліченими у Розділі I.</w:t>
      </w:r>
    </w:p>
    <w:p w:rsidR="00BE1959" w:rsidRPr="00BE1959" w:rsidRDefault="00BE1959" w:rsidP="00BE1959">
      <w:pPr>
        <w:spacing w:after="0" w:line="240" w:lineRule="auto"/>
        <w:jc w:val="both"/>
        <w:rPr>
          <w:rFonts w:ascii="Times New Roman" w:hAnsi="Times New Roman" w:cs="Times New Roman"/>
          <w:sz w:val="24"/>
          <w:szCs w:val="24"/>
          <w:lang w:val="uk-UA"/>
        </w:rPr>
      </w:pPr>
      <w:r w:rsidRPr="00BE1959">
        <w:rPr>
          <w:rFonts w:ascii="Times New Roman" w:hAnsi="Times New Roman" w:cs="Times New Roman"/>
          <w:sz w:val="24"/>
          <w:szCs w:val="24"/>
          <w:lang w:val="uk-UA"/>
        </w:rPr>
        <w:t xml:space="preserve">Будь-яке таке звільнення від захисту, що надається в рамках стандартного режиму правил </w:t>
      </w:r>
      <w:r w:rsidRPr="00BE1959">
        <w:rPr>
          <w:rFonts w:ascii="Times New Roman" w:eastAsia="Times New Roman" w:hAnsi="Times New Roman" w:cs="Times New Roman"/>
          <w:sz w:val="24"/>
          <w:szCs w:val="24"/>
          <w:lang w:val="uk-UA"/>
        </w:rPr>
        <w:t>ведення діяльності</w:t>
      </w:r>
      <w:r w:rsidRPr="00BE1959">
        <w:rPr>
          <w:rFonts w:ascii="Times New Roman" w:hAnsi="Times New Roman" w:cs="Times New Roman"/>
          <w:color w:val="222222"/>
          <w:sz w:val="24"/>
          <w:szCs w:val="24"/>
          <w:lang w:val="uk-UA"/>
        </w:rPr>
        <w:t xml:space="preserve"> </w:t>
      </w:r>
      <w:r w:rsidRPr="00BE1959">
        <w:rPr>
          <w:rFonts w:ascii="Times New Roman" w:hAnsi="Times New Roman" w:cs="Times New Roman"/>
          <w:sz w:val="24"/>
          <w:szCs w:val="24"/>
          <w:lang w:val="uk-UA"/>
        </w:rPr>
        <w:t>вважається дійсним, тільки якщо відповідне оцінювання компетентності, досвіду та знання клієнта, здійснене інвестиційною фірмою, дає достатню впевненість, у світлі характеристики  передбачених угод або послуг, що клієнт здатний приймати інвестиційні рішення та має розуміння ризиків.</w:t>
      </w:r>
    </w:p>
    <w:p w:rsidR="00BE1959" w:rsidRPr="00BE1959" w:rsidRDefault="00BE1959" w:rsidP="00BE1959">
      <w:pPr>
        <w:spacing w:after="0" w:line="240" w:lineRule="auto"/>
        <w:jc w:val="both"/>
        <w:rPr>
          <w:rFonts w:ascii="Times New Roman" w:hAnsi="Times New Roman" w:cs="Times New Roman"/>
          <w:sz w:val="24"/>
          <w:szCs w:val="24"/>
          <w:lang w:val="uk-UA"/>
        </w:rPr>
      </w:pPr>
      <w:r w:rsidRPr="00BE1959">
        <w:rPr>
          <w:rFonts w:ascii="Times New Roman" w:hAnsi="Times New Roman" w:cs="Times New Roman"/>
          <w:sz w:val="24"/>
          <w:szCs w:val="24"/>
          <w:lang w:val="uk-UA"/>
        </w:rPr>
        <w:t>Тест на відповідність, що застосовується до менеджерів та директорів суб’єктів, ліцензованих відповідно до положень Директив у фінансовій сфері можна розглядати як приклад оцінювання компетентності та знання. У випадку малих суб'єктів, особою, яка підлягає зазначеній оцінці, повинна бути особа, уповноважена здійснювати угоди від імені юридичної особи.</w:t>
      </w:r>
    </w:p>
    <w:p w:rsidR="00BE1959" w:rsidRPr="00BE1959" w:rsidRDefault="00BE1959" w:rsidP="00BE1959">
      <w:pPr>
        <w:spacing w:after="0" w:line="240" w:lineRule="auto"/>
        <w:jc w:val="both"/>
        <w:rPr>
          <w:rFonts w:ascii="Times New Roman" w:hAnsi="Times New Roman" w:cs="Times New Roman"/>
          <w:sz w:val="24"/>
          <w:szCs w:val="24"/>
          <w:lang w:val="uk-UA"/>
        </w:rPr>
      </w:pPr>
      <w:r w:rsidRPr="00BE1959">
        <w:rPr>
          <w:rFonts w:ascii="Times New Roman" w:hAnsi="Times New Roman" w:cs="Times New Roman"/>
          <w:sz w:val="24"/>
          <w:szCs w:val="24"/>
          <w:lang w:val="uk-UA"/>
        </w:rPr>
        <w:lastRenderedPageBreak/>
        <w:t>У процесі здійснення зазначеної оцінки, принаймні, два з наступних критеріїв повинні бути задоволені:</w:t>
      </w:r>
    </w:p>
    <w:p w:rsidR="00BE1959" w:rsidRPr="00BE1959" w:rsidRDefault="00BE1959" w:rsidP="00BE1959">
      <w:pPr>
        <w:spacing w:after="0" w:line="240" w:lineRule="auto"/>
        <w:jc w:val="both"/>
        <w:rPr>
          <w:rFonts w:ascii="Times New Roman" w:hAnsi="Times New Roman" w:cs="Times New Roman"/>
          <w:sz w:val="24"/>
          <w:szCs w:val="24"/>
          <w:lang w:val="uk-UA"/>
        </w:rPr>
      </w:pPr>
      <w:r w:rsidRPr="00BE1959">
        <w:rPr>
          <w:rFonts w:ascii="Times New Roman" w:hAnsi="Times New Roman" w:cs="Times New Roman"/>
          <w:sz w:val="24"/>
          <w:szCs w:val="24"/>
          <w:lang w:val="uk-UA"/>
        </w:rPr>
        <w:t>- Клієнт здійснив операції, значні за розміром, на відповідному ринку в середньому із частотою 10 в квартал протягом чотирьох попередніх кварталів,</w:t>
      </w:r>
    </w:p>
    <w:p w:rsidR="00BE1959" w:rsidRPr="00BE1959" w:rsidRDefault="00BE1959" w:rsidP="00BE1959">
      <w:pPr>
        <w:spacing w:after="0" w:line="240" w:lineRule="auto"/>
        <w:jc w:val="both"/>
        <w:rPr>
          <w:rFonts w:ascii="Times New Roman" w:hAnsi="Times New Roman" w:cs="Times New Roman"/>
          <w:sz w:val="24"/>
          <w:szCs w:val="24"/>
          <w:lang w:val="uk-UA"/>
        </w:rPr>
      </w:pPr>
    </w:p>
    <w:p w:rsidR="00BE1959" w:rsidRPr="00BE1959" w:rsidRDefault="00BE1959" w:rsidP="00BE1959">
      <w:pPr>
        <w:spacing w:after="0" w:line="240" w:lineRule="auto"/>
        <w:jc w:val="both"/>
        <w:rPr>
          <w:rFonts w:ascii="Times New Roman" w:hAnsi="Times New Roman" w:cs="Times New Roman"/>
          <w:sz w:val="24"/>
          <w:szCs w:val="24"/>
          <w:lang w:val="uk-UA"/>
        </w:rPr>
      </w:pPr>
      <w:r w:rsidRPr="00BE1959">
        <w:rPr>
          <w:rFonts w:ascii="Times New Roman" w:hAnsi="Times New Roman" w:cs="Times New Roman"/>
          <w:sz w:val="24"/>
          <w:szCs w:val="24"/>
          <w:lang w:val="uk-UA"/>
        </w:rPr>
        <w:t>- Розмір портфеля фінансових інструментів клієнта, визначений як той, що включає грошові депозити та фінансові інструменти, перевищує 500000 євро,</w:t>
      </w:r>
    </w:p>
    <w:p w:rsidR="00BE1959" w:rsidRPr="00BE1959" w:rsidRDefault="00BE1959" w:rsidP="00BE1959">
      <w:pPr>
        <w:spacing w:after="0" w:line="240" w:lineRule="auto"/>
        <w:jc w:val="both"/>
        <w:rPr>
          <w:rFonts w:ascii="Times New Roman" w:hAnsi="Times New Roman" w:cs="Times New Roman"/>
          <w:sz w:val="24"/>
          <w:szCs w:val="24"/>
          <w:lang w:val="uk-UA"/>
        </w:rPr>
      </w:pPr>
    </w:p>
    <w:p w:rsidR="00BE1959" w:rsidRPr="00BE1959" w:rsidRDefault="00BE1959" w:rsidP="00BE1959">
      <w:pPr>
        <w:spacing w:after="0" w:line="240" w:lineRule="auto"/>
        <w:jc w:val="both"/>
        <w:rPr>
          <w:rFonts w:ascii="Times New Roman" w:hAnsi="Times New Roman" w:cs="Times New Roman"/>
          <w:sz w:val="24"/>
          <w:szCs w:val="24"/>
          <w:lang w:val="uk-UA"/>
        </w:rPr>
      </w:pPr>
      <w:r w:rsidRPr="00BE1959">
        <w:rPr>
          <w:rFonts w:ascii="Times New Roman" w:hAnsi="Times New Roman" w:cs="Times New Roman"/>
          <w:sz w:val="24"/>
          <w:szCs w:val="24"/>
          <w:lang w:val="uk-UA"/>
        </w:rPr>
        <w:t>- Клієнт працює або працював у фінансовому секторі протягом принаймні одного року на професійній позиції, яка вимагає знання у сфері передбачених операцій чи послуг.</w:t>
      </w:r>
    </w:p>
    <w:p w:rsidR="00BE1959" w:rsidRPr="00BE1959" w:rsidRDefault="00BE1959" w:rsidP="00BE1959">
      <w:pPr>
        <w:spacing w:after="0" w:line="240" w:lineRule="auto"/>
        <w:jc w:val="both"/>
        <w:rPr>
          <w:rFonts w:ascii="Times New Roman" w:hAnsi="Times New Roman" w:cs="Times New Roman"/>
          <w:sz w:val="24"/>
          <w:szCs w:val="24"/>
          <w:lang w:val="uk-UA"/>
        </w:rPr>
      </w:pPr>
      <w:r w:rsidRPr="00BE1959">
        <w:rPr>
          <w:rFonts w:ascii="Times New Roman" w:hAnsi="Times New Roman" w:cs="Times New Roman"/>
          <w:sz w:val="24"/>
          <w:szCs w:val="24"/>
          <w:lang w:val="uk-UA"/>
        </w:rPr>
        <w:t>Держави-члени можуть прийняти конкретні критерії для оцінки компетентності та знання муніципалітетів та місцевих органів влади з проханням розглядати як професійних клієнтів. Зазначені критерії можуть бути альтернативним або додатковими до перелічених у абзаці п'ятому.</w:t>
      </w:r>
    </w:p>
    <w:p w:rsidR="00BE1959" w:rsidRPr="00BE1959" w:rsidRDefault="00BE1959" w:rsidP="00BE1959">
      <w:pPr>
        <w:spacing w:after="0" w:line="240" w:lineRule="auto"/>
        <w:rPr>
          <w:rFonts w:ascii="Times New Roman" w:hAnsi="Times New Roman" w:cs="Times New Roman"/>
          <w:sz w:val="24"/>
          <w:szCs w:val="24"/>
          <w:lang w:val="uk-UA"/>
        </w:rPr>
      </w:pPr>
    </w:p>
    <w:p w:rsidR="00BE1959" w:rsidRPr="00BE1959" w:rsidRDefault="00BE1959" w:rsidP="00BE1959">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II.2.   Процедура</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732"/>
        <w:gridCol w:w="4733"/>
      </w:tblGrid>
      <w:tr w:rsidR="00BE1959" w:rsidRPr="00BE1959" w:rsidTr="0088280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cPr>
          <w:p w:rsidR="00BE1959" w:rsidRPr="00BE1959" w:rsidRDefault="00BE1959" w:rsidP="00BE1959">
            <w:pPr>
              <w:spacing w:after="0" w:line="240" w:lineRule="auto"/>
              <w:jc w:val="both"/>
              <w:rPr>
                <w:rFonts w:ascii="Times New Roman" w:hAnsi="Times New Roman" w:cs="Times New Roman"/>
                <w:sz w:val="24"/>
                <w:szCs w:val="24"/>
                <w:lang w:val="uk-UA"/>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cPr>
          <w:p w:rsidR="00BE1959" w:rsidRPr="00BE1959" w:rsidRDefault="00BE1959" w:rsidP="00BE1959">
            <w:pPr>
              <w:spacing w:after="0" w:line="240" w:lineRule="auto"/>
              <w:jc w:val="both"/>
              <w:rPr>
                <w:rFonts w:ascii="Times New Roman" w:hAnsi="Times New Roman" w:cs="Times New Roman"/>
                <w:sz w:val="24"/>
                <w:szCs w:val="24"/>
                <w:lang w:val="uk-UA"/>
              </w:rPr>
            </w:pPr>
          </w:p>
        </w:tc>
      </w:tr>
    </w:tbl>
    <w:p w:rsidR="00BE1959" w:rsidRPr="00BE1959" w:rsidRDefault="00BE1959" w:rsidP="00BE1959">
      <w:pPr>
        <w:spacing w:after="0" w:line="240" w:lineRule="auto"/>
        <w:jc w:val="both"/>
        <w:rPr>
          <w:rFonts w:ascii="Times New Roman" w:hAnsi="Times New Roman" w:cs="Times New Roman"/>
          <w:sz w:val="24"/>
          <w:szCs w:val="24"/>
          <w:lang w:val="uk-UA"/>
        </w:rPr>
      </w:pPr>
      <w:r w:rsidRPr="00BE1959">
        <w:rPr>
          <w:rFonts w:ascii="Times New Roman" w:hAnsi="Times New Roman" w:cs="Times New Roman"/>
          <w:sz w:val="24"/>
          <w:szCs w:val="24"/>
          <w:lang w:val="uk-UA"/>
        </w:rPr>
        <w:t>Зазначені клієнти можуть відмовитися від переваги детальних правил поведінки тільки у випадках, у яких виконується наступна процедура:</w:t>
      </w:r>
    </w:p>
    <w:p w:rsidR="00BE1959" w:rsidRPr="00BE1959" w:rsidRDefault="00BE1959" w:rsidP="00BE1959">
      <w:pPr>
        <w:spacing w:after="0" w:line="240" w:lineRule="auto"/>
        <w:jc w:val="both"/>
        <w:rPr>
          <w:rFonts w:ascii="Times New Roman" w:hAnsi="Times New Roman" w:cs="Times New Roman"/>
          <w:sz w:val="24"/>
          <w:szCs w:val="24"/>
          <w:lang w:val="uk-UA"/>
        </w:rPr>
      </w:pPr>
      <w:r w:rsidRPr="00BE1959">
        <w:rPr>
          <w:rFonts w:ascii="Times New Roman" w:hAnsi="Times New Roman" w:cs="Times New Roman"/>
          <w:sz w:val="24"/>
          <w:szCs w:val="24"/>
          <w:lang w:val="uk-UA"/>
        </w:rPr>
        <w:t>- Вони повинні заявити письмово до інвестиційної компанії, що вони хочуть розглядатись в якості професійного клієнта, або в цілому, або у відношенні конкретної інвестиційної послуги або транзакції, або типу транзакції або продукту,</w:t>
      </w:r>
    </w:p>
    <w:p w:rsidR="00BE1959" w:rsidRPr="00BE1959" w:rsidRDefault="00BE1959" w:rsidP="00BE1959">
      <w:pPr>
        <w:spacing w:after="0" w:line="240" w:lineRule="auto"/>
        <w:jc w:val="both"/>
        <w:rPr>
          <w:rFonts w:ascii="Times New Roman" w:hAnsi="Times New Roman" w:cs="Times New Roman"/>
          <w:sz w:val="24"/>
          <w:szCs w:val="24"/>
          <w:lang w:val="uk-UA"/>
        </w:rPr>
      </w:pPr>
    </w:p>
    <w:p w:rsidR="00BE1959" w:rsidRPr="00BE1959" w:rsidRDefault="00BE1959" w:rsidP="00BE1959">
      <w:pPr>
        <w:spacing w:after="0" w:line="240" w:lineRule="auto"/>
        <w:jc w:val="both"/>
        <w:rPr>
          <w:rFonts w:ascii="Times New Roman" w:hAnsi="Times New Roman" w:cs="Times New Roman"/>
          <w:sz w:val="24"/>
          <w:szCs w:val="24"/>
          <w:lang w:val="uk-UA"/>
        </w:rPr>
      </w:pPr>
      <w:r w:rsidRPr="00BE1959">
        <w:rPr>
          <w:rFonts w:ascii="Times New Roman" w:hAnsi="Times New Roman" w:cs="Times New Roman"/>
          <w:sz w:val="24"/>
          <w:szCs w:val="24"/>
          <w:lang w:val="uk-UA"/>
        </w:rPr>
        <w:t>- Інвестиційна фірма повинна надати їм чітке попередження в письмовій формі про</w:t>
      </w:r>
      <w:r>
        <w:rPr>
          <w:rFonts w:ascii="Times New Roman" w:hAnsi="Times New Roman" w:cs="Times New Roman"/>
          <w:sz w:val="24"/>
          <w:szCs w:val="24"/>
          <w:lang w:val="uk-UA"/>
        </w:rPr>
        <w:t xml:space="preserve"> </w:t>
      </w:r>
      <w:r w:rsidRPr="00BE1959">
        <w:rPr>
          <w:rFonts w:ascii="Times New Roman" w:hAnsi="Times New Roman" w:cs="Times New Roman"/>
          <w:sz w:val="24"/>
          <w:szCs w:val="24"/>
          <w:lang w:val="uk-UA"/>
        </w:rPr>
        <w:t>захист та права компенсації інвестору, які вони можуть втратити,</w:t>
      </w:r>
    </w:p>
    <w:p w:rsidR="00BE1959" w:rsidRPr="00BE1959" w:rsidRDefault="00BE1959" w:rsidP="00BE1959">
      <w:pPr>
        <w:spacing w:after="0" w:line="240" w:lineRule="auto"/>
        <w:jc w:val="both"/>
        <w:rPr>
          <w:rFonts w:ascii="Times New Roman" w:hAnsi="Times New Roman" w:cs="Times New Roman"/>
          <w:sz w:val="24"/>
          <w:szCs w:val="24"/>
          <w:lang w:val="uk-UA"/>
        </w:rPr>
      </w:pPr>
    </w:p>
    <w:p w:rsidR="00BE1959" w:rsidRPr="00BE1959" w:rsidRDefault="00BE1959" w:rsidP="00BE1959">
      <w:pPr>
        <w:spacing w:after="0" w:line="240" w:lineRule="auto"/>
        <w:jc w:val="both"/>
        <w:rPr>
          <w:rFonts w:ascii="Times New Roman" w:hAnsi="Times New Roman" w:cs="Times New Roman"/>
          <w:sz w:val="24"/>
          <w:szCs w:val="24"/>
          <w:lang w:val="uk-UA"/>
        </w:rPr>
      </w:pPr>
      <w:r w:rsidRPr="00BE1959">
        <w:rPr>
          <w:rFonts w:ascii="Times New Roman" w:hAnsi="Times New Roman" w:cs="Times New Roman"/>
          <w:sz w:val="24"/>
          <w:szCs w:val="24"/>
          <w:lang w:val="uk-UA"/>
        </w:rPr>
        <w:t>- Вони повинні заявити в письмовій формі, у вигляді окремого документа від договору, що вони обізнані про наслідки втрати такого захисту.</w:t>
      </w:r>
    </w:p>
    <w:p w:rsidR="00BE1959" w:rsidRPr="00BE1959" w:rsidRDefault="00BE1959" w:rsidP="00BE1959">
      <w:pPr>
        <w:spacing w:after="0" w:line="240" w:lineRule="auto"/>
        <w:jc w:val="both"/>
        <w:rPr>
          <w:rFonts w:ascii="Times New Roman" w:hAnsi="Times New Roman" w:cs="Times New Roman"/>
          <w:sz w:val="24"/>
          <w:szCs w:val="24"/>
          <w:lang w:val="uk-UA"/>
        </w:rPr>
      </w:pPr>
      <w:r w:rsidRPr="00BE1959">
        <w:rPr>
          <w:rFonts w:ascii="Times New Roman" w:hAnsi="Times New Roman" w:cs="Times New Roman"/>
          <w:sz w:val="24"/>
          <w:szCs w:val="24"/>
          <w:lang w:val="uk-UA"/>
        </w:rPr>
        <w:t>Перш ніж прийняти рішення, щоб прийняти будь-який запит для відмови, інвестиційні фірми повинні бути зобов'язані приймати всі розумні заходи для забезпечення того, щоб клієнт, який звертається  з проханням розглядати його як професійного клієнта, відповідає відповідним вимогам, зазначеним у розділі II.1.</w:t>
      </w:r>
    </w:p>
    <w:p w:rsidR="00BE1959" w:rsidRPr="00BE1959" w:rsidRDefault="00BE1959" w:rsidP="00BE1959">
      <w:pPr>
        <w:spacing w:after="0" w:line="240" w:lineRule="auto"/>
        <w:jc w:val="both"/>
        <w:rPr>
          <w:rFonts w:ascii="Times New Roman" w:hAnsi="Times New Roman" w:cs="Times New Roman"/>
          <w:sz w:val="24"/>
          <w:szCs w:val="24"/>
          <w:lang w:val="uk-UA"/>
        </w:rPr>
      </w:pPr>
      <w:r w:rsidRPr="00BE1959">
        <w:rPr>
          <w:rFonts w:ascii="Times New Roman" w:hAnsi="Times New Roman" w:cs="Times New Roman"/>
          <w:sz w:val="24"/>
          <w:szCs w:val="24"/>
          <w:lang w:val="uk-UA"/>
        </w:rPr>
        <w:t>Тим не менш, якщо клієнти вже були класифіковані як професіонали по параметрам та процедурам, аналогічних тим, що зазначені вище, не передбачається, що на їх відносини з інвестиційними фірмами повинні вплинути будь-які нові правила, прийнятих відповідно до даного Додатку.</w:t>
      </w:r>
    </w:p>
    <w:p w:rsidR="00BE1959" w:rsidRPr="00BE1959" w:rsidRDefault="00BE1959" w:rsidP="00BE1959">
      <w:pPr>
        <w:spacing w:after="0" w:line="240" w:lineRule="auto"/>
        <w:jc w:val="both"/>
        <w:rPr>
          <w:rFonts w:ascii="Times New Roman" w:hAnsi="Times New Roman" w:cs="Times New Roman"/>
          <w:sz w:val="24"/>
          <w:szCs w:val="24"/>
          <w:lang w:val="uk-UA"/>
        </w:rPr>
      </w:pPr>
      <w:r w:rsidRPr="00BE1959">
        <w:rPr>
          <w:rFonts w:ascii="Times New Roman" w:hAnsi="Times New Roman" w:cs="Times New Roman"/>
          <w:sz w:val="24"/>
          <w:szCs w:val="24"/>
          <w:lang w:val="uk-UA"/>
        </w:rPr>
        <w:t>Фірми повинні реалізовувати відповідні письмові внутрішні політики та процедури для здійснення класифікації клієнтів. Професійні клієнти несуть відповідальність за інформування  інвестиційної компанії про будь-які зміни, які можуть вплинути на їх поточну класифікацію. Проте, якщо інвестиційній фірмі стане відомо, що клієнт більше не виконує початкові умови, виконання яких надало їх право на професійне ставлення, інвестиційна фірма повинна вжити відповідні заходи.</w:t>
      </w:r>
    </w:p>
    <w:p w:rsidR="00BE1959" w:rsidRPr="00BE1959" w:rsidRDefault="0043174D" w:rsidP="00BE1959">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pict>
          <v:rect id="_x0000_i1028" style="width:46.8pt;height:.75pt" o:hrpct="100" o:hralign="center" o:hrstd="t" o:hrnoshade="t" o:hr="t" fillcolor="black" stroked="f"/>
        </w:pict>
      </w:r>
    </w:p>
    <w:p w:rsidR="00BE1959" w:rsidRPr="00BE1959" w:rsidRDefault="00BE1959" w:rsidP="00BE1959">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ДОДАТОК  III</w:t>
      </w:r>
    </w:p>
    <w:p w:rsidR="00BE1959" w:rsidRPr="00BE1959" w:rsidRDefault="00BE1959" w:rsidP="00BE1959">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Частина A</w:t>
      </w:r>
    </w:p>
    <w:p w:rsidR="00BE1959" w:rsidRPr="00BE1959" w:rsidRDefault="00BE1959" w:rsidP="00BE1959">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xml:space="preserve">Скасована Директива із переліком успішних поправок </w:t>
      </w:r>
    </w:p>
    <w:p w:rsidR="00BE1959" w:rsidRPr="00BE1959" w:rsidRDefault="00BE1959" w:rsidP="00BE1959">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lastRenderedPageBreak/>
        <w:t>(на яку робиться посилання у Статті 94)</w:t>
      </w:r>
    </w:p>
    <w:p w:rsidR="00BE1959" w:rsidRPr="00BE1959" w:rsidRDefault="00BE1959" w:rsidP="00BE1959">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Директива 2004/39/EC Європейського Парламенту та Ради (</w:t>
      </w:r>
      <w:hyperlink r:id="rId150" w:history="1">
        <w:r w:rsidRPr="00BE1959">
          <w:rPr>
            <w:rFonts w:ascii="Times New Roman" w:hAnsi="Times New Roman" w:cs="Times New Roman"/>
            <w:sz w:val="24"/>
            <w:szCs w:val="24"/>
            <w:lang w:val="uk-UA"/>
          </w:rPr>
          <w:t>ОВ L 145, 30.4.2004, стоp. 1</w:t>
        </w:r>
      </w:hyperlink>
      <w:r w:rsidRPr="00BE1959">
        <w:rPr>
          <w:rFonts w:ascii="Times New Roman" w:hAnsi="Times New Roman" w:cs="Times New Roman"/>
          <w:sz w:val="24"/>
          <w:szCs w:val="24"/>
          <w:lang w:val="uk-UA"/>
        </w:rPr>
        <w:t>).</w:t>
      </w:r>
    </w:p>
    <w:p w:rsidR="00BE1959" w:rsidRPr="00BE1959" w:rsidRDefault="00BE1959" w:rsidP="00BE1959">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Директива 2006/31/EC Європейського Парламенту та Ради (</w:t>
      </w:r>
      <w:hyperlink r:id="rId151" w:history="1">
        <w:r w:rsidRPr="00BE1959">
          <w:rPr>
            <w:rFonts w:ascii="Times New Roman" w:hAnsi="Times New Roman" w:cs="Times New Roman"/>
            <w:sz w:val="24"/>
            <w:szCs w:val="24"/>
            <w:lang w:val="uk-UA"/>
          </w:rPr>
          <w:t>ОВ L 114, 27.4.2006, стоp. 60</w:t>
        </w:r>
      </w:hyperlink>
      <w:r w:rsidRPr="00BE1959">
        <w:rPr>
          <w:rFonts w:ascii="Times New Roman" w:hAnsi="Times New Roman" w:cs="Times New Roman"/>
          <w:sz w:val="24"/>
          <w:szCs w:val="24"/>
          <w:lang w:val="uk-UA"/>
        </w:rPr>
        <w:t>).</w:t>
      </w:r>
    </w:p>
    <w:p w:rsidR="00BE1959" w:rsidRPr="00BE1959" w:rsidRDefault="00BE1959" w:rsidP="00BE1959">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Директива 2007/44/EC Європейського Парламенту та Ради (</w:t>
      </w:r>
      <w:hyperlink r:id="rId152" w:history="1">
        <w:r w:rsidRPr="00BE1959">
          <w:rPr>
            <w:rFonts w:ascii="Times New Roman" w:hAnsi="Times New Roman" w:cs="Times New Roman"/>
            <w:sz w:val="24"/>
            <w:szCs w:val="24"/>
            <w:lang w:val="uk-UA"/>
          </w:rPr>
          <w:t>ОВ L 247, 21.9.2007, стоp. 1</w:t>
        </w:r>
      </w:hyperlink>
      <w:r w:rsidRPr="00BE1959">
        <w:rPr>
          <w:rFonts w:ascii="Times New Roman" w:hAnsi="Times New Roman" w:cs="Times New Roman"/>
          <w:sz w:val="24"/>
          <w:szCs w:val="24"/>
          <w:lang w:val="uk-UA"/>
        </w:rPr>
        <w:t>).</w:t>
      </w:r>
    </w:p>
    <w:p w:rsidR="00BE1959" w:rsidRPr="00BE1959" w:rsidRDefault="00BE1959" w:rsidP="00BE1959">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Директива 2008/10/EC Європейського Парламенту та Ради (</w:t>
      </w:r>
      <w:hyperlink r:id="rId153" w:history="1">
        <w:r w:rsidRPr="00BE1959">
          <w:rPr>
            <w:rFonts w:ascii="Times New Roman" w:hAnsi="Times New Roman" w:cs="Times New Roman"/>
            <w:sz w:val="24"/>
            <w:szCs w:val="24"/>
            <w:lang w:val="uk-UA"/>
          </w:rPr>
          <w:t>ОВ L 76, 19.3.2008, стоp. 33</w:t>
        </w:r>
      </w:hyperlink>
      <w:r w:rsidRPr="00BE1959">
        <w:rPr>
          <w:rFonts w:ascii="Times New Roman" w:hAnsi="Times New Roman" w:cs="Times New Roman"/>
          <w:sz w:val="24"/>
          <w:szCs w:val="24"/>
          <w:lang w:val="uk-UA"/>
        </w:rPr>
        <w:t>).</w:t>
      </w:r>
    </w:p>
    <w:p w:rsidR="00BE1959" w:rsidRPr="00BE1959" w:rsidRDefault="00BE1959" w:rsidP="00BE1959">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Директива 2010/78/EC Європейського Парламенту та Ради (</w:t>
      </w:r>
      <w:hyperlink r:id="rId154" w:history="1">
        <w:r w:rsidRPr="00BE1959">
          <w:rPr>
            <w:rFonts w:ascii="Times New Roman" w:hAnsi="Times New Roman" w:cs="Times New Roman"/>
            <w:sz w:val="24"/>
            <w:szCs w:val="24"/>
            <w:lang w:val="uk-UA"/>
          </w:rPr>
          <w:t>ОВ L 331, 15.12.2010, стоp. 120</w:t>
        </w:r>
      </w:hyperlink>
      <w:r w:rsidRPr="00BE1959">
        <w:rPr>
          <w:rFonts w:ascii="Times New Roman" w:hAnsi="Times New Roman" w:cs="Times New Roman"/>
          <w:sz w:val="24"/>
          <w:szCs w:val="24"/>
          <w:lang w:val="uk-UA"/>
        </w:rPr>
        <w:t>).</w:t>
      </w:r>
    </w:p>
    <w:p w:rsidR="00BE1959" w:rsidRPr="00BE1959" w:rsidRDefault="00BE1959" w:rsidP="00BE1959">
      <w:pPr>
        <w:spacing w:after="0" w:line="240" w:lineRule="auto"/>
        <w:rPr>
          <w:rFonts w:ascii="Times New Roman" w:hAnsi="Times New Roman" w:cs="Times New Roman"/>
          <w:sz w:val="24"/>
          <w:szCs w:val="24"/>
          <w:lang w:val="uk-UA"/>
        </w:rPr>
      </w:pPr>
    </w:p>
    <w:p w:rsidR="00BE1959" w:rsidRPr="00BE1959" w:rsidRDefault="00BE1959" w:rsidP="00BE1959">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Частина B</w:t>
      </w:r>
    </w:p>
    <w:p w:rsidR="00BE1959" w:rsidRPr="00BE1959" w:rsidRDefault="00BE1959" w:rsidP="00BE1959">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xml:space="preserve">Перелік строків </w:t>
      </w:r>
      <w:r w:rsidRPr="00BE1959">
        <w:rPr>
          <w:rStyle w:val="hps"/>
          <w:rFonts w:ascii="Times New Roman" w:hAnsi="Times New Roman" w:cs="Times New Roman"/>
          <w:color w:val="222222"/>
          <w:sz w:val="24"/>
          <w:szCs w:val="24"/>
          <w:lang w:val="uk-UA"/>
        </w:rPr>
        <w:t>для</w:t>
      </w:r>
      <w:r w:rsidRPr="00BE1959">
        <w:rPr>
          <w:rFonts w:ascii="Times New Roman" w:hAnsi="Times New Roman" w:cs="Times New Roman"/>
          <w:color w:val="222222"/>
          <w:sz w:val="24"/>
          <w:szCs w:val="24"/>
          <w:lang w:val="uk-UA"/>
        </w:rPr>
        <w:t xml:space="preserve"> </w:t>
      </w:r>
      <w:r w:rsidRPr="00BE1959">
        <w:rPr>
          <w:rStyle w:val="hps"/>
          <w:rFonts w:ascii="Times New Roman" w:hAnsi="Times New Roman" w:cs="Times New Roman"/>
          <w:color w:val="222222"/>
          <w:sz w:val="24"/>
          <w:szCs w:val="24"/>
          <w:lang w:val="uk-UA"/>
        </w:rPr>
        <w:t>транспонування</w:t>
      </w:r>
      <w:r w:rsidRPr="00BE1959">
        <w:rPr>
          <w:rFonts w:ascii="Times New Roman" w:hAnsi="Times New Roman" w:cs="Times New Roman"/>
          <w:color w:val="222222"/>
          <w:sz w:val="24"/>
          <w:szCs w:val="24"/>
          <w:lang w:val="uk-UA"/>
        </w:rPr>
        <w:t xml:space="preserve"> </w:t>
      </w:r>
      <w:r w:rsidRPr="00BE1959">
        <w:rPr>
          <w:rStyle w:val="hps"/>
          <w:rFonts w:ascii="Times New Roman" w:hAnsi="Times New Roman" w:cs="Times New Roman"/>
          <w:color w:val="222222"/>
          <w:sz w:val="24"/>
          <w:szCs w:val="24"/>
          <w:lang w:val="uk-UA"/>
        </w:rPr>
        <w:t>в національне законодавство</w:t>
      </w:r>
    </w:p>
    <w:p w:rsidR="00BE1959" w:rsidRPr="00BE1959" w:rsidRDefault="00BE1959" w:rsidP="00BE1959">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(на який робиться посилання у Статті 94)</w:t>
      </w:r>
    </w:p>
    <w:p w:rsidR="00BE1959" w:rsidRPr="00BE1959" w:rsidRDefault="00BE1959" w:rsidP="00BE1959">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Директива 2004/39/EC</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026"/>
        <w:gridCol w:w="4439"/>
      </w:tblGrid>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Перехідний період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31 січня 2007 року</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Імплементаційний період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1 листопада 2007 року</w:t>
            </w:r>
          </w:p>
        </w:tc>
      </w:tr>
    </w:tbl>
    <w:p w:rsidR="00BE1959" w:rsidRPr="00BE1959" w:rsidRDefault="00BE1959" w:rsidP="00BE1959">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Директива 2006/31/EC</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085"/>
        <w:gridCol w:w="4380"/>
      </w:tblGrid>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Перехідний період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31 січня 2007 року</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Імплементаційний період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1 листопада2007 року</w:t>
            </w:r>
          </w:p>
        </w:tc>
      </w:tr>
    </w:tbl>
    <w:p w:rsidR="00BE1959" w:rsidRPr="00BE1959" w:rsidRDefault="00BE1959" w:rsidP="00BE1959">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Директива 2007/44/EC</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467"/>
        <w:gridCol w:w="4998"/>
      </w:tblGrid>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Перехідний період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21 березня 2009 року</w:t>
            </w:r>
          </w:p>
        </w:tc>
      </w:tr>
    </w:tbl>
    <w:p w:rsidR="00BE1959" w:rsidRPr="00BE1959" w:rsidRDefault="00BE1959" w:rsidP="00BE1959">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Директива 2010/78/EC</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563"/>
        <w:gridCol w:w="4902"/>
      </w:tblGrid>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Перехідний період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31 грудня 2011 року</w:t>
            </w:r>
          </w:p>
        </w:tc>
      </w:tr>
    </w:tbl>
    <w:p w:rsidR="00BE1959" w:rsidRPr="00BE1959" w:rsidRDefault="0043174D" w:rsidP="00BE1959">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pict>
          <v:rect id="_x0000_i1029" style="width:46.8pt;height:.75pt" o:hrpct="100" o:hralign="center" o:hrstd="t" o:hrnoshade="t" o:hr="t" fillcolor="black" stroked="f"/>
        </w:pict>
      </w:r>
    </w:p>
    <w:p w:rsidR="00BE1959" w:rsidRPr="00BE1959" w:rsidRDefault="00BE1959" w:rsidP="00BE1959">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ДОДАТОК IV</w:t>
      </w:r>
    </w:p>
    <w:p w:rsidR="00BE1959" w:rsidRPr="00BE1959" w:rsidRDefault="00BE1959" w:rsidP="00BE1959">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xml:space="preserve">Кореляційна таблиця, на яку зроблене посилання у Статті 94 </w:t>
      </w:r>
    </w:p>
    <w:p w:rsidR="00BE1959" w:rsidRPr="00BE1959" w:rsidRDefault="00BE1959" w:rsidP="00BE1959">
      <w:pPr>
        <w:spacing w:after="0" w:line="240" w:lineRule="auto"/>
        <w:rPr>
          <w:rFonts w:ascii="Times New Roman" w:hAnsi="Times New Roman" w:cs="Times New Roman"/>
          <w:sz w:val="24"/>
          <w:szCs w:val="24"/>
          <w:lang w:val="uk-UA"/>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356"/>
        <w:gridCol w:w="4243"/>
        <w:gridCol w:w="2866"/>
      </w:tblGrid>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Директива 2004/39/EC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Директива 2014/65/EU</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Регламент (EU) № 600/2014</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2(1)(a)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2(1)(a)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2(1)(b)</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2(1)(b)</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2(1)(c)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2(1)(c)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2(1)(d)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2(1)(d)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2(1)(e)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2(1)(f)</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2(1)(f)</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2(1)(g)</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2(1)(g)</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2(1)(h)</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2(1)(h)</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2(1)(i)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2(1)(i)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2(1)(j)</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2(1)(j)</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2(1)(k)</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2(1)(k)</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2(1)(i)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lastRenderedPageBreak/>
              <w:t>Стаття 2(1)(l)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2(1)(m)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2(1)(l)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2(1)(n)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2(1)(m)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4(1)(1)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4(1)(1)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4(1)(2)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4(1)(2)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4(1)(3)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4(1)(3)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4(1)(4)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4(1)(4)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4(1)(5)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4(1)(5)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4(1)(6)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4(1)(6)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4(1)(7)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4(1)(20)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4(1)(8)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4(1)(7)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4(1)(9)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4(1)(8)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4(1)(10)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4(1)(9)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4(1)(11)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4(1)(10)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4(1)(12)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4(1)(11)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4(1)(13)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4(1)(18)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4(1)(14)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4(1)(21)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4(1)(15)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4(1)(22)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4(1)(16)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4(1)(14)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4(1)(17)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4(1)(15)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4(1)(18)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4(1)(44)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4(1)(19)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4(1)(17)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4(1)(20)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4(1)(55)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4(1)(21)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4(1)(56)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4(1)(22)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4(1)(26)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4(1)(23)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4(1)(27)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4(1)(24)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4(1)(28)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4(1)(25)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4(1)(29)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4(1)(26)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4(1)(30)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4(1)(27)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4(1)(31)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4(1)(28)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4(1)(32)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4(1)(29)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4(1)(33)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lastRenderedPageBreak/>
              <w:t>Стаття 4(1)(30)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4(1)(35)(b)</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4(1)(31)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4(1)(35)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5(1)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5(1)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5(2)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5(2)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5(3)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5(3)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5(4)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5(4)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5(5)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6(1)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6(1)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6(2)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6(2)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6(3)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6(3)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7(1)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7(1)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7(2)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7(2)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7(3)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7(3)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7(4)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7(4) та (5)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8(a)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8(a)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8(b)</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8(b)</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8(c)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8(c)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8(d)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8(d)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8(e)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8(e)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9(1)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9(1) та (3)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9(5)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9(3)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9(4)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9(4)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10(2)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10(2)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10(3)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10(4)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11(2)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10(5)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11(3)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10(6)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10(3), 11(4)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10a(1)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12(1)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10a(2)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12(2)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10a(3)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12(3)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10a(4)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12(4)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10a(5)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12(5)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10a(6)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12(6)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lastRenderedPageBreak/>
              <w:t>Стаття 10a (7)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12(7)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10a (8)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12(8) та (9)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10b (1)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13(1)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10b (2)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13(2)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10 b (3)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13(3)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10b(4)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13(4)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10b(5)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13(5)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13(1)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16(1)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13(2)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16(2)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13(3)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16(3)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13(4)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16(4)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13(5)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16(5)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13(6)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13(7)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16(8)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13(8)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16(9)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13(9)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16(11)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13(10)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16(12)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14(1)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18(1), Стаття 19(1)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14(2)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18(2)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14(3)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19(4)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14(4)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18(3), Стаття 19(2)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14(5)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18(6), Стаття 19(3)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14(6)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18(8)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14(7)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18(9)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16(1)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21(1)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16(2)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21(2)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16(3)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17(1)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17(2)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18(1)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23(1)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18(2)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23(2)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18(3)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23(4)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19(1)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24(1)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lastRenderedPageBreak/>
              <w:t>Стаття 19(2)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24(3)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19(3)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24(4)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19(4)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25(2)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19(5)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25(3)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19(6)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25(4)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19(7)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25(5)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19(8)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25(6)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19(9)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24(6), Стаття 25(7)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19(10)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24(13), Стаття 24(14), Стаття 25(8)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21(1)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27(1)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21(2)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27(4)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21(3)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27(5)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21(4)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27(7)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21(5)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27(8)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21(6)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27(9)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22(1)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28(1)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22(2)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28(2)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22(3)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28(3)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23(1)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29(1)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23(2)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29(2)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23(3)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29(3)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23(4)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29(4)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23(5)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29(5)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23(6)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29(6)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24(1)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30(1)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24(2)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30(2)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24(3)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30(3)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24(4)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30(4)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24(5)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30(5)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25(1)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24</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25(2)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25(1)</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25(3)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26(1) та (2)</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25(4)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26(3)</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25(5)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26(7)</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25(6)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26(8)</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lastRenderedPageBreak/>
              <w:t>Стаття 25(7)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26(9)</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26(1)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31(1)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26(2)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31(2) та (3)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27(1)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14 з (1) по (5)</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27(2)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14(6)</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27(3)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15 з (1) по (4)</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27(4)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16</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27(5)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17(1)</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27(6)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17(2)</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27(7)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17(3)</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28(1)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20(1)</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28(2)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20(2)</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28(3)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20(3)</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29(1)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3(1), (2) та (3)</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29(2)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4(1), (2) та (3)</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29(3)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4(6)</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30(1)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6(1) та (2)</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30(2)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7(1)</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30(3)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7(2)</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31(1)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34(1)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31(2)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34(2)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31(3)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34(3)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31(4)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34(4)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31(5)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34(6)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31(6)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34(7)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31(7)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34(8) та (9)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32(1)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35(1)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32(2)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35(2)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32(3)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35(3)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32(4)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35(4)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32(5)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35(5)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32(6)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35(6)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32(7)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35(8)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32(8)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35(9)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32(9)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35(10)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32(10)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35(11) та (12)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lastRenderedPageBreak/>
              <w:t>Стаття 33(1)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36(1)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33(2)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36(2)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34(1)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37(1)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34(2)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37(2)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34(3)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35(1)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38(1)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35(2)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38(2)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36(1)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44(1)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36(2)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44(2)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36(3)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44(3)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36(4)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44(4)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36(5)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44(5)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36(6)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44(6)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37(1)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45(1) та (8)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37(2)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45(7) другий підпункт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38(1)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46(1)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38(2)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46(2)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38(3)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46(3)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39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47(1)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40(1)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51(1)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40(2)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51(2)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40(3)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51(3)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40(4)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51(4)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40(5)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51(5)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40(6)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51(6)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41(1)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52(1)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41(2)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52(2)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42(1)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53(1)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42(2)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53(2)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42(3)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53(3)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42(4)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53(4)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42(5)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53(5)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42(6)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53(6)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42(7)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53(7)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43(1)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54(1)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43(2)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54(2) та (3)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lastRenderedPageBreak/>
              <w:t>Стаття 44(1)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3(1), (2) та (3)</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44(2)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4(1), (2) та (3)</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44(3)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4(6)</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45(1)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6(1) та (2)</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45(2)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7(1)</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45(3)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7(2)</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46(1)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55(1)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46(2)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55(2)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47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56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48(1)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67(1)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48(2)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67(2)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48(3)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67(3)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49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68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50(1)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69(1), 72(1)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50(2)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69(2)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51(1)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70(1) та (2)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51(2)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70(5)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51(3)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71(1)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51(4)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71(4)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51(5)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71(5)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51(6)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71(6)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52(1)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74(1)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52(2)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74(2)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53(1)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75(1)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53(2)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75(2)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53(3)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75(3)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54(1)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76(1)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54(2)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76(2)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54(3)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76(3)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54(4)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76(4)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54(5)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76(5)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55(1)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77(1)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55(2)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77(2)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56(1)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79(1)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56(2)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79(2)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56(3)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79(3)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lastRenderedPageBreak/>
              <w:t>Стаття 56(4)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79(4)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56(5)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79(8)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56(6)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79(9)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57(1)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80(1)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57(2)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80(2)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57(3)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80(3) та (4)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58(1)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81(1)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58(2)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81(2)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58(3)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81(3)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58(4)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81(4)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58(5)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81(5)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58a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82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83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60(1)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84(1)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60(2)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84(2)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60(3)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84(3)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60(4)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84(4)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61(1)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85(1)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61(2)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85(2)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62(1)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86(1)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62(2)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86(2)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62(3)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86(3)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62(4)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86(4)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62a(1)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87(1)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62a(2)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87(2)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63(1)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88(1)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63(2)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88(2)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64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64a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65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67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68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69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71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lastRenderedPageBreak/>
              <w:t>Стаття 72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Стаття 73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Додаток 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Додаток 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r w:rsidR="00BE1959" w:rsidRPr="00BE1959" w:rsidTr="008828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Додаток II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Додаток II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E1959" w:rsidRPr="00BE1959" w:rsidRDefault="00BE1959" w:rsidP="00882802">
            <w:pPr>
              <w:spacing w:after="0" w:line="240" w:lineRule="auto"/>
              <w:rPr>
                <w:rFonts w:ascii="Times New Roman" w:hAnsi="Times New Roman" w:cs="Times New Roman"/>
                <w:sz w:val="24"/>
                <w:szCs w:val="24"/>
                <w:lang w:val="uk-UA"/>
              </w:rPr>
            </w:pPr>
            <w:r w:rsidRPr="00BE1959">
              <w:rPr>
                <w:rFonts w:ascii="Times New Roman" w:hAnsi="Times New Roman" w:cs="Times New Roman"/>
                <w:sz w:val="24"/>
                <w:szCs w:val="24"/>
                <w:lang w:val="uk-UA"/>
              </w:rPr>
              <w:t> </w:t>
            </w:r>
          </w:p>
        </w:tc>
      </w:tr>
    </w:tbl>
    <w:p w:rsidR="00BE1959" w:rsidRPr="00BE1959" w:rsidRDefault="00BE1959" w:rsidP="00BE1959">
      <w:pPr>
        <w:spacing w:after="0" w:line="240" w:lineRule="auto"/>
        <w:rPr>
          <w:rFonts w:ascii="Times New Roman" w:hAnsi="Times New Roman" w:cs="Times New Roman"/>
          <w:sz w:val="24"/>
          <w:szCs w:val="24"/>
          <w:lang w:val="uk-UA"/>
        </w:rPr>
      </w:pPr>
    </w:p>
    <w:p w:rsidR="00BE1959" w:rsidRPr="00BE1959" w:rsidRDefault="00BE1959" w:rsidP="00BE1959">
      <w:pPr>
        <w:spacing w:after="0" w:line="240" w:lineRule="auto"/>
        <w:rPr>
          <w:rFonts w:ascii="Times New Roman" w:hAnsi="Times New Roman" w:cs="Times New Roman"/>
          <w:sz w:val="24"/>
          <w:szCs w:val="24"/>
          <w:lang w:val="uk-UA"/>
        </w:rPr>
      </w:pPr>
    </w:p>
    <w:p w:rsidR="00BE1959" w:rsidRPr="00BE1959" w:rsidRDefault="00BE1959" w:rsidP="00BE1959">
      <w:pPr>
        <w:spacing w:after="0" w:line="240" w:lineRule="auto"/>
        <w:rPr>
          <w:rFonts w:ascii="Times New Roman" w:hAnsi="Times New Roman" w:cs="Times New Roman"/>
          <w:sz w:val="24"/>
          <w:szCs w:val="24"/>
          <w:lang w:val="uk-UA"/>
        </w:rPr>
      </w:pPr>
    </w:p>
    <w:p w:rsidR="00BE1959" w:rsidRPr="00BE1959" w:rsidRDefault="00BE1959" w:rsidP="00BE1959">
      <w:pPr>
        <w:spacing w:after="0" w:line="240" w:lineRule="auto"/>
        <w:rPr>
          <w:rFonts w:ascii="Times New Roman" w:hAnsi="Times New Roman" w:cs="Times New Roman"/>
          <w:sz w:val="24"/>
          <w:szCs w:val="24"/>
          <w:lang w:val="uk-UA"/>
        </w:rPr>
      </w:pPr>
    </w:p>
    <w:p w:rsidR="005613AB" w:rsidRPr="00BE1959" w:rsidRDefault="005613AB" w:rsidP="005613AB">
      <w:pPr>
        <w:spacing w:before="240" w:after="60" w:line="468" w:lineRule="atLeast"/>
        <w:textAlignment w:val="baseline"/>
        <w:rPr>
          <w:rFonts w:ascii="Times New Roman" w:eastAsia="Times New Roman" w:hAnsi="Times New Roman" w:cs="Times New Roman"/>
          <w:sz w:val="24"/>
          <w:szCs w:val="24"/>
          <w:lang w:val="uk-UA"/>
        </w:rPr>
      </w:pPr>
    </w:p>
    <w:p w:rsidR="00C20E9E" w:rsidRPr="00BE1959" w:rsidRDefault="00C20E9E" w:rsidP="005613AB">
      <w:pPr>
        <w:rPr>
          <w:rFonts w:ascii="Times New Roman" w:hAnsi="Times New Roman" w:cs="Times New Roman"/>
          <w:sz w:val="24"/>
          <w:szCs w:val="24"/>
          <w:lang w:val="uk-UA"/>
        </w:rPr>
      </w:pPr>
      <w:bookmarkStart w:id="0" w:name="_GoBack"/>
      <w:bookmarkEnd w:id="0"/>
    </w:p>
    <w:sectPr w:rsidR="00C20E9E" w:rsidRPr="00BE19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3AB"/>
    <w:rsid w:val="00000960"/>
    <w:rsid w:val="000010DF"/>
    <w:rsid w:val="00002452"/>
    <w:rsid w:val="000025A8"/>
    <w:rsid w:val="000029FC"/>
    <w:rsid w:val="00003162"/>
    <w:rsid w:val="00003A1E"/>
    <w:rsid w:val="00003A99"/>
    <w:rsid w:val="00003CFA"/>
    <w:rsid w:val="00004AC2"/>
    <w:rsid w:val="00004C24"/>
    <w:rsid w:val="00005FD4"/>
    <w:rsid w:val="000061BA"/>
    <w:rsid w:val="00006AF9"/>
    <w:rsid w:val="00006E5D"/>
    <w:rsid w:val="0000777A"/>
    <w:rsid w:val="000077BC"/>
    <w:rsid w:val="00011713"/>
    <w:rsid w:val="00012997"/>
    <w:rsid w:val="000148A0"/>
    <w:rsid w:val="00014FCB"/>
    <w:rsid w:val="00016AA4"/>
    <w:rsid w:val="00016E03"/>
    <w:rsid w:val="0001783F"/>
    <w:rsid w:val="000200F7"/>
    <w:rsid w:val="000202AC"/>
    <w:rsid w:val="000214FB"/>
    <w:rsid w:val="000215AD"/>
    <w:rsid w:val="00023123"/>
    <w:rsid w:val="00024159"/>
    <w:rsid w:val="00025C23"/>
    <w:rsid w:val="0002661A"/>
    <w:rsid w:val="00026C67"/>
    <w:rsid w:val="00027C9D"/>
    <w:rsid w:val="000300F1"/>
    <w:rsid w:val="000302E8"/>
    <w:rsid w:val="00030CB4"/>
    <w:rsid w:val="000316BC"/>
    <w:rsid w:val="000333DB"/>
    <w:rsid w:val="000335A4"/>
    <w:rsid w:val="000338DA"/>
    <w:rsid w:val="000339F7"/>
    <w:rsid w:val="00036AA1"/>
    <w:rsid w:val="00037936"/>
    <w:rsid w:val="00037E9F"/>
    <w:rsid w:val="000406DD"/>
    <w:rsid w:val="00046D53"/>
    <w:rsid w:val="00047747"/>
    <w:rsid w:val="000525E9"/>
    <w:rsid w:val="000532CA"/>
    <w:rsid w:val="00053713"/>
    <w:rsid w:val="00053DD3"/>
    <w:rsid w:val="0005502E"/>
    <w:rsid w:val="000567AF"/>
    <w:rsid w:val="00056BB6"/>
    <w:rsid w:val="00061342"/>
    <w:rsid w:val="00064466"/>
    <w:rsid w:val="000649A0"/>
    <w:rsid w:val="00066C23"/>
    <w:rsid w:val="00066DB4"/>
    <w:rsid w:val="00070D76"/>
    <w:rsid w:val="00071A73"/>
    <w:rsid w:val="0007234A"/>
    <w:rsid w:val="000732A9"/>
    <w:rsid w:val="0007452B"/>
    <w:rsid w:val="00075C67"/>
    <w:rsid w:val="00076770"/>
    <w:rsid w:val="000815D1"/>
    <w:rsid w:val="00081CF8"/>
    <w:rsid w:val="00081D1C"/>
    <w:rsid w:val="000823D3"/>
    <w:rsid w:val="00084043"/>
    <w:rsid w:val="00085D4C"/>
    <w:rsid w:val="00086116"/>
    <w:rsid w:val="000878CC"/>
    <w:rsid w:val="00087B06"/>
    <w:rsid w:val="00090537"/>
    <w:rsid w:val="0009167B"/>
    <w:rsid w:val="00092D51"/>
    <w:rsid w:val="00092D83"/>
    <w:rsid w:val="00092E51"/>
    <w:rsid w:val="000939BD"/>
    <w:rsid w:val="00094CCB"/>
    <w:rsid w:val="00094DC8"/>
    <w:rsid w:val="00095683"/>
    <w:rsid w:val="00097DBC"/>
    <w:rsid w:val="00097FD3"/>
    <w:rsid w:val="000A0CFE"/>
    <w:rsid w:val="000A1AC2"/>
    <w:rsid w:val="000A1F1E"/>
    <w:rsid w:val="000A2C0C"/>
    <w:rsid w:val="000A47FF"/>
    <w:rsid w:val="000A5A7F"/>
    <w:rsid w:val="000A6070"/>
    <w:rsid w:val="000A6073"/>
    <w:rsid w:val="000B3C04"/>
    <w:rsid w:val="000B5755"/>
    <w:rsid w:val="000B5788"/>
    <w:rsid w:val="000B6E8A"/>
    <w:rsid w:val="000C05B0"/>
    <w:rsid w:val="000C57A8"/>
    <w:rsid w:val="000C589C"/>
    <w:rsid w:val="000C65E3"/>
    <w:rsid w:val="000C66EE"/>
    <w:rsid w:val="000C707D"/>
    <w:rsid w:val="000D02BB"/>
    <w:rsid w:val="000D0D1E"/>
    <w:rsid w:val="000D14E8"/>
    <w:rsid w:val="000D197A"/>
    <w:rsid w:val="000D25FE"/>
    <w:rsid w:val="000D30E0"/>
    <w:rsid w:val="000D3B79"/>
    <w:rsid w:val="000D6683"/>
    <w:rsid w:val="000D7265"/>
    <w:rsid w:val="000D7402"/>
    <w:rsid w:val="000E0AEC"/>
    <w:rsid w:val="000E1554"/>
    <w:rsid w:val="000E315E"/>
    <w:rsid w:val="000E49F6"/>
    <w:rsid w:val="000E5617"/>
    <w:rsid w:val="000E5FBF"/>
    <w:rsid w:val="000E67BE"/>
    <w:rsid w:val="000E6B4E"/>
    <w:rsid w:val="000E6CDF"/>
    <w:rsid w:val="000E6D57"/>
    <w:rsid w:val="000E6E06"/>
    <w:rsid w:val="000E725F"/>
    <w:rsid w:val="000F00F0"/>
    <w:rsid w:val="000F1110"/>
    <w:rsid w:val="000F1CFF"/>
    <w:rsid w:val="000F1E2E"/>
    <w:rsid w:val="000F23FB"/>
    <w:rsid w:val="000F2B0A"/>
    <w:rsid w:val="000F2F39"/>
    <w:rsid w:val="000F3E24"/>
    <w:rsid w:val="000F4C3C"/>
    <w:rsid w:val="000F52F2"/>
    <w:rsid w:val="000F56AB"/>
    <w:rsid w:val="000F6146"/>
    <w:rsid w:val="000F7757"/>
    <w:rsid w:val="001016DB"/>
    <w:rsid w:val="00102B49"/>
    <w:rsid w:val="00104F75"/>
    <w:rsid w:val="0010629F"/>
    <w:rsid w:val="00106EA8"/>
    <w:rsid w:val="00106F23"/>
    <w:rsid w:val="001073F9"/>
    <w:rsid w:val="00107659"/>
    <w:rsid w:val="00107ADA"/>
    <w:rsid w:val="00107C87"/>
    <w:rsid w:val="00111DF9"/>
    <w:rsid w:val="00112B1E"/>
    <w:rsid w:val="001135EB"/>
    <w:rsid w:val="00113DA8"/>
    <w:rsid w:val="001157A2"/>
    <w:rsid w:val="00115B5C"/>
    <w:rsid w:val="00115F6F"/>
    <w:rsid w:val="00116ED5"/>
    <w:rsid w:val="00123417"/>
    <w:rsid w:val="00125405"/>
    <w:rsid w:val="00125A48"/>
    <w:rsid w:val="00126C59"/>
    <w:rsid w:val="00127D07"/>
    <w:rsid w:val="001302CC"/>
    <w:rsid w:val="001328FA"/>
    <w:rsid w:val="00132BB9"/>
    <w:rsid w:val="00133247"/>
    <w:rsid w:val="00134100"/>
    <w:rsid w:val="00134AFE"/>
    <w:rsid w:val="00135407"/>
    <w:rsid w:val="00135C33"/>
    <w:rsid w:val="00135CFE"/>
    <w:rsid w:val="00136DF8"/>
    <w:rsid w:val="001371A5"/>
    <w:rsid w:val="0013779F"/>
    <w:rsid w:val="00137872"/>
    <w:rsid w:val="001401D7"/>
    <w:rsid w:val="00141BA9"/>
    <w:rsid w:val="001439EA"/>
    <w:rsid w:val="00146CFD"/>
    <w:rsid w:val="00146E80"/>
    <w:rsid w:val="001478B9"/>
    <w:rsid w:val="00150128"/>
    <w:rsid w:val="0015063E"/>
    <w:rsid w:val="00152D48"/>
    <w:rsid w:val="001534A7"/>
    <w:rsid w:val="00154C01"/>
    <w:rsid w:val="00154D61"/>
    <w:rsid w:val="00155ADB"/>
    <w:rsid w:val="00156E8B"/>
    <w:rsid w:val="00156EBC"/>
    <w:rsid w:val="001576DE"/>
    <w:rsid w:val="00157E15"/>
    <w:rsid w:val="00157EE9"/>
    <w:rsid w:val="00162A11"/>
    <w:rsid w:val="0016381E"/>
    <w:rsid w:val="001639E1"/>
    <w:rsid w:val="001668E1"/>
    <w:rsid w:val="00167324"/>
    <w:rsid w:val="0016786D"/>
    <w:rsid w:val="001706D5"/>
    <w:rsid w:val="001718EA"/>
    <w:rsid w:val="00171AD4"/>
    <w:rsid w:val="00171DD2"/>
    <w:rsid w:val="001722AC"/>
    <w:rsid w:val="00172580"/>
    <w:rsid w:val="00172871"/>
    <w:rsid w:val="0017294F"/>
    <w:rsid w:val="00172D8B"/>
    <w:rsid w:val="00173D30"/>
    <w:rsid w:val="00173D31"/>
    <w:rsid w:val="001741BC"/>
    <w:rsid w:val="00174A76"/>
    <w:rsid w:val="00177047"/>
    <w:rsid w:val="001777BA"/>
    <w:rsid w:val="001804F7"/>
    <w:rsid w:val="0018078D"/>
    <w:rsid w:val="00181800"/>
    <w:rsid w:val="00183554"/>
    <w:rsid w:val="00184692"/>
    <w:rsid w:val="001848EB"/>
    <w:rsid w:val="0018498F"/>
    <w:rsid w:val="001849C5"/>
    <w:rsid w:val="001851DB"/>
    <w:rsid w:val="00185B44"/>
    <w:rsid w:val="001873E5"/>
    <w:rsid w:val="00187A2A"/>
    <w:rsid w:val="00187EBD"/>
    <w:rsid w:val="00190966"/>
    <w:rsid w:val="00190E02"/>
    <w:rsid w:val="001919FA"/>
    <w:rsid w:val="001926F7"/>
    <w:rsid w:val="00194DAD"/>
    <w:rsid w:val="0019613C"/>
    <w:rsid w:val="0019656A"/>
    <w:rsid w:val="001966B1"/>
    <w:rsid w:val="001979F8"/>
    <w:rsid w:val="001A1966"/>
    <w:rsid w:val="001A1DB2"/>
    <w:rsid w:val="001A3371"/>
    <w:rsid w:val="001A467E"/>
    <w:rsid w:val="001A48B1"/>
    <w:rsid w:val="001A49E1"/>
    <w:rsid w:val="001A4AA8"/>
    <w:rsid w:val="001A52D0"/>
    <w:rsid w:val="001A5A9D"/>
    <w:rsid w:val="001A6693"/>
    <w:rsid w:val="001A7463"/>
    <w:rsid w:val="001A7F5D"/>
    <w:rsid w:val="001B1690"/>
    <w:rsid w:val="001B18BC"/>
    <w:rsid w:val="001B2341"/>
    <w:rsid w:val="001B237F"/>
    <w:rsid w:val="001B3C6B"/>
    <w:rsid w:val="001B4B9D"/>
    <w:rsid w:val="001B4C4D"/>
    <w:rsid w:val="001B4CF2"/>
    <w:rsid w:val="001B53CF"/>
    <w:rsid w:val="001B5E5A"/>
    <w:rsid w:val="001B60C1"/>
    <w:rsid w:val="001B69EC"/>
    <w:rsid w:val="001C017F"/>
    <w:rsid w:val="001C0C51"/>
    <w:rsid w:val="001C2C0B"/>
    <w:rsid w:val="001C364E"/>
    <w:rsid w:val="001C42B4"/>
    <w:rsid w:val="001C45D7"/>
    <w:rsid w:val="001C4B3F"/>
    <w:rsid w:val="001C52F8"/>
    <w:rsid w:val="001C5C45"/>
    <w:rsid w:val="001D185E"/>
    <w:rsid w:val="001D3804"/>
    <w:rsid w:val="001D3A39"/>
    <w:rsid w:val="001D4E10"/>
    <w:rsid w:val="001D66D6"/>
    <w:rsid w:val="001D68E3"/>
    <w:rsid w:val="001D6DEC"/>
    <w:rsid w:val="001D7AD4"/>
    <w:rsid w:val="001E1509"/>
    <w:rsid w:val="001E536F"/>
    <w:rsid w:val="001E56AF"/>
    <w:rsid w:val="001E6514"/>
    <w:rsid w:val="001E6EB0"/>
    <w:rsid w:val="001E71DB"/>
    <w:rsid w:val="001E74E1"/>
    <w:rsid w:val="001E786E"/>
    <w:rsid w:val="001F0402"/>
    <w:rsid w:val="001F08C3"/>
    <w:rsid w:val="001F0DC1"/>
    <w:rsid w:val="001F3FF9"/>
    <w:rsid w:val="001F49E9"/>
    <w:rsid w:val="001F4D4B"/>
    <w:rsid w:val="001F5C90"/>
    <w:rsid w:val="001F6C76"/>
    <w:rsid w:val="001F716F"/>
    <w:rsid w:val="001F7E12"/>
    <w:rsid w:val="0020011F"/>
    <w:rsid w:val="002005AD"/>
    <w:rsid w:val="00200A6F"/>
    <w:rsid w:val="00200DC8"/>
    <w:rsid w:val="00200E4F"/>
    <w:rsid w:val="00201245"/>
    <w:rsid w:val="002018AD"/>
    <w:rsid w:val="002018FE"/>
    <w:rsid w:val="0020269A"/>
    <w:rsid w:val="00203EFB"/>
    <w:rsid w:val="00204075"/>
    <w:rsid w:val="00205080"/>
    <w:rsid w:val="00205170"/>
    <w:rsid w:val="002053EC"/>
    <w:rsid w:val="002060BE"/>
    <w:rsid w:val="00206D1E"/>
    <w:rsid w:val="00206E23"/>
    <w:rsid w:val="00207CB4"/>
    <w:rsid w:val="0021309C"/>
    <w:rsid w:val="00214416"/>
    <w:rsid w:val="002154B5"/>
    <w:rsid w:val="00215827"/>
    <w:rsid w:val="002160FB"/>
    <w:rsid w:val="00216BE6"/>
    <w:rsid w:val="002170DB"/>
    <w:rsid w:val="00220ACC"/>
    <w:rsid w:val="002215B3"/>
    <w:rsid w:val="002229A3"/>
    <w:rsid w:val="00223744"/>
    <w:rsid w:val="0022417C"/>
    <w:rsid w:val="0022490C"/>
    <w:rsid w:val="00224B13"/>
    <w:rsid w:val="00225204"/>
    <w:rsid w:val="00225F0F"/>
    <w:rsid w:val="00226B0F"/>
    <w:rsid w:val="0022797C"/>
    <w:rsid w:val="00231118"/>
    <w:rsid w:val="002317AB"/>
    <w:rsid w:val="002328EF"/>
    <w:rsid w:val="00232C6A"/>
    <w:rsid w:val="00234733"/>
    <w:rsid w:val="002370D2"/>
    <w:rsid w:val="002404A3"/>
    <w:rsid w:val="00240606"/>
    <w:rsid w:val="00240C03"/>
    <w:rsid w:val="002411FF"/>
    <w:rsid w:val="002431F3"/>
    <w:rsid w:val="002433C5"/>
    <w:rsid w:val="00244349"/>
    <w:rsid w:val="0024471D"/>
    <w:rsid w:val="00245231"/>
    <w:rsid w:val="0024552F"/>
    <w:rsid w:val="00245748"/>
    <w:rsid w:val="0024664E"/>
    <w:rsid w:val="00247E58"/>
    <w:rsid w:val="00250C23"/>
    <w:rsid w:val="00251048"/>
    <w:rsid w:val="00251876"/>
    <w:rsid w:val="00251FE4"/>
    <w:rsid w:val="00252599"/>
    <w:rsid w:val="00253931"/>
    <w:rsid w:val="00254076"/>
    <w:rsid w:val="002542A0"/>
    <w:rsid w:val="002547BA"/>
    <w:rsid w:val="002561E5"/>
    <w:rsid w:val="00262A43"/>
    <w:rsid w:val="00262D1C"/>
    <w:rsid w:val="00263C92"/>
    <w:rsid w:val="00264677"/>
    <w:rsid w:val="00264E4D"/>
    <w:rsid w:val="0026510E"/>
    <w:rsid w:val="00265198"/>
    <w:rsid w:val="00265D12"/>
    <w:rsid w:val="00265F17"/>
    <w:rsid w:val="00267D86"/>
    <w:rsid w:val="00270867"/>
    <w:rsid w:val="00271561"/>
    <w:rsid w:val="00271F90"/>
    <w:rsid w:val="0027408C"/>
    <w:rsid w:val="0027432D"/>
    <w:rsid w:val="00275E76"/>
    <w:rsid w:val="00276F5A"/>
    <w:rsid w:val="002776C7"/>
    <w:rsid w:val="00277849"/>
    <w:rsid w:val="00277A16"/>
    <w:rsid w:val="00280E2F"/>
    <w:rsid w:val="00280F20"/>
    <w:rsid w:val="002815B7"/>
    <w:rsid w:val="00282F22"/>
    <w:rsid w:val="002832E9"/>
    <w:rsid w:val="00284440"/>
    <w:rsid w:val="00285214"/>
    <w:rsid w:val="0028673F"/>
    <w:rsid w:val="00286BD3"/>
    <w:rsid w:val="00287FC1"/>
    <w:rsid w:val="002914B6"/>
    <w:rsid w:val="00291F16"/>
    <w:rsid w:val="00292269"/>
    <w:rsid w:val="00292C04"/>
    <w:rsid w:val="00292C6B"/>
    <w:rsid w:val="00293FD4"/>
    <w:rsid w:val="00295524"/>
    <w:rsid w:val="00297A64"/>
    <w:rsid w:val="00297DC4"/>
    <w:rsid w:val="002A1355"/>
    <w:rsid w:val="002A3087"/>
    <w:rsid w:val="002A45D2"/>
    <w:rsid w:val="002A5E3C"/>
    <w:rsid w:val="002A62CA"/>
    <w:rsid w:val="002A6E0B"/>
    <w:rsid w:val="002A7419"/>
    <w:rsid w:val="002B06A7"/>
    <w:rsid w:val="002B1330"/>
    <w:rsid w:val="002B1E44"/>
    <w:rsid w:val="002B1EC0"/>
    <w:rsid w:val="002B2AF5"/>
    <w:rsid w:val="002B3E0D"/>
    <w:rsid w:val="002B4735"/>
    <w:rsid w:val="002B62CF"/>
    <w:rsid w:val="002B6348"/>
    <w:rsid w:val="002B78F2"/>
    <w:rsid w:val="002B7A67"/>
    <w:rsid w:val="002B7BA8"/>
    <w:rsid w:val="002C01DB"/>
    <w:rsid w:val="002C2913"/>
    <w:rsid w:val="002C2E1F"/>
    <w:rsid w:val="002C3548"/>
    <w:rsid w:val="002C5A94"/>
    <w:rsid w:val="002C66AE"/>
    <w:rsid w:val="002C6F4B"/>
    <w:rsid w:val="002C718D"/>
    <w:rsid w:val="002D30DD"/>
    <w:rsid w:val="002D3E5B"/>
    <w:rsid w:val="002D58E7"/>
    <w:rsid w:val="002D6C83"/>
    <w:rsid w:val="002D6D3F"/>
    <w:rsid w:val="002D78B4"/>
    <w:rsid w:val="002E3BC7"/>
    <w:rsid w:val="002E408E"/>
    <w:rsid w:val="002E519B"/>
    <w:rsid w:val="002E6E47"/>
    <w:rsid w:val="002F01CB"/>
    <w:rsid w:val="002F0727"/>
    <w:rsid w:val="002F0768"/>
    <w:rsid w:val="002F11C9"/>
    <w:rsid w:val="002F2E65"/>
    <w:rsid w:val="002F313B"/>
    <w:rsid w:val="002F42AA"/>
    <w:rsid w:val="002F4EEB"/>
    <w:rsid w:val="002F6303"/>
    <w:rsid w:val="002F67A8"/>
    <w:rsid w:val="002F7225"/>
    <w:rsid w:val="002F74A7"/>
    <w:rsid w:val="00300CA6"/>
    <w:rsid w:val="003014E7"/>
    <w:rsid w:val="00302471"/>
    <w:rsid w:val="003073BC"/>
    <w:rsid w:val="003074EB"/>
    <w:rsid w:val="003100CD"/>
    <w:rsid w:val="0031073D"/>
    <w:rsid w:val="00310932"/>
    <w:rsid w:val="00311323"/>
    <w:rsid w:val="00311E29"/>
    <w:rsid w:val="00311FF1"/>
    <w:rsid w:val="003122B7"/>
    <w:rsid w:val="0031286D"/>
    <w:rsid w:val="00312949"/>
    <w:rsid w:val="003136A1"/>
    <w:rsid w:val="00313A15"/>
    <w:rsid w:val="00315D88"/>
    <w:rsid w:val="003222B9"/>
    <w:rsid w:val="00322635"/>
    <w:rsid w:val="0032290B"/>
    <w:rsid w:val="00323E40"/>
    <w:rsid w:val="00324053"/>
    <w:rsid w:val="00325AEC"/>
    <w:rsid w:val="003264D8"/>
    <w:rsid w:val="00327AA2"/>
    <w:rsid w:val="00327BA4"/>
    <w:rsid w:val="00327F62"/>
    <w:rsid w:val="003307D8"/>
    <w:rsid w:val="003317BE"/>
    <w:rsid w:val="0033188F"/>
    <w:rsid w:val="0033366E"/>
    <w:rsid w:val="00333B4E"/>
    <w:rsid w:val="0033511C"/>
    <w:rsid w:val="00335E8D"/>
    <w:rsid w:val="00336203"/>
    <w:rsid w:val="00340D47"/>
    <w:rsid w:val="003425AF"/>
    <w:rsid w:val="00342823"/>
    <w:rsid w:val="00343AF8"/>
    <w:rsid w:val="003458AC"/>
    <w:rsid w:val="003462FC"/>
    <w:rsid w:val="003468D8"/>
    <w:rsid w:val="00346F1E"/>
    <w:rsid w:val="003476F1"/>
    <w:rsid w:val="003514FD"/>
    <w:rsid w:val="003547C6"/>
    <w:rsid w:val="00354F4F"/>
    <w:rsid w:val="00355D4A"/>
    <w:rsid w:val="00355E1E"/>
    <w:rsid w:val="00355F37"/>
    <w:rsid w:val="00356239"/>
    <w:rsid w:val="003573B5"/>
    <w:rsid w:val="003601D9"/>
    <w:rsid w:val="003621E3"/>
    <w:rsid w:val="003622F7"/>
    <w:rsid w:val="0036316B"/>
    <w:rsid w:val="003633CE"/>
    <w:rsid w:val="003642D1"/>
    <w:rsid w:val="00366123"/>
    <w:rsid w:val="003674AF"/>
    <w:rsid w:val="003723DE"/>
    <w:rsid w:val="0037243A"/>
    <w:rsid w:val="003728B2"/>
    <w:rsid w:val="0037418D"/>
    <w:rsid w:val="003741B2"/>
    <w:rsid w:val="00374EC9"/>
    <w:rsid w:val="0038066B"/>
    <w:rsid w:val="00380971"/>
    <w:rsid w:val="00382303"/>
    <w:rsid w:val="0038644F"/>
    <w:rsid w:val="003870E7"/>
    <w:rsid w:val="003872C2"/>
    <w:rsid w:val="0038760C"/>
    <w:rsid w:val="00387B4B"/>
    <w:rsid w:val="00390585"/>
    <w:rsid w:val="00390617"/>
    <w:rsid w:val="00392DDE"/>
    <w:rsid w:val="0039380F"/>
    <w:rsid w:val="00393AE5"/>
    <w:rsid w:val="003948D0"/>
    <w:rsid w:val="00394BA9"/>
    <w:rsid w:val="00394D20"/>
    <w:rsid w:val="00395B2B"/>
    <w:rsid w:val="00396469"/>
    <w:rsid w:val="003A086F"/>
    <w:rsid w:val="003A1FB4"/>
    <w:rsid w:val="003A32A6"/>
    <w:rsid w:val="003A47A0"/>
    <w:rsid w:val="003A4A64"/>
    <w:rsid w:val="003A4B13"/>
    <w:rsid w:val="003A5348"/>
    <w:rsid w:val="003A5B4E"/>
    <w:rsid w:val="003A5BF6"/>
    <w:rsid w:val="003A5EEF"/>
    <w:rsid w:val="003A6C20"/>
    <w:rsid w:val="003A73F5"/>
    <w:rsid w:val="003B0444"/>
    <w:rsid w:val="003B05C2"/>
    <w:rsid w:val="003B16C8"/>
    <w:rsid w:val="003B2B0B"/>
    <w:rsid w:val="003B400B"/>
    <w:rsid w:val="003B4201"/>
    <w:rsid w:val="003B456C"/>
    <w:rsid w:val="003B52AC"/>
    <w:rsid w:val="003B6D92"/>
    <w:rsid w:val="003B7AAC"/>
    <w:rsid w:val="003C00FB"/>
    <w:rsid w:val="003C0FCF"/>
    <w:rsid w:val="003C1245"/>
    <w:rsid w:val="003C1A30"/>
    <w:rsid w:val="003C1AB1"/>
    <w:rsid w:val="003C1BFC"/>
    <w:rsid w:val="003C1E50"/>
    <w:rsid w:val="003C2709"/>
    <w:rsid w:val="003C2851"/>
    <w:rsid w:val="003C3A22"/>
    <w:rsid w:val="003C4314"/>
    <w:rsid w:val="003C4BCD"/>
    <w:rsid w:val="003C4E74"/>
    <w:rsid w:val="003C6B43"/>
    <w:rsid w:val="003C6B50"/>
    <w:rsid w:val="003C6D5F"/>
    <w:rsid w:val="003D169F"/>
    <w:rsid w:val="003D1AF1"/>
    <w:rsid w:val="003D2011"/>
    <w:rsid w:val="003D3B2C"/>
    <w:rsid w:val="003D4327"/>
    <w:rsid w:val="003D471F"/>
    <w:rsid w:val="003D49F9"/>
    <w:rsid w:val="003D4CAF"/>
    <w:rsid w:val="003D509C"/>
    <w:rsid w:val="003D5215"/>
    <w:rsid w:val="003D765C"/>
    <w:rsid w:val="003E1219"/>
    <w:rsid w:val="003E1238"/>
    <w:rsid w:val="003E1277"/>
    <w:rsid w:val="003E20B7"/>
    <w:rsid w:val="003E60CB"/>
    <w:rsid w:val="003E6480"/>
    <w:rsid w:val="003E6C14"/>
    <w:rsid w:val="003E74FF"/>
    <w:rsid w:val="003E7828"/>
    <w:rsid w:val="003F0727"/>
    <w:rsid w:val="003F0887"/>
    <w:rsid w:val="003F08F3"/>
    <w:rsid w:val="003F12F5"/>
    <w:rsid w:val="003F175F"/>
    <w:rsid w:val="003F218D"/>
    <w:rsid w:val="003F24A7"/>
    <w:rsid w:val="003F66A4"/>
    <w:rsid w:val="003F6D09"/>
    <w:rsid w:val="004001EA"/>
    <w:rsid w:val="004006C6"/>
    <w:rsid w:val="004008B2"/>
    <w:rsid w:val="00401661"/>
    <w:rsid w:val="00401B3E"/>
    <w:rsid w:val="00401F85"/>
    <w:rsid w:val="00403261"/>
    <w:rsid w:val="004039E7"/>
    <w:rsid w:val="00405BF8"/>
    <w:rsid w:val="004075AD"/>
    <w:rsid w:val="00407A73"/>
    <w:rsid w:val="00410F13"/>
    <w:rsid w:val="00411A97"/>
    <w:rsid w:val="004121E0"/>
    <w:rsid w:val="004140D1"/>
    <w:rsid w:val="00414E0B"/>
    <w:rsid w:val="00414E57"/>
    <w:rsid w:val="00415CBF"/>
    <w:rsid w:val="00416E2A"/>
    <w:rsid w:val="00423154"/>
    <w:rsid w:val="0042329D"/>
    <w:rsid w:val="004234CD"/>
    <w:rsid w:val="00423FFD"/>
    <w:rsid w:val="004249F3"/>
    <w:rsid w:val="004301BF"/>
    <w:rsid w:val="004304E7"/>
    <w:rsid w:val="0043174D"/>
    <w:rsid w:val="00432567"/>
    <w:rsid w:val="00432637"/>
    <w:rsid w:val="004326EC"/>
    <w:rsid w:val="004328C3"/>
    <w:rsid w:val="00432EC0"/>
    <w:rsid w:val="0043317B"/>
    <w:rsid w:val="00433D2A"/>
    <w:rsid w:val="00433FA6"/>
    <w:rsid w:val="00434202"/>
    <w:rsid w:val="004342E3"/>
    <w:rsid w:val="004348B4"/>
    <w:rsid w:val="00434A96"/>
    <w:rsid w:val="00435086"/>
    <w:rsid w:val="00435C85"/>
    <w:rsid w:val="00441B99"/>
    <w:rsid w:val="0044293F"/>
    <w:rsid w:val="00444FB9"/>
    <w:rsid w:val="00445498"/>
    <w:rsid w:val="00445B6E"/>
    <w:rsid w:val="00446C11"/>
    <w:rsid w:val="004511DA"/>
    <w:rsid w:val="00453BAF"/>
    <w:rsid w:val="00453FFE"/>
    <w:rsid w:val="00455607"/>
    <w:rsid w:val="0045579C"/>
    <w:rsid w:val="00457031"/>
    <w:rsid w:val="00457066"/>
    <w:rsid w:val="004577EC"/>
    <w:rsid w:val="004600F8"/>
    <w:rsid w:val="00460926"/>
    <w:rsid w:val="00461C14"/>
    <w:rsid w:val="0046297E"/>
    <w:rsid w:val="004634D0"/>
    <w:rsid w:val="00463F4A"/>
    <w:rsid w:val="004641CB"/>
    <w:rsid w:val="00466755"/>
    <w:rsid w:val="00466F60"/>
    <w:rsid w:val="00467C2D"/>
    <w:rsid w:val="00470151"/>
    <w:rsid w:val="004709EB"/>
    <w:rsid w:val="004710FF"/>
    <w:rsid w:val="0047182C"/>
    <w:rsid w:val="004721F6"/>
    <w:rsid w:val="00473025"/>
    <w:rsid w:val="004745DC"/>
    <w:rsid w:val="0047467D"/>
    <w:rsid w:val="00474FAC"/>
    <w:rsid w:val="0047515A"/>
    <w:rsid w:val="004761F0"/>
    <w:rsid w:val="00476A0C"/>
    <w:rsid w:val="00476D45"/>
    <w:rsid w:val="0048026C"/>
    <w:rsid w:val="00480754"/>
    <w:rsid w:val="00481304"/>
    <w:rsid w:val="0048152D"/>
    <w:rsid w:val="004819CE"/>
    <w:rsid w:val="00481A81"/>
    <w:rsid w:val="00481ED8"/>
    <w:rsid w:val="00482185"/>
    <w:rsid w:val="00482B2B"/>
    <w:rsid w:val="0048309C"/>
    <w:rsid w:val="00483C66"/>
    <w:rsid w:val="004850BB"/>
    <w:rsid w:val="00485A88"/>
    <w:rsid w:val="00487F51"/>
    <w:rsid w:val="00493E23"/>
    <w:rsid w:val="004976C9"/>
    <w:rsid w:val="00497D9B"/>
    <w:rsid w:val="00497DEF"/>
    <w:rsid w:val="004A0783"/>
    <w:rsid w:val="004A1BAE"/>
    <w:rsid w:val="004A25EA"/>
    <w:rsid w:val="004A32A0"/>
    <w:rsid w:val="004A48E3"/>
    <w:rsid w:val="004A4CC3"/>
    <w:rsid w:val="004A605B"/>
    <w:rsid w:val="004A69EB"/>
    <w:rsid w:val="004A6C50"/>
    <w:rsid w:val="004A6F9E"/>
    <w:rsid w:val="004A78A4"/>
    <w:rsid w:val="004B0210"/>
    <w:rsid w:val="004B0B55"/>
    <w:rsid w:val="004B15FE"/>
    <w:rsid w:val="004B29E4"/>
    <w:rsid w:val="004B3E75"/>
    <w:rsid w:val="004B4C01"/>
    <w:rsid w:val="004B4DB1"/>
    <w:rsid w:val="004B6759"/>
    <w:rsid w:val="004C1F45"/>
    <w:rsid w:val="004C2227"/>
    <w:rsid w:val="004C31EA"/>
    <w:rsid w:val="004C32C6"/>
    <w:rsid w:val="004C3510"/>
    <w:rsid w:val="004C77F9"/>
    <w:rsid w:val="004D05B6"/>
    <w:rsid w:val="004D09CF"/>
    <w:rsid w:val="004D293E"/>
    <w:rsid w:val="004D499C"/>
    <w:rsid w:val="004D65EB"/>
    <w:rsid w:val="004D6820"/>
    <w:rsid w:val="004E065A"/>
    <w:rsid w:val="004E1FC2"/>
    <w:rsid w:val="004E345F"/>
    <w:rsid w:val="004E4323"/>
    <w:rsid w:val="004E61D7"/>
    <w:rsid w:val="004E6217"/>
    <w:rsid w:val="004E78C2"/>
    <w:rsid w:val="004E7D1E"/>
    <w:rsid w:val="004F0BF4"/>
    <w:rsid w:val="004F0FF9"/>
    <w:rsid w:val="004F1582"/>
    <w:rsid w:val="004F22AA"/>
    <w:rsid w:val="004F2F5F"/>
    <w:rsid w:val="004F35B6"/>
    <w:rsid w:val="004F3C1A"/>
    <w:rsid w:val="004F5BC5"/>
    <w:rsid w:val="004F7BD2"/>
    <w:rsid w:val="004F7CC9"/>
    <w:rsid w:val="00500E78"/>
    <w:rsid w:val="00501648"/>
    <w:rsid w:val="00501C9F"/>
    <w:rsid w:val="00502483"/>
    <w:rsid w:val="005027E9"/>
    <w:rsid w:val="0050331B"/>
    <w:rsid w:val="00503839"/>
    <w:rsid w:val="00504148"/>
    <w:rsid w:val="00504487"/>
    <w:rsid w:val="00504A59"/>
    <w:rsid w:val="00504CB1"/>
    <w:rsid w:val="00505945"/>
    <w:rsid w:val="00505A0D"/>
    <w:rsid w:val="00505EE1"/>
    <w:rsid w:val="00505F65"/>
    <w:rsid w:val="0050600F"/>
    <w:rsid w:val="005068A2"/>
    <w:rsid w:val="00506921"/>
    <w:rsid w:val="00507088"/>
    <w:rsid w:val="00507FBD"/>
    <w:rsid w:val="00510C99"/>
    <w:rsid w:val="005119DB"/>
    <w:rsid w:val="00511D52"/>
    <w:rsid w:val="00512E1E"/>
    <w:rsid w:val="00513575"/>
    <w:rsid w:val="005141ED"/>
    <w:rsid w:val="005152DE"/>
    <w:rsid w:val="00517225"/>
    <w:rsid w:val="00517C57"/>
    <w:rsid w:val="005202A7"/>
    <w:rsid w:val="0052099F"/>
    <w:rsid w:val="00520DB0"/>
    <w:rsid w:val="00521175"/>
    <w:rsid w:val="00524992"/>
    <w:rsid w:val="00524EE4"/>
    <w:rsid w:val="00525578"/>
    <w:rsid w:val="00525668"/>
    <w:rsid w:val="005256B0"/>
    <w:rsid w:val="00530D8D"/>
    <w:rsid w:val="005314A0"/>
    <w:rsid w:val="00531DA9"/>
    <w:rsid w:val="00533FD3"/>
    <w:rsid w:val="00534633"/>
    <w:rsid w:val="00534C98"/>
    <w:rsid w:val="00534DFC"/>
    <w:rsid w:val="005352C4"/>
    <w:rsid w:val="0053630C"/>
    <w:rsid w:val="0053652A"/>
    <w:rsid w:val="0053794E"/>
    <w:rsid w:val="0054040A"/>
    <w:rsid w:val="00540D96"/>
    <w:rsid w:val="005435A8"/>
    <w:rsid w:val="005435C9"/>
    <w:rsid w:val="00545757"/>
    <w:rsid w:val="005464D1"/>
    <w:rsid w:val="005509FE"/>
    <w:rsid w:val="005511A3"/>
    <w:rsid w:val="005511FC"/>
    <w:rsid w:val="0055151D"/>
    <w:rsid w:val="00551701"/>
    <w:rsid w:val="00553FBC"/>
    <w:rsid w:val="0055435B"/>
    <w:rsid w:val="005544CF"/>
    <w:rsid w:val="00554A62"/>
    <w:rsid w:val="00554ADA"/>
    <w:rsid w:val="005557CA"/>
    <w:rsid w:val="00555B22"/>
    <w:rsid w:val="0055778A"/>
    <w:rsid w:val="00557EEB"/>
    <w:rsid w:val="00560FB6"/>
    <w:rsid w:val="005613AB"/>
    <w:rsid w:val="00561B6C"/>
    <w:rsid w:val="00561E35"/>
    <w:rsid w:val="005623C0"/>
    <w:rsid w:val="00562D73"/>
    <w:rsid w:val="00563178"/>
    <w:rsid w:val="005637FF"/>
    <w:rsid w:val="005639AF"/>
    <w:rsid w:val="005643CF"/>
    <w:rsid w:val="00564722"/>
    <w:rsid w:val="005650EA"/>
    <w:rsid w:val="005665B9"/>
    <w:rsid w:val="005665D6"/>
    <w:rsid w:val="00567428"/>
    <w:rsid w:val="005732E9"/>
    <w:rsid w:val="00575750"/>
    <w:rsid w:val="0057645E"/>
    <w:rsid w:val="005768C9"/>
    <w:rsid w:val="00580EEB"/>
    <w:rsid w:val="005810D9"/>
    <w:rsid w:val="00581DAF"/>
    <w:rsid w:val="005822A9"/>
    <w:rsid w:val="00582314"/>
    <w:rsid w:val="00584127"/>
    <w:rsid w:val="0058449B"/>
    <w:rsid w:val="00584F2E"/>
    <w:rsid w:val="00585049"/>
    <w:rsid w:val="005855BB"/>
    <w:rsid w:val="00585A65"/>
    <w:rsid w:val="005866AD"/>
    <w:rsid w:val="00587AEE"/>
    <w:rsid w:val="005901CA"/>
    <w:rsid w:val="005903F2"/>
    <w:rsid w:val="00591F16"/>
    <w:rsid w:val="0059267B"/>
    <w:rsid w:val="00592948"/>
    <w:rsid w:val="00592DC2"/>
    <w:rsid w:val="00593ADF"/>
    <w:rsid w:val="00593F7C"/>
    <w:rsid w:val="005941D4"/>
    <w:rsid w:val="005946AC"/>
    <w:rsid w:val="005951F2"/>
    <w:rsid w:val="005956FF"/>
    <w:rsid w:val="00596657"/>
    <w:rsid w:val="005A0922"/>
    <w:rsid w:val="005A13EF"/>
    <w:rsid w:val="005A27B2"/>
    <w:rsid w:val="005A47E1"/>
    <w:rsid w:val="005A518B"/>
    <w:rsid w:val="005B070E"/>
    <w:rsid w:val="005B0911"/>
    <w:rsid w:val="005B1B1B"/>
    <w:rsid w:val="005B1FEB"/>
    <w:rsid w:val="005B3A26"/>
    <w:rsid w:val="005B3B83"/>
    <w:rsid w:val="005B3E47"/>
    <w:rsid w:val="005B5910"/>
    <w:rsid w:val="005B624B"/>
    <w:rsid w:val="005B6747"/>
    <w:rsid w:val="005B6A97"/>
    <w:rsid w:val="005B75EA"/>
    <w:rsid w:val="005B7CF4"/>
    <w:rsid w:val="005C047C"/>
    <w:rsid w:val="005C0D10"/>
    <w:rsid w:val="005C20E2"/>
    <w:rsid w:val="005C2100"/>
    <w:rsid w:val="005C21F1"/>
    <w:rsid w:val="005C6AD5"/>
    <w:rsid w:val="005C70D0"/>
    <w:rsid w:val="005D01CB"/>
    <w:rsid w:val="005D06D5"/>
    <w:rsid w:val="005D07E1"/>
    <w:rsid w:val="005D0AD1"/>
    <w:rsid w:val="005D0E9D"/>
    <w:rsid w:val="005D13D6"/>
    <w:rsid w:val="005D1A77"/>
    <w:rsid w:val="005D2456"/>
    <w:rsid w:val="005D295A"/>
    <w:rsid w:val="005D343E"/>
    <w:rsid w:val="005D55A6"/>
    <w:rsid w:val="005E0B19"/>
    <w:rsid w:val="005E1C03"/>
    <w:rsid w:val="005E1FFE"/>
    <w:rsid w:val="005E2E28"/>
    <w:rsid w:val="005E55C3"/>
    <w:rsid w:val="005F0369"/>
    <w:rsid w:val="005F1112"/>
    <w:rsid w:val="005F206E"/>
    <w:rsid w:val="005F6FA4"/>
    <w:rsid w:val="005F7210"/>
    <w:rsid w:val="005F72C5"/>
    <w:rsid w:val="005F74DE"/>
    <w:rsid w:val="005F7748"/>
    <w:rsid w:val="005F7A17"/>
    <w:rsid w:val="00600D5C"/>
    <w:rsid w:val="00601200"/>
    <w:rsid w:val="00601BDF"/>
    <w:rsid w:val="006035DA"/>
    <w:rsid w:val="0060363B"/>
    <w:rsid w:val="00603BC9"/>
    <w:rsid w:val="00604641"/>
    <w:rsid w:val="00604F5A"/>
    <w:rsid w:val="00607212"/>
    <w:rsid w:val="0060739C"/>
    <w:rsid w:val="00607586"/>
    <w:rsid w:val="00607624"/>
    <w:rsid w:val="00607D61"/>
    <w:rsid w:val="006123F0"/>
    <w:rsid w:val="006128AF"/>
    <w:rsid w:val="00617514"/>
    <w:rsid w:val="00621090"/>
    <w:rsid w:val="006210ED"/>
    <w:rsid w:val="00621B0F"/>
    <w:rsid w:val="00624236"/>
    <w:rsid w:val="0062579A"/>
    <w:rsid w:val="00625874"/>
    <w:rsid w:val="00626D21"/>
    <w:rsid w:val="00627210"/>
    <w:rsid w:val="006306B8"/>
    <w:rsid w:val="00631270"/>
    <w:rsid w:val="00631894"/>
    <w:rsid w:val="0063231A"/>
    <w:rsid w:val="00632E82"/>
    <w:rsid w:val="00632F2F"/>
    <w:rsid w:val="00633062"/>
    <w:rsid w:val="0063334C"/>
    <w:rsid w:val="00633F62"/>
    <w:rsid w:val="006350DB"/>
    <w:rsid w:val="00636F2E"/>
    <w:rsid w:val="00637BD3"/>
    <w:rsid w:val="006408E0"/>
    <w:rsid w:val="00640D4C"/>
    <w:rsid w:val="00640FBE"/>
    <w:rsid w:val="00641D9C"/>
    <w:rsid w:val="00643A96"/>
    <w:rsid w:val="006457FE"/>
    <w:rsid w:val="006472A4"/>
    <w:rsid w:val="006505D1"/>
    <w:rsid w:val="00651EA8"/>
    <w:rsid w:val="0065313E"/>
    <w:rsid w:val="006532BA"/>
    <w:rsid w:val="00655945"/>
    <w:rsid w:val="00655BEB"/>
    <w:rsid w:val="00661C9E"/>
    <w:rsid w:val="00663274"/>
    <w:rsid w:val="00663B1A"/>
    <w:rsid w:val="00665300"/>
    <w:rsid w:val="00665322"/>
    <w:rsid w:val="00665A9A"/>
    <w:rsid w:val="00667358"/>
    <w:rsid w:val="006677A8"/>
    <w:rsid w:val="0067038E"/>
    <w:rsid w:val="00671B3D"/>
    <w:rsid w:val="0067261B"/>
    <w:rsid w:val="00674398"/>
    <w:rsid w:val="006776F4"/>
    <w:rsid w:val="00677D94"/>
    <w:rsid w:val="006806B8"/>
    <w:rsid w:val="006808D2"/>
    <w:rsid w:val="00681611"/>
    <w:rsid w:val="00681A96"/>
    <w:rsid w:val="0068205F"/>
    <w:rsid w:val="00682CDA"/>
    <w:rsid w:val="00683286"/>
    <w:rsid w:val="0068350D"/>
    <w:rsid w:val="006848F4"/>
    <w:rsid w:val="0068569A"/>
    <w:rsid w:val="00685989"/>
    <w:rsid w:val="006878C4"/>
    <w:rsid w:val="006918A7"/>
    <w:rsid w:val="00692060"/>
    <w:rsid w:val="0069253E"/>
    <w:rsid w:val="0069498D"/>
    <w:rsid w:val="00694C4B"/>
    <w:rsid w:val="00694D69"/>
    <w:rsid w:val="00695EC9"/>
    <w:rsid w:val="00695EFB"/>
    <w:rsid w:val="006A0F45"/>
    <w:rsid w:val="006A1414"/>
    <w:rsid w:val="006A56F2"/>
    <w:rsid w:val="006A6180"/>
    <w:rsid w:val="006A6519"/>
    <w:rsid w:val="006A6E31"/>
    <w:rsid w:val="006A6F63"/>
    <w:rsid w:val="006B09F8"/>
    <w:rsid w:val="006B1595"/>
    <w:rsid w:val="006B17C9"/>
    <w:rsid w:val="006B241C"/>
    <w:rsid w:val="006B28E2"/>
    <w:rsid w:val="006B29DE"/>
    <w:rsid w:val="006B3432"/>
    <w:rsid w:val="006B4712"/>
    <w:rsid w:val="006B7EC0"/>
    <w:rsid w:val="006B7F47"/>
    <w:rsid w:val="006C3019"/>
    <w:rsid w:val="006C3FA5"/>
    <w:rsid w:val="006C41B0"/>
    <w:rsid w:val="006C4B51"/>
    <w:rsid w:val="006C4CA0"/>
    <w:rsid w:val="006C5781"/>
    <w:rsid w:val="006C6058"/>
    <w:rsid w:val="006C6600"/>
    <w:rsid w:val="006D13D7"/>
    <w:rsid w:val="006D40F5"/>
    <w:rsid w:val="006D451B"/>
    <w:rsid w:val="006D4955"/>
    <w:rsid w:val="006D4CCE"/>
    <w:rsid w:val="006D5BAF"/>
    <w:rsid w:val="006D5F66"/>
    <w:rsid w:val="006D643B"/>
    <w:rsid w:val="006D6FBF"/>
    <w:rsid w:val="006D7DA1"/>
    <w:rsid w:val="006E1CE5"/>
    <w:rsid w:val="006E3030"/>
    <w:rsid w:val="006E334F"/>
    <w:rsid w:val="006E51E1"/>
    <w:rsid w:val="006E6162"/>
    <w:rsid w:val="006E69F5"/>
    <w:rsid w:val="006E7835"/>
    <w:rsid w:val="006F03A4"/>
    <w:rsid w:val="006F044B"/>
    <w:rsid w:val="006F07A9"/>
    <w:rsid w:val="006F1D26"/>
    <w:rsid w:val="006F5713"/>
    <w:rsid w:val="006F5744"/>
    <w:rsid w:val="006F595B"/>
    <w:rsid w:val="006F70C9"/>
    <w:rsid w:val="006F73B4"/>
    <w:rsid w:val="006F74F5"/>
    <w:rsid w:val="00700556"/>
    <w:rsid w:val="00700822"/>
    <w:rsid w:val="00701B0E"/>
    <w:rsid w:val="00702001"/>
    <w:rsid w:val="007030EF"/>
    <w:rsid w:val="007040AD"/>
    <w:rsid w:val="00704ACB"/>
    <w:rsid w:val="00707751"/>
    <w:rsid w:val="007077E2"/>
    <w:rsid w:val="00707EF4"/>
    <w:rsid w:val="007102C7"/>
    <w:rsid w:val="0071187B"/>
    <w:rsid w:val="00712774"/>
    <w:rsid w:val="00713175"/>
    <w:rsid w:val="007146AB"/>
    <w:rsid w:val="00714C40"/>
    <w:rsid w:val="00715675"/>
    <w:rsid w:val="00716124"/>
    <w:rsid w:val="007165A9"/>
    <w:rsid w:val="00717387"/>
    <w:rsid w:val="00717FD0"/>
    <w:rsid w:val="00720DD8"/>
    <w:rsid w:val="00721029"/>
    <w:rsid w:val="007212AA"/>
    <w:rsid w:val="007215F9"/>
    <w:rsid w:val="00722B14"/>
    <w:rsid w:val="007240E1"/>
    <w:rsid w:val="007248BE"/>
    <w:rsid w:val="00725B2E"/>
    <w:rsid w:val="00727922"/>
    <w:rsid w:val="00730C58"/>
    <w:rsid w:val="00731CD8"/>
    <w:rsid w:val="00735A4B"/>
    <w:rsid w:val="007368CC"/>
    <w:rsid w:val="00737F77"/>
    <w:rsid w:val="00740205"/>
    <w:rsid w:val="007410E9"/>
    <w:rsid w:val="007416BC"/>
    <w:rsid w:val="007420F1"/>
    <w:rsid w:val="00742708"/>
    <w:rsid w:val="0074501D"/>
    <w:rsid w:val="00745157"/>
    <w:rsid w:val="00745690"/>
    <w:rsid w:val="007466C0"/>
    <w:rsid w:val="00746BD2"/>
    <w:rsid w:val="00746CDC"/>
    <w:rsid w:val="007476D7"/>
    <w:rsid w:val="007535EE"/>
    <w:rsid w:val="00753DAB"/>
    <w:rsid w:val="007555BF"/>
    <w:rsid w:val="00757B67"/>
    <w:rsid w:val="00760CE5"/>
    <w:rsid w:val="00761F9C"/>
    <w:rsid w:val="00762363"/>
    <w:rsid w:val="007625B4"/>
    <w:rsid w:val="00762A6D"/>
    <w:rsid w:val="007638EE"/>
    <w:rsid w:val="007664B8"/>
    <w:rsid w:val="007709FE"/>
    <w:rsid w:val="00772811"/>
    <w:rsid w:val="00773078"/>
    <w:rsid w:val="007744BE"/>
    <w:rsid w:val="0077502F"/>
    <w:rsid w:val="007759E3"/>
    <w:rsid w:val="00777DA4"/>
    <w:rsid w:val="00780350"/>
    <w:rsid w:val="00781523"/>
    <w:rsid w:val="00782BEF"/>
    <w:rsid w:val="00783CF6"/>
    <w:rsid w:val="007840A0"/>
    <w:rsid w:val="0078455F"/>
    <w:rsid w:val="00785965"/>
    <w:rsid w:val="00786188"/>
    <w:rsid w:val="00790B63"/>
    <w:rsid w:val="00792D3E"/>
    <w:rsid w:val="00793530"/>
    <w:rsid w:val="0079571D"/>
    <w:rsid w:val="00796D65"/>
    <w:rsid w:val="00797C85"/>
    <w:rsid w:val="007A043E"/>
    <w:rsid w:val="007A050A"/>
    <w:rsid w:val="007A251D"/>
    <w:rsid w:val="007A3815"/>
    <w:rsid w:val="007A3D33"/>
    <w:rsid w:val="007A4752"/>
    <w:rsid w:val="007A4D8C"/>
    <w:rsid w:val="007A553E"/>
    <w:rsid w:val="007A560B"/>
    <w:rsid w:val="007A72A0"/>
    <w:rsid w:val="007B0149"/>
    <w:rsid w:val="007B08C6"/>
    <w:rsid w:val="007B1A47"/>
    <w:rsid w:val="007B22A6"/>
    <w:rsid w:val="007B248B"/>
    <w:rsid w:val="007B3847"/>
    <w:rsid w:val="007B4771"/>
    <w:rsid w:val="007B7B7D"/>
    <w:rsid w:val="007C1042"/>
    <w:rsid w:val="007C10FF"/>
    <w:rsid w:val="007C1469"/>
    <w:rsid w:val="007C209A"/>
    <w:rsid w:val="007C37E6"/>
    <w:rsid w:val="007C38B3"/>
    <w:rsid w:val="007C51DE"/>
    <w:rsid w:val="007C53D9"/>
    <w:rsid w:val="007C6C27"/>
    <w:rsid w:val="007C744D"/>
    <w:rsid w:val="007C764E"/>
    <w:rsid w:val="007C7681"/>
    <w:rsid w:val="007D17FF"/>
    <w:rsid w:val="007D1D63"/>
    <w:rsid w:val="007D30F9"/>
    <w:rsid w:val="007D3F8E"/>
    <w:rsid w:val="007D47A3"/>
    <w:rsid w:val="007D5109"/>
    <w:rsid w:val="007D5E14"/>
    <w:rsid w:val="007D711F"/>
    <w:rsid w:val="007D73D1"/>
    <w:rsid w:val="007D779E"/>
    <w:rsid w:val="007D7E64"/>
    <w:rsid w:val="007E02F9"/>
    <w:rsid w:val="007E0433"/>
    <w:rsid w:val="007E0A70"/>
    <w:rsid w:val="007E0DA4"/>
    <w:rsid w:val="007E2553"/>
    <w:rsid w:val="007E2686"/>
    <w:rsid w:val="007E26B5"/>
    <w:rsid w:val="007E4154"/>
    <w:rsid w:val="007E490B"/>
    <w:rsid w:val="007E4994"/>
    <w:rsid w:val="007E539B"/>
    <w:rsid w:val="007E5E54"/>
    <w:rsid w:val="007E73FC"/>
    <w:rsid w:val="007F061D"/>
    <w:rsid w:val="007F0FF5"/>
    <w:rsid w:val="007F3419"/>
    <w:rsid w:val="007F3516"/>
    <w:rsid w:val="007F376F"/>
    <w:rsid w:val="007F3D67"/>
    <w:rsid w:val="007F498A"/>
    <w:rsid w:val="007F4F6E"/>
    <w:rsid w:val="007F76FB"/>
    <w:rsid w:val="00801C2B"/>
    <w:rsid w:val="0080249B"/>
    <w:rsid w:val="00802764"/>
    <w:rsid w:val="00803205"/>
    <w:rsid w:val="00803898"/>
    <w:rsid w:val="00804E9E"/>
    <w:rsid w:val="00805769"/>
    <w:rsid w:val="00805CF3"/>
    <w:rsid w:val="00805F32"/>
    <w:rsid w:val="008062CC"/>
    <w:rsid w:val="00806AF5"/>
    <w:rsid w:val="00806FF4"/>
    <w:rsid w:val="00807F09"/>
    <w:rsid w:val="008101D3"/>
    <w:rsid w:val="00810805"/>
    <w:rsid w:val="00813444"/>
    <w:rsid w:val="00815C12"/>
    <w:rsid w:val="0081678A"/>
    <w:rsid w:val="00816F03"/>
    <w:rsid w:val="00817AA6"/>
    <w:rsid w:val="00817D94"/>
    <w:rsid w:val="00821C11"/>
    <w:rsid w:val="0082366C"/>
    <w:rsid w:val="00824832"/>
    <w:rsid w:val="00824AF1"/>
    <w:rsid w:val="00824D05"/>
    <w:rsid w:val="00825A3E"/>
    <w:rsid w:val="00825D26"/>
    <w:rsid w:val="008268A9"/>
    <w:rsid w:val="0082797B"/>
    <w:rsid w:val="00830377"/>
    <w:rsid w:val="00832A90"/>
    <w:rsid w:val="00834AB6"/>
    <w:rsid w:val="008353FB"/>
    <w:rsid w:val="008366AE"/>
    <w:rsid w:val="0084031C"/>
    <w:rsid w:val="0084175F"/>
    <w:rsid w:val="00842131"/>
    <w:rsid w:val="00842A1E"/>
    <w:rsid w:val="0084339D"/>
    <w:rsid w:val="00843C4B"/>
    <w:rsid w:val="008449EA"/>
    <w:rsid w:val="00844BFF"/>
    <w:rsid w:val="00845228"/>
    <w:rsid w:val="008459DB"/>
    <w:rsid w:val="0084778E"/>
    <w:rsid w:val="00850EB4"/>
    <w:rsid w:val="008533C7"/>
    <w:rsid w:val="008539AD"/>
    <w:rsid w:val="00853C6D"/>
    <w:rsid w:val="00853C9B"/>
    <w:rsid w:val="00854816"/>
    <w:rsid w:val="008555C1"/>
    <w:rsid w:val="008555E9"/>
    <w:rsid w:val="00855778"/>
    <w:rsid w:val="0085676C"/>
    <w:rsid w:val="00856ECB"/>
    <w:rsid w:val="00857289"/>
    <w:rsid w:val="00860433"/>
    <w:rsid w:val="008604F4"/>
    <w:rsid w:val="0086197A"/>
    <w:rsid w:val="00861E04"/>
    <w:rsid w:val="00862759"/>
    <w:rsid w:val="00863034"/>
    <w:rsid w:val="00865A31"/>
    <w:rsid w:val="00866303"/>
    <w:rsid w:val="00866512"/>
    <w:rsid w:val="00867606"/>
    <w:rsid w:val="00867DA3"/>
    <w:rsid w:val="00870EBE"/>
    <w:rsid w:val="008717E9"/>
    <w:rsid w:val="00873021"/>
    <w:rsid w:val="00873325"/>
    <w:rsid w:val="00877302"/>
    <w:rsid w:val="00880836"/>
    <w:rsid w:val="00880BE4"/>
    <w:rsid w:val="00881319"/>
    <w:rsid w:val="008824AE"/>
    <w:rsid w:val="00884ACD"/>
    <w:rsid w:val="00884B86"/>
    <w:rsid w:val="008854DA"/>
    <w:rsid w:val="008856CE"/>
    <w:rsid w:val="00886072"/>
    <w:rsid w:val="00887269"/>
    <w:rsid w:val="00891373"/>
    <w:rsid w:val="0089261D"/>
    <w:rsid w:val="00892C7D"/>
    <w:rsid w:val="00893544"/>
    <w:rsid w:val="00893BB5"/>
    <w:rsid w:val="0089435C"/>
    <w:rsid w:val="00894814"/>
    <w:rsid w:val="00894D3E"/>
    <w:rsid w:val="00894ED3"/>
    <w:rsid w:val="0089538E"/>
    <w:rsid w:val="00895CA6"/>
    <w:rsid w:val="00896BE9"/>
    <w:rsid w:val="00896D08"/>
    <w:rsid w:val="00897398"/>
    <w:rsid w:val="00897C8F"/>
    <w:rsid w:val="00897C9F"/>
    <w:rsid w:val="008A099D"/>
    <w:rsid w:val="008A1A9A"/>
    <w:rsid w:val="008A1D46"/>
    <w:rsid w:val="008A21C5"/>
    <w:rsid w:val="008A31E0"/>
    <w:rsid w:val="008A38BA"/>
    <w:rsid w:val="008A4402"/>
    <w:rsid w:val="008A6432"/>
    <w:rsid w:val="008A78F9"/>
    <w:rsid w:val="008A7B64"/>
    <w:rsid w:val="008B080C"/>
    <w:rsid w:val="008B22D6"/>
    <w:rsid w:val="008B28B4"/>
    <w:rsid w:val="008B2BF5"/>
    <w:rsid w:val="008B35F7"/>
    <w:rsid w:val="008B5213"/>
    <w:rsid w:val="008B5918"/>
    <w:rsid w:val="008B5CC0"/>
    <w:rsid w:val="008B7507"/>
    <w:rsid w:val="008B7C28"/>
    <w:rsid w:val="008B7C73"/>
    <w:rsid w:val="008C0A7C"/>
    <w:rsid w:val="008C31A4"/>
    <w:rsid w:val="008C3DD3"/>
    <w:rsid w:val="008C3E07"/>
    <w:rsid w:val="008C5C43"/>
    <w:rsid w:val="008C725C"/>
    <w:rsid w:val="008D0731"/>
    <w:rsid w:val="008D0EE4"/>
    <w:rsid w:val="008D35E3"/>
    <w:rsid w:val="008D4543"/>
    <w:rsid w:val="008D50D4"/>
    <w:rsid w:val="008D5656"/>
    <w:rsid w:val="008D602D"/>
    <w:rsid w:val="008D758F"/>
    <w:rsid w:val="008E04C0"/>
    <w:rsid w:val="008E0DEE"/>
    <w:rsid w:val="008E2094"/>
    <w:rsid w:val="008E20DD"/>
    <w:rsid w:val="008E2DDB"/>
    <w:rsid w:val="008E3856"/>
    <w:rsid w:val="008E61BE"/>
    <w:rsid w:val="008E6AFB"/>
    <w:rsid w:val="008E7C7B"/>
    <w:rsid w:val="008E7D5A"/>
    <w:rsid w:val="008F09A8"/>
    <w:rsid w:val="008F0D49"/>
    <w:rsid w:val="008F261F"/>
    <w:rsid w:val="008F27D7"/>
    <w:rsid w:val="008F477F"/>
    <w:rsid w:val="008F7386"/>
    <w:rsid w:val="009011A7"/>
    <w:rsid w:val="00901F9A"/>
    <w:rsid w:val="00902899"/>
    <w:rsid w:val="00904C08"/>
    <w:rsid w:val="009063B1"/>
    <w:rsid w:val="00906EAC"/>
    <w:rsid w:val="00907A24"/>
    <w:rsid w:val="009100B1"/>
    <w:rsid w:val="00910409"/>
    <w:rsid w:val="009119D4"/>
    <w:rsid w:val="00911F2C"/>
    <w:rsid w:val="0091235C"/>
    <w:rsid w:val="00912C03"/>
    <w:rsid w:val="00912E17"/>
    <w:rsid w:val="00914BD3"/>
    <w:rsid w:val="00915314"/>
    <w:rsid w:val="00916741"/>
    <w:rsid w:val="00920100"/>
    <w:rsid w:val="00920ECA"/>
    <w:rsid w:val="00922807"/>
    <w:rsid w:val="00922EAA"/>
    <w:rsid w:val="00923EE8"/>
    <w:rsid w:val="00924890"/>
    <w:rsid w:val="009269E2"/>
    <w:rsid w:val="00926A8A"/>
    <w:rsid w:val="00927445"/>
    <w:rsid w:val="00930214"/>
    <w:rsid w:val="009304D8"/>
    <w:rsid w:val="00930A10"/>
    <w:rsid w:val="00930F3D"/>
    <w:rsid w:val="00931B72"/>
    <w:rsid w:val="009338C6"/>
    <w:rsid w:val="0093399C"/>
    <w:rsid w:val="009362EC"/>
    <w:rsid w:val="009368F1"/>
    <w:rsid w:val="009369C7"/>
    <w:rsid w:val="00936DC1"/>
    <w:rsid w:val="0093739C"/>
    <w:rsid w:val="009376A1"/>
    <w:rsid w:val="009378B7"/>
    <w:rsid w:val="00940F0A"/>
    <w:rsid w:val="00940FC2"/>
    <w:rsid w:val="009415C4"/>
    <w:rsid w:val="00941CD6"/>
    <w:rsid w:val="009420D1"/>
    <w:rsid w:val="00942466"/>
    <w:rsid w:val="00942996"/>
    <w:rsid w:val="00942B14"/>
    <w:rsid w:val="00943257"/>
    <w:rsid w:val="009432F7"/>
    <w:rsid w:val="00944483"/>
    <w:rsid w:val="009444F5"/>
    <w:rsid w:val="009450C5"/>
    <w:rsid w:val="00945D41"/>
    <w:rsid w:val="0095160B"/>
    <w:rsid w:val="009521FF"/>
    <w:rsid w:val="00953474"/>
    <w:rsid w:val="00956583"/>
    <w:rsid w:val="00956617"/>
    <w:rsid w:val="0095725A"/>
    <w:rsid w:val="009573F9"/>
    <w:rsid w:val="0095766A"/>
    <w:rsid w:val="00957CE3"/>
    <w:rsid w:val="00960ED7"/>
    <w:rsid w:val="009616CC"/>
    <w:rsid w:val="00961886"/>
    <w:rsid w:val="00961CDC"/>
    <w:rsid w:val="00962733"/>
    <w:rsid w:val="009631A7"/>
    <w:rsid w:val="00963786"/>
    <w:rsid w:val="00963DEA"/>
    <w:rsid w:val="0096403E"/>
    <w:rsid w:val="00965698"/>
    <w:rsid w:val="00965BB0"/>
    <w:rsid w:val="00966133"/>
    <w:rsid w:val="00966542"/>
    <w:rsid w:val="00967736"/>
    <w:rsid w:val="00967C15"/>
    <w:rsid w:val="0097205A"/>
    <w:rsid w:val="00972C26"/>
    <w:rsid w:val="00972D07"/>
    <w:rsid w:val="00972EC1"/>
    <w:rsid w:val="009730F5"/>
    <w:rsid w:val="00973859"/>
    <w:rsid w:val="00974D60"/>
    <w:rsid w:val="0097531A"/>
    <w:rsid w:val="00976D02"/>
    <w:rsid w:val="00980E92"/>
    <w:rsid w:val="00981269"/>
    <w:rsid w:val="00981395"/>
    <w:rsid w:val="00981EAF"/>
    <w:rsid w:val="00982789"/>
    <w:rsid w:val="00982982"/>
    <w:rsid w:val="00983E23"/>
    <w:rsid w:val="0098580C"/>
    <w:rsid w:val="009859E3"/>
    <w:rsid w:val="00985DBE"/>
    <w:rsid w:val="009867CF"/>
    <w:rsid w:val="00986966"/>
    <w:rsid w:val="00987299"/>
    <w:rsid w:val="00987C72"/>
    <w:rsid w:val="0099168C"/>
    <w:rsid w:val="009922D7"/>
    <w:rsid w:val="00992561"/>
    <w:rsid w:val="0099408E"/>
    <w:rsid w:val="009956A8"/>
    <w:rsid w:val="00996CA6"/>
    <w:rsid w:val="00996D65"/>
    <w:rsid w:val="009976A2"/>
    <w:rsid w:val="0099788E"/>
    <w:rsid w:val="00997A0F"/>
    <w:rsid w:val="00997A9A"/>
    <w:rsid w:val="00997C38"/>
    <w:rsid w:val="009A2732"/>
    <w:rsid w:val="009A4CAD"/>
    <w:rsid w:val="009A4D5C"/>
    <w:rsid w:val="009A5DAB"/>
    <w:rsid w:val="009B3FB6"/>
    <w:rsid w:val="009B68A3"/>
    <w:rsid w:val="009B6C0F"/>
    <w:rsid w:val="009B76F5"/>
    <w:rsid w:val="009C10C8"/>
    <w:rsid w:val="009C1304"/>
    <w:rsid w:val="009C42D9"/>
    <w:rsid w:val="009C5CE8"/>
    <w:rsid w:val="009C7C83"/>
    <w:rsid w:val="009C7CAB"/>
    <w:rsid w:val="009C7D8B"/>
    <w:rsid w:val="009D0023"/>
    <w:rsid w:val="009D0504"/>
    <w:rsid w:val="009D2229"/>
    <w:rsid w:val="009D3010"/>
    <w:rsid w:val="009D34E6"/>
    <w:rsid w:val="009D4698"/>
    <w:rsid w:val="009D46DD"/>
    <w:rsid w:val="009D4797"/>
    <w:rsid w:val="009D4E6E"/>
    <w:rsid w:val="009D7009"/>
    <w:rsid w:val="009D72AE"/>
    <w:rsid w:val="009D74EF"/>
    <w:rsid w:val="009D778E"/>
    <w:rsid w:val="009E32AF"/>
    <w:rsid w:val="009E4029"/>
    <w:rsid w:val="009E4401"/>
    <w:rsid w:val="009E4A47"/>
    <w:rsid w:val="009E4B83"/>
    <w:rsid w:val="009E5800"/>
    <w:rsid w:val="009E64C3"/>
    <w:rsid w:val="009E6789"/>
    <w:rsid w:val="009F09BC"/>
    <w:rsid w:val="009F1575"/>
    <w:rsid w:val="009F1B19"/>
    <w:rsid w:val="009F31E0"/>
    <w:rsid w:val="009F3AEC"/>
    <w:rsid w:val="009F3FC1"/>
    <w:rsid w:val="009F4FC0"/>
    <w:rsid w:val="00A00178"/>
    <w:rsid w:val="00A00832"/>
    <w:rsid w:val="00A014A2"/>
    <w:rsid w:val="00A01589"/>
    <w:rsid w:val="00A017A1"/>
    <w:rsid w:val="00A02B1C"/>
    <w:rsid w:val="00A0341C"/>
    <w:rsid w:val="00A03B25"/>
    <w:rsid w:val="00A03F25"/>
    <w:rsid w:val="00A0486A"/>
    <w:rsid w:val="00A065ED"/>
    <w:rsid w:val="00A11AE5"/>
    <w:rsid w:val="00A11DC0"/>
    <w:rsid w:val="00A14A29"/>
    <w:rsid w:val="00A158D3"/>
    <w:rsid w:val="00A1699C"/>
    <w:rsid w:val="00A17AAA"/>
    <w:rsid w:val="00A17FB7"/>
    <w:rsid w:val="00A223BB"/>
    <w:rsid w:val="00A23FDB"/>
    <w:rsid w:val="00A259A4"/>
    <w:rsid w:val="00A260EF"/>
    <w:rsid w:val="00A26E93"/>
    <w:rsid w:val="00A30210"/>
    <w:rsid w:val="00A31DE6"/>
    <w:rsid w:val="00A3214C"/>
    <w:rsid w:val="00A32428"/>
    <w:rsid w:val="00A32917"/>
    <w:rsid w:val="00A32FC5"/>
    <w:rsid w:val="00A3435A"/>
    <w:rsid w:val="00A34618"/>
    <w:rsid w:val="00A3655B"/>
    <w:rsid w:val="00A3661F"/>
    <w:rsid w:val="00A36FDA"/>
    <w:rsid w:val="00A3715B"/>
    <w:rsid w:val="00A401BE"/>
    <w:rsid w:val="00A4166D"/>
    <w:rsid w:val="00A4298B"/>
    <w:rsid w:val="00A43C60"/>
    <w:rsid w:val="00A43E4A"/>
    <w:rsid w:val="00A4503E"/>
    <w:rsid w:val="00A450D0"/>
    <w:rsid w:val="00A45CFF"/>
    <w:rsid w:val="00A50C50"/>
    <w:rsid w:val="00A51CA9"/>
    <w:rsid w:val="00A51F56"/>
    <w:rsid w:val="00A5249A"/>
    <w:rsid w:val="00A536E6"/>
    <w:rsid w:val="00A56E1A"/>
    <w:rsid w:val="00A57121"/>
    <w:rsid w:val="00A602C6"/>
    <w:rsid w:val="00A60BE6"/>
    <w:rsid w:val="00A614D8"/>
    <w:rsid w:val="00A62299"/>
    <w:rsid w:val="00A636F8"/>
    <w:rsid w:val="00A653CD"/>
    <w:rsid w:val="00A666DD"/>
    <w:rsid w:val="00A67238"/>
    <w:rsid w:val="00A706E7"/>
    <w:rsid w:val="00A7106E"/>
    <w:rsid w:val="00A71801"/>
    <w:rsid w:val="00A73C86"/>
    <w:rsid w:val="00A74D71"/>
    <w:rsid w:val="00A773F8"/>
    <w:rsid w:val="00A77412"/>
    <w:rsid w:val="00A77B58"/>
    <w:rsid w:val="00A80345"/>
    <w:rsid w:val="00A80DA8"/>
    <w:rsid w:val="00A8432C"/>
    <w:rsid w:val="00A84A52"/>
    <w:rsid w:val="00A84B14"/>
    <w:rsid w:val="00A8513A"/>
    <w:rsid w:val="00A85A5D"/>
    <w:rsid w:val="00A86396"/>
    <w:rsid w:val="00A872FB"/>
    <w:rsid w:val="00A91DBD"/>
    <w:rsid w:val="00A921B6"/>
    <w:rsid w:val="00A92333"/>
    <w:rsid w:val="00A94ACF"/>
    <w:rsid w:val="00A95552"/>
    <w:rsid w:val="00A956FA"/>
    <w:rsid w:val="00A9689E"/>
    <w:rsid w:val="00A96F10"/>
    <w:rsid w:val="00A97302"/>
    <w:rsid w:val="00A978CA"/>
    <w:rsid w:val="00AA0D73"/>
    <w:rsid w:val="00AA0E99"/>
    <w:rsid w:val="00AA1FA6"/>
    <w:rsid w:val="00AA5E66"/>
    <w:rsid w:val="00AA6DC6"/>
    <w:rsid w:val="00AA70EB"/>
    <w:rsid w:val="00AA79C2"/>
    <w:rsid w:val="00AA7A57"/>
    <w:rsid w:val="00AB0EA2"/>
    <w:rsid w:val="00AB2194"/>
    <w:rsid w:val="00AB2383"/>
    <w:rsid w:val="00AB51E5"/>
    <w:rsid w:val="00AB64DD"/>
    <w:rsid w:val="00AC23E8"/>
    <w:rsid w:val="00AC2492"/>
    <w:rsid w:val="00AC26C5"/>
    <w:rsid w:val="00AC2C49"/>
    <w:rsid w:val="00AC34B3"/>
    <w:rsid w:val="00AC3D56"/>
    <w:rsid w:val="00AC4E5E"/>
    <w:rsid w:val="00AC5109"/>
    <w:rsid w:val="00AD0DC1"/>
    <w:rsid w:val="00AD2AA6"/>
    <w:rsid w:val="00AD4473"/>
    <w:rsid w:val="00AD4E8F"/>
    <w:rsid w:val="00AD798E"/>
    <w:rsid w:val="00AE14F0"/>
    <w:rsid w:val="00AE1DA5"/>
    <w:rsid w:val="00AE1E86"/>
    <w:rsid w:val="00AE3D64"/>
    <w:rsid w:val="00AE3D75"/>
    <w:rsid w:val="00AE4EB5"/>
    <w:rsid w:val="00AE4F3C"/>
    <w:rsid w:val="00AE533D"/>
    <w:rsid w:val="00AE6855"/>
    <w:rsid w:val="00AE6969"/>
    <w:rsid w:val="00AE7673"/>
    <w:rsid w:val="00AF007A"/>
    <w:rsid w:val="00AF07A6"/>
    <w:rsid w:val="00AF288E"/>
    <w:rsid w:val="00AF2D61"/>
    <w:rsid w:val="00AF37D4"/>
    <w:rsid w:val="00AF3BF7"/>
    <w:rsid w:val="00AF40D3"/>
    <w:rsid w:val="00AF4495"/>
    <w:rsid w:val="00AF5FC6"/>
    <w:rsid w:val="00AF7B81"/>
    <w:rsid w:val="00B00FC2"/>
    <w:rsid w:val="00B02396"/>
    <w:rsid w:val="00B050FD"/>
    <w:rsid w:val="00B051E7"/>
    <w:rsid w:val="00B0618E"/>
    <w:rsid w:val="00B06E1F"/>
    <w:rsid w:val="00B0752B"/>
    <w:rsid w:val="00B105F3"/>
    <w:rsid w:val="00B107C1"/>
    <w:rsid w:val="00B1288D"/>
    <w:rsid w:val="00B12E2B"/>
    <w:rsid w:val="00B13DBC"/>
    <w:rsid w:val="00B1493E"/>
    <w:rsid w:val="00B15583"/>
    <w:rsid w:val="00B20D11"/>
    <w:rsid w:val="00B22345"/>
    <w:rsid w:val="00B2246C"/>
    <w:rsid w:val="00B22592"/>
    <w:rsid w:val="00B22DF3"/>
    <w:rsid w:val="00B23AAA"/>
    <w:rsid w:val="00B24B03"/>
    <w:rsid w:val="00B25A7E"/>
    <w:rsid w:val="00B2666D"/>
    <w:rsid w:val="00B26AD6"/>
    <w:rsid w:val="00B27929"/>
    <w:rsid w:val="00B30C7B"/>
    <w:rsid w:val="00B30EE1"/>
    <w:rsid w:val="00B32B9C"/>
    <w:rsid w:val="00B331F8"/>
    <w:rsid w:val="00B33F26"/>
    <w:rsid w:val="00B34BC3"/>
    <w:rsid w:val="00B35F62"/>
    <w:rsid w:val="00B37F35"/>
    <w:rsid w:val="00B4097C"/>
    <w:rsid w:val="00B4148C"/>
    <w:rsid w:val="00B43A38"/>
    <w:rsid w:val="00B45C49"/>
    <w:rsid w:val="00B45D3B"/>
    <w:rsid w:val="00B460E7"/>
    <w:rsid w:val="00B464CD"/>
    <w:rsid w:val="00B46553"/>
    <w:rsid w:val="00B46DFA"/>
    <w:rsid w:val="00B506EE"/>
    <w:rsid w:val="00B50844"/>
    <w:rsid w:val="00B52081"/>
    <w:rsid w:val="00B527DE"/>
    <w:rsid w:val="00B53946"/>
    <w:rsid w:val="00B54C94"/>
    <w:rsid w:val="00B56CC0"/>
    <w:rsid w:val="00B57149"/>
    <w:rsid w:val="00B57A70"/>
    <w:rsid w:val="00B57E04"/>
    <w:rsid w:val="00B61A2C"/>
    <w:rsid w:val="00B61C7E"/>
    <w:rsid w:val="00B62AE7"/>
    <w:rsid w:val="00B62E72"/>
    <w:rsid w:val="00B631CD"/>
    <w:rsid w:val="00B63B35"/>
    <w:rsid w:val="00B63BF8"/>
    <w:rsid w:val="00B64524"/>
    <w:rsid w:val="00B650FF"/>
    <w:rsid w:val="00B653BA"/>
    <w:rsid w:val="00B72CC8"/>
    <w:rsid w:val="00B75741"/>
    <w:rsid w:val="00B75B33"/>
    <w:rsid w:val="00B77522"/>
    <w:rsid w:val="00B80C46"/>
    <w:rsid w:val="00B82E44"/>
    <w:rsid w:val="00B8318D"/>
    <w:rsid w:val="00B8514D"/>
    <w:rsid w:val="00B85A40"/>
    <w:rsid w:val="00B87119"/>
    <w:rsid w:val="00B87A77"/>
    <w:rsid w:val="00B900B9"/>
    <w:rsid w:val="00B90933"/>
    <w:rsid w:val="00B90954"/>
    <w:rsid w:val="00B91995"/>
    <w:rsid w:val="00B922E8"/>
    <w:rsid w:val="00B9324E"/>
    <w:rsid w:val="00B93DCC"/>
    <w:rsid w:val="00B93F14"/>
    <w:rsid w:val="00B95045"/>
    <w:rsid w:val="00B95A38"/>
    <w:rsid w:val="00B97481"/>
    <w:rsid w:val="00BA29E8"/>
    <w:rsid w:val="00BA340F"/>
    <w:rsid w:val="00BA3D2E"/>
    <w:rsid w:val="00BA6600"/>
    <w:rsid w:val="00BA6669"/>
    <w:rsid w:val="00BB0617"/>
    <w:rsid w:val="00BB10CE"/>
    <w:rsid w:val="00BB11EB"/>
    <w:rsid w:val="00BB2CDF"/>
    <w:rsid w:val="00BB3DAF"/>
    <w:rsid w:val="00BB48DD"/>
    <w:rsid w:val="00BB55FC"/>
    <w:rsid w:val="00BB57A5"/>
    <w:rsid w:val="00BB6396"/>
    <w:rsid w:val="00BB7DD7"/>
    <w:rsid w:val="00BB7E03"/>
    <w:rsid w:val="00BC3E65"/>
    <w:rsid w:val="00BC55C8"/>
    <w:rsid w:val="00BC5644"/>
    <w:rsid w:val="00BC647C"/>
    <w:rsid w:val="00BC77F1"/>
    <w:rsid w:val="00BC7D81"/>
    <w:rsid w:val="00BD03B1"/>
    <w:rsid w:val="00BD08D7"/>
    <w:rsid w:val="00BD1291"/>
    <w:rsid w:val="00BD13DD"/>
    <w:rsid w:val="00BD14A7"/>
    <w:rsid w:val="00BD208F"/>
    <w:rsid w:val="00BD2EC1"/>
    <w:rsid w:val="00BD2FFA"/>
    <w:rsid w:val="00BD3E3C"/>
    <w:rsid w:val="00BD43F7"/>
    <w:rsid w:val="00BD473C"/>
    <w:rsid w:val="00BD47DD"/>
    <w:rsid w:val="00BD5D05"/>
    <w:rsid w:val="00BD65D1"/>
    <w:rsid w:val="00BD7D74"/>
    <w:rsid w:val="00BE07F7"/>
    <w:rsid w:val="00BE0ABC"/>
    <w:rsid w:val="00BE0BDF"/>
    <w:rsid w:val="00BE1203"/>
    <w:rsid w:val="00BE18FA"/>
    <w:rsid w:val="00BE1959"/>
    <w:rsid w:val="00BE3639"/>
    <w:rsid w:val="00BE3B5B"/>
    <w:rsid w:val="00BE5D72"/>
    <w:rsid w:val="00BE6324"/>
    <w:rsid w:val="00BE673D"/>
    <w:rsid w:val="00BE776D"/>
    <w:rsid w:val="00BE7DA0"/>
    <w:rsid w:val="00BF2D18"/>
    <w:rsid w:val="00BF340B"/>
    <w:rsid w:val="00BF585D"/>
    <w:rsid w:val="00BF59AA"/>
    <w:rsid w:val="00C0023D"/>
    <w:rsid w:val="00C00A63"/>
    <w:rsid w:val="00C0351A"/>
    <w:rsid w:val="00C04B06"/>
    <w:rsid w:val="00C05C5D"/>
    <w:rsid w:val="00C05EA0"/>
    <w:rsid w:val="00C06BEB"/>
    <w:rsid w:val="00C06EEF"/>
    <w:rsid w:val="00C071E8"/>
    <w:rsid w:val="00C079FB"/>
    <w:rsid w:val="00C07DB7"/>
    <w:rsid w:val="00C106DC"/>
    <w:rsid w:val="00C10CE1"/>
    <w:rsid w:val="00C11882"/>
    <w:rsid w:val="00C14405"/>
    <w:rsid w:val="00C157EF"/>
    <w:rsid w:val="00C159A4"/>
    <w:rsid w:val="00C17A39"/>
    <w:rsid w:val="00C20E9E"/>
    <w:rsid w:val="00C23F3C"/>
    <w:rsid w:val="00C24663"/>
    <w:rsid w:val="00C25C60"/>
    <w:rsid w:val="00C26942"/>
    <w:rsid w:val="00C26BE6"/>
    <w:rsid w:val="00C26DD7"/>
    <w:rsid w:val="00C270F1"/>
    <w:rsid w:val="00C300AC"/>
    <w:rsid w:val="00C30659"/>
    <w:rsid w:val="00C31856"/>
    <w:rsid w:val="00C31F8B"/>
    <w:rsid w:val="00C33163"/>
    <w:rsid w:val="00C33D7B"/>
    <w:rsid w:val="00C34140"/>
    <w:rsid w:val="00C350C4"/>
    <w:rsid w:val="00C363C1"/>
    <w:rsid w:val="00C37983"/>
    <w:rsid w:val="00C40E11"/>
    <w:rsid w:val="00C43F6C"/>
    <w:rsid w:val="00C44BFE"/>
    <w:rsid w:val="00C46704"/>
    <w:rsid w:val="00C47003"/>
    <w:rsid w:val="00C51E17"/>
    <w:rsid w:val="00C526BF"/>
    <w:rsid w:val="00C52CDA"/>
    <w:rsid w:val="00C52E40"/>
    <w:rsid w:val="00C5349C"/>
    <w:rsid w:val="00C537C2"/>
    <w:rsid w:val="00C54639"/>
    <w:rsid w:val="00C54A90"/>
    <w:rsid w:val="00C54D62"/>
    <w:rsid w:val="00C560D4"/>
    <w:rsid w:val="00C56564"/>
    <w:rsid w:val="00C56AF8"/>
    <w:rsid w:val="00C56CFE"/>
    <w:rsid w:val="00C5742F"/>
    <w:rsid w:val="00C57702"/>
    <w:rsid w:val="00C601AB"/>
    <w:rsid w:val="00C6146A"/>
    <w:rsid w:val="00C61569"/>
    <w:rsid w:val="00C62A35"/>
    <w:rsid w:val="00C62F06"/>
    <w:rsid w:val="00C648F4"/>
    <w:rsid w:val="00C65950"/>
    <w:rsid w:val="00C66991"/>
    <w:rsid w:val="00C67B29"/>
    <w:rsid w:val="00C71208"/>
    <w:rsid w:val="00C716FA"/>
    <w:rsid w:val="00C72C3F"/>
    <w:rsid w:val="00C73623"/>
    <w:rsid w:val="00C7372B"/>
    <w:rsid w:val="00C73D5E"/>
    <w:rsid w:val="00C7449D"/>
    <w:rsid w:val="00C74679"/>
    <w:rsid w:val="00C7467E"/>
    <w:rsid w:val="00C750FA"/>
    <w:rsid w:val="00C77F65"/>
    <w:rsid w:val="00C817D1"/>
    <w:rsid w:val="00C824BB"/>
    <w:rsid w:val="00C82A71"/>
    <w:rsid w:val="00C82AA7"/>
    <w:rsid w:val="00C84CB9"/>
    <w:rsid w:val="00C851F0"/>
    <w:rsid w:val="00C8585B"/>
    <w:rsid w:val="00C85D8A"/>
    <w:rsid w:val="00C86B66"/>
    <w:rsid w:val="00C87244"/>
    <w:rsid w:val="00C9012C"/>
    <w:rsid w:val="00C90C40"/>
    <w:rsid w:val="00C91D91"/>
    <w:rsid w:val="00C9303D"/>
    <w:rsid w:val="00C946E1"/>
    <w:rsid w:val="00C95169"/>
    <w:rsid w:val="00C965F5"/>
    <w:rsid w:val="00CA0AB3"/>
    <w:rsid w:val="00CA36BA"/>
    <w:rsid w:val="00CA3914"/>
    <w:rsid w:val="00CA3CE4"/>
    <w:rsid w:val="00CA486A"/>
    <w:rsid w:val="00CA5A15"/>
    <w:rsid w:val="00CA62AC"/>
    <w:rsid w:val="00CA63F2"/>
    <w:rsid w:val="00CA6583"/>
    <w:rsid w:val="00CA740D"/>
    <w:rsid w:val="00CA78C7"/>
    <w:rsid w:val="00CB049F"/>
    <w:rsid w:val="00CB0567"/>
    <w:rsid w:val="00CB0AD1"/>
    <w:rsid w:val="00CB0B09"/>
    <w:rsid w:val="00CB11C7"/>
    <w:rsid w:val="00CB23E5"/>
    <w:rsid w:val="00CB3753"/>
    <w:rsid w:val="00CB49B9"/>
    <w:rsid w:val="00CB4C48"/>
    <w:rsid w:val="00CB5C16"/>
    <w:rsid w:val="00CC0379"/>
    <w:rsid w:val="00CC31AC"/>
    <w:rsid w:val="00CC3BC7"/>
    <w:rsid w:val="00CC563F"/>
    <w:rsid w:val="00CD169C"/>
    <w:rsid w:val="00CD2AD4"/>
    <w:rsid w:val="00CD473F"/>
    <w:rsid w:val="00CD4A15"/>
    <w:rsid w:val="00CD5CEA"/>
    <w:rsid w:val="00CD67DD"/>
    <w:rsid w:val="00CE0572"/>
    <w:rsid w:val="00CE262A"/>
    <w:rsid w:val="00CE32AC"/>
    <w:rsid w:val="00CE4392"/>
    <w:rsid w:val="00CE4433"/>
    <w:rsid w:val="00CE4A1D"/>
    <w:rsid w:val="00CE4FE8"/>
    <w:rsid w:val="00CE505B"/>
    <w:rsid w:val="00CE5317"/>
    <w:rsid w:val="00CE601A"/>
    <w:rsid w:val="00CE708A"/>
    <w:rsid w:val="00CF0585"/>
    <w:rsid w:val="00CF1353"/>
    <w:rsid w:val="00CF1777"/>
    <w:rsid w:val="00CF2F8E"/>
    <w:rsid w:val="00CF718D"/>
    <w:rsid w:val="00CF7B21"/>
    <w:rsid w:val="00D0050F"/>
    <w:rsid w:val="00D00A27"/>
    <w:rsid w:val="00D01358"/>
    <w:rsid w:val="00D02331"/>
    <w:rsid w:val="00D0257F"/>
    <w:rsid w:val="00D032AA"/>
    <w:rsid w:val="00D0367F"/>
    <w:rsid w:val="00D039C7"/>
    <w:rsid w:val="00D0468E"/>
    <w:rsid w:val="00D04E48"/>
    <w:rsid w:val="00D060A7"/>
    <w:rsid w:val="00D065C6"/>
    <w:rsid w:val="00D132ED"/>
    <w:rsid w:val="00D13844"/>
    <w:rsid w:val="00D148B6"/>
    <w:rsid w:val="00D16224"/>
    <w:rsid w:val="00D16C65"/>
    <w:rsid w:val="00D16CA4"/>
    <w:rsid w:val="00D20588"/>
    <w:rsid w:val="00D20AEA"/>
    <w:rsid w:val="00D226A5"/>
    <w:rsid w:val="00D22B10"/>
    <w:rsid w:val="00D23360"/>
    <w:rsid w:val="00D248BA"/>
    <w:rsid w:val="00D249C1"/>
    <w:rsid w:val="00D26A83"/>
    <w:rsid w:val="00D3054A"/>
    <w:rsid w:val="00D30D8D"/>
    <w:rsid w:val="00D359EF"/>
    <w:rsid w:val="00D35F39"/>
    <w:rsid w:val="00D37C0B"/>
    <w:rsid w:val="00D40269"/>
    <w:rsid w:val="00D40881"/>
    <w:rsid w:val="00D421C4"/>
    <w:rsid w:val="00D42299"/>
    <w:rsid w:val="00D43389"/>
    <w:rsid w:val="00D436E8"/>
    <w:rsid w:val="00D4525D"/>
    <w:rsid w:val="00D46F26"/>
    <w:rsid w:val="00D50389"/>
    <w:rsid w:val="00D5179C"/>
    <w:rsid w:val="00D52352"/>
    <w:rsid w:val="00D5289E"/>
    <w:rsid w:val="00D5306B"/>
    <w:rsid w:val="00D537D3"/>
    <w:rsid w:val="00D556C4"/>
    <w:rsid w:val="00D559D9"/>
    <w:rsid w:val="00D56E3F"/>
    <w:rsid w:val="00D570F5"/>
    <w:rsid w:val="00D57633"/>
    <w:rsid w:val="00D57C67"/>
    <w:rsid w:val="00D63DE8"/>
    <w:rsid w:val="00D63FD1"/>
    <w:rsid w:val="00D66402"/>
    <w:rsid w:val="00D67068"/>
    <w:rsid w:val="00D675CF"/>
    <w:rsid w:val="00D71A01"/>
    <w:rsid w:val="00D721CC"/>
    <w:rsid w:val="00D72A75"/>
    <w:rsid w:val="00D73188"/>
    <w:rsid w:val="00D7349F"/>
    <w:rsid w:val="00D734D6"/>
    <w:rsid w:val="00D7441A"/>
    <w:rsid w:val="00D745B6"/>
    <w:rsid w:val="00D765B2"/>
    <w:rsid w:val="00D76F1F"/>
    <w:rsid w:val="00D801C7"/>
    <w:rsid w:val="00D807D5"/>
    <w:rsid w:val="00D81963"/>
    <w:rsid w:val="00D81D4F"/>
    <w:rsid w:val="00D81E97"/>
    <w:rsid w:val="00D83772"/>
    <w:rsid w:val="00D838BB"/>
    <w:rsid w:val="00D83B0C"/>
    <w:rsid w:val="00D83FB6"/>
    <w:rsid w:val="00D8481A"/>
    <w:rsid w:val="00D84899"/>
    <w:rsid w:val="00D85B95"/>
    <w:rsid w:val="00D865F3"/>
    <w:rsid w:val="00D86CE3"/>
    <w:rsid w:val="00D87907"/>
    <w:rsid w:val="00D87EC5"/>
    <w:rsid w:val="00D91A1C"/>
    <w:rsid w:val="00D929F5"/>
    <w:rsid w:val="00D93DDD"/>
    <w:rsid w:val="00D93DE1"/>
    <w:rsid w:val="00D957EA"/>
    <w:rsid w:val="00D95841"/>
    <w:rsid w:val="00D95B3A"/>
    <w:rsid w:val="00D961E9"/>
    <w:rsid w:val="00D966A8"/>
    <w:rsid w:val="00DA11C7"/>
    <w:rsid w:val="00DA275F"/>
    <w:rsid w:val="00DA2AEF"/>
    <w:rsid w:val="00DA3683"/>
    <w:rsid w:val="00DA3A66"/>
    <w:rsid w:val="00DA44EF"/>
    <w:rsid w:val="00DA7940"/>
    <w:rsid w:val="00DA7F30"/>
    <w:rsid w:val="00DB0787"/>
    <w:rsid w:val="00DB0A8B"/>
    <w:rsid w:val="00DB0A99"/>
    <w:rsid w:val="00DB0B8B"/>
    <w:rsid w:val="00DB1777"/>
    <w:rsid w:val="00DB1FDD"/>
    <w:rsid w:val="00DB2154"/>
    <w:rsid w:val="00DB3170"/>
    <w:rsid w:val="00DB3FCF"/>
    <w:rsid w:val="00DB4825"/>
    <w:rsid w:val="00DB4E8D"/>
    <w:rsid w:val="00DB51BE"/>
    <w:rsid w:val="00DB6F7D"/>
    <w:rsid w:val="00DC1E45"/>
    <w:rsid w:val="00DC204E"/>
    <w:rsid w:val="00DC232C"/>
    <w:rsid w:val="00DC4213"/>
    <w:rsid w:val="00DC50D4"/>
    <w:rsid w:val="00DC722B"/>
    <w:rsid w:val="00DC7C47"/>
    <w:rsid w:val="00DD1BE4"/>
    <w:rsid w:val="00DD217C"/>
    <w:rsid w:val="00DD2683"/>
    <w:rsid w:val="00DD27DB"/>
    <w:rsid w:val="00DD2823"/>
    <w:rsid w:val="00DD2D73"/>
    <w:rsid w:val="00DD3D09"/>
    <w:rsid w:val="00DD62AA"/>
    <w:rsid w:val="00DD6E9D"/>
    <w:rsid w:val="00DD75EE"/>
    <w:rsid w:val="00DE1B9C"/>
    <w:rsid w:val="00DE3173"/>
    <w:rsid w:val="00DE40DF"/>
    <w:rsid w:val="00DE720D"/>
    <w:rsid w:val="00DF20AC"/>
    <w:rsid w:val="00DF322C"/>
    <w:rsid w:val="00DF35B1"/>
    <w:rsid w:val="00DF36E2"/>
    <w:rsid w:val="00DF6442"/>
    <w:rsid w:val="00DF6E21"/>
    <w:rsid w:val="00E00F68"/>
    <w:rsid w:val="00E01063"/>
    <w:rsid w:val="00E03A7C"/>
    <w:rsid w:val="00E03D03"/>
    <w:rsid w:val="00E0423E"/>
    <w:rsid w:val="00E04AA7"/>
    <w:rsid w:val="00E0583E"/>
    <w:rsid w:val="00E05B12"/>
    <w:rsid w:val="00E10209"/>
    <w:rsid w:val="00E10D3B"/>
    <w:rsid w:val="00E11AC1"/>
    <w:rsid w:val="00E11DF4"/>
    <w:rsid w:val="00E1236C"/>
    <w:rsid w:val="00E13213"/>
    <w:rsid w:val="00E138C0"/>
    <w:rsid w:val="00E16B68"/>
    <w:rsid w:val="00E16C8A"/>
    <w:rsid w:val="00E16E88"/>
    <w:rsid w:val="00E16F71"/>
    <w:rsid w:val="00E17671"/>
    <w:rsid w:val="00E20149"/>
    <w:rsid w:val="00E207D3"/>
    <w:rsid w:val="00E217B5"/>
    <w:rsid w:val="00E21EC6"/>
    <w:rsid w:val="00E2390D"/>
    <w:rsid w:val="00E249A5"/>
    <w:rsid w:val="00E25264"/>
    <w:rsid w:val="00E25BBF"/>
    <w:rsid w:val="00E2743E"/>
    <w:rsid w:val="00E274EF"/>
    <w:rsid w:val="00E27599"/>
    <w:rsid w:val="00E276A1"/>
    <w:rsid w:val="00E27F19"/>
    <w:rsid w:val="00E302CD"/>
    <w:rsid w:val="00E32813"/>
    <w:rsid w:val="00E358B5"/>
    <w:rsid w:val="00E36021"/>
    <w:rsid w:val="00E37483"/>
    <w:rsid w:val="00E37CF1"/>
    <w:rsid w:val="00E37ED6"/>
    <w:rsid w:val="00E37F1D"/>
    <w:rsid w:val="00E40E76"/>
    <w:rsid w:val="00E412FD"/>
    <w:rsid w:val="00E41696"/>
    <w:rsid w:val="00E427CD"/>
    <w:rsid w:val="00E44229"/>
    <w:rsid w:val="00E4500D"/>
    <w:rsid w:val="00E4693B"/>
    <w:rsid w:val="00E47B65"/>
    <w:rsid w:val="00E47D9D"/>
    <w:rsid w:val="00E50911"/>
    <w:rsid w:val="00E51596"/>
    <w:rsid w:val="00E5189D"/>
    <w:rsid w:val="00E5286E"/>
    <w:rsid w:val="00E529DC"/>
    <w:rsid w:val="00E5640A"/>
    <w:rsid w:val="00E60981"/>
    <w:rsid w:val="00E6181F"/>
    <w:rsid w:val="00E63E44"/>
    <w:rsid w:val="00E64006"/>
    <w:rsid w:val="00E641CC"/>
    <w:rsid w:val="00E64B11"/>
    <w:rsid w:val="00E669A6"/>
    <w:rsid w:val="00E7075D"/>
    <w:rsid w:val="00E708B3"/>
    <w:rsid w:val="00E7170F"/>
    <w:rsid w:val="00E71A64"/>
    <w:rsid w:val="00E72601"/>
    <w:rsid w:val="00E7289F"/>
    <w:rsid w:val="00E73D7F"/>
    <w:rsid w:val="00E749DE"/>
    <w:rsid w:val="00E800A6"/>
    <w:rsid w:val="00E80F38"/>
    <w:rsid w:val="00E81478"/>
    <w:rsid w:val="00E81491"/>
    <w:rsid w:val="00E8166C"/>
    <w:rsid w:val="00E824F6"/>
    <w:rsid w:val="00E836E6"/>
    <w:rsid w:val="00E8375C"/>
    <w:rsid w:val="00E91FDC"/>
    <w:rsid w:val="00E940C9"/>
    <w:rsid w:val="00E941FD"/>
    <w:rsid w:val="00E94743"/>
    <w:rsid w:val="00E95767"/>
    <w:rsid w:val="00E962FA"/>
    <w:rsid w:val="00E96F0E"/>
    <w:rsid w:val="00E97971"/>
    <w:rsid w:val="00E97BF3"/>
    <w:rsid w:val="00EA0E79"/>
    <w:rsid w:val="00EA0EB8"/>
    <w:rsid w:val="00EA113E"/>
    <w:rsid w:val="00EA25A1"/>
    <w:rsid w:val="00EA2E92"/>
    <w:rsid w:val="00EA3398"/>
    <w:rsid w:val="00EA38CD"/>
    <w:rsid w:val="00EA3B7B"/>
    <w:rsid w:val="00EA44F9"/>
    <w:rsid w:val="00EA4F48"/>
    <w:rsid w:val="00EB0887"/>
    <w:rsid w:val="00EB2ABB"/>
    <w:rsid w:val="00EB3F40"/>
    <w:rsid w:val="00EB41EA"/>
    <w:rsid w:val="00EB4D83"/>
    <w:rsid w:val="00EB564A"/>
    <w:rsid w:val="00EB6D6E"/>
    <w:rsid w:val="00EB7A43"/>
    <w:rsid w:val="00EB7FFC"/>
    <w:rsid w:val="00EC076B"/>
    <w:rsid w:val="00EC1555"/>
    <w:rsid w:val="00EC1BC7"/>
    <w:rsid w:val="00EC20CF"/>
    <w:rsid w:val="00EC21DF"/>
    <w:rsid w:val="00EC263D"/>
    <w:rsid w:val="00EC2A15"/>
    <w:rsid w:val="00EC4C06"/>
    <w:rsid w:val="00EC58DF"/>
    <w:rsid w:val="00EC74B1"/>
    <w:rsid w:val="00ED06A3"/>
    <w:rsid w:val="00ED175D"/>
    <w:rsid w:val="00ED29BB"/>
    <w:rsid w:val="00ED2ECB"/>
    <w:rsid w:val="00ED3701"/>
    <w:rsid w:val="00ED3F9A"/>
    <w:rsid w:val="00ED5A5C"/>
    <w:rsid w:val="00ED5F3A"/>
    <w:rsid w:val="00ED7307"/>
    <w:rsid w:val="00EE0CA5"/>
    <w:rsid w:val="00EE1792"/>
    <w:rsid w:val="00EE31E0"/>
    <w:rsid w:val="00EE42EF"/>
    <w:rsid w:val="00EE4E5A"/>
    <w:rsid w:val="00EE634E"/>
    <w:rsid w:val="00EE6518"/>
    <w:rsid w:val="00EE6A01"/>
    <w:rsid w:val="00EF08A2"/>
    <w:rsid w:val="00EF2085"/>
    <w:rsid w:val="00EF27A6"/>
    <w:rsid w:val="00EF39AB"/>
    <w:rsid w:val="00EF413B"/>
    <w:rsid w:val="00EF4802"/>
    <w:rsid w:val="00EF4EFE"/>
    <w:rsid w:val="00EF6458"/>
    <w:rsid w:val="00F00FBD"/>
    <w:rsid w:val="00F03496"/>
    <w:rsid w:val="00F03F38"/>
    <w:rsid w:val="00F05BAC"/>
    <w:rsid w:val="00F06557"/>
    <w:rsid w:val="00F12269"/>
    <w:rsid w:val="00F1513F"/>
    <w:rsid w:val="00F151DA"/>
    <w:rsid w:val="00F15A82"/>
    <w:rsid w:val="00F16108"/>
    <w:rsid w:val="00F16E03"/>
    <w:rsid w:val="00F20981"/>
    <w:rsid w:val="00F20F51"/>
    <w:rsid w:val="00F219BA"/>
    <w:rsid w:val="00F23FE7"/>
    <w:rsid w:val="00F253F1"/>
    <w:rsid w:val="00F25B9C"/>
    <w:rsid w:val="00F2619B"/>
    <w:rsid w:val="00F26908"/>
    <w:rsid w:val="00F31E6E"/>
    <w:rsid w:val="00F3240E"/>
    <w:rsid w:val="00F32F77"/>
    <w:rsid w:val="00F34A01"/>
    <w:rsid w:val="00F34B6F"/>
    <w:rsid w:val="00F35910"/>
    <w:rsid w:val="00F362FC"/>
    <w:rsid w:val="00F36CEF"/>
    <w:rsid w:val="00F37AC6"/>
    <w:rsid w:val="00F37B1B"/>
    <w:rsid w:val="00F4071D"/>
    <w:rsid w:val="00F42D2E"/>
    <w:rsid w:val="00F441AC"/>
    <w:rsid w:val="00F448EA"/>
    <w:rsid w:val="00F46AE5"/>
    <w:rsid w:val="00F46B59"/>
    <w:rsid w:val="00F47FA3"/>
    <w:rsid w:val="00F50A49"/>
    <w:rsid w:val="00F50B1D"/>
    <w:rsid w:val="00F50C60"/>
    <w:rsid w:val="00F53023"/>
    <w:rsid w:val="00F53A37"/>
    <w:rsid w:val="00F53BF4"/>
    <w:rsid w:val="00F5485F"/>
    <w:rsid w:val="00F55A35"/>
    <w:rsid w:val="00F55D6C"/>
    <w:rsid w:val="00F5666E"/>
    <w:rsid w:val="00F56BEC"/>
    <w:rsid w:val="00F56FB5"/>
    <w:rsid w:val="00F56FCC"/>
    <w:rsid w:val="00F576DC"/>
    <w:rsid w:val="00F61654"/>
    <w:rsid w:val="00F61771"/>
    <w:rsid w:val="00F62696"/>
    <w:rsid w:val="00F639C5"/>
    <w:rsid w:val="00F67E24"/>
    <w:rsid w:val="00F73028"/>
    <w:rsid w:val="00F73146"/>
    <w:rsid w:val="00F75277"/>
    <w:rsid w:val="00F75BDA"/>
    <w:rsid w:val="00F770E7"/>
    <w:rsid w:val="00F774D0"/>
    <w:rsid w:val="00F77B70"/>
    <w:rsid w:val="00F77DD5"/>
    <w:rsid w:val="00F80795"/>
    <w:rsid w:val="00F8135F"/>
    <w:rsid w:val="00F81F29"/>
    <w:rsid w:val="00F82B3B"/>
    <w:rsid w:val="00F84C0D"/>
    <w:rsid w:val="00F84C1A"/>
    <w:rsid w:val="00F84F11"/>
    <w:rsid w:val="00F90988"/>
    <w:rsid w:val="00F9197E"/>
    <w:rsid w:val="00F93BB9"/>
    <w:rsid w:val="00F93C1A"/>
    <w:rsid w:val="00F947D7"/>
    <w:rsid w:val="00F94F96"/>
    <w:rsid w:val="00F9566B"/>
    <w:rsid w:val="00F95A00"/>
    <w:rsid w:val="00F965FD"/>
    <w:rsid w:val="00F97ACE"/>
    <w:rsid w:val="00F97CF7"/>
    <w:rsid w:val="00FA048B"/>
    <w:rsid w:val="00FA0DA2"/>
    <w:rsid w:val="00FA3045"/>
    <w:rsid w:val="00FA4B66"/>
    <w:rsid w:val="00FA4F46"/>
    <w:rsid w:val="00FA5441"/>
    <w:rsid w:val="00FA5547"/>
    <w:rsid w:val="00FA6AD9"/>
    <w:rsid w:val="00FA6D93"/>
    <w:rsid w:val="00FA7DC1"/>
    <w:rsid w:val="00FB19A9"/>
    <w:rsid w:val="00FB1D73"/>
    <w:rsid w:val="00FB2944"/>
    <w:rsid w:val="00FB2FD5"/>
    <w:rsid w:val="00FB3C37"/>
    <w:rsid w:val="00FB4A2D"/>
    <w:rsid w:val="00FB6ECC"/>
    <w:rsid w:val="00FB7BB4"/>
    <w:rsid w:val="00FB7D97"/>
    <w:rsid w:val="00FC05C4"/>
    <w:rsid w:val="00FC0C1C"/>
    <w:rsid w:val="00FC409A"/>
    <w:rsid w:val="00FC4615"/>
    <w:rsid w:val="00FC4C7F"/>
    <w:rsid w:val="00FC5274"/>
    <w:rsid w:val="00FC5B1A"/>
    <w:rsid w:val="00FC7033"/>
    <w:rsid w:val="00FC7E78"/>
    <w:rsid w:val="00FD0440"/>
    <w:rsid w:val="00FD06F0"/>
    <w:rsid w:val="00FD1239"/>
    <w:rsid w:val="00FD2F11"/>
    <w:rsid w:val="00FD3A68"/>
    <w:rsid w:val="00FD5C2B"/>
    <w:rsid w:val="00FE0CE4"/>
    <w:rsid w:val="00FE0EA1"/>
    <w:rsid w:val="00FE23A4"/>
    <w:rsid w:val="00FE541D"/>
    <w:rsid w:val="00FE554D"/>
    <w:rsid w:val="00FE6316"/>
    <w:rsid w:val="00FF094A"/>
    <w:rsid w:val="00FF0E41"/>
    <w:rsid w:val="00FF1620"/>
    <w:rsid w:val="00FF19FA"/>
    <w:rsid w:val="00FF289B"/>
    <w:rsid w:val="00FF28DE"/>
    <w:rsid w:val="00FF3362"/>
    <w:rsid w:val="00FF343A"/>
    <w:rsid w:val="00FF353F"/>
    <w:rsid w:val="00FF51BE"/>
    <w:rsid w:val="00FF55D3"/>
    <w:rsid w:val="00FF5D3C"/>
    <w:rsid w:val="00FF6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ti">
    <w:name w:val="doc-ti"/>
    <w:basedOn w:val="Normal"/>
    <w:rsid w:val="005613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5613A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5613AB"/>
    <w:rPr>
      <w:color w:val="0000FF"/>
      <w:u w:val="single"/>
    </w:rPr>
  </w:style>
  <w:style w:type="character" w:styleId="FollowedHyperlink">
    <w:name w:val="FollowedHyperlink"/>
    <w:basedOn w:val="DefaultParagraphFont"/>
    <w:uiPriority w:val="99"/>
    <w:semiHidden/>
    <w:unhideWhenUsed/>
    <w:rsid w:val="005613AB"/>
    <w:rPr>
      <w:color w:val="800080"/>
      <w:u w:val="single"/>
    </w:rPr>
  </w:style>
  <w:style w:type="character" w:customStyle="1" w:styleId="super">
    <w:name w:val="super"/>
    <w:basedOn w:val="DefaultParagraphFont"/>
    <w:rsid w:val="005613AB"/>
  </w:style>
  <w:style w:type="character" w:customStyle="1" w:styleId="apple-converted-space">
    <w:name w:val="apple-converted-space"/>
    <w:basedOn w:val="DefaultParagraphFont"/>
    <w:rsid w:val="005613AB"/>
  </w:style>
  <w:style w:type="character" w:customStyle="1" w:styleId="italic">
    <w:name w:val="italic"/>
    <w:basedOn w:val="DefaultParagraphFont"/>
    <w:rsid w:val="005613AB"/>
  </w:style>
  <w:style w:type="paragraph" w:customStyle="1" w:styleId="ti-section-1">
    <w:name w:val="ti-section-1"/>
    <w:basedOn w:val="Normal"/>
    <w:rsid w:val="005613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section-2">
    <w:name w:val="ti-section-2"/>
    <w:basedOn w:val="Normal"/>
    <w:rsid w:val="005613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5613AB"/>
  </w:style>
  <w:style w:type="paragraph" w:customStyle="1" w:styleId="ti-art">
    <w:name w:val="ti-art"/>
    <w:basedOn w:val="Normal"/>
    <w:rsid w:val="005613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art">
    <w:name w:val="sti-art"/>
    <w:basedOn w:val="Normal"/>
    <w:rsid w:val="005613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xpanded">
    <w:name w:val="expanded"/>
    <w:basedOn w:val="DefaultParagraphFont"/>
    <w:rsid w:val="005613AB"/>
  </w:style>
  <w:style w:type="character" w:customStyle="1" w:styleId="sp-normal">
    <w:name w:val="sp-normal"/>
    <w:basedOn w:val="DefaultParagraphFont"/>
    <w:rsid w:val="005613AB"/>
  </w:style>
  <w:style w:type="paragraph" w:customStyle="1" w:styleId="signatory">
    <w:name w:val="signatory"/>
    <w:basedOn w:val="Normal"/>
    <w:rsid w:val="005613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
    <w:name w:val="note"/>
    <w:basedOn w:val="Normal"/>
    <w:rsid w:val="005613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grseq-1">
    <w:name w:val="ti-grseq-1"/>
    <w:basedOn w:val="Normal"/>
    <w:rsid w:val="005613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txt">
    <w:name w:val="tbl-txt"/>
    <w:basedOn w:val="Normal"/>
    <w:rsid w:val="005613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bl">
    <w:name w:val="ti-tbl"/>
    <w:basedOn w:val="Normal"/>
    <w:rsid w:val="005613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hdr">
    <w:name w:val="tbl-hdr"/>
    <w:basedOn w:val="Normal"/>
    <w:rsid w:val="005613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DefaultParagraphFont"/>
    <w:rsid w:val="00BE1959"/>
  </w:style>
  <w:style w:type="paragraph" w:styleId="EndnoteText">
    <w:name w:val="endnote text"/>
    <w:basedOn w:val="Normal"/>
    <w:link w:val="EndnoteTextChar"/>
    <w:rsid w:val="00BE1959"/>
    <w:pPr>
      <w:spacing w:after="0" w:line="240" w:lineRule="auto"/>
    </w:pPr>
    <w:rPr>
      <w:rFonts w:ascii="Times New Roman" w:eastAsia="Times New Roman" w:hAnsi="Times New Roman" w:cs="Times New Roman"/>
      <w:sz w:val="20"/>
      <w:szCs w:val="20"/>
      <w:lang w:val="uk-UA" w:eastAsia="ru-RU"/>
    </w:rPr>
  </w:style>
  <w:style w:type="character" w:customStyle="1" w:styleId="EndnoteTextChar">
    <w:name w:val="Endnote Text Char"/>
    <w:basedOn w:val="DefaultParagraphFont"/>
    <w:link w:val="EndnoteText"/>
    <w:rsid w:val="00BE1959"/>
    <w:rPr>
      <w:rFonts w:ascii="Times New Roman" w:eastAsia="Times New Roman" w:hAnsi="Times New Roman" w:cs="Times New Roman"/>
      <w:sz w:val="20"/>
      <w:szCs w:val="20"/>
      <w:lang w:val="uk-UA" w:eastAsia="ru-RU"/>
    </w:rPr>
  </w:style>
  <w:style w:type="paragraph" w:styleId="HTMLPreformatted">
    <w:name w:val="HTML Preformatted"/>
    <w:basedOn w:val="Normal"/>
    <w:link w:val="HTMLPreformattedChar"/>
    <w:uiPriority w:val="99"/>
    <w:unhideWhenUsed/>
    <w:rsid w:val="00BE1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PreformattedChar">
    <w:name w:val="HTML Preformatted Char"/>
    <w:basedOn w:val="DefaultParagraphFont"/>
    <w:link w:val="HTMLPreformatted"/>
    <w:uiPriority w:val="99"/>
    <w:rsid w:val="00BE1959"/>
    <w:rPr>
      <w:rFonts w:ascii="Courier New" w:eastAsia="Times New Roman" w:hAnsi="Courier New" w:cs="Courier New"/>
      <w:sz w:val="20"/>
      <w:szCs w:val="20"/>
      <w:lang w:val="ru-RU" w:eastAsia="ru-RU"/>
    </w:rPr>
  </w:style>
  <w:style w:type="character" w:customStyle="1" w:styleId="rvts82">
    <w:name w:val="rvts82"/>
    <w:basedOn w:val="DefaultParagraphFont"/>
    <w:rsid w:val="00BE1959"/>
  </w:style>
  <w:style w:type="paragraph" w:styleId="Header">
    <w:name w:val="header"/>
    <w:basedOn w:val="Normal"/>
    <w:link w:val="HeaderChar"/>
    <w:uiPriority w:val="99"/>
    <w:unhideWhenUsed/>
    <w:rsid w:val="00BE1959"/>
    <w:pPr>
      <w:tabs>
        <w:tab w:val="center" w:pos="4677"/>
        <w:tab w:val="right" w:pos="9355"/>
      </w:tabs>
      <w:spacing w:after="0" w:line="240" w:lineRule="auto"/>
    </w:pPr>
    <w:rPr>
      <w:lang w:val="ru-RU"/>
    </w:rPr>
  </w:style>
  <w:style w:type="character" w:customStyle="1" w:styleId="HeaderChar">
    <w:name w:val="Header Char"/>
    <w:basedOn w:val="DefaultParagraphFont"/>
    <w:link w:val="Header"/>
    <w:uiPriority w:val="99"/>
    <w:rsid w:val="00BE1959"/>
    <w:rPr>
      <w:lang w:val="ru-RU"/>
    </w:rPr>
  </w:style>
  <w:style w:type="paragraph" w:styleId="Footer">
    <w:name w:val="footer"/>
    <w:basedOn w:val="Normal"/>
    <w:link w:val="FooterChar"/>
    <w:uiPriority w:val="99"/>
    <w:unhideWhenUsed/>
    <w:rsid w:val="00BE1959"/>
    <w:pPr>
      <w:tabs>
        <w:tab w:val="center" w:pos="4677"/>
        <w:tab w:val="right" w:pos="9355"/>
      </w:tabs>
      <w:spacing w:after="0" w:line="240" w:lineRule="auto"/>
    </w:pPr>
    <w:rPr>
      <w:lang w:val="ru-RU"/>
    </w:rPr>
  </w:style>
  <w:style w:type="character" w:customStyle="1" w:styleId="FooterChar">
    <w:name w:val="Footer Char"/>
    <w:basedOn w:val="DefaultParagraphFont"/>
    <w:link w:val="Footer"/>
    <w:uiPriority w:val="99"/>
    <w:rsid w:val="00BE1959"/>
    <w:rPr>
      <w:lang w:val="ru-RU"/>
    </w:rPr>
  </w:style>
  <w:style w:type="character" w:customStyle="1" w:styleId="atn">
    <w:name w:val="atn"/>
    <w:basedOn w:val="DefaultParagraphFont"/>
    <w:rsid w:val="00BE19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ti">
    <w:name w:val="doc-ti"/>
    <w:basedOn w:val="Normal"/>
    <w:rsid w:val="005613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5613A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5613AB"/>
    <w:rPr>
      <w:color w:val="0000FF"/>
      <w:u w:val="single"/>
    </w:rPr>
  </w:style>
  <w:style w:type="character" w:styleId="FollowedHyperlink">
    <w:name w:val="FollowedHyperlink"/>
    <w:basedOn w:val="DefaultParagraphFont"/>
    <w:uiPriority w:val="99"/>
    <w:semiHidden/>
    <w:unhideWhenUsed/>
    <w:rsid w:val="005613AB"/>
    <w:rPr>
      <w:color w:val="800080"/>
      <w:u w:val="single"/>
    </w:rPr>
  </w:style>
  <w:style w:type="character" w:customStyle="1" w:styleId="super">
    <w:name w:val="super"/>
    <w:basedOn w:val="DefaultParagraphFont"/>
    <w:rsid w:val="005613AB"/>
  </w:style>
  <w:style w:type="character" w:customStyle="1" w:styleId="apple-converted-space">
    <w:name w:val="apple-converted-space"/>
    <w:basedOn w:val="DefaultParagraphFont"/>
    <w:rsid w:val="005613AB"/>
  </w:style>
  <w:style w:type="character" w:customStyle="1" w:styleId="italic">
    <w:name w:val="italic"/>
    <w:basedOn w:val="DefaultParagraphFont"/>
    <w:rsid w:val="005613AB"/>
  </w:style>
  <w:style w:type="paragraph" w:customStyle="1" w:styleId="ti-section-1">
    <w:name w:val="ti-section-1"/>
    <w:basedOn w:val="Normal"/>
    <w:rsid w:val="005613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section-2">
    <w:name w:val="ti-section-2"/>
    <w:basedOn w:val="Normal"/>
    <w:rsid w:val="005613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5613AB"/>
  </w:style>
  <w:style w:type="paragraph" w:customStyle="1" w:styleId="ti-art">
    <w:name w:val="ti-art"/>
    <w:basedOn w:val="Normal"/>
    <w:rsid w:val="005613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art">
    <w:name w:val="sti-art"/>
    <w:basedOn w:val="Normal"/>
    <w:rsid w:val="005613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xpanded">
    <w:name w:val="expanded"/>
    <w:basedOn w:val="DefaultParagraphFont"/>
    <w:rsid w:val="005613AB"/>
  </w:style>
  <w:style w:type="character" w:customStyle="1" w:styleId="sp-normal">
    <w:name w:val="sp-normal"/>
    <w:basedOn w:val="DefaultParagraphFont"/>
    <w:rsid w:val="005613AB"/>
  </w:style>
  <w:style w:type="paragraph" w:customStyle="1" w:styleId="signatory">
    <w:name w:val="signatory"/>
    <w:basedOn w:val="Normal"/>
    <w:rsid w:val="005613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
    <w:name w:val="note"/>
    <w:basedOn w:val="Normal"/>
    <w:rsid w:val="005613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grseq-1">
    <w:name w:val="ti-grseq-1"/>
    <w:basedOn w:val="Normal"/>
    <w:rsid w:val="005613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txt">
    <w:name w:val="tbl-txt"/>
    <w:basedOn w:val="Normal"/>
    <w:rsid w:val="005613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bl">
    <w:name w:val="ti-tbl"/>
    <w:basedOn w:val="Normal"/>
    <w:rsid w:val="005613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hdr">
    <w:name w:val="tbl-hdr"/>
    <w:basedOn w:val="Normal"/>
    <w:rsid w:val="005613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DefaultParagraphFont"/>
    <w:rsid w:val="00BE1959"/>
  </w:style>
  <w:style w:type="paragraph" w:styleId="EndnoteText">
    <w:name w:val="endnote text"/>
    <w:basedOn w:val="Normal"/>
    <w:link w:val="EndnoteTextChar"/>
    <w:rsid w:val="00BE1959"/>
    <w:pPr>
      <w:spacing w:after="0" w:line="240" w:lineRule="auto"/>
    </w:pPr>
    <w:rPr>
      <w:rFonts w:ascii="Times New Roman" w:eastAsia="Times New Roman" w:hAnsi="Times New Roman" w:cs="Times New Roman"/>
      <w:sz w:val="20"/>
      <w:szCs w:val="20"/>
      <w:lang w:val="uk-UA" w:eastAsia="ru-RU"/>
    </w:rPr>
  </w:style>
  <w:style w:type="character" w:customStyle="1" w:styleId="EndnoteTextChar">
    <w:name w:val="Endnote Text Char"/>
    <w:basedOn w:val="DefaultParagraphFont"/>
    <w:link w:val="EndnoteText"/>
    <w:rsid w:val="00BE1959"/>
    <w:rPr>
      <w:rFonts w:ascii="Times New Roman" w:eastAsia="Times New Roman" w:hAnsi="Times New Roman" w:cs="Times New Roman"/>
      <w:sz w:val="20"/>
      <w:szCs w:val="20"/>
      <w:lang w:val="uk-UA" w:eastAsia="ru-RU"/>
    </w:rPr>
  </w:style>
  <w:style w:type="paragraph" w:styleId="HTMLPreformatted">
    <w:name w:val="HTML Preformatted"/>
    <w:basedOn w:val="Normal"/>
    <w:link w:val="HTMLPreformattedChar"/>
    <w:uiPriority w:val="99"/>
    <w:unhideWhenUsed/>
    <w:rsid w:val="00BE1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PreformattedChar">
    <w:name w:val="HTML Preformatted Char"/>
    <w:basedOn w:val="DefaultParagraphFont"/>
    <w:link w:val="HTMLPreformatted"/>
    <w:uiPriority w:val="99"/>
    <w:rsid w:val="00BE1959"/>
    <w:rPr>
      <w:rFonts w:ascii="Courier New" w:eastAsia="Times New Roman" w:hAnsi="Courier New" w:cs="Courier New"/>
      <w:sz w:val="20"/>
      <w:szCs w:val="20"/>
      <w:lang w:val="ru-RU" w:eastAsia="ru-RU"/>
    </w:rPr>
  </w:style>
  <w:style w:type="character" w:customStyle="1" w:styleId="rvts82">
    <w:name w:val="rvts82"/>
    <w:basedOn w:val="DefaultParagraphFont"/>
    <w:rsid w:val="00BE1959"/>
  </w:style>
  <w:style w:type="paragraph" w:styleId="Header">
    <w:name w:val="header"/>
    <w:basedOn w:val="Normal"/>
    <w:link w:val="HeaderChar"/>
    <w:uiPriority w:val="99"/>
    <w:unhideWhenUsed/>
    <w:rsid w:val="00BE1959"/>
    <w:pPr>
      <w:tabs>
        <w:tab w:val="center" w:pos="4677"/>
        <w:tab w:val="right" w:pos="9355"/>
      </w:tabs>
      <w:spacing w:after="0" w:line="240" w:lineRule="auto"/>
    </w:pPr>
    <w:rPr>
      <w:lang w:val="ru-RU"/>
    </w:rPr>
  </w:style>
  <w:style w:type="character" w:customStyle="1" w:styleId="HeaderChar">
    <w:name w:val="Header Char"/>
    <w:basedOn w:val="DefaultParagraphFont"/>
    <w:link w:val="Header"/>
    <w:uiPriority w:val="99"/>
    <w:rsid w:val="00BE1959"/>
    <w:rPr>
      <w:lang w:val="ru-RU"/>
    </w:rPr>
  </w:style>
  <w:style w:type="paragraph" w:styleId="Footer">
    <w:name w:val="footer"/>
    <w:basedOn w:val="Normal"/>
    <w:link w:val="FooterChar"/>
    <w:uiPriority w:val="99"/>
    <w:unhideWhenUsed/>
    <w:rsid w:val="00BE1959"/>
    <w:pPr>
      <w:tabs>
        <w:tab w:val="center" w:pos="4677"/>
        <w:tab w:val="right" w:pos="9355"/>
      </w:tabs>
      <w:spacing w:after="0" w:line="240" w:lineRule="auto"/>
    </w:pPr>
    <w:rPr>
      <w:lang w:val="ru-RU"/>
    </w:rPr>
  </w:style>
  <w:style w:type="character" w:customStyle="1" w:styleId="FooterChar">
    <w:name w:val="Footer Char"/>
    <w:basedOn w:val="DefaultParagraphFont"/>
    <w:link w:val="Footer"/>
    <w:uiPriority w:val="99"/>
    <w:rsid w:val="00BE1959"/>
    <w:rPr>
      <w:lang w:val="ru-RU"/>
    </w:rPr>
  </w:style>
  <w:style w:type="character" w:customStyle="1" w:styleId="atn">
    <w:name w:val="atn"/>
    <w:basedOn w:val="DefaultParagraphFont"/>
    <w:rsid w:val="00BE1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40194">
      <w:bodyDiv w:val="1"/>
      <w:marLeft w:val="0"/>
      <w:marRight w:val="0"/>
      <w:marTop w:val="0"/>
      <w:marBottom w:val="0"/>
      <w:divBdr>
        <w:top w:val="none" w:sz="0" w:space="0" w:color="auto"/>
        <w:left w:val="none" w:sz="0" w:space="0" w:color="auto"/>
        <w:bottom w:val="none" w:sz="0" w:space="0" w:color="auto"/>
        <w:right w:val="none" w:sz="0" w:space="0" w:color="auto"/>
      </w:divBdr>
      <w:divsChild>
        <w:div w:id="588199786">
          <w:marLeft w:val="0"/>
          <w:marRight w:val="0"/>
          <w:marTop w:val="0"/>
          <w:marBottom w:val="0"/>
          <w:divBdr>
            <w:top w:val="none" w:sz="0" w:space="0" w:color="auto"/>
            <w:left w:val="none" w:sz="0" w:space="0" w:color="auto"/>
            <w:bottom w:val="none" w:sz="0" w:space="0" w:color="auto"/>
            <w:right w:val="none" w:sz="0" w:space="0" w:color="auto"/>
          </w:divBdr>
          <w:divsChild>
            <w:div w:id="511796568">
              <w:marLeft w:val="0"/>
              <w:marRight w:val="0"/>
              <w:marTop w:val="0"/>
              <w:marBottom w:val="0"/>
              <w:divBdr>
                <w:top w:val="none" w:sz="0" w:space="0" w:color="auto"/>
                <w:left w:val="none" w:sz="0" w:space="0" w:color="auto"/>
                <w:bottom w:val="none" w:sz="0" w:space="0" w:color="auto"/>
                <w:right w:val="none" w:sz="0" w:space="0" w:color="auto"/>
              </w:divBdr>
            </w:div>
            <w:div w:id="804353985">
              <w:marLeft w:val="0"/>
              <w:marRight w:val="0"/>
              <w:marTop w:val="0"/>
              <w:marBottom w:val="0"/>
              <w:divBdr>
                <w:top w:val="none" w:sz="0" w:space="0" w:color="auto"/>
                <w:left w:val="none" w:sz="0" w:space="0" w:color="auto"/>
                <w:bottom w:val="none" w:sz="0" w:space="0" w:color="auto"/>
                <w:right w:val="none" w:sz="0" w:space="0" w:color="auto"/>
              </w:divBdr>
            </w:div>
            <w:div w:id="1265070062">
              <w:marLeft w:val="0"/>
              <w:marRight w:val="0"/>
              <w:marTop w:val="0"/>
              <w:marBottom w:val="0"/>
              <w:divBdr>
                <w:top w:val="none" w:sz="0" w:space="0" w:color="auto"/>
                <w:left w:val="none" w:sz="0" w:space="0" w:color="auto"/>
                <w:bottom w:val="none" w:sz="0" w:space="0" w:color="auto"/>
                <w:right w:val="none" w:sz="0" w:space="0" w:color="auto"/>
              </w:divBdr>
            </w:div>
            <w:div w:id="1339885906">
              <w:marLeft w:val="810"/>
              <w:marRight w:val="810"/>
              <w:marTop w:val="360"/>
              <w:marBottom w:val="0"/>
              <w:divBdr>
                <w:top w:val="none" w:sz="0" w:space="0" w:color="auto"/>
                <w:left w:val="none" w:sz="0" w:space="0" w:color="auto"/>
                <w:bottom w:val="none" w:sz="0" w:space="0" w:color="auto"/>
                <w:right w:val="none" w:sz="0" w:space="0" w:color="auto"/>
              </w:divBdr>
              <w:divsChild>
                <w:div w:id="453602435">
                  <w:marLeft w:val="4005"/>
                  <w:marRight w:val="810"/>
                  <w:marTop w:val="0"/>
                  <w:marBottom w:val="0"/>
                  <w:divBdr>
                    <w:top w:val="none" w:sz="0" w:space="0" w:color="auto"/>
                    <w:left w:val="none" w:sz="0" w:space="0" w:color="auto"/>
                    <w:bottom w:val="none" w:sz="0" w:space="0" w:color="auto"/>
                    <w:right w:val="none" w:sz="0" w:space="0" w:color="auto"/>
                  </w:divBdr>
                </w:div>
                <w:div w:id="2104374728">
                  <w:marLeft w:val="4005"/>
                  <w:marRight w:val="810"/>
                  <w:marTop w:val="0"/>
                  <w:marBottom w:val="0"/>
                  <w:divBdr>
                    <w:top w:val="none" w:sz="0" w:space="0" w:color="auto"/>
                    <w:left w:val="none" w:sz="0" w:space="0" w:color="auto"/>
                    <w:bottom w:val="none" w:sz="0" w:space="0" w:color="auto"/>
                    <w:right w:val="none" w:sz="0" w:space="0" w:color="auto"/>
                  </w:divBdr>
                </w:div>
              </w:divsChild>
            </w:div>
            <w:div w:id="161574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ur-lex.europa.eu/legal-content/EN/TXT/?uri=celex:32014L0065" TargetMode="External"/><Relationship Id="rId21" Type="http://schemas.openxmlformats.org/officeDocument/2006/relationships/hyperlink" Target="http://eur-lex.europa.eu/legal-content/EN/TXT/?qid=1438810496505&amp;uri=CELEX:32014L0065" TargetMode="External"/><Relationship Id="rId42" Type="http://schemas.openxmlformats.org/officeDocument/2006/relationships/hyperlink" Target="http://eur-lex.europa.eu/legal-content/EN/TXT/?qid=1438810496505&amp;uri=CELEX:32014L0065" TargetMode="External"/><Relationship Id="rId63" Type="http://schemas.openxmlformats.org/officeDocument/2006/relationships/hyperlink" Target="http://eur-lex.europa.eu/legal-content/EN/TXT/?uri=celex:32014L0065" TargetMode="External"/><Relationship Id="rId84" Type="http://schemas.openxmlformats.org/officeDocument/2006/relationships/hyperlink" Target="http://eur-lex.europa.eu/legal-content/EN/TXT/?uri=celex:32014L0065" TargetMode="External"/><Relationship Id="rId138" Type="http://schemas.openxmlformats.org/officeDocument/2006/relationships/hyperlink" Target="http://eur-lex.europa.eu/legal-content/EN/AUTO/?uri=OJ:L:2004:390:TOC" TargetMode="External"/><Relationship Id="rId107" Type="http://schemas.openxmlformats.org/officeDocument/2006/relationships/hyperlink" Target="http://eur-lex.europa.eu/legal-content/EN/TXT/?uri=celex:32014L0065" TargetMode="External"/><Relationship Id="rId11" Type="http://schemas.openxmlformats.org/officeDocument/2006/relationships/hyperlink" Target="http://eur-lex.europa.eu/legal-content/EN/TXT/?qid=1438810496505&amp;uri=CELEX:32014L0065" TargetMode="External"/><Relationship Id="rId32" Type="http://schemas.openxmlformats.org/officeDocument/2006/relationships/hyperlink" Target="http://eur-lex.europa.eu/legal-content/EN/TXT/?qid=1438810496505&amp;uri=CELEX:32014L0065" TargetMode="External"/><Relationship Id="rId53" Type="http://schemas.openxmlformats.org/officeDocument/2006/relationships/hyperlink" Target="http://eur-lex.europa.eu/legal-content/EN/TXT/?qid=1438810496505&amp;uri=CELEX:32014L0065" TargetMode="External"/><Relationship Id="rId74" Type="http://schemas.openxmlformats.org/officeDocument/2006/relationships/hyperlink" Target="http://eur-lex.europa.eu/legal-content/EN/AUTO/?uri=OJ:L:2003:275:TOC" TargetMode="External"/><Relationship Id="rId128" Type="http://schemas.openxmlformats.org/officeDocument/2006/relationships/hyperlink" Target="http://eur-lex.europa.eu/legal-content/EN/AUTO/?uri=OJ:L:2011:174:TOC" TargetMode="External"/><Relationship Id="rId149" Type="http://schemas.openxmlformats.org/officeDocument/2006/relationships/hyperlink" Target="http://eur-lex.europa.eu/legal-content/EN/AUTO/?uri=OJ:L:2012:298:TOC" TargetMode="External"/><Relationship Id="rId5" Type="http://schemas.openxmlformats.org/officeDocument/2006/relationships/webSettings" Target="webSettings.xml"/><Relationship Id="rId95" Type="http://schemas.openxmlformats.org/officeDocument/2006/relationships/hyperlink" Target="http://eur-lex.europa.eu/legal-content/EN/AUTO/?uri=OJ:L:2005:309:TOC" TargetMode="External"/><Relationship Id="rId22" Type="http://schemas.openxmlformats.org/officeDocument/2006/relationships/hyperlink" Target="http://eur-lex.europa.eu/legal-content/EN/TXT/?qid=1438810496505&amp;uri=CELEX:32014L0065" TargetMode="External"/><Relationship Id="rId27" Type="http://schemas.openxmlformats.org/officeDocument/2006/relationships/hyperlink" Target="http://eur-lex.europa.eu/legal-content/EN/TXT/?qid=1438810496505&amp;uri=CELEX:32014L0065" TargetMode="External"/><Relationship Id="rId43" Type="http://schemas.openxmlformats.org/officeDocument/2006/relationships/hyperlink" Target="http://eur-lex.europa.eu/legal-content/EN/TXT/?qid=1438810496505&amp;uri=CELEX:32014L0065" TargetMode="External"/><Relationship Id="rId48" Type="http://schemas.openxmlformats.org/officeDocument/2006/relationships/hyperlink" Target="http://eur-lex.europa.eu/legal-content/EN/TXT/?qid=1438810496505&amp;uri=CELEX:32014L0065" TargetMode="External"/><Relationship Id="rId64" Type="http://schemas.openxmlformats.org/officeDocument/2006/relationships/hyperlink" Target="http://eur-lex.europa.eu/legal-content/EN/TXT/?uri=celex:32014L0065" TargetMode="External"/><Relationship Id="rId69" Type="http://schemas.openxmlformats.org/officeDocument/2006/relationships/hyperlink" Target="http://eur-lex.europa.eu/legal-content/EN/TXT/?uri=celex:32014L0065" TargetMode="External"/><Relationship Id="rId113" Type="http://schemas.openxmlformats.org/officeDocument/2006/relationships/hyperlink" Target="http://eur-lex.europa.eu/legal-content/EN/TXT/?uri=celex:32014L0065" TargetMode="External"/><Relationship Id="rId118" Type="http://schemas.openxmlformats.org/officeDocument/2006/relationships/hyperlink" Target="http://eur-lex.europa.eu/legal-content/EN/AUTO/?uri=OJ:L:2001:184:TOC" TargetMode="External"/><Relationship Id="rId134" Type="http://schemas.openxmlformats.org/officeDocument/2006/relationships/hyperlink" Target="http://eur-lex.europa.eu/legal-content/EN/AUTO/?uri=OJ:L:2012:315:TOC" TargetMode="External"/><Relationship Id="rId139" Type="http://schemas.openxmlformats.org/officeDocument/2006/relationships/hyperlink" Target="http://eur-lex.europa.eu/legal-content/EN/TXT/?uri=celex:32014L0065" TargetMode="External"/><Relationship Id="rId80" Type="http://schemas.openxmlformats.org/officeDocument/2006/relationships/hyperlink" Target="http://eur-lex.europa.eu/legal-content/EN/TXT/?uri=celex:32014L0065" TargetMode="External"/><Relationship Id="rId85" Type="http://schemas.openxmlformats.org/officeDocument/2006/relationships/hyperlink" Target="http://eur-lex.europa.eu/legal-content/EN/AUTO/?uri=OJ:L:2009:211:TOC" TargetMode="External"/><Relationship Id="rId150" Type="http://schemas.openxmlformats.org/officeDocument/2006/relationships/hyperlink" Target="http://eur-lex.europa.eu/legal-content/EN/AUTO/?uri=OJ:L:2004:145:TOC" TargetMode="External"/><Relationship Id="rId155" Type="http://schemas.openxmlformats.org/officeDocument/2006/relationships/fontTable" Target="fontTable.xml"/><Relationship Id="rId12" Type="http://schemas.openxmlformats.org/officeDocument/2006/relationships/hyperlink" Target="http://eur-lex.europa.eu/legal-content/EN/TXT/?qid=1438810496505&amp;uri=CELEX:32014L0065" TargetMode="External"/><Relationship Id="rId17" Type="http://schemas.openxmlformats.org/officeDocument/2006/relationships/hyperlink" Target="http://eur-lex.europa.eu/legal-content/EN/TXT/?qid=1438810496505&amp;uri=CELEX:32014L0065" TargetMode="External"/><Relationship Id="rId33" Type="http://schemas.openxmlformats.org/officeDocument/2006/relationships/hyperlink" Target="http://eur-lex.europa.eu/legal-content/EN/TXT/?qid=1438810496505&amp;uri=CELEX:32014L0065" TargetMode="External"/><Relationship Id="rId38" Type="http://schemas.openxmlformats.org/officeDocument/2006/relationships/hyperlink" Target="http://eur-lex.europa.eu/legal-content/EN/TXT/?qid=1438810496505&amp;uri=CELEX:32014L0065" TargetMode="External"/><Relationship Id="rId59" Type="http://schemas.openxmlformats.org/officeDocument/2006/relationships/hyperlink" Target="http://eur-lex.europa.eu/legal-content/EN/AUTO/?uri=OJ:C:2012:191:TOC" TargetMode="External"/><Relationship Id="rId103" Type="http://schemas.openxmlformats.org/officeDocument/2006/relationships/hyperlink" Target="http://eur-lex.europa.eu/legal-content/EN/TXT/?uri=celex:32014L0065" TargetMode="External"/><Relationship Id="rId108" Type="http://schemas.openxmlformats.org/officeDocument/2006/relationships/hyperlink" Target="http://eur-lex.europa.eu/legal-content/EN/AUTO/?uri=OJ:L:2010:176:TOC" TargetMode="External"/><Relationship Id="rId124" Type="http://schemas.openxmlformats.org/officeDocument/2006/relationships/hyperlink" Target="http://eur-lex.europa.eu/legal-content/EN/AUTO/?uri=OJ:L:2001:109:TOC" TargetMode="External"/><Relationship Id="rId129" Type="http://schemas.openxmlformats.org/officeDocument/2006/relationships/hyperlink" Target="http://eur-lex.europa.eu/legal-content/EN/TXT/?uri=celex:32014L0065" TargetMode="External"/><Relationship Id="rId54" Type="http://schemas.openxmlformats.org/officeDocument/2006/relationships/hyperlink" Target="http://eur-lex.europa.eu/legal-content/EN/TXT/?qid=1438810496505&amp;uri=CELEX:32014L0065" TargetMode="External"/><Relationship Id="rId70" Type="http://schemas.openxmlformats.org/officeDocument/2006/relationships/hyperlink" Target="http://eur-lex.europa.eu/legal-content/EN/AUTO/?uri=OJ:L:2013:176:TOC" TargetMode="External"/><Relationship Id="rId75" Type="http://schemas.openxmlformats.org/officeDocument/2006/relationships/hyperlink" Target="http://eur-lex.europa.eu/legal-content/EN/TXT/?uri=celex:32014L0065" TargetMode="External"/><Relationship Id="rId91" Type="http://schemas.openxmlformats.org/officeDocument/2006/relationships/hyperlink" Target="http://eur-lex.europa.eu/legal-content/EN/AUTO/?uri=OJ:L:2007:247:TOC" TargetMode="External"/><Relationship Id="rId96" Type="http://schemas.openxmlformats.org/officeDocument/2006/relationships/hyperlink" Target="http://eur-lex.europa.eu/legal-content/EN/TXT/?uri=celex:32014L0065" TargetMode="External"/><Relationship Id="rId140" Type="http://schemas.openxmlformats.org/officeDocument/2006/relationships/hyperlink" Target="http://eur-lex.europa.eu/legal-content/EN/AUTO/?uri=OJ:L:2013:182:TOC" TargetMode="External"/><Relationship Id="rId145" Type="http://schemas.openxmlformats.org/officeDocument/2006/relationships/hyperlink" Target="http://eur-lex.europa.eu/legal-content/EN/AUTO/?uri=OJ:L:2014:060:TOC" TargetMode="External"/><Relationship Id="rId1" Type="http://schemas.openxmlformats.org/officeDocument/2006/relationships/customXml" Target="../customXml/item1.xml"/><Relationship Id="rId6" Type="http://schemas.openxmlformats.org/officeDocument/2006/relationships/hyperlink" Target="http://eur-lex.europa.eu/legal-content/EN/TXT/?qid=1438810496505&amp;uri=CELEX:32014L0065" TargetMode="External"/><Relationship Id="rId23" Type="http://schemas.openxmlformats.org/officeDocument/2006/relationships/hyperlink" Target="http://eur-lex.europa.eu/legal-content/EN/TXT/?qid=1438810496505&amp;uri=CELEX:32014L0065" TargetMode="External"/><Relationship Id="rId28" Type="http://schemas.openxmlformats.org/officeDocument/2006/relationships/hyperlink" Target="http://eur-lex.europa.eu/legal-content/EN/TXT/?qid=1438810496505&amp;uri=CELEX:32014L0065" TargetMode="External"/><Relationship Id="rId49" Type="http://schemas.openxmlformats.org/officeDocument/2006/relationships/hyperlink" Target="http://eur-lex.europa.eu/legal-content/EN/TXT/?qid=1438810496505&amp;uri=CELEX:32014L0065" TargetMode="External"/><Relationship Id="rId114" Type="http://schemas.openxmlformats.org/officeDocument/2006/relationships/hyperlink" Target="http://eur-lex.europa.eu/legal-content/EN/AUTO/?uri=OJ:L:2002:201:TOC" TargetMode="External"/><Relationship Id="rId119" Type="http://schemas.openxmlformats.org/officeDocument/2006/relationships/hyperlink" Target="http://eur-lex.europa.eu/legal-content/EN/TXT/?uri=celex:32014L0065" TargetMode="External"/><Relationship Id="rId44" Type="http://schemas.openxmlformats.org/officeDocument/2006/relationships/hyperlink" Target="http://eur-lex.europa.eu/legal-content/EN/TXT/?qid=1438810496505&amp;uri=CELEX:32014L0065" TargetMode="External"/><Relationship Id="rId60" Type="http://schemas.openxmlformats.org/officeDocument/2006/relationships/hyperlink" Target="http://eur-lex.europa.eu/legal-content/EN/TXT/?uri=celex:32014L0065" TargetMode="External"/><Relationship Id="rId65" Type="http://schemas.openxmlformats.org/officeDocument/2006/relationships/hyperlink" Target="http://eur-lex.europa.eu/legal-content/EN/AUTO/?uri=OJ:L:1993:141:TOC" TargetMode="External"/><Relationship Id="rId81" Type="http://schemas.openxmlformats.org/officeDocument/2006/relationships/hyperlink" Target="http://eur-lex.europa.eu/legal-content/EN/AUTO/?uri=OJ:L:2009:211:TOC" TargetMode="External"/><Relationship Id="rId86" Type="http://schemas.openxmlformats.org/officeDocument/2006/relationships/hyperlink" Target="http://eur-lex.europa.eu/legal-content/EN/TXT/?uri=celex:32014L0065" TargetMode="External"/><Relationship Id="rId130" Type="http://schemas.openxmlformats.org/officeDocument/2006/relationships/hyperlink" Target="http://eur-lex.europa.eu/legal-content/EN/AUTO/?uri=OJ:C:2012:147:TOC" TargetMode="External"/><Relationship Id="rId135" Type="http://schemas.openxmlformats.org/officeDocument/2006/relationships/hyperlink" Target="http://eur-lex.europa.eu/legal-content/EN/TXT/?uri=celex:32014L0065" TargetMode="External"/><Relationship Id="rId151" Type="http://schemas.openxmlformats.org/officeDocument/2006/relationships/hyperlink" Target="http://eur-lex.europa.eu/legal-content/EN/AUTO/?uri=OJ:L:2006:114:TOC" TargetMode="External"/><Relationship Id="rId156" Type="http://schemas.openxmlformats.org/officeDocument/2006/relationships/theme" Target="theme/theme1.xml"/><Relationship Id="rId13" Type="http://schemas.openxmlformats.org/officeDocument/2006/relationships/hyperlink" Target="http://eur-lex.europa.eu/legal-content/EN/TXT/?qid=1438810496505&amp;uri=CELEX:32014L0065" TargetMode="External"/><Relationship Id="rId18" Type="http://schemas.openxmlformats.org/officeDocument/2006/relationships/hyperlink" Target="http://eur-lex.europa.eu/legal-content/EN/TXT/?qid=1438810496505&amp;uri=CELEX:32014L0065" TargetMode="External"/><Relationship Id="rId39" Type="http://schemas.openxmlformats.org/officeDocument/2006/relationships/hyperlink" Target="http://eur-lex.europa.eu/legal-content/EN/TXT/?qid=1438810496505&amp;uri=CELEX:32014L0065" TargetMode="External"/><Relationship Id="rId109" Type="http://schemas.openxmlformats.org/officeDocument/2006/relationships/hyperlink" Target="http://eur-lex.europa.eu/legal-content/EN/TXT/?uri=celex:32014L0065" TargetMode="External"/><Relationship Id="rId34" Type="http://schemas.openxmlformats.org/officeDocument/2006/relationships/hyperlink" Target="http://eur-lex.europa.eu/legal-content/EN/TXT/?qid=1438810496505&amp;uri=CELEX:32014L0065" TargetMode="External"/><Relationship Id="rId50" Type="http://schemas.openxmlformats.org/officeDocument/2006/relationships/hyperlink" Target="http://eur-lex.europa.eu/legal-content/EN/TXT/?qid=1438810496505&amp;uri=CELEX:32014L0065" TargetMode="External"/><Relationship Id="rId55" Type="http://schemas.openxmlformats.org/officeDocument/2006/relationships/hyperlink" Target="http://eur-lex.europa.eu/legal-content/EN/TXT/?qid=1438810496505&amp;uri=CELEX:32014L0065" TargetMode="External"/><Relationship Id="rId76" Type="http://schemas.openxmlformats.org/officeDocument/2006/relationships/hyperlink" Target="http://eur-lex.europa.eu/legal-content/EN/TXT/?uri=celex:32014L0065" TargetMode="External"/><Relationship Id="rId97" Type="http://schemas.openxmlformats.org/officeDocument/2006/relationships/hyperlink" Target="http://eur-lex.europa.eu/legal-content/EN/AUTO/?uri=OJ:L:2003:009:TOC" TargetMode="External"/><Relationship Id="rId104" Type="http://schemas.openxmlformats.org/officeDocument/2006/relationships/hyperlink" Target="http://eur-lex.europa.eu/legal-content/EN/AUTO/?uri=OJ:L:2012:086:TOC" TargetMode="External"/><Relationship Id="rId120" Type="http://schemas.openxmlformats.org/officeDocument/2006/relationships/hyperlink" Target="http://eur-lex.europa.eu/legal-content/EN/AUTO/?uri=OJ:L:2003:345:TOC" TargetMode="External"/><Relationship Id="rId125" Type="http://schemas.openxmlformats.org/officeDocument/2006/relationships/hyperlink" Target="http://eur-lex.europa.eu/legal-content/EN/TXT/?uri=celex:32014L0065" TargetMode="External"/><Relationship Id="rId141" Type="http://schemas.openxmlformats.org/officeDocument/2006/relationships/hyperlink" Target="http://eur-lex.europa.eu/legal-content/EN/TXT/?uri=celex:32014L0065" TargetMode="External"/><Relationship Id="rId146" Type="http://schemas.openxmlformats.org/officeDocument/2006/relationships/hyperlink" Target="http://eur-lex.europa.eu/legal-content/EN/TXT/?uri=celex:32014L0065" TargetMode="External"/><Relationship Id="rId7" Type="http://schemas.openxmlformats.org/officeDocument/2006/relationships/hyperlink" Target="http://eur-lex.europa.eu/legal-content/EN/TXT/?qid=1438810496505&amp;uri=CELEX:32014L0065" TargetMode="External"/><Relationship Id="rId71" Type="http://schemas.openxmlformats.org/officeDocument/2006/relationships/hyperlink" Target="http://eur-lex.europa.eu/legal-content/EN/TXT/?uri=celex:32014L0065" TargetMode="External"/><Relationship Id="rId92" Type="http://schemas.openxmlformats.org/officeDocument/2006/relationships/hyperlink" Target="http://eur-lex.europa.eu/legal-content/EN/TXT/?uri=celex:32014L0065" TargetMode="External"/><Relationship Id="rId2" Type="http://schemas.openxmlformats.org/officeDocument/2006/relationships/styles" Target="styles.xml"/><Relationship Id="rId29" Type="http://schemas.openxmlformats.org/officeDocument/2006/relationships/hyperlink" Target="http://eur-lex.europa.eu/legal-content/EN/TXT/?qid=1438810496505&amp;uri=CELEX:32014L0065" TargetMode="External"/><Relationship Id="rId24" Type="http://schemas.openxmlformats.org/officeDocument/2006/relationships/hyperlink" Target="http://eur-lex.europa.eu/legal-content/EN/TXT/?qid=1438810496505&amp;uri=CELEX:32014L0065" TargetMode="External"/><Relationship Id="rId40" Type="http://schemas.openxmlformats.org/officeDocument/2006/relationships/hyperlink" Target="http://eur-lex.europa.eu/legal-content/EN/TXT/?qid=1438810496505&amp;uri=CELEX:32014L0065" TargetMode="External"/><Relationship Id="rId45" Type="http://schemas.openxmlformats.org/officeDocument/2006/relationships/hyperlink" Target="http://eur-lex.europa.eu/legal-content/EN/TXT/?qid=1438810496505&amp;uri=CELEX:32014L0065" TargetMode="External"/><Relationship Id="rId66" Type="http://schemas.openxmlformats.org/officeDocument/2006/relationships/hyperlink" Target="http://eur-lex.europa.eu/legal-content/EN/TXT/?uri=celex:32014L0065" TargetMode="External"/><Relationship Id="rId87" Type="http://schemas.openxmlformats.org/officeDocument/2006/relationships/hyperlink" Target="http://eur-lex.europa.eu/legal-content/EN/AUTO/?uri=OJ:L:2009:211:TOC" TargetMode="External"/><Relationship Id="rId110" Type="http://schemas.openxmlformats.org/officeDocument/2006/relationships/hyperlink" Target="http://eur-lex.europa.eu/legal-content/EN/AUTO/?uri=OJ:L:2010:331:TOC" TargetMode="External"/><Relationship Id="rId115" Type="http://schemas.openxmlformats.org/officeDocument/2006/relationships/hyperlink" Target="http://eur-lex.europa.eu/legal-content/EN/TXT/?uri=celex:32014L0065" TargetMode="External"/><Relationship Id="rId131" Type="http://schemas.openxmlformats.org/officeDocument/2006/relationships/hyperlink" Target="http://eur-lex.europa.eu/legal-content/EN/TXT/?uri=celex:32014L0065" TargetMode="External"/><Relationship Id="rId136" Type="http://schemas.openxmlformats.org/officeDocument/2006/relationships/hyperlink" Target="http://eur-lex.europa.eu/legal-content/EN/AUTO/?uri=OJ:L:2009:302:TOC" TargetMode="External"/><Relationship Id="rId61" Type="http://schemas.openxmlformats.org/officeDocument/2006/relationships/hyperlink" Target="http://eur-lex.europa.eu/legal-content/EN/TXT/?uri=celex:32014L0065" TargetMode="External"/><Relationship Id="rId82" Type="http://schemas.openxmlformats.org/officeDocument/2006/relationships/hyperlink" Target="http://eur-lex.europa.eu/legal-content/EN/TXT/?uri=celex:32014L0065" TargetMode="External"/><Relationship Id="rId152" Type="http://schemas.openxmlformats.org/officeDocument/2006/relationships/hyperlink" Target="http://eur-lex.europa.eu/legal-content/EN/AUTO/?uri=OJ:L:2007:247:TOC" TargetMode="External"/><Relationship Id="rId19" Type="http://schemas.openxmlformats.org/officeDocument/2006/relationships/hyperlink" Target="http://eur-lex.europa.eu/legal-content/EN/TXT/?qid=1438810496505&amp;uri=CELEX:32014L0065" TargetMode="External"/><Relationship Id="rId14" Type="http://schemas.openxmlformats.org/officeDocument/2006/relationships/hyperlink" Target="http://eur-lex.europa.eu/legal-content/EN/TXT/?qid=1438810496505&amp;uri=CELEX:32014L0065" TargetMode="External"/><Relationship Id="rId30" Type="http://schemas.openxmlformats.org/officeDocument/2006/relationships/hyperlink" Target="http://eur-lex.europa.eu/legal-content/EN/TXT/?qid=1438810496505&amp;uri=CELEX:32014L0065" TargetMode="External"/><Relationship Id="rId35" Type="http://schemas.openxmlformats.org/officeDocument/2006/relationships/hyperlink" Target="http://eur-lex.europa.eu/legal-content/EN/TXT/?qid=1438810496505&amp;uri=CELEX:32014L0065" TargetMode="External"/><Relationship Id="rId56" Type="http://schemas.openxmlformats.org/officeDocument/2006/relationships/hyperlink" Target="http://eur-lex.europa.eu/legal-content/EN/TXT/?uri=celex:32014L0065" TargetMode="External"/><Relationship Id="rId77" Type="http://schemas.openxmlformats.org/officeDocument/2006/relationships/hyperlink" Target="http://eur-lex.europa.eu/legal-content/EN/AUTO/?uri=OJ:L:2013:176:TOC" TargetMode="External"/><Relationship Id="rId100" Type="http://schemas.openxmlformats.org/officeDocument/2006/relationships/hyperlink" Target="http://eur-lex.europa.eu/legal-content/EN/TXT/?uri=celex:32014L0065" TargetMode="External"/><Relationship Id="rId105" Type="http://schemas.openxmlformats.org/officeDocument/2006/relationships/hyperlink" Target="http://eur-lex.europa.eu/legal-content/EN/TXT/?uri=celex:32014L0065" TargetMode="External"/><Relationship Id="rId126" Type="http://schemas.openxmlformats.org/officeDocument/2006/relationships/hyperlink" Target="http://eur-lex.europa.eu/legal-content/EN/AUTO/?uri=OJ:L:2010:331:TOC" TargetMode="External"/><Relationship Id="rId147" Type="http://schemas.openxmlformats.org/officeDocument/2006/relationships/hyperlink" Target="http://eur-lex.europa.eu/legal-content/EN/AUTO/?uri=OJ:L:2006:157:TOC" TargetMode="External"/><Relationship Id="rId8" Type="http://schemas.openxmlformats.org/officeDocument/2006/relationships/hyperlink" Target="http://eur-lex.europa.eu/legal-content/EN/TXT/?qid=1438810496505&amp;uri=CELEX:32014L0065" TargetMode="External"/><Relationship Id="rId51" Type="http://schemas.openxmlformats.org/officeDocument/2006/relationships/hyperlink" Target="http://eur-lex.europa.eu/legal-content/EN/TXT/?qid=1438810496505&amp;uri=CELEX:32014L0065" TargetMode="External"/><Relationship Id="rId72" Type="http://schemas.openxmlformats.org/officeDocument/2006/relationships/hyperlink" Target="http://eur-lex.europa.eu/legal-content/EN/AUTO/?uri=OJ:L:2012:201:TOC" TargetMode="External"/><Relationship Id="rId93" Type="http://schemas.openxmlformats.org/officeDocument/2006/relationships/hyperlink" Target="http://eur-lex.europa.eu/legal-content/EN/AUTO/?uri=OJ:L:2003:035:TOC" TargetMode="External"/><Relationship Id="rId98" Type="http://schemas.openxmlformats.org/officeDocument/2006/relationships/hyperlink" Target="http://eur-lex.europa.eu/legal-content/EN/TXT/?uri=celex:32014L0065" TargetMode="External"/><Relationship Id="rId121" Type="http://schemas.openxmlformats.org/officeDocument/2006/relationships/hyperlink" Target="http://eur-lex.europa.eu/legal-content/EN/TXT/?uri=celex:32014L0065" TargetMode="External"/><Relationship Id="rId142" Type="http://schemas.openxmlformats.org/officeDocument/2006/relationships/hyperlink" Target="http://eur-lex.europa.eu/legal-content/EN/TXT/?uri=celex:32014L0065" TargetMode="External"/><Relationship Id="rId3" Type="http://schemas.microsoft.com/office/2007/relationships/stylesWithEffects" Target="stylesWithEffects.xml"/><Relationship Id="rId25" Type="http://schemas.openxmlformats.org/officeDocument/2006/relationships/hyperlink" Target="http://eur-lex.europa.eu/legal-content/EN/TXT/?qid=1438810496505&amp;uri=CELEX:32014L0065" TargetMode="External"/><Relationship Id="rId46" Type="http://schemas.openxmlformats.org/officeDocument/2006/relationships/hyperlink" Target="http://eur-lex.europa.eu/legal-content/EN/TXT/?qid=1438810496505&amp;uri=CELEX:32014L0065" TargetMode="External"/><Relationship Id="rId67" Type="http://schemas.openxmlformats.org/officeDocument/2006/relationships/hyperlink" Target="http://eur-lex.europa.eu/legal-content/EN/TXT/?uri=celex:32014L0065" TargetMode="External"/><Relationship Id="rId116" Type="http://schemas.openxmlformats.org/officeDocument/2006/relationships/hyperlink" Target="http://eur-lex.europa.eu/legal-content/EN/AUTO/?uri=OJ:L:2001:008:TOC" TargetMode="External"/><Relationship Id="rId137" Type="http://schemas.openxmlformats.org/officeDocument/2006/relationships/hyperlink" Target="http://eur-lex.europa.eu/legal-content/EN/TXT/?uri=celex:32014L0065" TargetMode="External"/><Relationship Id="rId20" Type="http://schemas.openxmlformats.org/officeDocument/2006/relationships/hyperlink" Target="http://eur-lex.europa.eu/legal-content/EN/TXT/?qid=1438810496505&amp;uri=CELEX:32014L0065" TargetMode="External"/><Relationship Id="rId41" Type="http://schemas.openxmlformats.org/officeDocument/2006/relationships/hyperlink" Target="http://eur-lex.europa.eu/legal-content/EN/TXT/?qid=1438810496505&amp;uri=CELEX:32014L0065" TargetMode="External"/><Relationship Id="rId62" Type="http://schemas.openxmlformats.org/officeDocument/2006/relationships/hyperlink" Target="http://eur-lex.europa.eu/legal-content/EN/AUTO/?uri=OJ:L:2004:145:TOC" TargetMode="External"/><Relationship Id="rId83" Type="http://schemas.openxmlformats.org/officeDocument/2006/relationships/hyperlink" Target="http://eur-lex.europa.eu/legal-content/EN/AUTO/?uri=OJ:L:2009:211:TOC" TargetMode="External"/><Relationship Id="rId88" Type="http://schemas.openxmlformats.org/officeDocument/2006/relationships/hyperlink" Target="http://eur-lex.europa.eu/legal-content/EN/TXT/?uri=celex:32014L0065" TargetMode="External"/><Relationship Id="rId111" Type="http://schemas.openxmlformats.org/officeDocument/2006/relationships/hyperlink" Target="http://eur-lex.europa.eu/legal-content/EN/TXT/?uri=celex:32014L0065" TargetMode="External"/><Relationship Id="rId132" Type="http://schemas.openxmlformats.org/officeDocument/2006/relationships/hyperlink" Target="http://eur-lex.europa.eu/legal-content/EN/AUTO/?uri=OJ:C:2011:369:TOC" TargetMode="External"/><Relationship Id="rId153" Type="http://schemas.openxmlformats.org/officeDocument/2006/relationships/hyperlink" Target="http://eur-lex.europa.eu/legal-content/EN/AUTO/?uri=OJ:L:2008:076:TOC" TargetMode="External"/><Relationship Id="rId15" Type="http://schemas.openxmlformats.org/officeDocument/2006/relationships/hyperlink" Target="http://eur-lex.europa.eu/legal-content/EN/TXT/?qid=1438810496505&amp;uri=CELEX:32014L0065" TargetMode="External"/><Relationship Id="rId36" Type="http://schemas.openxmlformats.org/officeDocument/2006/relationships/hyperlink" Target="http://eur-lex.europa.eu/legal-content/EN/TXT/?qid=1438810496505&amp;uri=CELEX:32014L0065" TargetMode="External"/><Relationship Id="rId57" Type="http://schemas.openxmlformats.org/officeDocument/2006/relationships/hyperlink" Target="http://eur-lex.europa.eu/legal-content/EN/AUTO/?uri=OJ:C:2012:161:TOC" TargetMode="External"/><Relationship Id="rId106" Type="http://schemas.openxmlformats.org/officeDocument/2006/relationships/hyperlink" Target="http://eur-lex.europa.eu/legal-content/EN/AUTO/?uri=OJ:L:2010:331:TOC" TargetMode="External"/><Relationship Id="rId127" Type="http://schemas.openxmlformats.org/officeDocument/2006/relationships/hyperlink" Target="http://eur-lex.europa.eu/legal-content/EN/TXT/?uri=celex:32014L0065" TargetMode="External"/><Relationship Id="rId10" Type="http://schemas.openxmlformats.org/officeDocument/2006/relationships/hyperlink" Target="http://eur-lex.europa.eu/legal-content/EN/TXT/?qid=1438810496505&amp;uri=CELEX:32014L0065" TargetMode="External"/><Relationship Id="rId31" Type="http://schemas.openxmlformats.org/officeDocument/2006/relationships/hyperlink" Target="http://eur-lex.europa.eu/legal-content/EN/TXT/?qid=1438810496505&amp;uri=CELEX:32014L0065" TargetMode="External"/><Relationship Id="rId52" Type="http://schemas.openxmlformats.org/officeDocument/2006/relationships/hyperlink" Target="http://eur-lex.europa.eu/legal-content/EN/TXT/?qid=1438810496505&amp;uri=CELEX:32014L0065" TargetMode="External"/><Relationship Id="rId73" Type="http://schemas.openxmlformats.org/officeDocument/2006/relationships/hyperlink" Target="http://eur-lex.europa.eu/legal-content/EN/TXT/?uri=celex:32014L0065" TargetMode="External"/><Relationship Id="rId78" Type="http://schemas.openxmlformats.org/officeDocument/2006/relationships/hyperlink" Target="http://eur-lex.europa.eu/legal-content/EN/TXT/?uri=celex:32014L0065" TargetMode="External"/><Relationship Id="rId94" Type="http://schemas.openxmlformats.org/officeDocument/2006/relationships/hyperlink" Target="http://eur-lex.europa.eu/legal-content/EN/TXT/?uri=celex:32014L0065" TargetMode="External"/><Relationship Id="rId99" Type="http://schemas.openxmlformats.org/officeDocument/2006/relationships/hyperlink" Target="http://eur-lex.europa.eu/legal-content/EN/AUTO/?uri=OJ:L:2002:168:TOC" TargetMode="External"/><Relationship Id="rId101" Type="http://schemas.openxmlformats.org/officeDocument/2006/relationships/hyperlink" Target="http://eur-lex.europa.eu/legal-content/EN/AUTO/?uri=OJ:L:2006:241:TOC" TargetMode="External"/><Relationship Id="rId122" Type="http://schemas.openxmlformats.org/officeDocument/2006/relationships/hyperlink" Target="http://eur-lex.europa.eu/legal-content/EN/AUTO/?uri=OJ:L:1998:115:TOC" TargetMode="External"/><Relationship Id="rId143" Type="http://schemas.openxmlformats.org/officeDocument/2006/relationships/hyperlink" Target="http://eur-lex.europa.eu/legal-content/EN/AUTO/?uri=OJ:L:2013:347:TOC" TargetMode="External"/><Relationship Id="rId148" Type="http://schemas.openxmlformats.org/officeDocument/2006/relationships/hyperlink" Target="http://eur-lex.europa.eu/legal-content/EN/TXT/?uri=celex:32014L0065" TargetMode="External"/><Relationship Id="rId4" Type="http://schemas.openxmlformats.org/officeDocument/2006/relationships/settings" Target="settings.xml"/><Relationship Id="rId9" Type="http://schemas.openxmlformats.org/officeDocument/2006/relationships/hyperlink" Target="http://eur-lex.europa.eu/legal-content/EN/TXT/?qid=1438810496505&amp;uri=CELEX:32014L0065" TargetMode="External"/><Relationship Id="rId26" Type="http://schemas.openxmlformats.org/officeDocument/2006/relationships/hyperlink" Target="http://eur-lex.europa.eu/legal-content/EN/TXT/?qid=1438810496505&amp;uri=CELEX:32014L0065" TargetMode="External"/><Relationship Id="rId47" Type="http://schemas.openxmlformats.org/officeDocument/2006/relationships/hyperlink" Target="http://eur-lex.europa.eu/legal-content/EN/TXT/?qid=1438810496505&amp;uri=CELEX:32014L0065" TargetMode="External"/><Relationship Id="rId68" Type="http://schemas.openxmlformats.org/officeDocument/2006/relationships/hyperlink" Target="http://eur-lex.europa.eu/legal-content/EN/AUTO/?uri=OJ:L:2011:326:TOC" TargetMode="External"/><Relationship Id="rId89" Type="http://schemas.openxmlformats.org/officeDocument/2006/relationships/hyperlink" Target="http://eur-lex.europa.eu/legal-content/EN/AUTO/?uri=OJ:L:1997:084:TOC" TargetMode="External"/><Relationship Id="rId112" Type="http://schemas.openxmlformats.org/officeDocument/2006/relationships/hyperlink" Target="http://eur-lex.europa.eu/legal-content/EN/AUTO/?uri=OJ:L:1995:281:TOC" TargetMode="External"/><Relationship Id="rId133" Type="http://schemas.openxmlformats.org/officeDocument/2006/relationships/hyperlink" Target="http://eur-lex.europa.eu/legal-content/EN/TXT/?uri=celex:32014L0065" TargetMode="External"/><Relationship Id="rId154" Type="http://schemas.openxmlformats.org/officeDocument/2006/relationships/hyperlink" Target="http://eur-lex.europa.eu/legal-content/EN/AUTO/?uri=OJ:L:2010:331:TOC" TargetMode="External"/><Relationship Id="rId16" Type="http://schemas.openxmlformats.org/officeDocument/2006/relationships/hyperlink" Target="http://eur-lex.europa.eu/legal-content/EN/TXT/?qid=1438810496505&amp;uri=CELEX:32014L0065" TargetMode="External"/><Relationship Id="rId37" Type="http://schemas.openxmlformats.org/officeDocument/2006/relationships/hyperlink" Target="http://eur-lex.europa.eu/legal-content/EN/TXT/?qid=1438810496505&amp;uri=CELEX:32014L0065" TargetMode="External"/><Relationship Id="rId58" Type="http://schemas.openxmlformats.org/officeDocument/2006/relationships/hyperlink" Target="http://eur-lex.europa.eu/legal-content/EN/TXT/?uri=celex:32014L0065" TargetMode="External"/><Relationship Id="rId79" Type="http://schemas.openxmlformats.org/officeDocument/2006/relationships/hyperlink" Target="http://eur-lex.europa.eu/legal-content/EN/AUTO/?uri=OJ:L:2009:335:TOC" TargetMode="External"/><Relationship Id="rId102" Type="http://schemas.openxmlformats.org/officeDocument/2006/relationships/hyperlink" Target="http://eur-lex.europa.eu/legal-content/EN/TXT/?uri=celex:32014L0065" TargetMode="External"/><Relationship Id="rId123" Type="http://schemas.openxmlformats.org/officeDocument/2006/relationships/hyperlink" Target="http://eur-lex.europa.eu/legal-content/EN/TXT/?uri=celex:32014L0065" TargetMode="External"/><Relationship Id="rId144" Type="http://schemas.openxmlformats.org/officeDocument/2006/relationships/hyperlink" Target="http://eur-lex.europa.eu/legal-content/EN/TXT/?uri=celex:32014L0065" TargetMode="External"/><Relationship Id="rId90" Type="http://schemas.openxmlformats.org/officeDocument/2006/relationships/hyperlink" Target="http://eur-lex.europa.eu/legal-content/EN/TXT/?uri=celex:32014L00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53524-7E1A-42A9-B59C-FD28517BD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198</Pages>
  <Words>62792</Words>
  <Characters>411098</Characters>
  <Application>Microsoft Office Word</Application>
  <DocSecurity>0</DocSecurity>
  <Lines>8536</Lines>
  <Paragraphs>3393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471815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london</dc:creator>
  <cp:lastModifiedBy>london</cp:lastModifiedBy>
  <cp:revision>5</cp:revision>
  <dcterms:created xsi:type="dcterms:W3CDTF">2015-10-07T07:30:00Z</dcterms:created>
  <dcterms:modified xsi:type="dcterms:W3CDTF">2015-11-26T14:59:00Z</dcterms:modified>
</cp:coreProperties>
</file>